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Override PartName="/word/header1.xml" ContentType="application/vnd.openxmlformats-officedocument.wordprocessingml.header+xml"/>
  <Default Extension="jpeg" ContentType="image/jpeg"/>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Default Extension="png" ContentType="image/png"/>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rPr>
          <w:rFonts w:ascii="Times New Roman"/>
          <w:sz w:val="20"/>
        </w:rPr>
      </w:pPr>
    </w:p>
    <w:p>
      <w:pPr>
        <w:pStyle w:val="BodyText"/>
        <w:spacing w:before="4"/>
        <w:rPr>
          <w:rFonts w:ascii="Times New Roman"/>
          <w:sz w:val="17"/>
        </w:rPr>
      </w:pPr>
    </w:p>
    <w:p>
      <w:pPr>
        <w:spacing w:before="68"/>
        <w:ind w:left="3229" w:right="0" w:firstLine="0"/>
        <w:jc w:val="left"/>
        <w:rPr>
          <w:b/>
          <w:sz w:val="25"/>
        </w:rPr>
      </w:pPr>
      <w:r>
        <w:rPr/>
        <w:drawing>
          <wp:anchor distT="0" distB="0" distL="0" distR="0" allowOverlap="1" layoutInCell="1" locked="0" behindDoc="0" simplePos="0" relativeHeight="1048">
            <wp:simplePos x="0" y="0"/>
            <wp:positionH relativeFrom="page">
              <wp:posOffset>605027</wp:posOffset>
            </wp:positionH>
            <wp:positionV relativeFrom="paragraph">
              <wp:posOffset>47051</wp:posOffset>
            </wp:positionV>
            <wp:extent cx="1132332" cy="1031748"/>
            <wp:effectExtent l="0" t="0" r="0" b="0"/>
            <wp:wrapNone/>
            <wp:docPr id="1" name="image1.jpeg" descr=""/>
            <wp:cNvGraphicFramePr>
              <a:graphicFrameLocks noChangeAspect="1"/>
            </wp:cNvGraphicFramePr>
            <a:graphic>
              <a:graphicData uri="http://schemas.openxmlformats.org/drawingml/2006/picture">
                <pic:pic>
                  <pic:nvPicPr>
                    <pic:cNvPr id="2" name="image1.jpeg"/>
                    <pic:cNvPicPr/>
                  </pic:nvPicPr>
                  <pic:blipFill>
                    <a:blip r:embed="rId6" cstate="print"/>
                    <a:stretch>
                      <a:fillRect/>
                    </a:stretch>
                  </pic:blipFill>
                  <pic:spPr>
                    <a:xfrm>
                      <a:off x="0" y="0"/>
                      <a:ext cx="1132332" cy="1031748"/>
                    </a:xfrm>
                    <a:prstGeom prst="rect">
                      <a:avLst/>
                    </a:prstGeom>
                  </pic:spPr>
                </pic:pic>
              </a:graphicData>
            </a:graphic>
          </wp:anchor>
        </w:drawing>
      </w:r>
      <w:r>
        <w:rPr>
          <w:b/>
          <w:sz w:val="25"/>
        </w:rPr>
        <w:t>UNIVERSIDAD AUTÓNOMA DEL ESTADO DE MÉXICO</w:t>
      </w:r>
    </w:p>
    <w:p>
      <w:pPr>
        <w:pStyle w:val="BodyText"/>
        <w:rPr>
          <w:b/>
        </w:rPr>
      </w:pPr>
    </w:p>
    <w:p>
      <w:pPr>
        <w:spacing w:before="156"/>
        <w:ind w:left="2297" w:right="119" w:firstLine="0"/>
        <w:jc w:val="center"/>
        <w:rPr>
          <w:b/>
          <w:sz w:val="25"/>
        </w:rPr>
      </w:pPr>
      <w:r>
        <w:rPr>
          <w:b/>
          <w:sz w:val="25"/>
        </w:rPr>
        <w:t>FACULTAD DE ODONTOLOGÍA</w:t>
      </w:r>
    </w:p>
    <w:p>
      <w:pPr>
        <w:pStyle w:val="BodyText"/>
        <w:spacing w:before="10"/>
        <w:rPr>
          <w:b/>
        </w:rPr>
      </w:pPr>
    </w:p>
    <w:p>
      <w:pPr>
        <w:spacing w:before="0"/>
        <w:ind w:left="2295" w:right="122" w:firstLine="0"/>
        <w:jc w:val="center"/>
        <w:rPr>
          <w:b/>
          <w:sz w:val="25"/>
        </w:rPr>
      </w:pPr>
      <w:r>
        <w:rPr/>
        <w:pict>
          <v:line style="position:absolute;mso-position-horizontal-relative:page;mso-position-vertical-relative:paragraph;z-index:0" from="91.5pt,25.204878pt" to="91.5pt,434.304878pt" stroked="true" strokeweight="2.280pt" strokecolor="#000000">
            <w10:wrap type="none"/>
          </v:line>
        </w:pict>
      </w:r>
      <w:r>
        <w:rPr>
          <w:b/>
          <w:sz w:val="25"/>
        </w:rPr>
        <w:t>CENTRO DE INVESTIGACIÓN Y ESTUDIOS AVANZADOS EN ODONTOLOGÍA “DR KEISABURO MIYATA”</w:t>
      </w:r>
    </w:p>
    <w:p>
      <w:pPr>
        <w:pStyle w:val="BodyText"/>
        <w:rPr>
          <w:b/>
        </w:rPr>
      </w:pPr>
    </w:p>
    <w:p>
      <w:pPr>
        <w:pStyle w:val="BodyText"/>
        <w:rPr>
          <w:b/>
        </w:rPr>
      </w:pPr>
    </w:p>
    <w:p>
      <w:pPr>
        <w:pStyle w:val="BodyText"/>
        <w:rPr>
          <w:b/>
        </w:rPr>
      </w:pPr>
    </w:p>
    <w:p>
      <w:pPr>
        <w:pStyle w:val="BodyText"/>
        <w:spacing w:before="4"/>
        <w:rPr>
          <w:b/>
          <w:sz w:val="22"/>
        </w:rPr>
      </w:pPr>
    </w:p>
    <w:p>
      <w:pPr>
        <w:pStyle w:val="Heading2"/>
        <w:spacing w:line="360" w:lineRule="auto"/>
        <w:ind w:left="2297" w:right="122"/>
        <w:jc w:val="center"/>
      </w:pPr>
      <w:r>
        <w:rPr/>
        <w:t>“MANEJO ENDODONTICO DEL PACIENTE EPILEPTICO: REPORTE DE CASO”</w:t>
      </w:r>
    </w:p>
    <w:p>
      <w:pPr>
        <w:pStyle w:val="BodyText"/>
        <w:rPr>
          <w:b/>
        </w:rPr>
      </w:pPr>
    </w:p>
    <w:p>
      <w:pPr>
        <w:pStyle w:val="BodyText"/>
        <w:rPr>
          <w:b/>
        </w:rPr>
      </w:pPr>
    </w:p>
    <w:p>
      <w:pPr>
        <w:pStyle w:val="BodyText"/>
        <w:rPr>
          <w:b/>
        </w:rPr>
      </w:pPr>
    </w:p>
    <w:p>
      <w:pPr>
        <w:spacing w:before="186"/>
        <w:ind w:left="2297" w:right="119" w:firstLine="0"/>
        <w:jc w:val="center"/>
        <w:rPr>
          <w:b/>
          <w:sz w:val="28"/>
        </w:rPr>
      </w:pPr>
      <w:r>
        <w:rPr>
          <w:b/>
          <w:sz w:val="28"/>
        </w:rPr>
        <w:t>PROYECTO TERMINAL</w:t>
      </w:r>
    </w:p>
    <w:p>
      <w:pPr>
        <w:pStyle w:val="BodyText"/>
        <w:rPr>
          <w:b/>
          <w:sz w:val="28"/>
        </w:rPr>
      </w:pPr>
    </w:p>
    <w:p>
      <w:pPr>
        <w:pStyle w:val="BodyText"/>
        <w:rPr>
          <w:b/>
          <w:sz w:val="28"/>
        </w:rPr>
      </w:pPr>
    </w:p>
    <w:p>
      <w:pPr>
        <w:pStyle w:val="BodyText"/>
        <w:spacing w:before="10"/>
        <w:rPr>
          <w:b/>
          <w:sz w:val="31"/>
        </w:rPr>
      </w:pPr>
    </w:p>
    <w:p>
      <w:pPr>
        <w:spacing w:before="0"/>
        <w:ind w:left="3447" w:right="1265" w:firstLine="0"/>
        <w:jc w:val="center"/>
        <w:rPr>
          <w:b/>
          <w:sz w:val="22"/>
        </w:rPr>
      </w:pPr>
      <w:r>
        <w:rPr>
          <w:b/>
          <w:sz w:val="22"/>
        </w:rPr>
        <w:t>QUE PARA OBTENER EL DIPLOMA DE ESPECIALISTA EN ENDODONCIA</w:t>
      </w:r>
    </w:p>
    <w:p>
      <w:pPr>
        <w:pStyle w:val="BodyText"/>
        <w:rPr>
          <w:b/>
          <w:sz w:val="22"/>
        </w:rPr>
      </w:pPr>
    </w:p>
    <w:p>
      <w:pPr>
        <w:pStyle w:val="BodyText"/>
        <w:spacing w:before="11"/>
        <w:rPr>
          <w:b/>
          <w:sz w:val="21"/>
        </w:rPr>
      </w:pPr>
    </w:p>
    <w:p>
      <w:pPr>
        <w:spacing w:before="0"/>
        <w:ind w:left="2297" w:right="116" w:firstLine="0"/>
        <w:jc w:val="center"/>
        <w:rPr>
          <w:b/>
          <w:sz w:val="22"/>
        </w:rPr>
      </w:pPr>
      <w:r>
        <w:rPr>
          <w:b/>
          <w:sz w:val="22"/>
        </w:rPr>
        <w:t>PRESENTA</w:t>
      </w:r>
    </w:p>
    <w:p>
      <w:pPr>
        <w:pStyle w:val="BodyText"/>
        <w:rPr>
          <w:b/>
          <w:sz w:val="22"/>
        </w:rPr>
      </w:pPr>
    </w:p>
    <w:p>
      <w:pPr>
        <w:pStyle w:val="BodyText"/>
        <w:rPr>
          <w:b/>
          <w:sz w:val="22"/>
        </w:rPr>
      </w:pPr>
    </w:p>
    <w:p>
      <w:pPr>
        <w:pStyle w:val="BodyText"/>
        <w:spacing w:before="3"/>
        <w:rPr>
          <w:b/>
          <w:sz w:val="22"/>
        </w:rPr>
      </w:pPr>
    </w:p>
    <w:p>
      <w:pPr>
        <w:pStyle w:val="Heading2"/>
        <w:ind w:left="3591"/>
        <w:jc w:val="left"/>
      </w:pPr>
      <w:r>
        <w:rPr/>
        <w:t>C.D GRACIELA MARILU CUSTODIO GONZÁLEZ</w:t>
      </w:r>
    </w:p>
    <w:p>
      <w:pPr>
        <w:pStyle w:val="BodyText"/>
        <w:rPr>
          <w:b/>
        </w:rPr>
      </w:pPr>
    </w:p>
    <w:p>
      <w:pPr>
        <w:pStyle w:val="BodyText"/>
        <w:spacing w:before="7"/>
        <w:rPr>
          <w:b/>
          <w:sz w:val="31"/>
        </w:rPr>
      </w:pPr>
    </w:p>
    <w:p>
      <w:pPr>
        <w:spacing w:before="1"/>
        <w:ind w:left="2297" w:right="120" w:firstLine="0"/>
        <w:jc w:val="center"/>
        <w:rPr>
          <w:b/>
          <w:sz w:val="22"/>
        </w:rPr>
      </w:pPr>
      <w:r>
        <w:rPr>
          <w:b/>
          <w:sz w:val="22"/>
        </w:rPr>
        <w:t>DIRECTOR</w:t>
      </w:r>
    </w:p>
    <w:p>
      <w:pPr>
        <w:pStyle w:val="BodyText"/>
        <w:spacing w:before="3"/>
        <w:rPr>
          <w:b/>
          <w:sz w:val="22"/>
        </w:rPr>
      </w:pPr>
    </w:p>
    <w:p>
      <w:pPr>
        <w:pStyle w:val="Heading2"/>
        <w:ind w:left="3932"/>
        <w:jc w:val="left"/>
      </w:pPr>
      <w:r>
        <w:rPr/>
        <w:t>C.D.E.E BRISSA ITZEL JIMENEZ VALDEZ.</w:t>
      </w:r>
    </w:p>
    <w:p>
      <w:pPr>
        <w:pStyle w:val="BodyText"/>
        <w:spacing w:before="8"/>
        <w:rPr>
          <w:b/>
          <w:sz w:val="33"/>
        </w:rPr>
      </w:pPr>
    </w:p>
    <w:p>
      <w:pPr>
        <w:spacing w:before="1"/>
        <w:ind w:left="2297" w:right="118" w:firstLine="0"/>
        <w:jc w:val="center"/>
        <w:rPr>
          <w:b/>
          <w:sz w:val="22"/>
        </w:rPr>
      </w:pPr>
      <w:r>
        <w:rPr>
          <w:b/>
          <w:sz w:val="22"/>
        </w:rPr>
        <w:t>ASESOR</w:t>
      </w:r>
    </w:p>
    <w:p>
      <w:pPr>
        <w:pStyle w:val="BodyText"/>
        <w:spacing w:before="1"/>
        <w:rPr>
          <w:b/>
          <w:sz w:val="22"/>
        </w:rPr>
      </w:pPr>
    </w:p>
    <w:p>
      <w:pPr>
        <w:spacing w:before="0"/>
        <w:ind w:left="4100" w:right="0" w:firstLine="0"/>
        <w:jc w:val="left"/>
        <w:rPr>
          <w:b/>
          <w:sz w:val="22"/>
        </w:rPr>
      </w:pPr>
      <w:r>
        <w:rPr/>
        <w:drawing>
          <wp:anchor distT="0" distB="0" distL="0" distR="0" allowOverlap="1" layoutInCell="1" locked="0" behindDoc="0" simplePos="0" relativeHeight="1072">
            <wp:simplePos x="0" y="0"/>
            <wp:positionH relativeFrom="page">
              <wp:posOffset>815339</wp:posOffset>
            </wp:positionH>
            <wp:positionV relativeFrom="paragraph">
              <wp:posOffset>-71400</wp:posOffset>
            </wp:positionV>
            <wp:extent cx="876299" cy="1034796"/>
            <wp:effectExtent l="0" t="0" r="0" b="0"/>
            <wp:wrapNone/>
            <wp:docPr id="3" name="image2.jpeg" descr=""/>
            <wp:cNvGraphicFramePr>
              <a:graphicFrameLocks noChangeAspect="1"/>
            </wp:cNvGraphicFramePr>
            <a:graphic>
              <a:graphicData uri="http://schemas.openxmlformats.org/drawingml/2006/picture">
                <pic:pic>
                  <pic:nvPicPr>
                    <pic:cNvPr id="4" name="image2.jpeg"/>
                    <pic:cNvPicPr/>
                  </pic:nvPicPr>
                  <pic:blipFill>
                    <a:blip r:embed="rId7" cstate="print"/>
                    <a:stretch>
                      <a:fillRect/>
                    </a:stretch>
                  </pic:blipFill>
                  <pic:spPr>
                    <a:xfrm>
                      <a:off x="0" y="0"/>
                      <a:ext cx="876299" cy="1034796"/>
                    </a:xfrm>
                    <a:prstGeom prst="rect">
                      <a:avLst/>
                    </a:prstGeom>
                  </pic:spPr>
                </pic:pic>
              </a:graphicData>
            </a:graphic>
          </wp:anchor>
        </w:drawing>
      </w:r>
      <w:r>
        <w:rPr>
          <w:b/>
          <w:sz w:val="22"/>
        </w:rPr>
        <w:t>E. EN ENDOPERIO PABLO XILOTL ARIAS.</w:t>
      </w:r>
    </w:p>
    <w:p>
      <w:pPr>
        <w:pStyle w:val="BodyText"/>
        <w:rPr>
          <w:b/>
          <w:sz w:val="22"/>
        </w:rPr>
      </w:pPr>
    </w:p>
    <w:p>
      <w:pPr>
        <w:pStyle w:val="BodyText"/>
        <w:rPr>
          <w:b/>
          <w:sz w:val="22"/>
        </w:rPr>
      </w:pPr>
    </w:p>
    <w:p>
      <w:pPr>
        <w:pStyle w:val="BodyText"/>
        <w:rPr>
          <w:b/>
          <w:sz w:val="22"/>
        </w:rPr>
      </w:pPr>
    </w:p>
    <w:p>
      <w:pPr>
        <w:pStyle w:val="BodyText"/>
        <w:rPr>
          <w:b/>
          <w:sz w:val="22"/>
        </w:rPr>
      </w:pPr>
    </w:p>
    <w:p>
      <w:pPr>
        <w:pStyle w:val="BodyText"/>
        <w:spacing w:before="10"/>
        <w:rPr>
          <w:b/>
          <w:sz w:val="21"/>
        </w:rPr>
      </w:pPr>
    </w:p>
    <w:p>
      <w:pPr>
        <w:spacing w:before="0"/>
        <w:ind w:left="6308" w:right="0" w:firstLine="0"/>
        <w:jc w:val="left"/>
        <w:rPr>
          <w:b/>
          <w:sz w:val="22"/>
        </w:rPr>
      </w:pPr>
      <w:r>
        <w:rPr>
          <w:b/>
          <w:sz w:val="22"/>
        </w:rPr>
        <w:t>TOLUCA, MÉXICO, NOVIEMBRE, 2015.</w:t>
      </w:r>
    </w:p>
    <w:p>
      <w:pPr>
        <w:spacing w:after="0"/>
        <w:jc w:val="left"/>
        <w:rPr>
          <w:sz w:val="22"/>
        </w:rPr>
        <w:sectPr>
          <w:headerReference w:type="default" r:id="rId5"/>
          <w:type w:val="continuous"/>
          <w:pgSz w:w="12240" w:h="15840"/>
          <w:pgMar w:header="749" w:top="920" w:bottom="280" w:left="840" w:right="940"/>
        </w:sectPr>
      </w:pPr>
    </w:p>
    <w:p>
      <w:pPr>
        <w:pStyle w:val="BodyText"/>
        <w:rPr>
          <w:b/>
          <w:sz w:val="20"/>
        </w:rPr>
      </w:pPr>
    </w:p>
    <w:p>
      <w:pPr>
        <w:pStyle w:val="BodyText"/>
        <w:rPr>
          <w:b/>
          <w:sz w:val="20"/>
        </w:rPr>
      </w:pPr>
    </w:p>
    <w:p>
      <w:pPr>
        <w:pStyle w:val="BodyText"/>
        <w:spacing w:before="11"/>
        <w:rPr>
          <w:b/>
          <w:sz w:val="17"/>
        </w:rPr>
      </w:pPr>
    </w:p>
    <w:p>
      <w:pPr>
        <w:spacing w:before="58"/>
        <w:ind w:left="118" w:right="0" w:firstLine="0"/>
        <w:jc w:val="both"/>
        <w:rPr>
          <w:sz w:val="32"/>
        </w:rPr>
      </w:pPr>
      <w:r>
        <w:rPr>
          <w:sz w:val="32"/>
        </w:rPr>
        <w:t>DEDICATORIAS.</w:t>
      </w:r>
    </w:p>
    <w:p>
      <w:pPr>
        <w:pStyle w:val="BodyText"/>
        <w:rPr>
          <w:sz w:val="32"/>
        </w:rPr>
      </w:pPr>
    </w:p>
    <w:p>
      <w:pPr>
        <w:pStyle w:val="BodyText"/>
        <w:spacing w:before="2"/>
        <w:rPr>
          <w:sz w:val="41"/>
        </w:rPr>
      </w:pPr>
    </w:p>
    <w:p>
      <w:pPr>
        <w:pStyle w:val="BodyText"/>
        <w:spacing w:line="360" w:lineRule="auto" w:before="1"/>
        <w:ind w:left="118" w:right="123"/>
        <w:jc w:val="both"/>
      </w:pPr>
      <w:r>
        <w:rPr/>
        <w:t>A</w:t>
      </w:r>
      <w:r>
        <w:rPr>
          <w:spacing w:val="-4"/>
        </w:rPr>
        <w:t> </w:t>
      </w:r>
      <w:r>
        <w:rPr/>
        <w:t>mis</w:t>
      </w:r>
      <w:r>
        <w:rPr>
          <w:spacing w:val="-5"/>
        </w:rPr>
        <w:t> </w:t>
      </w:r>
      <w:r>
        <w:rPr/>
        <w:t>padres</w:t>
      </w:r>
      <w:r>
        <w:rPr>
          <w:spacing w:val="-4"/>
        </w:rPr>
        <w:t> </w:t>
      </w:r>
      <w:r>
        <w:rPr/>
        <w:t>y</w:t>
      </w:r>
      <w:r>
        <w:rPr>
          <w:spacing w:val="-7"/>
        </w:rPr>
        <w:t> </w:t>
      </w:r>
      <w:r>
        <w:rPr/>
        <w:t>Hermano:</w:t>
      </w:r>
      <w:r>
        <w:rPr>
          <w:spacing w:val="-4"/>
        </w:rPr>
        <w:t> </w:t>
      </w:r>
      <w:r>
        <w:rPr/>
        <w:t>Carlos,</w:t>
      </w:r>
      <w:r>
        <w:rPr>
          <w:spacing w:val="-6"/>
        </w:rPr>
        <w:t> </w:t>
      </w:r>
      <w:r>
        <w:rPr/>
        <w:t>Graciela</w:t>
      </w:r>
      <w:r>
        <w:rPr>
          <w:spacing w:val="-4"/>
        </w:rPr>
        <w:t> </w:t>
      </w:r>
      <w:r>
        <w:rPr/>
        <w:t>y</w:t>
      </w:r>
      <w:r>
        <w:rPr>
          <w:spacing w:val="-7"/>
        </w:rPr>
        <w:t> </w:t>
      </w:r>
      <w:r>
        <w:rPr/>
        <w:t>Carlitos</w:t>
      </w:r>
      <w:r>
        <w:rPr>
          <w:spacing w:val="-4"/>
        </w:rPr>
        <w:t> </w:t>
      </w:r>
      <w:r>
        <w:rPr/>
        <w:t>por</w:t>
      </w:r>
      <w:r>
        <w:rPr>
          <w:spacing w:val="-5"/>
        </w:rPr>
        <w:t> </w:t>
      </w:r>
      <w:r>
        <w:rPr/>
        <w:t>su</w:t>
      </w:r>
      <w:r>
        <w:rPr>
          <w:spacing w:val="-4"/>
        </w:rPr>
        <w:t> </w:t>
      </w:r>
      <w:r>
        <w:rPr/>
        <w:t>tiempo,</w:t>
      </w:r>
      <w:r>
        <w:rPr>
          <w:spacing w:val="-6"/>
        </w:rPr>
        <w:t> </w:t>
      </w:r>
      <w:r>
        <w:rPr/>
        <w:t>confianza</w:t>
      </w:r>
      <w:r>
        <w:rPr>
          <w:spacing w:val="-4"/>
        </w:rPr>
        <w:t> </w:t>
      </w:r>
      <w:r>
        <w:rPr/>
        <w:t>y</w:t>
      </w:r>
      <w:r>
        <w:rPr>
          <w:spacing w:val="-7"/>
        </w:rPr>
        <w:t> </w:t>
      </w:r>
      <w:r>
        <w:rPr/>
        <w:t>apoyo a pesar de todas las adversidades, por ser el motor para seguir adelante en este camino de la vida, todo mi amor  hacia</w:t>
      </w:r>
      <w:r>
        <w:rPr>
          <w:spacing w:val="-14"/>
        </w:rPr>
        <w:t> </w:t>
      </w:r>
      <w:r>
        <w:rPr/>
        <w:t>ustedes.</w:t>
      </w:r>
    </w:p>
    <w:p>
      <w:pPr>
        <w:pStyle w:val="BodyText"/>
      </w:pPr>
    </w:p>
    <w:p>
      <w:pPr>
        <w:pStyle w:val="BodyText"/>
        <w:spacing w:before="9"/>
        <w:rPr>
          <w:sz w:val="32"/>
        </w:rPr>
      </w:pPr>
    </w:p>
    <w:p>
      <w:pPr>
        <w:pStyle w:val="BodyText"/>
        <w:spacing w:line="360" w:lineRule="auto"/>
        <w:ind w:left="118" w:right="117"/>
        <w:jc w:val="both"/>
      </w:pPr>
      <w:r>
        <w:rPr/>
        <w:t>A mis tíos; Oscar, Llella</w:t>
      </w:r>
      <w:r>
        <w:rPr>
          <w:position w:val="8"/>
          <w:sz w:val="16"/>
        </w:rPr>
        <w:t>+</w:t>
      </w:r>
      <w:r>
        <w:rPr/>
        <w:t>, Irma, Carmela, Minerva, Martha, Justino y toda mi familia aunque menos pero aquí seguimos juntos en las buenas y en las malas gracias por todo su apoyo, sigamos adelante, vista al frente y pasó de triunfadores.</w:t>
      </w:r>
    </w:p>
    <w:p>
      <w:pPr>
        <w:pStyle w:val="BodyText"/>
      </w:pPr>
    </w:p>
    <w:p>
      <w:pPr>
        <w:pStyle w:val="BodyText"/>
        <w:spacing w:before="2"/>
        <w:rPr>
          <w:sz w:val="33"/>
        </w:rPr>
      </w:pPr>
    </w:p>
    <w:p>
      <w:pPr>
        <w:pStyle w:val="BodyText"/>
        <w:spacing w:line="360" w:lineRule="auto"/>
        <w:ind w:left="118" w:right="128"/>
        <w:jc w:val="both"/>
      </w:pPr>
      <w:r>
        <w:rPr/>
        <w:t>A mis pacientes, amigos y todas aquellas personas que me apoyaron siempre y en todo momento, siempre les estaré inmensamente agradecida.</w:t>
      </w:r>
    </w:p>
    <w:p>
      <w:pPr>
        <w:pStyle w:val="BodyText"/>
      </w:pPr>
    </w:p>
    <w:p>
      <w:pPr>
        <w:pStyle w:val="BodyText"/>
        <w:spacing w:before="2"/>
        <w:rPr>
          <w:sz w:val="33"/>
        </w:rPr>
      </w:pPr>
    </w:p>
    <w:p>
      <w:pPr>
        <w:pStyle w:val="BodyText"/>
        <w:spacing w:line="360" w:lineRule="auto"/>
        <w:ind w:left="118" w:right="127"/>
        <w:jc w:val="both"/>
      </w:pPr>
      <w:r>
        <w:rPr/>
        <w:t>A los pequeños hermanos que siempre están brindando su cariño y ternura, son una gran parte de mi vida.</w:t>
      </w:r>
    </w:p>
    <w:p>
      <w:pPr>
        <w:pStyle w:val="BodyText"/>
      </w:pPr>
    </w:p>
    <w:p>
      <w:pPr>
        <w:pStyle w:val="BodyText"/>
        <w:spacing w:before="2"/>
        <w:rPr>
          <w:sz w:val="33"/>
        </w:rPr>
      </w:pPr>
    </w:p>
    <w:p>
      <w:pPr>
        <w:pStyle w:val="BodyText"/>
        <w:spacing w:line="276" w:lineRule="auto"/>
        <w:ind w:left="118" w:right="116"/>
        <w:jc w:val="both"/>
      </w:pPr>
      <w:r>
        <w:rPr/>
        <w:t>A todos los docentes de la especialidad en endodoncia cada uno de ellos aporto un granito en mi formación academica, en especial a la Dra Brissa Jimenez y Dr.Pablo Xilotl gracias por su confianza.</w:t>
      </w:r>
    </w:p>
    <w:p>
      <w:pPr>
        <w:spacing w:after="0" w:line="276" w:lineRule="auto"/>
        <w:jc w:val="both"/>
        <w:sectPr>
          <w:pgSz w:w="12240" w:h="15840"/>
          <w:pgMar w:header="749" w:footer="0" w:top="960" w:bottom="280" w:left="1300" w:right="1580"/>
        </w:sectPr>
      </w:pPr>
    </w:p>
    <w:p>
      <w:pPr>
        <w:pStyle w:val="BodyText"/>
        <w:rPr>
          <w:sz w:val="20"/>
        </w:rPr>
      </w:pPr>
    </w:p>
    <w:p>
      <w:pPr>
        <w:pStyle w:val="BodyText"/>
        <w:rPr>
          <w:sz w:val="20"/>
        </w:rPr>
      </w:pPr>
    </w:p>
    <w:p>
      <w:pPr>
        <w:pStyle w:val="BodyText"/>
        <w:spacing w:before="11"/>
        <w:rPr>
          <w:sz w:val="16"/>
        </w:rPr>
      </w:pPr>
    </w:p>
    <w:p>
      <w:pPr>
        <w:spacing w:before="72"/>
        <w:ind w:left="4365" w:right="4149" w:firstLine="0"/>
        <w:jc w:val="center"/>
        <w:rPr>
          <w:b/>
          <w:sz w:val="22"/>
        </w:rPr>
      </w:pPr>
      <w:r>
        <w:rPr>
          <w:b/>
          <w:sz w:val="22"/>
        </w:rPr>
        <w:t>ÍNDICE</w:t>
      </w:r>
    </w:p>
    <w:p>
      <w:pPr>
        <w:pStyle w:val="BodyText"/>
        <w:rPr>
          <w:b/>
          <w:sz w:val="20"/>
        </w:rPr>
      </w:pPr>
    </w:p>
    <w:p>
      <w:pPr>
        <w:pStyle w:val="BodyText"/>
        <w:rPr>
          <w:b/>
          <w:sz w:val="20"/>
        </w:rPr>
      </w:pPr>
    </w:p>
    <w:p>
      <w:pPr>
        <w:pStyle w:val="BodyText"/>
        <w:rPr>
          <w:b/>
          <w:sz w:val="20"/>
        </w:rPr>
      </w:pPr>
    </w:p>
    <w:p>
      <w:pPr>
        <w:pStyle w:val="BodyText"/>
        <w:spacing w:before="2"/>
        <w:rPr>
          <w:b/>
          <w:sz w:val="22"/>
        </w:rPr>
      </w:pPr>
    </w:p>
    <w:tbl>
      <w:tblPr>
        <w:tblW w:w="0" w:type="auto"/>
        <w:jc w:val="left"/>
        <w:tblInd w:w="111"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7680"/>
        <w:gridCol w:w="651"/>
      </w:tblGrid>
      <w:tr>
        <w:trPr>
          <w:trHeight w:val="317" w:hRule="exact"/>
        </w:trPr>
        <w:tc>
          <w:tcPr>
            <w:tcW w:w="7680" w:type="dxa"/>
          </w:tcPr>
          <w:p>
            <w:pPr>
              <w:pStyle w:val="TableParagraph"/>
              <w:spacing w:line="226" w:lineRule="exact"/>
              <w:rPr>
                <w:sz w:val="22"/>
              </w:rPr>
            </w:pPr>
            <w:r>
              <w:rPr>
                <w:sz w:val="22"/>
              </w:rPr>
              <w:t>Contenido</w:t>
            </w:r>
          </w:p>
        </w:tc>
        <w:tc>
          <w:tcPr>
            <w:tcW w:w="651" w:type="dxa"/>
          </w:tcPr>
          <w:p>
            <w:pPr/>
          </w:p>
        </w:tc>
      </w:tr>
      <w:tr>
        <w:trPr>
          <w:trHeight w:val="421" w:hRule="exact"/>
        </w:trPr>
        <w:tc>
          <w:tcPr>
            <w:tcW w:w="7680" w:type="dxa"/>
          </w:tcPr>
          <w:p>
            <w:pPr>
              <w:pStyle w:val="TableParagraph"/>
              <w:spacing w:before="68"/>
              <w:rPr>
                <w:sz w:val="22"/>
              </w:rPr>
            </w:pPr>
            <w:r>
              <w:rPr>
                <w:sz w:val="22"/>
              </w:rPr>
              <w:t>1. Introducción</w:t>
            </w:r>
          </w:p>
        </w:tc>
        <w:tc>
          <w:tcPr>
            <w:tcW w:w="651" w:type="dxa"/>
          </w:tcPr>
          <w:p>
            <w:pPr>
              <w:pStyle w:val="TableParagraph"/>
              <w:spacing w:before="68"/>
              <w:ind w:left="225"/>
              <w:rPr>
                <w:rFonts w:ascii="Calibri"/>
                <w:sz w:val="22"/>
              </w:rPr>
            </w:pPr>
            <w:r>
              <w:rPr>
                <w:rFonts w:ascii="Calibri"/>
                <w:w w:val="100"/>
                <w:sz w:val="22"/>
              </w:rPr>
              <w:t>1</w:t>
            </w:r>
          </w:p>
        </w:tc>
      </w:tr>
      <w:tr>
        <w:trPr>
          <w:trHeight w:val="415" w:hRule="exact"/>
        </w:trPr>
        <w:tc>
          <w:tcPr>
            <w:tcW w:w="7680" w:type="dxa"/>
          </w:tcPr>
          <w:p>
            <w:pPr>
              <w:pStyle w:val="TableParagraph"/>
              <w:spacing w:before="60"/>
              <w:rPr>
                <w:sz w:val="22"/>
              </w:rPr>
            </w:pPr>
            <w:r>
              <w:rPr>
                <w:sz w:val="22"/>
              </w:rPr>
              <w:t>2 Antecedentes</w:t>
            </w:r>
          </w:p>
        </w:tc>
        <w:tc>
          <w:tcPr>
            <w:tcW w:w="651" w:type="dxa"/>
          </w:tcPr>
          <w:p>
            <w:pPr>
              <w:pStyle w:val="TableParagraph"/>
              <w:spacing w:before="60"/>
              <w:ind w:left="225"/>
              <w:rPr>
                <w:rFonts w:ascii="Calibri"/>
                <w:sz w:val="22"/>
              </w:rPr>
            </w:pPr>
            <w:r>
              <w:rPr>
                <w:rFonts w:ascii="Calibri"/>
                <w:w w:val="100"/>
                <w:sz w:val="22"/>
              </w:rPr>
              <w:t>3</w:t>
            </w:r>
          </w:p>
        </w:tc>
      </w:tr>
      <w:tr>
        <w:trPr>
          <w:trHeight w:val="421" w:hRule="exact"/>
        </w:trPr>
        <w:tc>
          <w:tcPr>
            <w:tcW w:w="7680" w:type="dxa"/>
          </w:tcPr>
          <w:p>
            <w:pPr>
              <w:pStyle w:val="TableParagraph"/>
              <w:spacing w:before="59"/>
              <w:rPr>
                <w:sz w:val="24"/>
              </w:rPr>
            </w:pPr>
            <w:r>
              <w:rPr>
                <w:sz w:val="24"/>
              </w:rPr>
              <w:t>2.1Características  de  la Epilepsia</w:t>
            </w:r>
          </w:p>
        </w:tc>
        <w:tc>
          <w:tcPr>
            <w:tcW w:w="651" w:type="dxa"/>
          </w:tcPr>
          <w:p>
            <w:pPr>
              <w:pStyle w:val="TableParagraph"/>
              <w:spacing w:before="58"/>
              <w:ind w:left="225"/>
              <w:rPr>
                <w:rFonts w:ascii="Calibri"/>
                <w:sz w:val="22"/>
              </w:rPr>
            </w:pPr>
            <w:r>
              <w:rPr>
                <w:rFonts w:ascii="Calibri"/>
                <w:w w:val="100"/>
                <w:sz w:val="22"/>
              </w:rPr>
              <w:t>3</w:t>
            </w:r>
          </w:p>
        </w:tc>
      </w:tr>
      <w:tr>
        <w:trPr>
          <w:trHeight w:val="424" w:hRule="exact"/>
        </w:trPr>
        <w:tc>
          <w:tcPr>
            <w:tcW w:w="7680" w:type="dxa"/>
          </w:tcPr>
          <w:p>
            <w:pPr>
              <w:pStyle w:val="TableParagraph"/>
              <w:spacing w:before="60"/>
              <w:rPr>
                <w:sz w:val="24"/>
              </w:rPr>
            </w:pPr>
            <w:r>
              <w:rPr>
                <w:sz w:val="24"/>
              </w:rPr>
              <w:t>2.1.1 Definición</w:t>
            </w:r>
          </w:p>
        </w:tc>
        <w:tc>
          <w:tcPr>
            <w:tcW w:w="651" w:type="dxa"/>
          </w:tcPr>
          <w:p>
            <w:pPr>
              <w:pStyle w:val="TableParagraph"/>
              <w:spacing w:before="59"/>
              <w:ind w:left="225"/>
              <w:rPr>
                <w:rFonts w:ascii="Calibri"/>
                <w:sz w:val="22"/>
              </w:rPr>
            </w:pPr>
            <w:r>
              <w:rPr>
                <w:rFonts w:ascii="Calibri"/>
                <w:w w:val="100"/>
                <w:sz w:val="22"/>
              </w:rPr>
              <w:t>3</w:t>
            </w:r>
          </w:p>
        </w:tc>
      </w:tr>
      <w:tr>
        <w:trPr>
          <w:trHeight w:val="425" w:hRule="exact"/>
        </w:trPr>
        <w:tc>
          <w:tcPr>
            <w:tcW w:w="7680" w:type="dxa"/>
          </w:tcPr>
          <w:p>
            <w:pPr>
              <w:pStyle w:val="TableParagraph"/>
              <w:spacing w:before="61"/>
              <w:rPr>
                <w:sz w:val="24"/>
              </w:rPr>
            </w:pPr>
            <w:r>
              <w:rPr>
                <w:sz w:val="24"/>
              </w:rPr>
              <w:t>2.1.2 Manifestaciones Clínicas</w:t>
            </w:r>
          </w:p>
        </w:tc>
        <w:tc>
          <w:tcPr>
            <w:tcW w:w="651" w:type="dxa"/>
          </w:tcPr>
          <w:p>
            <w:pPr>
              <w:pStyle w:val="TableParagraph"/>
              <w:spacing w:before="60"/>
              <w:ind w:left="225"/>
              <w:rPr>
                <w:rFonts w:ascii="Calibri"/>
                <w:sz w:val="22"/>
              </w:rPr>
            </w:pPr>
            <w:r>
              <w:rPr>
                <w:rFonts w:ascii="Calibri"/>
                <w:w w:val="100"/>
                <w:sz w:val="22"/>
              </w:rPr>
              <w:t>4</w:t>
            </w:r>
          </w:p>
        </w:tc>
      </w:tr>
      <w:tr>
        <w:trPr>
          <w:trHeight w:val="424" w:hRule="exact"/>
        </w:trPr>
        <w:tc>
          <w:tcPr>
            <w:tcW w:w="7680" w:type="dxa"/>
          </w:tcPr>
          <w:p>
            <w:pPr>
              <w:pStyle w:val="TableParagraph"/>
              <w:spacing w:before="62"/>
              <w:rPr>
                <w:sz w:val="24"/>
              </w:rPr>
            </w:pPr>
            <w:r>
              <w:rPr>
                <w:sz w:val="24"/>
              </w:rPr>
              <w:t>2.1.3 Epidemiologia de la epilepsia</w:t>
            </w:r>
          </w:p>
        </w:tc>
        <w:tc>
          <w:tcPr>
            <w:tcW w:w="651" w:type="dxa"/>
          </w:tcPr>
          <w:p>
            <w:pPr>
              <w:pStyle w:val="TableParagraph"/>
              <w:spacing w:before="61"/>
              <w:ind w:left="225"/>
              <w:rPr>
                <w:rFonts w:ascii="Calibri"/>
                <w:sz w:val="22"/>
              </w:rPr>
            </w:pPr>
            <w:r>
              <w:rPr>
                <w:rFonts w:ascii="Calibri"/>
                <w:w w:val="100"/>
                <w:sz w:val="22"/>
              </w:rPr>
              <w:t>5</w:t>
            </w:r>
          </w:p>
        </w:tc>
      </w:tr>
      <w:tr>
        <w:trPr>
          <w:trHeight w:val="424" w:hRule="exact"/>
        </w:trPr>
        <w:tc>
          <w:tcPr>
            <w:tcW w:w="7680" w:type="dxa"/>
          </w:tcPr>
          <w:p>
            <w:pPr>
              <w:pStyle w:val="TableParagraph"/>
              <w:spacing w:before="60"/>
              <w:rPr>
                <w:sz w:val="24"/>
              </w:rPr>
            </w:pPr>
            <w:r>
              <w:rPr>
                <w:sz w:val="24"/>
              </w:rPr>
              <w:t>2.1.4 Etiología y Patogenia</w:t>
            </w:r>
          </w:p>
        </w:tc>
        <w:tc>
          <w:tcPr>
            <w:tcW w:w="651" w:type="dxa"/>
          </w:tcPr>
          <w:p>
            <w:pPr>
              <w:pStyle w:val="TableParagraph"/>
              <w:spacing w:before="59"/>
              <w:ind w:left="225"/>
              <w:rPr>
                <w:rFonts w:ascii="Calibri"/>
                <w:sz w:val="22"/>
              </w:rPr>
            </w:pPr>
            <w:r>
              <w:rPr>
                <w:rFonts w:ascii="Calibri"/>
                <w:w w:val="100"/>
                <w:sz w:val="22"/>
              </w:rPr>
              <w:t>6</w:t>
            </w:r>
          </w:p>
        </w:tc>
      </w:tr>
      <w:tr>
        <w:trPr>
          <w:trHeight w:val="425" w:hRule="exact"/>
        </w:trPr>
        <w:tc>
          <w:tcPr>
            <w:tcW w:w="7680" w:type="dxa"/>
          </w:tcPr>
          <w:p>
            <w:pPr>
              <w:pStyle w:val="TableParagraph"/>
              <w:spacing w:before="61"/>
              <w:rPr>
                <w:sz w:val="24"/>
              </w:rPr>
            </w:pPr>
            <w:r>
              <w:rPr>
                <w:sz w:val="22"/>
              </w:rPr>
              <w:t>2.1.5 </w:t>
            </w:r>
            <w:r>
              <w:rPr>
                <w:sz w:val="24"/>
              </w:rPr>
              <w:t>Clasificación.</w:t>
            </w:r>
          </w:p>
        </w:tc>
        <w:tc>
          <w:tcPr>
            <w:tcW w:w="651" w:type="dxa"/>
          </w:tcPr>
          <w:p>
            <w:pPr>
              <w:pStyle w:val="TableParagraph"/>
              <w:spacing w:before="60"/>
              <w:ind w:left="225"/>
              <w:rPr>
                <w:rFonts w:ascii="Calibri"/>
                <w:sz w:val="22"/>
              </w:rPr>
            </w:pPr>
            <w:r>
              <w:rPr>
                <w:rFonts w:ascii="Calibri"/>
                <w:w w:val="100"/>
                <w:sz w:val="22"/>
              </w:rPr>
              <w:t>7</w:t>
            </w:r>
          </w:p>
        </w:tc>
      </w:tr>
      <w:tr>
        <w:trPr>
          <w:trHeight w:val="424" w:hRule="exact"/>
        </w:trPr>
        <w:tc>
          <w:tcPr>
            <w:tcW w:w="7680" w:type="dxa"/>
          </w:tcPr>
          <w:p>
            <w:pPr>
              <w:pStyle w:val="TableParagraph"/>
              <w:spacing w:before="61"/>
              <w:rPr>
                <w:sz w:val="24"/>
              </w:rPr>
            </w:pPr>
            <w:r>
              <w:rPr>
                <w:sz w:val="24"/>
              </w:rPr>
              <w:t>2.1.5.1Convulsiones parciales</w:t>
            </w:r>
          </w:p>
        </w:tc>
        <w:tc>
          <w:tcPr>
            <w:tcW w:w="651" w:type="dxa"/>
          </w:tcPr>
          <w:p>
            <w:pPr>
              <w:pStyle w:val="TableParagraph"/>
              <w:spacing w:before="60"/>
              <w:ind w:left="225"/>
              <w:rPr>
                <w:rFonts w:ascii="Calibri"/>
                <w:sz w:val="22"/>
              </w:rPr>
            </w:pPr>
            <w:r>
              <w:rPr>
                <w:rFonts w:ascii="Calibri"/>
                <w:sz w:val="22"/>
              </w:rPr>
              <w:t>10</w:t>
            </w:r>
          </w:p>
        </w:tc>
      </w:tr>
      <w:tr>
        <w:trPr>
          <w:trHeight w:val="424" w:hRule="exact"/>
        </w:trPr>
        <w:tc>
          <w:tcPr>
            <w:tcW w:w="7680" w:type="dxa"/>
          </w:tcPr>
          <w:p>
            <w:pPr>
              <w:pStyle w:val="TableParagraph"/>
              <w:spacing w:before="60"/>
              <w:rPr>
                <w:sz w:val="24"/>
              </w:rPr>
            </w:pPr>
            <w:r>
              <w:rPr>
                <w:sz w:val="24"/>
              </w:rPr>
              <w:t>2.1.5.2 Convulsiones generalizadas</w:t>
            </w:r>
          </w:p>
        </w:tc>
        <w:tc>
          <w:tcPr>
            <w:tcW w:w="651" w:type="dxa"/>
          </w:tcPr>
          <w:p>
            <w:pPr>
              <w:pStyle w:val="TableParagraph"/>
              <w:spacing w:before="59"/>
              <w:ind w:left="225"/>
              <w:rPr>
                <w:rFonts w:ascii="Calibri"/>
                <w:sz w:val="22"/>
              </w:rPr>
            </w:pPr>
            <w:r>
              <w:rPr>
                <w:rFonts w:ascii="Calibri"/>
                <w:sz w:val="22"/>
              </w:rPr>
              <w:t>11</w:t>
            </w:r>
          </w:p>
        </w:tc>
      </w:tr>
      <w:tr>
        <w:trPr>
          <w:trHeight w:val="425" w:hRule="exact"/>
        </w:trPr>
        <w:tc>
          <w:tcPr>
            <w:tcW w:w="7680" w:type="dxa"/>
          </w:tcPr>
          <w:p>
            <w:pPr>
              <w:pStyle w:val="TableParagraph"/>
              <w:spacing w:before="61"/>
              <w:rPr>
                <w:sz w:val="24"/>
              </w:rPr>
            </w:pPr>
            <w:r>
              <w:rPr>
                <w:sz w:val="24"/>
              </w:rPr>
              <w:t>2.1.6 Bases fisiopatológicas de la epilepsia.</w:t>
            </w:r>
          </w:p>
        </w:tc>
        <w:tc>
          <w:tcPr>
            <w:tcW w:w="651" w:type="dxa"/>
          </w:tcPr>
          <w:p>
            <w:pPr>
              <w:pStyle w:val="TableParagraph"/>
              <w:spacing w:before="60"/>
              <w:ind w:left="225"/>
              <w:rPr>
                <w:rFonts w:ascii="Calibri"/>
                <w:sz w:val="22"/>
              </w:rPr>
            </w:pPr>
            <w:r>
              <w:rPr>
                <w:rFonts w:ascii="Calibri"/>
                <w:sz w:val="22"/>
              </w:rPr>
              <w:t>14</w:t>
            </w:r>
          </w:p>
        </w:tc>
      </w:tr>
      <w:tr>
        <w:trPr>
          <w:trHeight w:val="424" w:hRule="exact"/>
        </w:trPr>
        <w:tc>
          <w:tcPr>
            <w:tcW w:w="7680" w:type="dxa"/>
          </w:tcPr>
          <w:p>
            <w:pPr>
              <w:pStyle w:val="TableParagraph"/>
              <w:spacing w:before="61"/>
              <w:rPr>
                <w:sz w:val="24"/>
              </w:rPr>
            </w:pPr>
            <w:r>
              <w:rPr>
                <w:sz w:val="24"/>
              </w:rPr>
              <w:t>2.1.6.1 Inicio de la actividad epiléptica.</w:t>
            </w:r>
          </w:p>
        </w:tc>
        <w:tc>
          <w:tcPr>
            <w:tcW w:w="651" w:type="dxa"/>
          </w:tcPr>
          <w:p>
            <w:pPr>
              <w:pStyle w:val="TableParagraph"/>
              <w:spacing w:before="60"/>
              <w:ind w:left="225"/>
              <w:rPr>
                <w:rFonts w:ascii="Calibri"/>
                <w:sz w:val="22"/>
              </w:rPr>
            </w:pPr>
            <w:r>
              <w:rPr>
                <w:rFonts w:ascii="Calibri"/>
                <w:sz w:val="22"/>
              </w:rPr>
              <w:t>14</w:t>
            </w:r>
          </w:p>
        </w:tc>
      </w:tr>
      <w:tr>
        <w:trPr>
          <w:trHeight w:val="424" w:hRule="exact"/>
        </w:trPr>
        <w:tc>
          <w:tcPr>
            <w:tcW w:w="7680" w:type="dxa"/>
          </w:tcPr>
          <w:p>
            <w:pPr>
              <w:pStyle w:val="TableParagraph"/>
              <w:spacing w:before="60"/>
              <w:rPr>
                <w:sz w:val="24"/>
              </w:rPr>
            </w:pPr>
            <w:r>
              <w:rPr>
                <w:sz w:val="24"/>
              </w:rPr>
              <w:t>2.1.6.2 Sincronización de la descarga.</w:t>
            </w:r>
          </w:p>
        </w:tc>
        <w:tc>
          <w:tcPr>
            <w:tcW w:w="651" w:type="dxa"/>
          </w:tcPr>
          <w:p>
            <w:pPr>
              <w:pStyle w:val="TableParagraph"/>
              <w:spacing w:before="59"/>
              <w:ind w:left="225"/>
              <w:rPr>
                <w:rFonts w:ascii="Calibri"/>
                <w:sz w:val="22"/>
              </w:rPr>
            </w:pPr>
            <w:r>
              <w:rPr>
                <w:rFonts w:ascii="Calibri"/>
                <w:sz w:val="22"/>
              </w:rPr>
              <w:t>15</w:t>
            </w:r>
          </w:p>
        </w:tc>
      </w:tr>
      <w:tr>
        <w:trPr>
          <w:trHeight w:val="425" w:hRule="exact"/>
        </w:trPr>
        <w:tc>
          <w:tcPr>
            <w:tcW w:w="7680" w:type="dxa"/>
          </w:tcPr>
          <w:p>
            <w:pPr>
              <w:pStyle w:val="TableParagraph"/>
              <w:spacing w:before="62"/>
              <w:rPr>
                <w:sz w:val="24"/>
              </w:rPr>
            </w:pPr>
            <w:r>
              <w:rPr>
                <w:sz w:val="24"/>
              </w:rPr>
              <w:t>2.1.6.3 Propagación de la descarga.</w:t>
            </w:r>
          </w:p>
        </w:tc>
        <w:tc>
          <w:tcPr>
            <w:tcW w:w="651" w:type="dxa"/>
          </w:tcPr>
          <w:p>
            <w:pPr>
              <w:pStyle w:val="TableParagraph"/>
              <w:spacing w:before="61"/>
              <w:ind w:left="225"/>
              <w:rPr>
                <w:rFonts w:ascii="Calibri"/>
                <w:sz w:val="22"/>
              </w:rPr>
            </w:pPr>
            <w:r>
              <w:rPr>
                <w:rFonts w:ascii="Calibri"/>
                <w:sz w:val="22"/>
              </w:rPr>
              <w:t>16</w:t>
            </w:r>
          </w:p>
        </w:tc>
      </w:tr>
      <w:tr>
        <w:trPr>
          <w:trHeight w:val="424" w:hRule="exact"/>
        </w:trPr>
        <w:tc>
          <w:tcPr>
            <w:tcW w:w="7680" w:type="dxa"/>
          </w:tcPr>
          <w:p>
            <w:pPr>
              <w:pStyle w:val="TableParagraph"/>
              <w:spacing w:before="61"/>
              <w:rPr>
                <w:sz w:val="24"/>
              </w:rPr>
            </w:pPr>
            <w:r>
              <w:rPr>
                <w:sz w:val="24"/>
              </w:rPr>
              <w:t>2.1.7 Diagnóstico.</w:t>
            </w:r>
          </w:p>
        </w:tc>
        <w:tc>
          <w:tcPr>
            <w:tcW w:w="651" w:type="dxa"/>
          </w:tcPr>
          <w:p>
            <w:pPr>
              <w:pStyle w:val="TableParagraph"/>
              <w:spacing w:before="60"/>
              <w:ind w:left="225"/>
              <w:rPr>
                <w:rFonts w:ascii="Calibri"/>
                <w:sz w:val="22"/>
              </w:rPr>
            </w:pPr>
            <w:r>
              <w:rPr>
                <w:rFonts w:ascii="Calibri"/>
                <w:sz w:val="22"/>
              </w:rPr>
              <w:t>17</w:t>
            </w:r>
          </w:p>
        </w:tc>
      </w:tr>
      <w:tr>
        <w:trPr>
          <w:trHeight w:val="424" w:hRule="exact"/>
        </w:trPr>
        <w:tc>
          <w:tcPr>
            <w:tcW w:w="7680" w:type="dxa"/>
          </w:tcPr>
          <w:p>
            <w:pPr>
              <w:pStyle w:val="TableParagraph"/>
              <w:spacing w:before="60"/>
              <w:rPr>
                <w:sz w:val="24"/>
              </w:rPr>
            </w:pPr>
            <w:r>
              <w:rPr>
                <w:sz w:val="24"/>
              </w:rPr>
              <w:t>2.1.8 Tratamiento Farmacológico de la epilepsia.</w:t>
            </w:r>
          </w:p>
        </w:tc>
        <w:tc>
          <w:tcPr>
            <w:tcW w:w="651" w:type="dxa"/>
          </w:tcPr>
          <w:p>
            <w:pPr>
              <w:pStyle w:val="TableParagraph"/>
              <w:spacing w:before="59"/>
              <w:ind w:left="225"/>
              <w:rPr>
                <w:rFonts w:ascii="Calibri"/>
                <w:sz w:val="22"/>
              </w:rPr>
            </w:pPr>
            <w:r>
              <w:rPr>
                <w:rFonts w:ascii="Calibri"/>
                <w:sz w:val="22"/>
              </w:rPr>
              <w:t>19</w:t>
            </w:r>
          </w:p>
        </w:tc>
      </w:tr>
      <w:tr>
        <w:trPr>
          <w:trHeight w:val="425" w:hRule="exact"/>
        </w:trPr>
        <w:tc>
          <w:tcPr>
            <w:tcW w:w="7680" w:type="dxa"/>
          </w:tcPr>
          <w:p>
            <w:pPr>
              <w:pStyle w:val="TableParagraph"/>
              <w:spacing w:before="61"/>
              <w:rPr>
                <w:sz w:val="24"/>
              </w:rPr>
            </w:pPr>
            <w:r>
              <w:rPr>
                <w:sz w:val="24"/>
              </w:rPr>
              <w:t>2.2 Relación Endodóntica con la Epilepsia.</w:t>
            </w:r>
          </w:p>
        </w:tc>
        <w:tc>
          <w:tcPr>
            <w:tcW w:w="651" w:type="dxa"/>
          </w:tcPr>
          <w:p>
            <w:pPr>
              <w:pStyle w:val="TableParagraph"/>
              <w:spacing w:before="60"/>
              <w:ind w:left="225"/>
              <w:rPr>
                <w:rFonts w:ascii="Calibri"/>
                <w:sz w:val="22"/>
              </w:rPr>
            </w:pPr>
            <w:r>
              <w:rPr>
                <w:rFonts w:ascii="Calibri"/>
                <w:sz w:val="22"/>
              </w:rPr>
              <w:t>22</w:t>
            </w:r>
          </w:p>
        </w:tc>
      </w:tr>
      <w:tr>
        <w:trPr>
          <w:trHeight w:val="424" w:hRule="exact"/>
        </w:trPr>
        <w:tc>
          <w:tcPr>
            <w:tcW w:w="7680" w:type="dxa"/>
          </w:tcPr>
          <w:p>
            <w:pPr>
              <w:pStyle w:val="TableParagraph"/>
              <w:spacing w:before="61"/>
              <w:rPr>
                <w:sz w:val="24"/>
              </w:rPr>
            </w:pPr>
            <w:r>
              <w:rPr>
                <w:sz w:val="24"/>
              </w:rPr>
              <w:t>2.2.1 Endodoncia</w:t>
            </w:r>
          </w:p>
        </w:tc>
        <w:tc>
          <w:tcPr>
            <w:tcW w:w="651" w:type="dxa"/>
          </w:tcPr>
          <w:p>
            <w:pPr>
              <w:pStyle w:val="TableParagraph"/>
              <w:spacing w:before="60"/>
              <w:ind w:left="225"/>
              <w:rPr>
                <w:rFonts w:ascii="Calibri"/>
                <w:sz w:val="22"/>
              </w:rPr>
            </w:pPr>
            <w:r>
              <w:rPr>
                <w:rFonts w:ascii="Calibri"/>
                <w:sz w:val="22"/>
              </w:rPr>
              <w:t>22</w:t>
            </w:r>
          </w:p>
        </w:tc>
      </w:tr>
      <w:tr>
        <w:trPr>
          <w:trHeight w:val="424" w:hRule="exact"/>
        </w:trPr>
        <w:tc>
          <w:tcPr>
            <w:tcW w:w="7680" w:type="dxa"/>
          </w:tcPr>
          <w:p>
            <w:pPr>
              <w:pStyle w:val="TableParagraph"/>
              <w:spacing w:before="60"/>
              <w:rPr>
                <w:sz w:val="24"/>
              </w:rPr>
            </w:pPr>
            <w:r>
              <w:rPr>
                <w:sz w:val="24"/>
              </w:rPr>
              <w:t>2.2.2 Afecciones bucales del paciente epiléptico.</w:t>
            </w:r>
          </w:p>
        </w:tc>
        <w:tc>
          <w:tcPr>
            <w:tcW w:w="651" w:type="dxa"/>
          </w:tcPr>
          <w:p>
            <w:pPr>
              <w:pStyle w:val="TableParagraph"/>
              <w:spacing w:before="59"/>
              <w:ind w:left="225"/>
              <w:rPr>
                <w:rFonts w:ascii="Calibri"/>
                <w:sz w:val="22"/>
              </w:rPr>
            </w:pPr>
            <w:r>
              <w:rPr>
                <w:rFonts w:ascii="Calibri"/>
                <w:sz w:val="22"/>
              </w:rPr>
              <w:t>23</w:t>
            </w:r>
          </w:p>
        </w:tc>
      </w:tr>
      <w:tr>
        <w:trPr>
          <w:trHeight w:val="425" w:hRule="exact"/>
        </w:trPr>
        <w:tc>
          <w:tcPr>
            <w:tcW w:w="7680" w:type="dxa"/>
          </w:tcPr>
          <w:p>
            <w:pPr>
              <w:pStyle w:val="TableParagraph"/>
              <w:spacing w:before="61"/>
              <w:rPr>
                <w:sz w:val="24"/>
              </w:rPr>
            </w:pPr>
            <w:r>
              <w:rPr>
                <w:sz w:val="24"/>
              </w:rPr>
              <w:t>2.2.3 Caries Dental y efectos sobre la pulpa.</w:t>
            </w:r>
          </w:p>
        </w:tc>
        <w:tc>
          <w:tcPr>
            <w:tcW w:w="651" w:type="dxa"/>
          </w:tcPr>
          <w:p>
            <w:pPr>
              <w:pStyle w:val="TableParagraph"/>
              <w:spacing w:before="60"/>
              <w:ind w:left="225"/>
              <w:rPr>
                <w:rFonts w:ascii="Calibri"/>
                <w:sz w:val="22"/>
              </w:rPr>
            </w:pPr>
            <w:r>
              <w:rPr>
                <w:rFonts w:ascii="Calibri"/>
                <w:sz w:val="22"/>
              </w:rPr>
              <w:t>23</w:t>
            </w:r>
          </w:p>
        </w:tc>
      </w:tr>
      <w:tr>
        <w:trPr>
          <w:trHeight w:val="424" w:hRule="exact"/>
        </w:trPr>
        <w:tc>
          <w:tcPr>
            <w:tcW w:w="7680" w:type="dxa"/>
          </w:tcPr>
          <w:p>
            <w:pPr>
              <w:pStyle w:val="TableParagraph"/>
              <w:spacing w:before="61"/>
              <w:rPr>
                <w:sz w:val="24"/>
              </w:rPr>
            </w:pPr>
            <w:r>
              <w:rPr>
                <w:sz w:val="24"/>
              </w:rPr>
              <w:t>2.2.4 Lesiones endoperiodontales.</w:t>
            </w:r>
          </w:p>
        </w:tc>
        <w:tc>
          <w:tcPr>
            <w:tcW w:w="651" w:type="dxa"/>
          </w:tcPr>
          <w:p>
            <w:pPr>
              <w:pStyle w:val="TableParagraph"/>
              <w:spacing w:before="60"/>
              <w:ind w:left="225"/>
              <w:rPr>
                <w:rFonts w:ascii="Calibri"/>
                <w:sz w:val="22"/>
              </w:rPr>
            </w:pPr>
            <w:r>
              <w:rPr>
                <w:rFonts w:ascii="Calibri"/>
                <w:sz w:val="22"/>
              </w:rPr>
              <w:t>25</w:t>
            </w:r>
          </w:p>
        </w:tc>
      </w:tr>
      <w:tr>
        <w:trPr>
          <w:trHeight w:val="424" w:hRule="exact"/>
        </w:trPr>
        <w:tc>
          <w:tcPr>
            <w:tcW w:w="7680" w:type="dxa"/>
          </w:tcPr>
          <w:p>
            <w:pPr>
              <w:pStyle w:val="TableParagraph"/>
              <w:spacing w:before="61"/>
              <w:rPr>
                <w:sz w:val="24"/>
              </w:rPr>
            </w:pPr>
            <w:r>
              <w:rPr>
                <w:sz w:val="24"/>
              </w:rPr>
              <w:t>2.2.4.1Lesiones endodónticas.</w:t>
            </w:r>
          </w:p>
        </w:tc>
        <w:tc>
          <w:tcPr>
            <w:tcW w:w="651" w:type="dxa"/>
          </w:tcPr>
          <w:p>
            <w:pPr>
              <w:pStyle w:val="TableParagraph"/>
              <w:spacing w:before="59"/>
              <w:ind w:left="225"/>
              <w:rPr>
                <w:rFonts w:ascii="Calibri"/>
                <w:sz w:val="22"/>
              </w:rPr>
            </w:pPr>
            <w:r>
              <w:rPr>
                <w:rFonts w:ascii="Calibri"/>
                <w:sz w:val="22"/>
              </w:rPr>
              <w:t>26</w:t>
            </w:r>
          </w:p>
        </w:tc>
      </w:tr>
      <w:tr>
        <w:trPr>
          <w:trHeight w:val="425" w:hRule="exact"/>
        </w:trPr>
        <w:tc>
          <w:tcPr>
            <w:tcW w:w="7680" w:type="dxa"/>
          </w:tcPr>
          <w:p>
            <w:pPr>
              <w:pStyle w:val="TableParagraph"/>
              <w:spacing w:before="61"/>
              <w:rPr>
                <w:sz w:val="24"/>
              </w:rPr>
            </w:pPr>
            <w:r>
              <w:rPr>
                <w:sz w:val="24"/>
              </w:rPr>
              <w:t>2.2.4.2 Lesión endodóntica primaria y lesión periodontal secundaria.</w:t>
            </w:r>
          </w:p>
        </w:tc>
        <w:tc>
          <w:tcPr>
            <w:tcW w:w="651" w:type="dxa"/>
          </w:tcPr>
          <w:p>
            <w:pPr>
              <w:pStyle w:val="TableParagraph"/>
              <w:spacing w:before="60"/>
              <w:ind w:left="225"/>
              <w:rPr>
                <w:rFonts w:ascii="Calibri"/>
                <w:sz w:val="22"/>
              </w:rPr>
            </w:pPr>
            <w:r>
              <w:rPr>
                <w:rFonts w:ascii="Calibri"/>
                <w:sz w:val="22"/>
              </w:rPr>
              <w:t>29</w:t>
            </w:r>
          </w:p>
        </w:tc>
      </w:tr>
      <w:tr>
        <w:trPr>
          <w:trHeight w:val="424" w:hRule="exact"/>
        </w:trPr>
        <w:tc>
          <w:tcPr>
            <w:tcW w:w="7680" w:type="dxa"/>
          </w:tcPr>
          <w:p>
            <w:pPr>
              <w:pStyle w:val="TableParagraph"/>
              <w:spacing w:before="61"/>
              <w:rPr>
                <w:sz w:val="24"/>
              </w:rPr>
            </w:pPr>
            <w:r>
              <w:rPr>
                <w:sz w:val="24"/>
              </w:rPr>
              <w:t>2.2.4.3 Lesión periodontal primaria.</w:t>
            </w:r>
          </w:p>
        </w:tc>
        <w:tc>
          <w:tcPr>
            <w:tcW w:w="651" w:type="dxa"/>
          </w:tcPr>
          <w:p>
            <w:pPr>
              <w:pStyle w:val="TableParagraph"/>
              <w:spacing w:before="60"/>
              <w:ind w:left="225"/>
              <w:rPr>
                <w:rFonts w:ascii="Calibri"/>
                <w:sz w:val="22"/>
              </w:rPr>
            </w:pPr>
            <w:r>
              <w:rPr>
                <w:rFonts w:ascii="Calibri"/>
                <w:sz w:val="22"/>
              </w:rPr>
              <w:t>30</w:t>
            </w:r>
          </w:p>
        </w:tc>
      </w:tr>
      <w:tr>
        <w:trPr>
          <w:trHeight w:val="424" w:hRule="exact"/>
        </w:trPr>
        <w:tc>
          <w:tcPr>
            <w:tcW w:w="7680" w:type="dxa"/>
          </w:tcPr>
          <w:p>
            <w:pPr>
              <w:pStyle w:val="TableParagraph"/>
              <w:spacing w:before="60"/>
              <w:rPr>
                <w:sz w:val="24"/>
              </w:rPr>
            </w:pPr>
            <w:r>
              <w:rPr>
                <w:sz w:val="24"/>
              </w:rPr>
              <w:t>2.2.4.4 Lesión periodontal primaria y lesión endodóntica secundaria</w:t>
            </w:r>
          </w:p>
        </w:tc>
        <w:tc>
          <w:tcPr>
            <w:tcW w:w="651" w:type="dxa"/>
          </w:tcPr>
          <w:p>
            <w:pPr>
              <w:pStyle w:val="TableParagraph"/>
              <w:spacing w:before="59"/>
              <w:ind w:left="225"/>
              <w:rPr>
                <w:rFonts w:ascii="Calibri"/>
                <w:sz w:val="22"/>
              </w:rPr>
            </w:pPr>
            <w:r>
              <w:rPr>
                <w:rFonts w:ascii="Calibri"/>
                <w:sz w:val="22"/>
              </w:rPr>
              <w:t>31</w:t>
            </w:r>
          </w:p>
        </w:tc>
      </w:tr>
      <w:tr>
        <w:trPr>
          <w:trHeight w:val="332" w:hRule="exact"/>
        </w:trPr>
        <w:tc>
          <w:tcPr>
            <w:tcW w:w="7680" w:type="dxa"/>
          </w:tcPr>
          <w:p>
            <w:pPr>
              <w:pStyle w:val="TableParagraph"/>
              <w:spacing w:before="61"/>
              <w:rPr>
                <w:sz w:val="24"/>
              </w:rPr>
            </w:pPr>
            <w:r>
              <w:rPr>
                <w:sz w:val="24"/>
              </w:rPr>
              <w:t>2.2.4.5 Lesiones combinadas verdaderas.</w:t>
            </w:r>
          </w:p>
        </w:tc>
        <w:tc>
          <w:tcPr>
            <w:tcW w:w="651" w:type="dxa"/>
          </w:tcPr>
          <w:p>
            <w:pPr>
              <w:pStyle w:val="TableParagraph"/>
              <w:spacing w:before="60"/>
              <w:ind w:left="225"/>
              <w:rPr>
                <w:rFonts w:ascii="Calibri"/>
                <w:sz w:val="22"/>
              </w:rPr>
            </w:pPr>
            <w:r>
              <w:rPr>
                <w:rFonts w:ascii="Calibri"/>
                <w:sz w:val="22"/>
              </w:rPr>
              <w:t>32</w:t>
            </w:r>
          </w:p>
        </w:tc>
      </w:tr>
    </w:tbl>
    <w:p>
      <w:pPr>
        <w:spacing w:after="0"/>
        <w:rPr>
          <w:rFonts w:ascii="Calibri"/>
          <w:sz w:val="22"/>
        </w:rPr>
        <w:sectPr>
          <w:pgSz w:w="12240" w:h="15840"/>
          <w:pgMar w:header="749" w:footer="0" w:top="960" w:bottom="280" w:left="1220" w:right="1720"/>
        </w:sectPr>
      </w:pPr>
    </w:p>
    <w:p>
      <w:pPr>
        <w:pStyle w:val="BodyText"/>
        <w:rPr>
          <w:rFonts w:ascii="Times New Roman"/>
          <w:sz w:val="20"/>
        </w:rPr>
      </w:pPr>
    </w:p>
    <w:p>
      <w:pPr>
        <w:pStyle w:val="BodyText"/>
        <w:rPr>
          <w:rFonts w:ascii="Times New Roman"/>
          <w:sz w:val="20"/>
        </w:rPr>
      </w:pPr>
    </w:p>
    <w:p>
      <w:pPr>
        <w:pStyle w:val="BodyText"/>
        <w:rPr>
          <w:rFonts w:ascii="Times New Roman"/>
          <w:sz w:val="27"/>
        </w:rPr>
      </w:pPr>
    </w:p>
    <w:tbl>
      <w:tblPr>
        <w:tblW w:w="0" w:type="auto"/>
        <w:jc w:val="left"/>
        <w:tblInd w:w="111"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7797"/>
        <w:gridCol w:w="534"/>
      </w:tblGrid>
      <w:tr>
        <w:trPr>
          <w:trHeight w:val="331" w:hRule="exact"/>
        </w:trPr>
        <w:tc>
          <w:tcPr>
            <w:tcW w:w="7797" w:type="dxa"/>
          </w:tcPr>
          <w:p>
            <w:pPr>
              <w:pStyle w:val="TableParagraph"/>
              <w:spacing w:line="245" w:lineRule="exact"/>
              <w:rPr>
                <w:sz w:val="24"/>
              </w:rPr>
            </w:pPr>
            <w:r>
              <w:rPr>
                <w:sz w:val="24"/>
              </w:rPr>
              <w:t>2.2.5 Trauma dental.</w:t>
            </w:r>
          </w:p>
        </w:tc>
        <w:tc>
          <w:tcPr>
            <w:tcW w:w="534" w:type="dxa"/>
          </w:tcPr>
          <w:p>
            <w:pPr>
              <w:pStyle w:val="TableParagraph"/>
              <w:spacing w:line="237" w:lineRule="exact"/>
              <w:ind w:left="108"/>
              <w:rPr>
                <w:rFonts w:ascii="Calibri"/>
                <w:sz w:val="22"/>
              </w:rPr>
            </w:pPr>
            <w:r>
              <w:rPr>
                <w:rFonts w:ascii="Calibri"/>
                <w:sz w:val="22"/>
              </w:rPr>
              <w:t>33</w:t>
            </w:r>
          </w:p>
        </w:tc>
      </w:tr>
      <w:tr>
        <w:trPr>
          <w:trHeight w:val="630" w:hRule="exact"/>
        </w:trPr>
        <w:tc>
          <w:tcPr>
            <w:tcW w:w="7797" w:type="dxa"/>
          </w:tcPr>
          <w:p>
            <w:pPr>
              <w:pStyle w:val="TableParagraph"/>
              <w:spacing w:before="60"/>
              <w:rPr>
                <w:sz w:val="24"/>
              </w:rPr>
            </w:pPr>
            <w:r>
              <w:rPr>
                <w:sz w:val="24"/>
              </w:rPr>
              <w:t>2.2.5.1Tipos más comunes de traumatismo dental en el paciente epiléptico.</w:t>
            </w:r>
          </w:p>
        </w:tc>
        <w:tc>
          <w:tcPr>
            <w:tcW w:w="534" w:type="dxa"/>
          </w:tcPr>
          <w:p>
            <w:pPr>
              <w:pStyle w:val="TableParagraph"/>
              <w:spacing w:before="62"/>
              <w:ind w:left="108"/>
              <w:rPr>
                <w:rFonts w:ascii="Calibri"/>
                <w:sz w:val="22"/>
              </w:rPr>
            </w:pPr>
            <w:r>
              <w:rPr>
                <w:rFonts w:ascii="Calibri"/>
                <w:sz w:val="22"/>
              </w:rPr>
              <w:t>34</w:t>
            </w:r>
          </w:p>
        </w:tc>
      </w:tr>
      <w:tr>
        <w:trPr>
          <w:trHeight w:val="350" w:hRule="exact"/>
        </w:trPr>
        <w:tc>
          <w:tcPr>
            <w:tcW w:w="7797" w:type="dxa"/>
          </w:tcPr>
          <w:p>
            <w:pPr>
              <w:pStyle w:val="TableParagraph"/>
              <w:spacing w:line="268" w:lineRule="exact"/>
              <w:rPr>
                <w:sz w:val="24"/>
              </w:rPr>
            </w:pPr>
            <w:r>
              <w:rPr>
                <w:sz w:val="24"/>
              </w:rPr>
              <w:t>2.2.6 Efectos de los fármacos antiepilépticos en la cavidad oral.</w:t>
            </w:r>
          </w:p>
        </w:tc>
        <w:tc>
          <w:tcPr>
            <w:tcW w:w="534" w:type="dxa"/>
          </w:tcPr>
          <w:p>
            <w:pPr>
              <w:pStyle w:val="TableParagraph"/>
              <w:spacing w:line="262" w:lineRule="exact"/>
              <w:ind w:left="108"/>
              <w:rPr>
                <w:rFonts w:ascii="Calibri"/>
                <w:sz w:val="22"/>
              </w:rPr>
            </w:pPr>
            <w:r>
              <w:rPr>
                <w:rFonts w:ascii="Calibri"/>
                <w:sz w:val="22"/>
              </w:rPr>
              <w:t>34</w:t>
            </w:r>
          </w:p>
        </w:tc>
      </w:tr>
      <w:tr>
        <w:trPr>
          <w:trHeight w:val="419" w:hRule="exact"/>
        </w:trPr>
        <w:tc>
          <w:tcPr>
            <w:tcW w:w="7797" w:type="dxa"/>
          </w:tcPr>
          <w:p>
            <w:pPr>
              <w:pStyle w:val="TableParagraph"/>
              <w:spacing w:before="57"/>
              <w:rPr>
                <w:sz w:val="24"/>
              </w:rPr>
            </w:pPr>
            <w:r>
              <w:rPr>
                <w:sz w:val="24"/>
              </w:rPr>
              <w:t>2.3 Manejo del Paciente Epiléptico en Endodoncia</w:t>
            </w:r>
          </w:p>
        </w:tc>
        <w:tc>
          <w:tcPr>
            <w:tcW w:w="534" w:type="dxa"/>
          </w:tcPr>
          <w:p>
            <w:pPr>
              <w:pStyle w:val="TableParagraph"/>
              <w:spacing w:before="56"/>
              <w:ind w:left="108"/>
              <w:rPr>
                <w:rFonts w:ascii="Calibri"/>
                <w:sz w:val="22"/>
              </w:rPr>
            </w:pPr>
            <w:r>
              <w:rPr>
                <w:rFonts w:ascii="Calibri"/>
                <w:sz w:val="22"/>
              </w:rPr>
              <w:t>37</w:t>
            </w:r>
          </w:p>
        </w:tc>
      </w:tr>
      <w:tr>
        <w:trPr>
          <w:trHeight w:val="424" w:hRule="exact"/>
        </w:trPr>
        <w:tc>
          <w:tcPr>
            <w:tcW w:w="7797" w:type="dxa"/>
          </w:tcPr>
          <w:p>
            <w:pPr>
              <w:pStyle w:val="TableParagraph"/>
              <w:spacing w:before="60"/>
              <w:rPr>
                <w:sz w:val="24"/>
              </w:rPr>
            </w:pPr>
            <w:r>
              <w:rPr>
                <w:sz w:val="24"/>
              </w:rPr>
              <w:t>2.3.1 Generalidades</w:t>
            </w:r>
          </w:p>
        </w:tc>
        <w:tc>
          <w:tcPr>
            <w:tcW w:w="534" w:type="dxa"/>
          </w:tcPr>
          <w:p>
            <w:pPr>
              <w:pStyle w:val="TableParagraph"/>
              <w:spacing w:before="59"/>
              <w:ind w:left="108"/>
              <w:rPr>
                <w:rFonts w:ascii="Calibri"/>
                <w:sz w:val="22"/>
              </w:rPr>
            </w:pPr>
            <w:r>
              <w:rPr>
                <w:rFonts w:ascii="Calibri"/>
                <w:sz w:val="22"/>
              </w:rPr>
              <w:t>37</w:t>
            </w:r>
          </w:p>
        </w:tc>
      </w:tr>
      <w:tr>
        <w:trPr>
          <w:trHeight w:val="839" w:hRule="exact"/>
        </w:trPr>
        <w:tc>
          <w:tcPr>
            <w:tcW w:w="7797" w:type="dxa"/>
          </w:tcPr>
          <w:p>
            <w:pPr>
              <w:pStyle w:val="TableParagraph"/>
              <w:spacing w:line="360" w:lineRule="auto" w:before="61"/>
              <w:rPr>
                <w:sz w:val="24"/>
              </w:rPr>
            </w:pPr>
            <w:r>
              <w:rPr>
                <w:sz w:val="24"/>
              </w:rPr>
              <w:t>2.3.2 Factores desencadenantes y prevención de las crisis epilépticas en la consulta de endodóntica.</w:t>
            </w:r>
          </w:p>
        </w:tc>
        <w:tc>
          <w:tcPr>
            <w:tcW w:w="534" w:type="dxa"/>
          </w:tcPr>
          <w:p>
            <w:pPr>
              <w:pStyle w:val="TableParagraph"/>
              <w:spacing w:before="60"/>
              <w:ind w:left="108"/>
              <w:rPr>
                <w:rFonts w:ascii="Calibri"/>
                <w:sz w:val="22"/>
              </w:rPr>
            </w:pPr>
            <w:r>
              <w:rPr>
                <w:rFonts w:ascii="Calibri"/>
                <w:sz w:val="22"/>
              </w:rPr>
              <w:t>38</w:t>
            </w:r>
          </w:p>
        </w:tc>
      </w:tr>
      <w:tr>
        <w:trPr>
          <w:trHeight w:val="424" w:hRule="exact"/>
        </w:trPr>
        <w:tc>
          <w:tcPr>
            <w:tcW w:w="7797" w:type="dxa"/>
          </w:tcPr>
          <w:p>
            <w:pPr>
              <w:pStyle w:val="TableParagraph"/>
              <w:spacing w:before="60"/>
              <w:rPr>
                <w:sz w:val="24"/>
              </w:rPr>
            </w:pPr>
            <w:r>
              <w:rPr>
                <w:sz w:val="24"/>
              </w:rPr>
              <w:t>2.3.3. Prevención de las crisis en la consulta odontológica.</w:t>
            </w:r>
          </w:p>
        </w:tc>
        <w:tc>
          <w:tcPr>
            <w:tcW w:w="534" w:type="dxa"/>
          </w:tcPr>
          <w:p>
            <w:pPr>
              <w:pStyle w:val="TableParagraph"/>
              <w:spacing w:before="59"/>
              <w:ind w:left="108"/>
              <w:rPr>
                <w:rFonts w:ascii="Calibri"/>
                <w:sz w:val="22"/>
              </w:rPr>
            </w:pPr>
            <w:r>
              <w:rPr>
                <w:rFonts w:ascii="Calibri"/>
                <w:sz w:val="22"/>
              </w:rPr>
              <w:t>40</w:t>
            </w:r>
          </w:p>
        </w:tc>
      </w:tr>
      <w:tr>
        <w:trPr>
          <w:trHeight w:val="424" w:hRule="exact"/>
        </w:trPr>
        <w:tc>
          <w:tcPr>
            <w:tcW w:w="7797" w:type="dxa"/>
          </w:tcPr>
          <w:p>
            <w:pPr>
              <w:pStyle w:val="TableParagraph"/>
              <w:spacing w:before="62"/>
              <w:rPr>
                <w:sz w:val="24"/>
              </w:rPr>
            </w:pPr>
            <w:r>
              <w:rPr>
                <w:sz w:val="24"/>
              </w:rPr>
              <w:t>2.3.4 Interacciones Farmacológicas.</w:t>
            </w:r>
          </w:p>
        </w:tc>
        <w:tc>
          <w:tcPr>
            <w:tcW w:w="534" w:type="dxa"/>
          </w:tcPr>
          <w:p>
            <w:pPr>
              <w:pStyle w:val="TableParagraph"/>
              <w:spacing w:before="61"/>
              <w:ind w:left="108"/>
              <w:rPr>
                <w:rFonts w:ascii="Calibri"/>
                <w:sz w:val="22"/>
              </w:rPr>
            </w:pPr>
            <w:r>
              <w:rPr>
                <w:rFonts w:ascii="Calibri"/>
                <w:sz w:val="22"/>
              </w:rPr>
              <w:t>41</w:t>
            </w:r>
          </w:p>
        </w:tc>
      </w:tr>
      <w:tr>
        <w:trPr>
          <w:trHeight w:val="424" w:hRule="exact"/>
        </w:trPr>
        <w:tc>
          <w:tcPr>
            <w:tcW w:w="7797" w:type="dxa"/>
          </w:tcPr>
          <w:p>
            <w:pPr>
              <w:pStyle w:val="TableParagraph"/>
              <w:spacing w:before="60"/>
              <w:rPr>
                <w:sz w:val="24"/>
              </w:rPr>
            </w:pPr>
            <w:r>
              <w:rPr>
                <w:sz w:val="24"/>
              </w:rPr>
              <w:t>2.3.5 Anestésicos locales.</w:t>
            </w:r>
          </w:p>
        </w:tc>
        <w:tc>
          <w:tcPr>
            <w:tcW w:w="534" w:type="dxa"/>
          </w:tcPr>
          <w:p>
            <w:pPr>
              <w:pStyle w:val="TableParagraph"/>
              <w:spacing w:before="59"/>
              <w:ind w:left="108"/>
              <w:rPr>
                <w:rFonts w:ascii="Calibri"/>
                <w:sz w:val="22"/>
              </w:rPr>
            </w:pPr>
            <w:r>
              <w:rPr>
                <w:rFonts w:ascii="Calibri"/>
                <w:sz w:val="22"/>
              </w:rPr>
              <w:t>42</w:t>
            </w:r>
          </w:p>
        </w:tc>
      </w:tr>
      <w:tr>
        <w:trPr>
          <w:trHeight w:val="424" w:hRule="exact"/>
        </w:trPr>
        <w:tc>
          <w:tcPr>
            <w:tcW w:w="7797" w:type="dxa"/>
          </w:tcPr>
          <w:p>
            <w:pPr>
              <w:pStyle w:val="TableParagraph"/>
              <w:spacing w:before="61"/>
              <w:rPr>
                <w:sz w:val="24"/>
              </w:rPr>
            </w:pPr>
            <w:r>
              <w:rPr>
                <w:sz w:val="24"/>
              </w:rPr>
              <w:t>2.3.6 Manejo de una crisis epiléptica durante la consulta endodóntica.</w:t>
            </w:r>
          </w:p>
        </w:tc>
        <w:tc>
          <w:tcPr>
            <w:tcW w:w="534" w:type="dxa"/>
          </w:tcPr>
          <w:p>
            <w:pPr>
              <w:pStyle w:val="TableParagraph"/>
              <w:spacing w:before="60"/>
              <w:ind w:left="108"/>
              <w:rPr>
                <w:rFonts w:ascii="Calibri"/>
                <w:sz w:val="22"/>
              </w:rPr>
            </w:pPr>
            <w:r>
              <w:rPr>
                <w:rFonts w:ascii="Calibri"/>
                <w:sz w:val="22"/>
              </w:rPr>
              <w:t>42</w:t>
            </w:r>
          </w:p>
        </w:tc>
      </w:tr>
      <w:tr>
        <w:trPr>
          <w:trHeight w:val="418" w:hRule="exact"/>
        </w:trPr>
        <w:tc>
          <w:tcPr>
            <w:tcW w:w="7797" w:type="dxa"/>
          </w:tcPr>
          <w:p>
            <w:pPr>
              <w:pStyle w:val="TableParagraph"/>
              <w:spacing w:before="60"/>
              <w:rPr>
                <w:sz w:val="24"/>
              </w:rPr>
            </w:pPr>
            <w:r>
              <w:rPr>
                <w:sz w:val="24"/>
              </w:rPr>
              <w:t>3.Objetivos</w:t>
            </w:r>
          </w:p>
        </w:tc>
        <w:tc>
          <w:tcPr>
            <w:tcW w:w="534" w:type="dxa"/>
          </w:tcPr>
          <w:p>
            <w:pPr>
              <w:pStyle w:val="TableParagraph"/>
              <w:spacing w:before="62"/>
              <w:ind w:left="108"/>
              <w:rPr>
                <w:rFonts w:ascii="Calibri"/>
                <w:sz w:val="22"/>
              </w:rPr>
            </w:pPr>
            <w:r>
              <w:rPr>
                <w:rFonts w:ascii="Calibri"/>
                <w:sz w:val="22"/>
              </w:rPr>
              <w:t>45</w:t>
            </w:r>
          </w:p>
        </w:tc>
      </w:tr>
      <w:tr>
        <w:trPr>
          <w:trHeight w:val="412" w:hRule="exact"/>
        </w:trPr>
        <w:tc>
          <w:tcPr>
            <w:tcW w:w="7797" w:type="dxa"/>
          </w:tcPr>
          <w:p>
            <w:pPr>
              <w:pStyle w:val="TableParagraph"/>
              <w:spacing w:before="55"/>
              <w:rPr>
                <w:sz w:val="24"/>
              </w:rPr>
            </w:pPr>
            <w:r>
              <w:rPr>
                <w:sz w:val="24"/>
              </w:rPr>
              <w:t>4.Presentación del caso clínico</w:t>
            </w:r>
          </w:p>
        </w:tc>
        <w:tc>
          <w:tcPr>
            <w:tcW w:w="534" w:type="dxa"/>
          </w:tcPr>
          <w:p>
            <w:pPr>
              <w:pStyle w:val="TableParagraph"/>
              <w:spacing w:before="57"/>
              <w:ind w:left="108"/>
              <w:rPr>
                <w:rFonts w:ascii="Calibri"/>
                <w:sz w:val="22"/>
              </w:rPr>
            </w:pPr>
            <w:r>
              <w:rPr>
                <w:rFonts w:ascii="Calibri"/>
                <w:sz w:val="22"/>
              </w:rPr>
              <w:t>46</w:t>
            </w:r>
          </w:p>
        </w:tc>
      </w:tr>
      <w:tr>
        <w:trPr>
          <w:trHeight w:val="412" w:hRule="exact"/>
        </w:trPr>
        <w:tc>
          <w:tcPr>
            <w:tcW w:w="7797" w:type="dxa"/>
          </w:tcPr>
          <w:p>
            <w:pPr>
              <w:pStyle w:val="TableParagraph"/>
              <w:spacing w:before="58"/>
              <w:rPr>
                <w:sz w:val="22"/>
              </w:rPr>
            </w:pPr>
            <w:r>
              <w:rPr>
                <w:sz w:val="22"/>
              </w:rPr>
              <w:t>5.Discusión</w:t>
            </w:r>
          </w:p>
        </w:tc>
        <w:tc>
          <w:tcPr>
            <w:tcW w:w="534" w:type="dxa"/>
          </w:tcPr>
          <w:p>
            <w:pPr>
              <w:pStyle w:val="TableParagraph"/>
              <w:spacing w:before="57"/>
              <w:ind w:left="108"/>
              <w:rPr>
                <w:rFonts w:ascii="Calibri"/>
                <w:sz w:val="22"/>
              </w:rPr>
            </w:pPr>
            <w:r>
              <w:rPr>
                <w:rFonts w:ascii="Calibri"/>
                <w:sz w:val="22"/>
              </w:rPr>
              <w:t>60</w:t>
            </w:r>
          </w:p>
        </w:tc>
      </w:tr>
      <w:tr>
        <w:trPr>
          <w:trHeight w:val="419" w:hRule="exact"/>
        </w:trPr>
        <w:tc>
          <w:tcPr>
            <w:tcW w:w="7797" w:type="dxa"/>
          </w:tcPr>
          <w:p>
            <w:pPr>
              <w:pStyle w:val="TableParagraph"/>
              <w:spacing w:before="59"/>
              <w:rPr>
                <w:sz w:val="24"/>
              </w:rPr>
            </w:pPr>
            <w:r>
              <w:rPr>
                <w:sz w:val="24"/>
              </w:rPr>
              <w:t>6.Conclusiones</w:t>
            </w:r>
          </w:p>
        </w:tc>
        <w:tc>
          <w:tcPr>
            <w:tcW w:w="534" w:type="dxa"/>
          </w:tcPr>
          <w:p>
            <w:pPr>
              <w:pStyle w:val="TableParagraph"/>
              <w:spacing w:before="58"/>
              <w:ind w:left="108"/>
              <w:rPr>
                <w:rFonts w:ascii="Calibri"/>
                <w:sz w:val="22"/>
              </w:rPr>
            </w:pPr>
            <w:r>
              <w:rPr>
                <w:rFonts w:ascii="Calibri"/>
                <w:sz w:val="22"/>
              </w:rPr>
              <w:t>63</w:t>
            </w:r>
          </w:p>
        </w:tc>
      </w:tr>
      <w:tr>
        <w:trPr>
          <w:trHeight w:val="414" w:hRule="exact"/>
        </w:trPr>
        <w:tc>
          <w:tcPr>
            <w:tcW w:w="7797" w:type="dxa"/>
          </w:tcPr>
          <w:p>
            <w:pPr>
              <w:pStyle w:val="TableParagraph"/>
              <w:spacing w:before="62"/>
              <w:rPr>
                <w:sz w:val="22"/>
              </w:rPr>
            </w:pPr>
            <w:r>
              <w:rPr>
                <w:sz w:val="22"/>
              </w:rPr>
              <w:t>7.Referencias Bibliográficas</w:t>
            </w:r>
          </w:p>
        </w:tc>
        <w:tc>
          <w:tcPr>
            <w:tcW w:w="534" w:type="dxa"/>
          </w:tcPr>
          <w:p>
            <w:pPr>
              <w:pStyle w:val="TableParagraph"/>
              <w:spacing w:before="61"/>
              <w:ind w:left="108"/>
              <w:rPr>
                <w:rFonts w:ascii="Calibri"/>
                <w:sz w:val="22"/>
              </w:rPr>
            </w:pPr>
            <w:r>
              <w:rPr>
                <w:rFonts w:ascii="Calibri"/>
                <w:sz w:val="22"/>
              </w:rPr>
              <w:t>64</w:t>
            </w:r>
          </w:p>
        </w:tc>
      </w:tr>
      <w:tr>
        <w:trPr>
          <w:trHeight w:val="413" w:hRule="exact"/>
        </w:trPr>
        <w:tc>
          <w:tcPr>
            <w:tcW w:w="7797" w:type="dxa"/>
          </w:tcPr>
          <w:p>
            <w:pPr>
              <w:pStyle w:val="TableParagraph"/>
              <w:spacing w:before="61"/>
              <w:rPr>
                <w:sz w:val="22"/>
              </w:rPr>
            </w:pPr>
            <w:r>
              <w:rPr>
                <w:sz w:val="22"/>
              </w:rPr>
              <w:t>8.Anexos</w:t>
            </w:r>
          </w:p>
        </w:tc>
        <w:tc>
          <w:tcPr>
            <w:tcW w:w="534" w:type="dxa"/>
          </w:tcPr>
          <w:p>
            <w:pPr>
              <w:pStyle w:val="TableParagraph"/>
              <w:spacing w:before="60"/>
              <w:ind w:left="108"/>
              <w:rPr>
                <w:rFonts w:ascii="Calibri"/>
                <w:sz w:val="22"/>
              </w:rPr>
            </w:pPr>
            <w:r>
              <w:rPr>
                <w:rFonts w:ascii="Calibri"/>
                <w:sz w:val="22"/>
              </w:rPr>
              <w:t>67</w:t>
            </w:r>
          </w:p>
        </w:tc>
      </w:tr>
      <w:tr>
        <w:trPr>
          <w:trHeight w:val="414" w:hRule="exact"/>
        </w:trPr>
        <w:tc>
          <w:tcPr>
            <w:tcW w:w="7797" w:type="dxa"/>
          </w:tcPr>
          <w:p>
            <w:pPr>
              <w:pStyle w:val="TableParagraph"/>
              <w:spacing w:before="60"/>
              <w:rPr>
                <w:sz w:val="22"/>
              </w:rPr>
            </w:pPr>
            <w:r>
              <w:rPr>
                <w:sz w:val="22"/>
              </w:rPr>
              <w:t>8.1 Historia clínica y consentimiento informado</w:t>
            </w:r>
          </w:p>
        </w:tc>
        <w:tc>
          <w:tcPr>
            <w:tcW w:w="534" w:type="dxa"/>
          </w:tcPr>
          <w:p>
            <w:pPr>
              <w:pStyle w:val="TableParagraph"/>
              <w:spacing w:before="60"/>
              <w:ind w:left="108"/>
              <w:rPr>
                <w:rFonts w:ascii="Calibri"/>
                <w:sz w:val="22"/>
              </w:rPr>
            </w:pPr>
            <w:r>
              <w:rPr>
                <w:rFonts w:ascii="Calibri"/>
                <w:sz w:val="22"/>
              </w:rPr>
              <w:t>67</w:t>
            </w:r>
          </w:p>
        </w:tc>
      </w:tr>
      <w:tr>
        <w:trPr>
          <w:trHeight w:val="414" w:hRule="exact"/>
        </w:trPr>
        <w:tc>
          <w:tcPr>
            <w:tcW w:w="7797" w:type="dxa"/>
          </w:tcPr>
          <w:p>
            <w:pPr>
              <w:pStyle w:val="TableParagraph"/>
              <w:spacing w:before="62"/>
              <w:rPr>
                <w:sz w:val="22"/>
              </w:rPr>
            </w:pPr>
            <w:r>
              <w:rPr>
                <w:sz w:val="22"/>
              </w:rPr>
              <w:t>8.2 Cuestionario paciente epiléptico.</w:t>
            </w:r>
          </w:p>
        </w:tc>
        <w:tc>
          <w:tcPr>
            <w:tcW w:w="534" w:type="dxa"/>
          </w:tcPr>
          <w:p>
            <w:pPr>
              <w:pStyle w:val="TableParagraph"/>
              <w:spacing w:before="61"/>
              <w:ind w:left="108"/>
              <w:rPr>
                <w:rFonts w:ascii="Calibri"/>
                <w:sz w:val="22"/>
              </w:rPr>
            </w:pPr>
            <w:r>
              <w:rPr>
                <w:rFonts w:ascii="Calibri"/>
                <w:sz w:val="22"/>
              </w:rPr>
              <w:t>77</w:t>
            </w:r>
          </w:p>
        </w:tc>
      </w:tr>
      <w:tr>
        <w:trPr>
          <w:trHeight w:val="325" w:hRule="exact"/>
        </w:trPr>
        <w:tc>
          <w:tcPr>
            <w:tcW w:w="7797" w:type="dxa"/>
          </w:tcPr>
          <w:p>
            <w:pPr>
              <w:pStyle w:val="TableParagraph"/>
              <w:spacing w:before="60"/>
              <w:rPr>
                <w:sz w:val="22"/>
              </w:rPr>
            </w:pPr>
            <w:r>
              <w:rPr>
                <w:sz w:val="22"/>
              </w:rPr>
              <w:t>8.3 Participación en eventos</w:t>
            </w:r>
          </w:p>
        </w:tc>
        <w:tc>
          <w:tcPr>
            <w:tcW w:w="534" w:type="dxa"/>
          </w:tcPr>
          <w:p>
            <w:pPr>
              <w:pStyle w:val="TableParagraph"/>
              <w:spacing w:before="60"/>
              <w:ind w:left="108"/>
              <w:rPr>
                <w:rFonts w:ascii="Calibri"/>
                <w:sz w:val="22"/>
              </w:rPr>
            </w:pPr>
            <w:r>
              <w:rPr>
                <w:rFonts w:ascii="Calibri"/>
                <w:sz w:val="22"/>
              </w:rPr>
              <w:t>78</w:t>
            </w:r>
          </w:p>
        </w:tc>
      </w:tr>
    </w:tbl>
    <w:p>
      <w:pPr>
        <w:spacing w:after="0"/>
        <w:rPr>
          <w:rFonts w:ascii="Calibri"/>
          <w:sz w:val="22"/>
        </w:rPr>
        <w:sectPr>
          <w:pgSz w:w="12240" w:h="15840"/>
          <w:pgMar w:header="749" w:footer="0" w:top="960" w:bottom="280" w:left="1220" w:right="1720"/>
        </w:sectPr>
      </w:pPr>
    </w:p>
    <w:p>
      <w:pPr>
        <w:pStyle w:val="BodyText"/>
        <w:rPr>
          <w:rFonts w:ascii="Times New Roman"/>
          <w:sz w:val="20"/>
        </w:rPr>
      </w:pPr>
    </w:p>
    <w:p>
      <w:pPr>
        <w:pStyle w:val="BodyText"/>
        <w:rPr>
          <w:rFonts w:ascii="Times New Roman"/>
          <w:sz w:val="20"/>
        </w:rPr>
      </w:pPr>
    </w:p>
    <w:p>
      <w:pPr>
        <w:pStyle w:val="BodyText"/>
        <w:spacing w:before="5"/>
        <w:rPr>
          <w:rFonts w:ascii="Times New Roman"/>
          <w:sz w:val="17"/>
        </w:rPr>
      </w:pPr>
    </w:p>
    <w:p>
      <w:pPr>
        <w:pStyle w:val="Heading2"/>
        <w:numPr>
          <w:ilvl w:val="0"/>
          <w:numId w:val="1"/>
        </w:numPr>
        <w:tabs>
          <w:tab w:pos="3880" w:val="left" w:leader="none"/>
        </w:tabs>
        <w:spacing w:line="240" w:lineRule="auto" w:before="70" w:after="0"/>
        <w:ind w:left="3879" w:right="0" w:hanging="268"/>
        <w:jc w:val="left"/>
      </w:pPr>
      <w:r>
        <w:rPr/>
        <w:t>INTRODUCCIÓN</w:t>
      </w:r>
    </w:p>
    <w:p>
      <w:pPr>
        <w:pStyle w:val="BodyText"/>
        <w:spacing w:before="4"/>
        <w:rPr>
          <w:b/>
          <w:sz w:val="29"/>
        </w:rPr>
      </w:pPr>
    </w:p>
    <w:p>
      <w:pPr>
        <w:pStyle w:val="BodyText"/>
        <w:spacing w:line="360" w:lineRule="auto" w:before="1"/>
        <w:ind w:left="118" w:right="117"/>
        <w:jc w:val="both"/>
      </w:pPr>
      <w:r>
        <w:rPr/>
        <w:t>En la Facultad de Odontología, específicamente a la consulta de la especialidad en endodoncia, acuden pacientes que en muchas ocasiones además de presentar una afección</w:t>
      </w:r>
      <w:r>
        <w:rPr>
          <w:spacing w:val="-13"/>
        </w:rPr>
        <w:t> </w:t>
      </w:r>
      <w:r>
        <w:rPr/>
        <w:t>endodóntica,</w:t>
      </w:r>
      <w:r>
        <w:rPr>
          <w:spacing w:val="-13"/>
        </w:rPr>
        <w:t> </w:t>
      </w:r>
      <w:r>
        <w:rPr/>
        <w:t>tienen</w:t>
      </w:r>
      <w:r>
        <w:rPr>
          <w:spacing w:val="-16"/>
        </w:rPr>
        <w:t> </w:t>
      </w:r>
      <w:r>
        <w:rPr/>
        <w:t>alguna</w:t>
      </w:r>
      <w:r>
        <w:rPr>
          <w:spacing w:val="-13"/>
        </w:rPr>
        <w:t> </w:t>
      </w:r>
      <w:r>
        <w:rPr/>
        <w:t>patología</w:t>
      </w:r>
      <w:r>
        <w:rPr>
          <w:spacing w:val="-15"/>
        </w:rPr>
        <w:t> </w:t>
      </w:r>
      <w:r>
        <w:rPr/>
        <w:t>sistémica</w:t>
      </w:r>
      <w:r>
        <w:rPr>
          <w:spacing w:val="-13"/>
        </w:rPr>
        <w:t> </w:t>
      </w:r>
      <w:r>
        <w:rPr/>
        <w:t>asociada,</w:t>
      </w:r>
      <w:r>
        <w:rPr>
          <w:spacing w:val="-13"/>
        </w:rPr>
        <w:t> </w:t>
      </w:r>
      <w:r>
        <w:rPr/>
        <w:t>la</w:t>
      </w:r>
      <w:r>
        <w:rPr>
          <w:spacing w:val="-16"/>
        </w:rPr>
        <w:t> </w:t>
      </w:r>
      <w:r>
        <w:rPr/>
        <w:t>cual</w:t>
      </w:r>
      <w:r>
        <w:rPr>
          <w:spacing w:val="-14"/>
        </w:rPr>
        <w:t> </w:t>
      </w:r>
      <w:r>
        <w:rPr/>
        <w:t>requiere</w:t>
      </w:r>
      <w:r>
        <w:rPr>
          <w:spacing w:val="-16"/>
        </w:rPr>
        <w:t> </w:t>
      </w:r>
      <w:r>
        <w:rPr/>
        <w:t>una atención especializada multidisciplinaria, para evitar cualquier problema durante su tratamiento</w:t>
      </w:r>
      <w:r>
        <w:rPr>
          <w:spacing w:val="-5"/>
        </w:rPr>
        <w:t> </w:t>
      </w:r>
      <w:r>
        <w:rPr/>
        <w:t>dental.</w:t>
      </w:r>
    </w:p>
    <w:p>
      <w:pPr>
        <w:pStyle w:val="BodyText"/>
        <w:spacing w:before="8"/>
        <w:rPr>
          <w:sz w:val="35"/>
        </w:rPr>
      </w:pPr>
    </w:p>
    <w:p>
      <w:pPr>
        <w:pStyle w:val="BodyText"/>
        <w:spacing w:line="360" w:lineRule="auto"/>
        <w:ind w:left="118" w:right="115"/>
        <w:jc w:val="both"/>
      </w:pPr>
      <w:r>
        <w:rPr/>
        <w:t>La endodoncia </w:t>
      </w:r>
      <w:r>
        <w:rPr>
          <w:position w:val="8"/>
          <w:sz w:val="16"/>
        </w:rPr>
        <w:t>(1) </w:t>
      </w:r>
      <w:r>
        <w:rPr/>
        <w:t>es la rama de la odontología que trata de la morfología, fisiología, y patología</w:t>
      </w:r>
      <w:r>
        <w:rPr>
          <w:spacing w:val="-12"/>
        </w:rPr>
        <w:t> </w:t>
      </w:r>
      <w:r>
        <w:rPr/>
        <w:t>de</w:t>
      </w:r>
      <w:r>
        <w:rPr>
          <w:spacing w:val="-10"/>
        </w:rPr>
        <w:t> </w:t>
      </w:r>
      <w:r>
        <w:rPr/>
        <w:t>la</w:t>
      </w:r>
      <w:r>
        <w:rPr>
          <w:spacing w:val="-10"/>
        </w:rPr>
        <w:t> </w:t>
      </w:r>
      <w:r>
        <w:rPr/>
        <w:t>pulpa</w:t>
      </w:r>
      <w:r>
        <w:rPr>
          <w:spacing w:val="-9"/>
        </w:rPr>
        <w:t> </w:t>
      </w:r>
      <w:r>
        <w:rPr/>
        <w:t>dental</w:t>
      </w:r>
      <w:r>
        <w:rPr>
          <w:spacing w:val="-11"/>
        </w:rPr>
        <w:t> </w:t>
      </w:r>
      <w:r>
        <w:rPr/>
        <w:t>y</w:t>
      </w:r>
      <w:r>
        <w:rPr>
          <w:spacing w:val="-13"/>
        </w:rPr>
        <w:t> </w:t>
      </w:r>
      <w:r>
        <w:rPr/>
        <w:t>los</w:t>
      </w:r>
      <w:r>
        <w:rPr>
          <w:spacing w:val="-10"/>
        </w:rPr>
        <w:t> </w:t>
      </w:r>
      <w:r>
        <w:rPr/>
        <w:t>tejidos</w:t>
      </w:r>
      <w:r>
        <w:rPr>
          <w:spacing w:val="-11"/>
        </w:rPr>
        <w:t> </w:t>
      </w:r>
      <w:r>
        <w:rPr/>
        <w:t>perirradiculares,</w:t>
      </w:r>
      <w:r>
        <w:rPr>
          <w:spacing w:val="-10"/>
        </w:rPr>
        <w:t> </w:t>
      </w:r>
      <w:r>
        <w:rPr/>
        <w:t>su</w:t>
      </w:r>
      <w:r>
        <w:rPr>
          <w:spacing w:val="-10"/>
        </w:rPr>
        <w:t> </w:t>
      </w:r>
      <w:r>
        <w:rPr/>
        <w:t>estudio</w:t>
      </w:r>
      <w:r>
        <w:rPr>
          <w:spacing w:val="-12"/>
        </w:rPr>
        <w:t> </w:t>
      </w:r>
      <w:r>
        <w:rPr/>
        <w:t>y</w:t>
      </w:r>
      <w:r>
        <w:rPr>
          <w:spacing w:val="-13"/>
        </w:rPr>
        <w:t> </w:t>
      </w:r>
      <w:r>
        <w:rPr/>
        <w:t>práctica</w:t>
      </w:r>
      <w:r>
        <w:rPr>
          <w:spacing w:val="-10"/>
        </w:rPr>
        <w:t> </w:t>
      </w:r>
      <w:r>
        <w:rPr/>
        <w:t>engloba las ciencias básicas y clínicas incluyendo la biología de la pulpa normal y la etiología, diagnóstico, prevención y tratamiento de las patologías y lesiones de la pulpa y alteraciones perirradiculares asociadas. Es de relevante importancia considerar que el paciente que acude a la consulta puede ser portador de variadas patologías que deben ser tomadas en cuenta, dentro del tratamiento odontológico. Para ello el Odontólogo (Endodoncista), tiene que interrelacionar los conocimientos propios de la especialidad, con los conocimientos básicos de la medicina general en la atención y manejo de pacientes con dichas enfermedades</w:t>
      </w:r>
      <w:r>
        <w:rPr>
          <w:spacing w:val="-18"/>
        </w:rPr>
        <w:t> </w:t>
      </w:r>
      <w:r>
        <w:rPr/>
        <w:t>sistémicas.</w:t>
      </w:r>
    </w:p>
    <w:p>
      <w:pPr>
        <w:pStyle w:val="BodyText"/>
      </w:pPr>
    </w:p>
    <w:p>
      <w:pPr>
        <w:pStyle w:val="BodyText"/>
        <w:spacing w:line="360" w:lineRule="auto" w:before="142"/>
        <w:ind w:left="118" w:right="117"/>
        <w:jc w:val="both"/>
      </w:pPr>
      <w:r>
        <w:rPr/>
        <w:t>Por lo antes mencionado y de acuerdo a la Organización Mundial de la Salud (OMS), la epilepsia </w:t>
      </w:r>
      <w:r>
        <w:rPr>
          <w:position w:val="8"/>
          <w:sz w:val="16"/>
        </w:rPr>
        <w:t>(2) </w:t>
      </w:r>
      <w:r>
        <w:rPr/>
        <w:t>es la presentación crónica, recurrente de fenómenos paroxísticos por descargas eléctricas anormales en el cerebro (crisis epilépticas) que tiene manifestaciones clínicas variadas y causas diversas. La epilepsia es un trastorno neurológico</w:t>
      </w:r>
      <w:r>
        <w:rPr>
          <w:spacing w:val="-16"/>
        </w:rPr>
        <w:t> </w:t>
      </w:r>
      <w:r>
        <w:rPr/>
        <w:t>caracterizado</w:t>
      </w:r>
      <w:r>
        <w:rPr>
          <w:spacing w:val="-18"/>
        </w:rPr>
        <w:t> </w:t>
      </w:r>
      <w:r>
        <w:rPr/>
        <w:t>por</w:t>
      </w:r>
      <w:r>
        <w:rPr>
          <w:spacing w:val="-19"/>
        </w:rPr>
        <w:t> </w:t>
      </w:r>
      <w:r>
        <w:rPr/>
        <w:t>una</w:t>
      </w:r>
      <w:r>
        <w:rPr>
          <w:spacing w:val="-18"/>
        </w:rPr>
        <w:t> </w:t>
      </w:r>
      <w:r>
        <w:rPr/>
        <w:t>predisposición</w:t>
      </w:r>
      <w:r>
        <w:rPr>
          <w:spacing w:val="-16"/>
        </w:rPr>
        <w:t> </w:t>
      </w:r>
      <w:r>
        <w:rPr/>
        <w:t>duradera</w:t>
      </w:r>
      <w:r>
        <w:rPr>
          <w:spacing w:val="-16"/>
        </w:rPr>
        <w:t> </w:t>
      </w:r>
      <w:r>
        <w:rPr/>
        <w:t>para</w:t>
      </w:r>
      <w:r>
        <w:rPr>
          <w:spacing w:val="-17"/>
        </w:rPr>
        <w:t> </w:t>
      </w:r>
      <w:r>
        <w:rPr/>
        <w:t>generar</w:t>
      </w:r>
      <w:r>
        <w:rPr>
          <w:spacing w:val="-17"/>
        </w:rPr>
        <w:t> </w:t>
      </w:r>
      <w:r>
        <w:rPr/>
        <w:t>convulsiones. Es uno de los trastornos más prevalentes del cerebro, con una tasa de prevalencia mundial estimada de cuatro personas por cada diez mil</w:t>
      </w:r>
      <w:r>
        <w:rPr>
          <w:spacing w:val="-26"/>
        </w:rPr>
        <w:t> </w:t>
      </w:r>
      <w:r>
        <w:rPr/>
        <w:t>habitantes.</w:t>
      </w:r>
    </w:p>
    <w:p>
      <w:pPr>
        <w:pStyle w:val="BodyText"/>
      </w:pPr>
    </w:p>
    <w:p>
      <w:pPr>
        <w:pStyle w:val="BodyText"/>
        <w:spacing w:line="360" w:lineRule="auto" w:before="142"/>
        <w:ind w:left="118" w:right="125"/>
        <w:jc w:val="both"/>
      </w:pPr>
      <w:r>
        <w:rPr/>
        <w:t>Los pacientes con epilepsia pueden presentar deterioro en su salud oral, como enfermedad periodontal, pérdida de órganos dentarios por traumatismo, avulsiones, gingivitis, periodontitis e hiperplasia gingival, éstas asociadas a accidentes durante</w:t>
      </w:r>
    </w:p>
    <w:p>
      <w:pPr>
        <w:spacing w:after="0" w:line="360" w:lineRule="auto"/>
        <w:jc w:val="both"/>
        <w:sectPr>
          <w:footerReference w:type="default" r:id="rId8"/>
          <w:pgSz w:w="12240" w:h="15840"/>
          <w:pgMar w:footer="1003" w:header="749" w:top="960" w:bottom="1200" w:left="1300" w:right="1580"/>
          <w:pgNumType w:start="1"/>
        </w:sectPr>
      </w:pPr>
    </w:p>
    <w:p>
      <w:pPr>
        <w:pStyle w:val="BodyText"/>
        <w:rPr>
          <w:sz w:val="20"/>
        </w:rPr>
      </w:pPr>
    </w:p>
    <w:p>
      <w:pPr>
        <w:pStyle w:val="BodyText"/>
        <w:rPr>
          <w:sz w:val="20"/>
        </w:rPr>
      </w:pPr>
    </w:p>
    <w:p>
      <w:pPr>
        <w:pStyle w:val="BodyText"/>
        <w:spacing w:before="5"/>
        <w:rPr>
          <w:sz w:val="17"/>
        </w:rPr>
      </w:pPr>
    </w:p>
    <w:p>
      <w:pPr>
        <w:pStyle w:val="BodyText"/>
        <w:spacing w:line="360" w:lineRule="auto" w:before="70"/>
        <w:ind w:left="118" w:right="121"/>
        <w:jc w:val="both"/>
      </w:pPr>
      <w:r>
        <w:rPr/>
        <w:t>crisis</w:t>
      </w:r>
      <w:r>
        <w:rPr>
          <w:spacing w:val="-7"/>
        </w:rPr>
        <w:t> </w:t>
      </w:r>
      <w:r>
        <w:rPr/>
        <w:t>convulsivas</w:t>
      </w:r>
      <w:r>
        <w:rPr>
          <w:spacing w:val="-6"/>
        </w:rPr>
        <w:t> </w:t>
      </w:r>
      <w:r>
        <w:rPr/>
        <w:t>y</w:t>
      </w:r>
      <w:r>
        <w:rPr>
          <w:spacing w:val="-9"/>
        </w:rPr>
        <w:t> </w:t>
      </w:r>
      <w:r>
        <w:rPr/>
        <w:t>a</w:t>
      </w:r>
      <w:r>
        <w:rPr>
          <w:spacing w:val="-6"/>
        </w:rPr>
        <w:t> </w:t>
      </w:r>
      <w:r>
        <w:rPr/>
        <w:t>la</w:t>
      </w:r>
      <w:r>
        <w:rPr>
          <w:spacing w:val="-6"/>
        </w:rPr>
        <w:t> </w:t>
      </w:r>
      <w:r>
        <w:rPr/>
        <w:t>ingesta</w:t>
      </w:r>
      <w:r>
        <w:rPr>
          <w:spacing w:val="-8"/>
        </w:rPr>
        <w:t> </w:t>
      </w:r>
      <w:r>
        <w:rPr/>
        <w:t>de</w:t>
      </w:r>
      <w:r>
        <w:rPr>
          <w:spacing w:val="-8"/>
        </w:rPr>
        <w:t> </w:t>
      </w:r>
      <w:r>
        <w:rPr/>
        <w:t>fármacos</w:t>
      </w:r>
      <w:r>
        <w:rPr>
          <w:spacing w:val="-9"/>
        </w:rPr>
        <w:t> </w:t>
      </w:r>
      <w:r>
        <w:rPr/>
        <w:t>antiepilépticos</w:t>
      </w:r>
      <w:r>
        <w:rPr>
          <w:spacing w:val="-9"/>
        </w:rPr>
        <w:t> </w:t>
      </w:r>
      <w:r>
        <w:rPr/>
        <w:t>como</w:t>
      </w:r>
      <w:r>
        <w:rPr>
          <w:spacing w:val="-8"/>
        </w:rPr>
        <w:t> </w:t>
      </w:r>
      <w:r>
        <w:rPr/>
        <w:t>parte</w:t>
      </w:r>
      <w:r>
        <w:rPr>
          <w:spacing w:val="-9"/>
        </w:rPr>
        <w:t> </w:t>
      </w:r>
      <w:r>
        <w:rPr/>
        <w:t>de</w:t>
      </w:r>
      <w:r>
        <w:rPr>
          <w:spacing w:val="-6"/>
        </w:rPr>
        <w:t> </w:t>
      </w:r>
      <w:r>
        <w:rPr/>
        <w:t>sus</w:t>
      </w:r>
      <w:r>
        <w:rPr>
          <w:spacing w:val="-9"/>
        </w:rPr>
        <w:t> </w:t>
      </w:r>
      <w:r>
        <w:rPr/>
        <w:t>efectos secundarios.</w:t>
      </w:r>
    </w:p>
    <w:p>
      <w:pPr>
        <w:pStyle w:val="BodyText"/>
        <w:spacing w:line="360" w:lineRule="auto" w:before="204"/>
        <w:ind w:left="118" w:right="115"/>
        <w:jc w:val="both"/>
      </w:pPr>
      <w:r>
        <w:rPr/>
        <w:t>De acuerdo a lo antes descrito, el presente proyecto terminal tiene como principal objetivo presentar el manejo endodóntico de un paciente con epilepsia, considerando su manejo farmacológico, el antecedente de sus últimas crisis y principalmente tomar en consideración los factores como dolor y estrés como factores etiológicos.</w:t>
      </w:r>
    </w:p>
    <w:p>
      <w:pPr>
        <w:spacing w:after="0" w:line="360" w:lineRule="auto"/>
        <w:jc w:val="both"/>
        <w:sectPr>
          <w:pgSz w:w="12240" w:h="15840"/>
          <w:pgMar w:header="749" w:footer="1003" w:top="960" w:bottom="1200" w:left="1300" w:right="1580"/>
        </w:sectPr>
      </w:pPr>
    </w:p>
    <w:p>
      <w:pPr>
        <w:pStyle w:val="BodyText"/>
        <w:rPr>
          <w:sz w:val="20"/>
        </w:rPr>
      </w:pPr>
    </w:p>
    <w:p>
      <w:pPr>
        <w:pStyle w:val="BodyText"/>
        <w:rPr>
          <w:sz w:val="20"/>
        </w:rPr>
      </w:pPr>
    </w:p>
    <w:p>
      <w:pPr>
        <w:pStyle w:val="BodyText"/>
        <w:spacing w:before="5"/>
        <w:rPr>
          <w:sz w:val="17"/>
        </w:rPr>
      </w:pPr>
    </w:p>
    <w:p>
      <w:pPr>
        <w:pStyle w:val="Heading2"/>
        <w:numPr>
          <w:ilvl w:val="0"/>
          <w:numId w:val="1"/>
        </w:numPr>
        <w:tabs>
          <w:tab w:pos="3837" w:val="left" w:leader="none"/>
        </w:tabs>
        <w:spacing w:line="240" w:lineRule="auto" w:before="70" w:after="0"/>
        <w:ind w:left="3837" w:right="0" w:hanging="272"/>
        <w:jc w:val="left"/>
      </w:pPr>
      <w:r>
        <w:rPr/>
        <w:t>ANTECEDENTES</w:t>
      </w:r>
    </w:p>
    <w:p>
      <w:pPr>
        <w:pStyle w:val="BodyText"/>
        <w:rPr>
          <w:b/>
        </w:rPr>
      </w:pPr>
    </w:p>
    <w:p>
      <w:pPr>
        <w:pStyle w:val="BodyText"/>
        <w:rPr>
          <w:b/>
        </w:rPr>
      </w:pPr>
    </w:p>
    <w:p>
      <w:pPr>
        <w:pStyle w:val="ListParagraph"/>
        <w:numPr>
          <w:ilvl w:val="1"/>
          <w:numId w:val="2"/>
        </w:numPr>
        <w:tabs>
          <w:tab w:pos="523" w:val="left" w:leader="none"/>
        </w:tabs>
        <w:spacing w:line="240" w:lineRule="auto" w:before="199" w:after="0"/>
        <w:ind w:left="522" w:right="0" w:hanging="404"/>
        <w:jc w:val="both"/>
        <w:rPr>
          <w:b/>
          <w:sz w:val="24"/>
        </w:rPr>
      </w:pPr>
      <w:r>
        <w:rPr>
          <w:b/>
          <w:sz w:val="24"/>
        </w:rPr>
        <w:t>Características de la</w:t>
      </w:r>
      <w:r>
        <w:rPr>
          <w:b/>
          <w:spacing w:val="-11"/>
          <w:sz w:val="24"/>
        </w:rPr>
        <w:t> </w:t>
      </w:r>
      <w:r>
        <w:rPr>
          <w:b/>
          <w:sz w:val="24"/>
        </w:rPr>
        <w:t>Epilepsia.</w:t>
      </w:r>
    </w:p>
    <w:p>
      <w:pPr>
        <w:pStyle w:val="BodyText"/>
        <w:rPr>
          <w:b/>
        </w:rPr>
      </w:pPr>
    </w:p>
    <w:p>
      <w:pPr>
        <w:pStyle w:val="BodyText"/>
        <w:rPr>
          <w:b/>
        </w:rPr>
      </w:pPr>
    </w:p>
    <w:p>
      <w:pPr>
        <w:pStyle w:val="BodyText"/>
        <w:spacing w:before="9"/>
        <w:rPr>
          <w:b/>
          <w:sz w:val="34"/>
        </w:rPr>
      </w:pPr>
    </w:p>
    <w:p>
      <w:pPr>
        <w:pStyle w:val="ListParagraph"/>
        <w:numPr>
          <w:ilvl w:val="2"/>
          <w:numId w:val="2"/>
        </w:numPr>
        <w:tabs>
          <w:tab w:pos="655" w:val="left" w:leader="none"/>
        </w:tabs>
        <w:spacing w:line="240" w:lineRule="auto" w:before="1" w:after="0"/>
        <w:ind w:left="654" w:right="0" w:hanging="536"/>
        <w:jc w:val="both"/>
        <w:rPr>
          <w:b/>
          <w:sz w:val="24"/>
        </w:rPr>
      </w:pPr>
      <w:r>
        <w:rPr>
          <w:b/>
          <w:sz w:val="24"/>
        </w:rPr>
        <w:t>Definición.</w:t>
      </w:r>
    </w:p>
    <w:p>
      <w:pPr>
        <w:pStyle w:val="BodyText"/>
        <w:spacing w:before="4"/>
        <w:rPr>
          <w:b/>
          <w:sz w:val="29"/>
        </w:rPr>
      </w:pPr>
    </w:p>
    <w:p>
      <w:pPr>
        <w:pStyle w:val="BodyText"/>
        <w:spacing w:line="360" w:lineRule="auto" w:before="1"/>
        <w:ind w:left="118" w:right="115"/>
        <w:jc w:val="both"/>
      </w:pPr>
      <w:r>
        <w:rPr/>
        <w:t>La definición de epilepsia ha sido controvertida por las diferentes escuelas neurológicas</w:t>
      </w:r>
      <w:r>
        <w:rPr>
          <w:spacing w:val="-16"/>
        </w:rPr>
        <w:t> </w:t>
      </w:r>
      <w:r>
        <w:rPr/>
        <w:t>a</w:t>
      </w:r>
      <w:r>
        <w:rPr>
          <w:spacing w:val="-16"/>
        </w:rPr>
        <w:t> </w:t>
      </w:r>
      <w:r>
        <w:rPr/>
        <w:t>través</w:t>
      </w:r>
      <w:r>
        <w:rPr>
          <w:spacing w:val="-14"/>
        </w:rPr>
        <w:t> </w:t>
      </w:r>
      <w:r>
        <w:rPr/>
        <w:t>de</w:t>
      </w:r>
      <w:r>
        <w:rPr>
          <w:spacing w:val="-13"/>
        </w:rPr>
        <w:t> </w:t>
      </w:r>
      <w:r>
        <w:rPr/>
        <w:t>las</w:t>
      </w:r>
      <w:r>
        <w:rPr>
          <w:spacing w:val="-16"/>
        </w:rPr>
        <w:t> </w:t>
      </w:r>
      <w:r>
        <w:rPr/>
        <w:t>últimas</w:t>
      </w:r>
      <w:r>
        <w:rPr>
          <w:spacing w:val="-14"/>
        </w:rPr>
        <w:t> </w:t>
      </w:r>
      <w:r>
        <w:rPr/>
        <w:t>cinco</w:t>
      </w:r>
      <w:r>
        <w:rPr>
          <w:spacing w:val="-16"/>
        </w:rPr>
        <w:t> </w:t>
      </w:r>
      <w:r>
        <w:rPr/>
        <w:t>décadas.</w:t>
      </w:r>
      <w:r>
        <w:rPr>
          <w:spacing w:val="-16"/>
        </w:rPr>
        <w:t> </w:t>
      </w:r>
      <w:r>
        <w:rPr/>
        <w:t>No</w:t>
      </w:r>
      <w:r>
        <w:rPr>
          <w:spacing w:val="-18"/>
        </w:rPr>
        <w:t> </w:t>
      </w:r>
      <w:r>
        <w:rPr/>
        <w:t>fue</w:t>
      </w:r>
      <w:r>
        <w:rPr>
          <w:spacing w:val="-13"/>
        </w:rPr>
        <w:t> </w:t>
      </w:r>
      <w:r>
        <w:rPr/>
        <w:t>sino</w:t>
      </w:r>
      <w:r>
        <w:rPr>
          <w:spacing w:val="-16"/>
        </w:rPr>
        <w:t> </w:t>
      </w:r>
      <w:r>
        <w:rPr/>
        <w:t>hasta</w:t>
      </w:r>
      <w:r>
        <w:rPr>
          <w:spacing w:val="-13"/>
        </w:rPr>
        <w:t> </w:t>
      </w:r>
      <w:r>
        <w:rPr/>
        <w:t>1973</w:t>
      </w:r>
      <w:r>
        <w:rPr>
          <w:spacing w:val="-15"/>
        </w:rPr>
        <w:t> </w:t>
      </w:r>
      <w:r>
        <w:rPr/>
        <w:t>que</w:t>
      </w:r>
      <w:r>
        <w:rPr>
          <w:spacing w:val="-15"/>
        </w:rPr>
        <w:t> </w:t>
      </w:r>
      <w:r>
        <w:rPr/>
        <w:t>la</w:t>
      </w:r>
      <w:r>
        <w:rPr>
          <w:spacing w:val="38"/>
        </w:rPr>
        <w:t> </w:t>
      </w:r>
      <w:r>
        <w:rPr/>
        <w:t>Liga Internacional contra la Epilepsia (ILAE) y la Organización Mundial de la Salud (OMS) publicaron un diccionario de Epilepsia en el que se define a ésta como una afección crónica de etiología diversa, caracterizada por crisis recurrentes, debidas a una descarga excesiva de las neuronas cerebrales (crisis epilépticas), asociadas eventualmente con diversas manifestaciones clínicas y paraclínicas</w:t>
      </w:r>
      <w:r>
        <w:rPr>
          <w:spacing w:val="-40"/>
        </w:rPr>
        <w:t> </w:t>
      </w:r>
      <w:r>
        <w:rPr>
          <w:position w:val="8"/>
          <w:sz w:val="16"/>
        </w:rPr>
        <w:t>(3)</w:t>
      </w:r>
      <w:r>
        <w:rPr/>
        <w:t>.</w:t>
      </w:r>
    </w:p>
    <w:p>
      <w:pPr>
        <w:pStyle w:val="BodyText"/>
        <w:spacing w:line="360" w:lineRule="auto" w:before="200"/>
        <w:ind w:left="118" w:right="116"/>
        <w:jc w:val="both"/>
      </w:pPr>
      <w:r>
        <w:rPr/>
        <w:t>En el año de 2005 definieron una crisis epiléptica como una ocurrencia transitoria de signos y/o síntomas debido a la anormal actividad neuronal, y la epilepsia como un trastorno</w:t>
      </w:r>
      <w:r>
        <w:rPr>
          <w:spacing w:val="-11"/>
        </w:rPr>
        <w:t> </w:t>
      </w:r>
      <w:r>
        <w:rPr/>
        <w:t>del</w:t>
      </w:r>
      <w:r>
        <w:rPr>
          <w:spacing w:val="-10"/>
        </w:rPr>
        <w:t> </w:t>
      </w:r>
      <w:r>
        <w:rPr/>
        <w:t>cerebro</w:t>
      </w:r>
      <w:r>
        <w:rPr>
          <w:spacing w:val="-10"/>
        </w:rPr>
        <w:t> </w:t>
      </w:r>
      <w:r>
        <w:rPr/>
        <w:t>que</w:t>
      </w:r>
      <w:r>
        <w:rPr>
          <w:spacing w:val="-9"/>
        </w:rPr>
        <w:t> </w:t>
      </w:r>
      <w:r>
        <w:rPr/>
        <w:t>se</w:t>
      </w:r>
      <w:r>
        <w:rPr>
          <w:spacing w:val="-9"/>
        </w:rPr>
        <w:t> </w:t>
      </w:r>
      <w:r>
        <w:rPr/>
        <w:t>caracteriza</w:t>
      </w:r>
      <w:r>
        <w:rPr>
          <w:spacing w:val="-9"/>
        </w:rPr>
        <w:t> </w:t>
      </w:r>
      <w:r>
        <w:rPr/>
        <w:t>por</w:t>
      </w:r>
      <w:r>
        <w:rPr>
          <w:spacing w:val="-7"/>
        </w:rPr>
        <w:t> </w:t>
      </w:r>
      <w:r>
        <w:rPr/>
        <w:t>una</w:t>
      </w:r>
      <w:r>
        <w:rPr>
          <w:spacing w:val="-9"/>
        </w:rPr>
        <w:t> </w:t>
      </w:r>
      <w:r>
        <w:rPr/>
        <w:t>predisposición</w:t>
      </w:r>
      <w:r>
        <w:rPr>
          <w:spacing w:val="-11"/>
        </w:rPr>
        <w:t> </w:t>
      </w:r>
      <w:r>
        <w:rPr/>
        <w:t>duradera</w:t>
      </w:r>
      <w:r>
        <w:rPr>
          <w:spacing w:val="-10"/>
        </w:rPr>
        <w:t> </w:t>
      </w:r>
      <w:r>
        <w:rPr/>
        <w:t>para</w:t>
      </w:r>
      <w:r>
        <w:rPr>
          <w:spacing w:val="-10"/>
        </w:rPr>
        <w:t> </w:t>
      </w:r>
      <w:r>
        <w:rPr/>
        <w:t>generar ataques</w:t>
      </w:r>
      <w:r>
        <w:rPr>
          <w:spacing w:val="-13"/>
        </w:rPr>
        <w:t> </w:t>
      </w:r>
      <w:r>
        <w:rPr/>
        <w:t>epilépticos</w:t>
      </w:r>
      <w:r>
        <w:rPr>
          <w:spacing w:val="-28"/>
        </w:rPr>
        <w:t> </w:t>
      </w:r>
      <w:r>
        <w:rPr>
          <w:position w:val="8"/>
          <w:sz w:val="16"/>
        </w:rPr>
        <w:t>(3),</w:t>
      </w:r>
      <w:r>
        <w:rPr>
          <w:spacing w:val="8"/>
          <w:position w:val="8"/>
          <w:sz w:val="16"/>
        </w:rPr>
        <w:t> </w:t>
      </w:r>
      <w:r>
        <w:rPr/>
        <w:t>generalmente</w:t>
      </w:r>
      <w:r>
        <w:rPr>
          <w:spacing w:val="-11"/>
        </w:rPr>
        <w:t> </w:t>
      </w:r>
      <w:r>
        <w:rPr/>
        <w:t>presentándose</w:t>
      </w:r>
      <w:r>
        <w:rPr>
          <w:spacing w:val="-13"/>
        </w:rPr>
        <w:t> </w:t>
      </w:r>
      <w:r>
        <w:rPr/>
        <w:t>dos</w:t>
      </w:r>
      <w:r>
        <w:rPr>
          <w:spacing w:val="-14"/>
        </w:rPr>
        <w:t> </w:t>
      </w:r>
      <w:r>
        <w:rPr/>
        <w:t>ataques</w:t>
      </w:r>
      <w:r>
        <w:rPr>
          <w:spacing w:val="-14"/>
        </w:rPr>
        <w:t> </w:t>
      </w:r>
      <w:r>
        <w:rPr/>
        <w:t>de</w:t>
      </w:r>
      <w:r>
        <w:rPr>
          <w:spacing w:val="-10"/>
        </w:rPr>
        <w:t> </w:t>
      </w:r>
      <w:r>
        <w:rPr/>
        <w:t>manera</w:t>
      </w:r>
      <w:r>
        <w:rPr>
          <w:spacing w:val="-10"/>
        </w:rPr>
        <w:t> </w:t>
      </w:r>
      <w:r>
        <w:rPr/>
        <w:t>repentina en al menos 24</w:t>
      </w:r>
      <w:r>
        <w:rPr>
          <w:spacing w:val="-8"/>
        </w:rPr>
        <w:t> </w:t>
      </w:r>
      <w:r>
        <w:rPr/>
        <w:t>horas.</w:t>
      </w:r>
    </w:p>
    <w:p>
      <w:pPr>
        <w:pStyle w:val="BodyText"/>
      </w:pPr>
    </w:p>
    <w:p>
      <w:pPr>
        <w:pStyle w:val="BodyText"/>
        <w:spacing w:line="357" w:lineRule="auto" w:before="142"/>
        <w:ind w:left="118" w:right="116"/>
        <w:jc w:val="both"/>
      </w:pPr>
      <w:r>
        <w:rPr/>
        <w:t>De</w:t>
      </w:r>
      <w:r>
        <w:rPr>
          <w:spacing w:val="-18"/>
        </w:rPr>
        <w:t> </w:t>
      </w:r>
      <w:r>
        <w:rPr/>
        <w:t>acuerdo</w:t>
      </w:r>
      <w:r>
        <w:rPr>
          <w:spacing w:val="-18"/>
        </w:rPr>
        <w:t> </w:t>
      </w:r>
      <w:r>
        <w:rPr/>
        <w:t>al</w:t>
      </w:r>
      <w:r>
        <w:rPr>
          <w:spacing w:val="-19"/>
        </w:rPr>
        <w:t> </w:t>
      </w:r>
      <w:r>
        <w:rPr/>
        <w:t>glosario</w:t>
      </w:r>
      <w:r>
        <w:rPr>
          <w:spacing w:val="-18"/>
        </w:rPr>
        <w:t> </w:t>
      </w:r>
      <w:r>
        <w:rPr/>
        <w:t>de</w:t>
      </w:r>
      <w:r>
        <w:rPr>
          <w:spacing w:val="-18"/>
        </w:rPr>
        <w:t> </w:t>
      </w:r>
      <w:r>
        <w:rPr/>
        <w:t>términos</w:t>
      </w:r>
      <w:r>
        <w:rPr>
          <w:spacing w:val="-19"/>
        </w:rPr>
        <w:t> </w:t>
      </w:r>
      <w:r>
        <w:rPr/>
        <w:t>epilépticos</w:t>
      </w:r>
      <w:r>
        <w:rPr>
          <w:spacing w:val="-21"/>
        </w:rPr>
        <w:t> </w:t>
      </w:r>
      <w:r>
        <w:rPr/>
        <w:t>del</w:t>
      </w:r>
      <w:r>
        <w:rPr>
          <w:spacing w:val="-19"/>
        </w:rPr>
        <w:t> </w:t>
      </w:r>
      <w:r>
        <w:rPr/>
        <w:t>año</w:t>
      </w:r>
      <w:r>
        <w:rPr>
          <w:spacing w:val="-14"/>
        </w:rPr>
        <w:t> </w:t>
      </w:r>
      <w:r>
        <w:rPr/>
        <w:t>2001</w:t>
      </w:r>
      <w:r>
        <w:rPr>
          <w:spacing w:val="-18"/>
        </w:rPr>
        <w:t> </w:t>
      </w:r>
      <w:r>
        <w:rPr/>
        <w:t>se</w:t>
      </w:r>
      <w:r>
        <w:rPr>
          <w:spacing w:val="-18"/>
        </w:rPr>
        <w:t> </w:t>
      </w:r>
      <w:r>
        <w:rPr/>
        <w:t>describen</w:t>
      </w:r>
      <w:r>
        <w:rPr>
          <w:spacing w:val="-16"/>
        </w:rPr>
        <w:t> </w:t>
      </w:r>
      <w:r>
        <w:rPr/>
        <w:t>los</w:t>
      </w:r>
      <w:r>
        <w:rPr>
          <w:spacing w:val="-19"/>
        </w:rPr>
        <w:t> </w:t>
      </w:r>
      <w:r>
        <w:rPr/>
        <w:t>siguientes términos</w:t>
      </w:r>
      <w:r>
        <w:rPr>
          <w:spacing w:val="-25"/>
        </w:rPr>
        <w:t> </w:t>
      </w:r>
      <w:r>
        <w:rPr>
          <w:position w:val="8"/>
          <w:sz w:val="16"/>
        </w:rPr>
        <w:t>(4)</w:t>
      </w:r>
      <w:r>
        <w:rPr/>
        <w:t>:</w:t>
      </w:r>
    </w:p>
    <w:p>
      <w:pPr>
        <w:pStyle w:val="BodyText"/>
        <w:spacing w:before="2"/>
        <w:rPr>
          <w:sz w:val="36"/>
        </w:rPr>
      </w:pPr>
    </w:p>
    <w:p>
      <w:pPr>
        <w:pStyle w:val="ListParagraph"/>
        <w:numPr>
          <w:ilvl w:val="0"/>
          <w:numId w:val="3"/>
        </w:numPr>
        <w:tabs>
          <w:tab w:pos="451" w:val="left" w:leader="none"/>
        </w:tabs>
        <w:spacing w:line="360" w:lineRule="auto" w:before="1" w:after="0"/>
        <w:ind w:left="118" w:right="116" w:firstLine="0"/>
        <w:jc w:val="both"/>
        <w:rPr>
          <w:sz w:val="24"/>
        </w:rPr>
      </w:pPr>
      <w:r>
        <w:rPr>
          <w:sz w:val="24"/>
        </w:rPr>
        <w:t>Ataque epiléptico: Manifestación(s) de epiléptico (excesiva y/o hipersincrónica), actividad auto limitada de las neuronas en el</w:t>
      </w:r>
      <w:r>
        <w:rPr>
          <w:spacing w:val="-19"/>
          <w:sz w:val="24"/>
        </w:rPr>
        <w:t> </w:t>
      </w:r>
      <w:r>
        <w:rPr>
          <w:sz w:val="24"/>
        </w:rPr>
        <w:t>cerebro.</w:t>
      </w:r>
    </w:p>
    <w:p>
      <w:pPr>
        <w:pStyle w:val="ListParagraph"/>
        <w:numPr>
          <w:ilvl w:val="0"/>
          <w:numId w:val="3"/>
        </w:numPr>
        <w:tabs>
          <w:tab w:pos="400" w:val="left" w:leader="none"/>
        </w:tabs>
        <w:spacing w:line="240" w:lineRule="auto" w:before="5" w:after="0"/>
        <w:ind w:left="399" w:right="0" w:hanging="281"/>
        <w:jc w:val="both"/>
        <w:rPr>
          <w:sz w:val="24"/>
        </w:rPr>
      </w:pPr>
      <w:r>
        <w:rPr>
          <w:sz w:val="24"/>
        </w:rPr>
        <w:t>Epilepsia  se encuentra dividida en</w:t>
      </w:r>
      <w:r>
        <w:rPr>
          <w:spacing w:val="-11"/>
          <w:sz w:val="24"/>
        </w:rPr>
        <w:t> </w:t>
      </w:r>
      <w:r>
        <w:rPr>
          <w:sz w:val="24"/>
        </w:rPr>
        <w:t>dos:</w:t>
      </w:r>
    </w:p>
    <w:p>
      <w:pPr>
        <w:pStyle w:val="ListParagraph"/>
        <w:numPr>
          <w:ilvl w:val="1"/>
          <w:numId w:val="3"/>
        </w:numPr>
        <w:tabs>
          <w:tab w:pos="838" w:val="left" w:leader="none"/>
          <w:tab w:pos="839" w:val="left" w:leader="none"/>
        </w:tabs>
        <w:spacing w:line="360" w:lineRule="auto" w:before="137" w:after="0"/>
        <w:ind w:left="838" w:right="113" w:hanging="360"/>
        <w:jc w:val="left"/>
        <w:rPr>
          <w:sz w:val="24"/>
        </w:rPr>
      </w:pPr>
      <w:r>
        <w:rPr>
          <w:sz w:val="24"/>
        </w:rPr>
        <w:t>Trastorno epiléptico: Una condición neurológica crónica que se caracteriza por convulsiones epilépticas</w:t>
      </w:r>
      <w:r>
        <w:rPr>
          <w:spacing w:val="-12"/>
          <w:sz w:val="24"/>
        </w:rPr>
        <w:t> </w:t>
      </w:r>
      <w:r>
        <w:rPr>
          <w:sz w:val="24"/>
        </w:rPr>
        <w:t>recurrentes.</w:t>
      </w:r>
    </w:p>
    <w:p>
      <w:pPr>
        <w:pStyle w:val="ListParagraph"/>
        <w:numPr>
          <w:ilvl w:val="1"/>
          <w:numId w:val="3"/>
        </w:numPr>
        <w:tabs>
          <w:tab w:pos="838" w:val="left" w:leader="none"/>
          <w:tab w:pos="839" w:val="left" w:leader="none"/>
          <w:tab w:pos="2238" w:val="left" w:leader="none"/>
          <w:tab w:pos="3011" w:val="left" w:leader="none"/>
          <w:tab w:pos="4513" w:val="left" w:leader="none"/>
          <w:tab w:pos="5152" w:val="left" w:leader="none"/>
          <w:tab w:pos="6484" w:val="left" w:leader="none"/>
          <w:tab w:pos="8107" w:val="left" w:leader="none"/>
        </w:tabs>
        <w:spacing w:line="360" w:lineRule="auto" w:before="2" w:after="0"/>
        <w:ind w:left="838" w:right="116" w:hanging="360"/>
        <w:jc w:val="left"/>
        <w:rPr>
          <w:sz w:val="24"/>
        </w:rPr>
      </w:pPr>
      <w:r>
        <w:rPr>
          <w:sz w:val="24"/>
        </w:rPr>
        <w:t>Epilepsias:</w:t>
        <w:tab/>
        <w:t>Esas</w:t>
        <w:tab/>
        <w:t>condiciones</w:t>
        <w:tab/>
        <w:t>que</w:t>
        <w:tab/>
        <w:t>involucran</w:t>
        <w:tab/>
        <w:t>convulsiones</w:t>
        <w:tab/>
        <w:t>epilépticas recurrentes crónicas que pueden ser considerados trastornos</w:t>
      </w:r>
      <w:r>
        <w:rPr>
          <w:spacing w:val="-22"/>
          <w:sz w:val="24"/>
        </w:rPr>
        <w:t> </w:t>
      </w:r>
      <w:r>
        <w:rPr>
          <w:sz w:val="24"/>
        </w:rPr>
        <w:t>epilépticos.</w:t>
      </w:r>
    </w:p>
    <w:p>
      <w:pPr>
        <w:spacing w:after="0" w:line="360" w:lineRule="auto"/>
        <w:jc w:val="left"/>
        <w:rPr>
          <w:sz w:val="24"/>
        </w:rPr>
        <w:sectPr>
          <w:pgSz w:w="12240" w:h="15840"/>
          <w:pgMar w:header="749" w:footer="1003" w:top="960" w:bottom="1200" w:left="1300" w:right="1580"/>
        </w:sectPr>
      </w:pPr>
    </w:p>
    <w:p>
      <w:pPr>
        <w:pStyle w:val="BodyText"/>
        <w:rPr>
          <w:sz w:val="20"/>
        </w:rPr>
      </w:pPr>
    </w:p>
    <w:p>
      <w:pPr>
        <w:pStyle w:val="BodyText"/>
        <w:rPr>
          <w:sz w:val="20"/>
        </w:rPr>
      </w:pPr>
    </w:p>
    <w:p>
      <w:pPr>
        <w:pStyle w:val="BodyText"/>
        <w:spacing w:before="5"/>
        <w:rPr>
          <w:sz w:val="17"/>
        </w:rPr>
      </w:pPr>
    </w:p>
    <w:p>
      <w:pPr>
        <w:pStyle w:val="ListParagraph"/>
        <w:numPr>
          <w:ilvl w:val="0"/>
          <w:numId w:val="3"/>
        </w:numPr>
        <w:tabs>
          <w:tab w:pos="465" w:val="left" w:leader="none"/>
        </w:tabs>
        <w:spacing w:line="360" w:lineRule="auto" w:before="70" w:after="0"/>
        <w:ind w:left="118" w:right="115" w:firstLine="0"/>
        <w:jc w:val="both"/>
        <w:rPr>
          <w:sz w:val="24"/>
        </w:rPr>
      </w:pPr>
      <w:r>
        <w:rPr>
          <w:sz w:val="24"/>
        </w:rPr>
        <w:t>Convulsión: Principalmente un término laico. Los episodios de contracciones excesivas anormales musculares, generalmente bilaterales, que pueden mantenerse o ser</w:t>
      </w:r>
      <w:r>
        <w:rPr>
          <w:spacing w:val="-7"/>
          <w:sz w:val="24"/>
        </w:rPr>
        <w:t> </w:t>
      </w:r>
      <w:r>
        <w:rPr>
          <w:sz w:val="24"/>
        </w:rPr>
        <w:t>interrumpidos.</w:t>
      </w:r>
    </w:p>
    <w:p>
      <w:pPr>
        <w:pStyle w:val="BodyText"/>
      </w:pPr>
    </w:p>
    <w:p>
      <w:pPr>
        <w:pStyle w:val="BodyText"/>
        <w:spacing w:line="360" w:lineRule="auto" w:before="142"/>
        <w:ind w:left="118" w:right="115"/>
        <w:jc w:val="both"/>
        <w:rPr>
          <w:sz w:val="16"/>
        </w:rPr>
      </w:pPr>
      <w:r>
        <w:rPr/>
        <w:t>La epilepsia es el nombre de un trastorno cerebral que esta caracterizado predominantemente por una recurrente e imprevisible interrupción de la función normal del cerebro, llamados ataques epilépticos. La epilepsia no es una entidad singular, sino una variedad de trastornos que reflejan una disfunción cerebral subyacente que puede deberse a causas diferentes. </w:t>
      </w:r>
      <w:r>
        <w:rPr>
          <w:position w:val="8"/>
          <w:sz w:val="16"/>
        </w:rPr>
        <w:t>(5)</w:t>
      </w:r>
    </w:p>
    <w:p>
      <w:pPr>
        <w:pStyle w:val="BodyText"/>
        <w:rPr>
          <w:sz w:val="26"/>
        </w:rPr>
      </w:pPr>
    </w:p>
    <w:p>
      <w:pPr>
        <w:pStyle w:val="BodyText"/>
        <w:rPr>
          <w:sz w:val="26"/>
        </w:rPr>
      </w:pPr>
    </w:p>
    <w:p>
      <w:pPr>
        <w:pStyle w:val="BodyText"/>
        <w:spacing w:before="8"/>
        <w:rPr>
          <w:sz w:val="25"/>
        </w:rPr>
      </w:pPr>
    </w:p>
    <w:p>
      <w:pPr>
        <w:pStyle w:val="Heading2"/>
        <w:numPr>
          <w:ilvl w:val="2"/>
          <w:numId w:val="2"/>
        </w:numPr>
        <w:tabs>
          <w:tab w:pos="722" w:val="left" w:leader="none"/>
        </w:tabs>
        <w:spacing w:line="240" w:lineRule="auto" w:before="0" w:after="0"/>
        <w:ind w:left="721" w:right="0" w:hanging="603"/>
        <w:jc w:val="both"/>
      </w:pPr>
      <w:r>
        <w:rPr/>
        <w:t>Manifestaciones</w:t>
      </w:r>
      <w:r>
        <w:rPr>
          <w:spacing w:val="-8"/>
        </w:rPr>
        <w:t> </w:t>
      </w:r>
      <w:r>
        <w:rPr/>
        <w:t>clínicas.</w:t>
      </w:r>
    </w:p>
    <w:p>
      <w:pPr>
        <w:pStyle w:val="BodyText"/>
        <w:spacing w:before="8"/>
        <w:rPr>
          <w:b/>
          <w:sz w:val="32"/>
        </w:rPr>
      </w:pPr>
    </w:p>
    <w:p>
      <w:pPr>
        <w:pStyle w:val="BodyText"/>
        <w:spacing w:line="360" w:lineRule="auto" w:before="1"/>
        <w:ind w:left="118" w:right="115"/>
        <w:jc w:val="both"/>
      </w:pPr>
      <w:r>
        <w:rPr/>
        <w:t>La descripción detallada de los fenómenos clínicos subjetivos y objetivos durante un ataque epiléptico (Fig. 1) es difícil, debido a la amplia gama de manifestaciones. La crisis</w:t>
      </w:r>
      <w:r>
        <w:rPr>
          <w:spacing w:val="-7"/>
        </w:rPr>
        <w:t> </w:t>
      </w:r>
      <w:r>
        <w:rPr/>
        <w:t>depende</w:t>
      </w:r>
      <w:r>
        <w:rPr>
          <w:spacing w:val="-7"/>
        </w:rPr>
        <w:t> </w:t>
      </w:r>
      <w:r>
        <w:rPr/>
        <w:t>de</w:t>
      </w:r>
      <w:r>
        <w:rPr>
          <w:spacing w:val="-8"/>
        </w:rPr>
        <w:t> </w:t>
      </w:r>
      <w:r>
        <w:rPr/>
        <w:t>la</w:t>
      </w:r>
      <w:r>
        <w:rPr>
          <w:spacing w:val="-8"/>
        </w:rPr>
        <w:t> </w:t>
      </w:r>
      <w:r>
        <w:rPr/>
        <w:t>ubicación</w:t>
      </w:r>
      <w:r>
        <w:rPr>
          <w:spacing w:val="-5"/>
        </w:rPr>
        <w:t> </w:t>
      </w:r>
      <w:r>
        <w:rPr/>
        <w:t>de</w:t>
      </w:r>
      <w:r>
        <w:rPr>
          <w:spacing w:val="-6"/>
        </w:rPr>
        <w:t> </w:t>
      </w:r>
      <w:r>
        <w:rPr/>
        <w:t>inicio</w:t>
      </w:r>
      <w:r>
        <w:rPr>
          <w:spacing w:val="-9"/>
        </w:rPr>
        <w:t> </w:t>
      </w:r>
      <w:r>
        <w:rPr/>
        <w:t>en</w:t>
      </w:r>
      <w:r>
        <w:rPr>
          <w:spacing w:val="-8"/>
        </w:rPr>
        <w:t> </w:t>
      </w:r>
      <w:r>
        <w:rPr/>
        <w:t>el</w:t>
      </w:r>
      <w:r>
        <w:rPr>
          <w:spacing w:val="-7"/>
        </w:rPr>
        <w:t> </w:t>
      </w:r>
      <w:r>
        <w:rPr/>
        <w:t>cerebro,</w:t>
      </w:r>
      <w:r>
        <w:rPr>
          <w:spacing w:val="-8"/>
        </w:rPr>
        <w:t> </w:t>
      </w:r>
      <w:r>
        <w:rPr/>
        <w:t>de</w:t>
      </w:r>
      <w:r>
        <w:rPr>
          <w:spacing w:val="-8"/>
        </w:rPr>
        <w:t> </w:t>
      </w:r>
      <w:r>
        <w:rPr/>
        <w:t>los</w:t>
      </w:r>
      <w:r>
        <w:rPr>
          <w:spacing w:val="-6"/>
        </w:rPr>
        <w:t> </w:t>
      </w:r>
      <w:r>
        <w:rPr/>
        <w:t>patrones</w:t>
      </w:r>
      <w:r>
        <w:rPr>
          <w:spacing w:val="-8"/>
        </w:rPr>
        <w:t> </w:t>
      </w:r>
      <w:r>
        <w:rPr/>
        <w:t>de</w:t>
      </w:r>
      <w:r>
        <w:rPr>
          <w:spacing w:val="-8"/>
        </w:rPr>
        <w:t> </w:t>
      </w:r>
      <w:r>
        <w:rPr/>
        <w:t>propagación, la madurez del cerebro, los procesos de enfermedad, ciclo sueño-vigilia, medicamentos y una variedad de otros factores</w:t>
      </w:r>
      <w:r>
        <w:rPr>
          <w:spacing w:val="-35"/>
        </w:rPr>
        <w:t> </w:t>
      </w:r>
      <w:r>
        <w:rPr>
          <w:position w:val="8"/>
          <w:sz w:val="16"/>
        </w:rPr>
        <w:t>(5)</w:t>
      </w:r>
      <w:r>
        <w:rPr/>
        <w:t>.</w:t>
      </w:r>
    </w:p>
    <w:p>
      <w:pPr>
        <w:pStyle w:val="BodyText"/>
        <w:rPr>
          <w:sz w:val="20"/>
        </w:rPr>
      </w:pPr>
    </w:p>
    <w:p>
      <w:pPr>
        <w:pStyle w:val="BodyText"/>
        <w:spacing w:before="7"/>
        <w:rPr>
          <w:sz w:val="12"/>
        </w:rPr>
      </w:pPr>
      <w:r>
        <w:rPr/>
        <w:drawing>
          <wp:anchor distT="0" distB="0" distL="0" distR="0" allowOverlap="1" layoutInCell="1" locked="0" behindDoc="0" simplePos="0" relativeHeight="1096">
            <wp:simplePos x="0" y="0"/>
            <wp:positionH relativeFrom="page">
              <wp:posOffset>2377439</wp:posOffset>
            </wp:positionH>
            <wp:positionV relativeFrom="paragraph">
              <wp:posOffset>117289</wp:posOffset>
            </wp:positionV>
            <wp:extent cx="2848380" cy="1428750"/>
            <wp:effectExtent l="0" t="0" r="0" b="0"/>
            <wp:wrapTopAndBottom/>
            <wp:docPr id="5" name="image3.jpeg" descr=""/>
            <wp:cNvGraphicFramePr>
              <a:graphicFrameLocks noChangeAspect="1"/>
            </wp:cNvGraphicFramePr>
            <a:graphic>
              <a:graphicData uri="http://schemas.openxmlformats.org/drawingml/2006/picture">
                <pic:pic>
                  <pic:nvPicPr>
                    <pic:cNvPr id="6" name="image3.jpeg"/>
                    <pic:cNvPicPr/>
                  </pic:nvPicPr>
                  <pic:blipFill>
                    <a:blip r:embed="rId9" cstate="print"/>
                    <a:stretch>
                      <a:fillRect/>
                    </a:stretch>
                  </pic:blipFill>
                  <pic:spPr>
                    <a:xfrm>
                      <a:off x="0" y="0"/>
                      <a:ext cx="2848380" cy="1428750"/>
                    </a:xfrm>
                    <a:prstGeom prst="rect">
                      <a:avLst/>
                    </a:prstGeom>
                  </pic:spPr>
                </pic:pic>
              </a:graphicData>
            </a:graphic>
          </wp:anchor>
        </w:drawing>
      </w:r>
    </w:p>
    <w:p>
      <w:pPr>
        <w:spacing w:before="112"/>
        <w:ind w:left="2778" w:right="194" w:firstLine="0"/>
        <w:jc w:val="left"/>
        <w:rPr>
          <w:sz w:val="20"/>
        </w:rPr>
      </w:pPr>
      <w:r>
        <w:rPr>
          <w:sz w:val="20"/>
        </w:rPr>
        <w:t>Fig. 1 Imagen esquemática de la epilepsia.</w:t>
      </w:r>
    </w:p>
    <w:p>
      <w:pPr>
        <w:pStyle w:val="BodyText"/>
        <w:rPr>
          <w:sz w:val="20"/>
        </w:rPr>
      </w:pPr>
    </w:p>
    <w:p>
      <w:pPr>
        <w:pStyle w:val="BodyText"/>
        <w:rPr>
          <w:sz w:val="26"/>
        </w:rPr>
      </w:pPr>
    </w:p>
    <w:p>
      <w:pPr>
        <w:pStyle w:val="BodyText"/>
        <w:spacing w:line="360" w:lineRule="auto" w:before="1"/>
        <w:ind w:left="118" w:right="115"/>
        <w:jc w:val="both"/>
      </w:pPr>
      <w:r>
        <w:rPr/>
        <w:t>Las convulsiones pueden afectar las funciones sensoriales (auditiva, visual, olfativa, gustativa); motoras y la función autonómica; conciencia; estado emocional, memoria, cognición y comportamiento. Sin embargo no todas las crisis afectan a todos estos funciones, pero si al menos una </w:t>
      </w:r>
      <w:r>
        <w:rPr>
          <w:position w:val="8"/>
          <w:sz w:val="16"/>
        </w:rPr>
        <w:t>(6)</w:t>
      </w:r>
      <w:r>
        <w:rPr/>
        <w:t>.</w:t>
      </w:r>
    </w:p>
    <w:p>
      <w:pPr>
        <w:spacing w:after="0" w:line="360" w:lineRule="auto"/>
        <w:jc w:val="both"/>
        <w:sectPr>
          <w:pgSz w:w="12240" w:h="15840"/>
          <w:pgMar w:header="749" w:footer="1003" w:top="960" w:bottom="1200" w:left="1300" w:right="1580"/>
        </w:sectPr>
      </w:pPr>
    </w:p>
    <w:p>
      <w:pPr>
        <w:pStyle w:val="BodyText"/>
        <w:rPr>
          <w:sz w:val="20"/>
        </w:rPr>
      </w:pPr>
    </w:p>
    <w:p>
      <w:pPr>
        <w:pStyle w:val="BodyText"/>
        <w:rPr>
          <w:sz w:val="20"/>
        </w:rPr>
      </w:pPr>
    </w:p>
    <w:p>
      <w:pPr>
        <w:pStyle w:val="BodyText"/>
        <w:spacing w:before="5"/>
        <w:rPr>
          <w:sz w:val="17"/>
        </w:rPr>
      </w:pPr>
    </w:p>
    <w:p>
      <w:pPr>
        <w:pStyle w:val="BodyText"/>
        <w:spacing w:line="360" w:lineRule="auto" w:before="70"/>
        <w:ind w:left="118" w:right="116"/>
        <w:jc w:val="both"/>
      </w:pPr>
      <w:r>
        <w:rPr/>
        <w:t>De acuerdo con la ILAE (2001), déficits cognitivos durante las convulsiones pueden aparecer como problemas con la percepción, la atención, la emoción, la memoria, </w:t>
      </w:r>
      <w:r>
        <w:rPr>
          <w:spacing w:val="-3"/>
        </w:rPr>
        <w:t>la </w:t>
      </w:r>
      <w:r>
        <w:rPr/>
        <w:t>ejecución,</w:t>
      </w:r>
      <w:r>
        <w:rPr>
          <w:spacing w:val="-7"/>
        </w:rPr>
        <w:t> </w:t>
      </w:r>
      <w:r>
        <w:rPr/>
        <w:t>la</w:t>
      </w:r>
      <w:r>
        <w:rPr>
          <w:spacing w:val="-9"/>
        </w:rPr>
        <w:t> </w:t>
      </w:r>
      <w:r>
        <w:rPr/>
        <w:t>praxis</w:t>
      </w:r>
      <w:r>
        <w:rPr>
          <w:spacing w:val="-7"/>
        </w:rPr>
        <w:t> </w:t>
      </w:r>
      <w:r>
        <w:rPr/>
        <w:t>o</w:t>
      </w:r>
      <w:r>
        <w:rPr>
          <w:spacing w:val="-9"/>
        </w:rPr>
        <w:t> </w:t>
      </w:r>
      <w:r>
        <w:rPr/>
        <w:t>el</w:t>
      </w:r>
      <w:r>
        <w:rPr>
          <w:spacing w:val="-8"/>
        </w:rPr>
        <w:t> </w:t>
      </w:r>
      <w:r>
        <w:rPr/>
        <w:t>habla.</w:t>
      </w:r>
      <w:r>
        <w:rPr>
          <w:spacing w:val="-6"/>
        </w:rPr>
        <w:t> </w:t>
      </w:r>
      <w:r>
        <w:rPr/>
        <w:t>Distorsiones</w:t>
      </w:r>
      <w:r>
        <w:rPr>
          <w:spacing w:val="-9"/>
        </w:rPr>
        <w:t> </w:t>
      </w:r>
      <w:r>
        <w:rPr/>
        <w:t>de</w:t>
      </w:r>
      <w:r>
        <w:rPr>
          <w:spacing w:val="-9"/>
        </w:rPr>
        <w:t> </w:t>
      </w:r>
      <w:r>
        <w:rPr/>
        <w:t>memoria</w:t>
      </w:r>
      <w:r>
        <w:rPr>
          <w:spacing w:val="-8"/>
        </w:rPr>
        <w:t> </w:t>
      </w:r>
      <w:r>
        <w:rPr/>
        <w:t>puede</w:t>
      </w:r>
      <w:r>
        <w:rPr>
          <w:spacing w:val="-8"/>
        </w:rPr>
        <w:t> </w:t>
      </w:r>
      <w:r>
        <w:rPr/>
        <w:t>ser</w:t>
      </w:r>
      <w:r>
        <w:rPr>
          <w:spacing w:val="-10"/>
        </w:rPr>
        <w:t> </w:t>
      </w:r>
      <w:r>
        <w:rPr/>
        <w:t>negativa</w:t>
      </w:r>
      <w:r>
        <w:rPr>
          <w:spacing w:val="-6"/>
        </w:rPr>
        <w:t> </w:t>
      </w:r>
      <w:r>
        <w:rPr/>
        <w:t>o</w:t>
      </w:r>
      <w:r>
        <w:rPr>
          <w:spacing w:val="-9"/>
        </w:rPr>
        <w:t> </w:t>
      </w:r>
      <w:r>
        <w:rPr/>
        <w:t>positiva, en el sentido de interrupción de formación de la memoria o la recuperación como un síntoma negativo</w:t>
      </w:r>
      <w:r>
        <w:rPr>
          <w:spacing w:val="-6"/>
        </w:rPr>
        <w:t> </w:t>
      </w:r>
      <w:r>
        <w:rPr>
          <w:position w:val="8"/>
          <w:sz w:val="16"/>
        </w:rPr>
        <w:t>(7)</w:t>
      </w:r>
      <w:r>
        <w:rPr/>
        <w:t>.</w:t>
      </w:r>
    </w:p>
    <w:p>
      <w:pPr>
        <w:pStyle w:val="BodyText"/>
        <w:rPr>
          <w:sz w:val="36"/>
        </w:rPr>
      </w:pPr>
    </w:p>
    <w:p>
      <w:pPr>
        <w:pStyle w:val="Heading2"/>
        <w:numPr>
          <w:ilvl w:val="2"/>
          <w:numId w:val="2"/>
        </w:numPr>
        <w:tabs>
          <w:tab w:pos="722" w:val="left" w:leader="none"/>
        </w:tabs>
        <w:spacing w:line="240" w:lineRule="auto" w:before="0" w:after="0"/>
        <w:ind w:left="721" w:right="0" w:hanging="603"/>
        <w:jc w:val="both"/>
      </w:pPr>
      <w:r>
        <w:rPr/>
        <w:t>Epidemiologia de la</w:t>
      </w:r>
      <w:r>
        <w:rPr>
          <w:spacing w:val="-9"/>
        </w:rPr>
        <w:t> </w:t>
      </w:r>
      <w:r>
        <w:rPr/>
        <w:t>epilepsia.</w:t>
      </w:r>
    </w:p>
    <w:p>
      <w:pPr>
        <w:pStyle w:val="BodyText"/>
        <w:rPr>
          <w:b/>
        </w:rPr>
      </w:pPr>
    </w:p>
    <w:p>
      <w:pPr>
        <w:pStyle w:val="BodyText"/>
        <w:rPr>
          <w:b/>
        </w:rPr>
      </w:pPr>
    </w:p>
    <w:p>
      <w:pPr>
        <w:pStyle w:val="BodyText"/>
        <w:spacing w:line="360" w:lineRule="auto"/>
        <w:ind w:left="118" w:right="114"/>
        <w:jc w:val="both"/>
      </w:pPr>
      <w:r>
        <w:rPr/>
        <w:t>Debemos</w:t>
      </w:r>
      <w:r>
        <w:rPr>
          <w:spacing w:val="-8"/>
        </w:rPr>
        <w:t> </w:t>
      </w:r>
      <w:r>
        <w:rPr/>
        <w:t>de</w:t>
      </w:r>
      <w:r>
        <w:rPr>
          <w:spacing w:val="-7"/>
        </w:rPr>
        <w:t> </w:t>
      </w:r>
      <w:r>
        <w:rPr/>
        <w:t>recordar</w:t>
      </w:r>
      <w:r>
        <w:rPr>
          <w:spacing w:val="-9"/>
        </w:rPr>
        <w:t> </w:t>
      </w:r>
      <w:r>
        <w:rPr/>
        <w:t>que</w:t>
      </w:r>
      <w:r>
        <w:rPr>
          <w:spacing w:val="-7"/>
        </w:rPr>
        <w:t> </w:t>
      </w:r>
      <w:r>
        <w:rPr/>
        <w:t>por</w:t>
      </w:r>
      <w:r>
        <w:rPr>
          <w:spacing w:val="-9"/>
        </w:rPr>
        <w:t> </w:t>
      </w:r>
      <w:r>
        <w:rPr/>
        <w:t>lo</w:t>
      </w:r>
      <w:r>
        <w:rPr>
          <w:spacing w:val="-8"/>
        </w:rPr>
        <w:t> </w:t>
      </w:r>
      <w:r>
        <w:rPr/>
        <w:t>menos</w:t>
      </w:r>
      <w:r>
        <w:rPr>
          <w:spacing w:val="-8"/>
        </w:rPr>
        <w:t> </w:t>
      </w:r>
      <w:r>
        <w:rPr/>
        <w:t>el</w:t>
      </w:r>
      <w:r>
        <w:rPr>
          <w:spacing w:val="-9"/>
        </w:rPr>
        <w:t> </w:t>
      </w:r>
      <w:r>
        <w:rPr/>
        <w:t>15%</w:t>
      </w:r>
      <w:r>
        <w:rPr>
          <w:spacing w:val="-6"/>
        </w:rPr>
        <w:t> </w:t>
      </w:r>
      <w:r>
        <w:rPr/>
        <w:t>de</w:t>
      </w:r>
      <w:r>
        <w:rPr>
          <w:spacing w:val="-7"/>
        </w:rPr>
        <w:t> </w:t>
      </w:r>
      <w:r>
        <w:rPr/>
        <w:t>la</w:t>
      </w:r>
      <w:r>
        <w:rPr>
          <w:spacing w:val="-8"/>
        </w:rPr>
        <w:t> </w:t>
      </w:r>
      <w:r>
        <w:rPr/>
        <w:t>población</w:t>
      </w:r>
      <w:r>
        <w:rPr>
          <w:spacing w:val="-5"/>
        </w:rPr>
        <w:t> </w:t>
      </w:r>
      <w:r>
        <w:rPr/>
        <w:t>puede</w:t>
      </w:r>
      <w:r>
        <w:rPr>
          <w:spacing w:val="-7"/>
        </w:rPr>
        <w:t> </w:t>
      </w:r>
      <w:r>
        <w:rPr/>
        <w:t>tener</w:t>
      </w:r>
      <w:r>
        <w:rPr>
          <w:spacing w:val="-6"/>
        </w:rPr>
        <w:t> </w:t>
      </w:r>
      <w:r>
        <w:rPr/>
        <w:t>una</w:t>
      </w:r>
      <w:r>
        <w:rPr>
          <w:spacing w:val="-7"/>
        </w:rPr>
        <w:t> </w:t>
      </w:r>
      <w:r>
        <w:rPr/>
        <w:t>Crisis convulsiva (CC) durante su vida, sin embargo, también es cierto que las CC pueden ser provocadas por trastornos metabólicos, por hipertermia (crisis febriles) y además pueden presentarse crisis semejantes a las crisis epilépticas (crisis no epilépticas), pseudocrisis</w:t>
      </w:r>
      <w:r>
        <w:rPr>
          <w:spacing w:val="-10"/>
        </w:rPr>
        <w:t> </w:t>
      </w:r>
      <w:r>
        <w:rPr/>
        <w:t>que</w:t>
      </w:r>
      <w:r>
        <w:rPr>
          <w:spacing w:val="-8"/>
        </w:rPr>
        <w:t> </w:t>
      </w:r>
      <w:r>
        <w:rPr/>
        <w:t>están</w:t>
      </w:r>
      <w:r>
        <w:rPr>
          <w:spacing w:val="-11"/>
        </w:rPr>
        <w:t> </w:t>
      </w:r>
      <w:r>
        <w:rPr/>
        <w:t>relacionadas</w:t>
      </w:r>
      <w:r>
        <w:rPr>
          <w:spacing w:val="-9"/>
        </w:rPr>
        <w:t> </w:t>
      </w:r>
      <w:r>
        <w:rPr/>
        <w:t>a</w:t>
      </w:r>
      <w:r>
        <w:rPr>
          <w:spacing w:val="-8"/>
        </w:rPr>
        <w:t> </w:t>
      </w:r>
      <w:r>
        <w:rPr/>
        <w:t>otras</w:t>
      </w:r>
      <w:r>
        <w:rPr>
          <w:spacing w:val="-9"/>
        </w:rPr>
        <w:t> </w:t>
      </w:r>
      <w:r>
        <w:rPr/>
        <w:t>disfunciones</w:t>
      </w:r>
      <w:r>
        <w:rPr>
          <w:spacing w:val="-9"/>
        </w:rPr>
        <w:t> </w:t>
      </w:r>
      <w:r>
        <w:rPr/>
        <w:t>neurológicas</w:t>
      </w:r>
      <w:r>
        <w:rPr>
          <w:spacing w:val="-9"/>
        </w:rPr>
        <w:t> </w:t>
      </w:r>
      <w:r>
        <w:rPr/>
        <w:t>o</w:t>
      </w:r>
      <w:r>
        <w:rPr>
          <w:spacing w:val="-8"/>
        </w:rPr>
        <w:t> </w:t>
      </w:r>
      <w:r>
        <w:rPr/>
        <w:t>psiquiátricas. Según Annergers y colaboradores, los períodos de mayor incidencia de la epilepsia ocurren en pacientes menores de 1 año de edad y mayores de 75</w:t>
      </w:r>
      <w:r>
        <w:rPr>
          <w:spacing w:val="-43"/>
        </w:rPr>
        <w:t> </w:t>
      </w:r>
      <w:r>
        <w:rPr>
          <w:position w:val="8"/>
          <w:sz w:val="16"/>
        </w:rPr>
        <w:t>(8)</w:t>
      </w:r>
      <w:r>
        <w:rPr/>
        <w:t>.</w:t>
      </w:r>
    </w:p>
    <w:p>
      <w:pPr>
        <w:pStyle w:val="BodyText"/>
        <w:spacing w:line="360" w:lineRule="auto" w:before="198"/>
        <w:ind w:left="118" w:right="185"/>
        <w:jc w:val="both"/>
      </w:pPr>
      <w:r>
        <w:rPr/>
        <w:t>La </w:t>
      </w:r>
      <w:r>
        <w:rPr>
          <w:spacing w:val="-5"/>
        </w:rPr>
        <w:t>epilepsia </w:t>
      </w:r>
      <w:r>
        <w:rPr/>
        <w:t>es un </w:t>
      </w:r>
      <w:r>
        <w:rPr>
          <w:spacing w:val="-5"/>
        </w:rPr>
        <w:t>trastorno </w:t>
      </w:r>
      <w:r>
        <w:rPr>
          <w:spacing w:val="-4"/>
        </w:rPr>
        <w:t>neurológico crónico común </w:t>
      </w:r>
      <w:r>
        <w:rPr>
          <w:spacing w:val="-3"/>
        </w:rPr>
        <w:t>que se </w:t>
      </w:r>
      <w:r>
        <w:rPr>
          <w:spacing w:val="-5"/>
        </w:rPr>
        <w:t>caracteriza </w:t>
      </w:r>
      <w:r>
        <w:rPr>
          <w:spacing w:val="-2"/>
        </w:rPr>
        <w:t>por </w:t>
      </w:r>
      <w:r>
        <w:rPr>
          <w:spacing w:val="-5"/>
        </w:rPr>
        <w:t>convulsiones </w:t>
      </w:r>
      <w:r>
        <w:rPr>
          <w:spacing w:val="-4"/>
        </w:rPr>
        <w:t>recurrentes </w:t>
      </w:r>
      <w:r>
        <w:rPr/>
        <w:t>no </w:t>
      </w:r>
      <w:r>
        <w:rPr>
          <w:spacing w:val="-5"/>
        </w:rPr>
        <w:t>provocadas. </w:t>
      </w:r>
      <w:r>
        <w:rPr>
          <w:spacing w:val="-3"/>
        </w:rPr>
        <w:t>Una </w:t>
      </w:r>
      <w:r>
        <w:rPr>
          <w:spacing w:val="-5"/>
        </w:rPr>
        <w:t>convulsión </w:t>
      </w:r>
      <w:r>
        <w:rPr/>
        <w:t>es el </w:t>
      </w:r>
      <w:r>
        <w:rPr>
          <w:spacing w:val="-4"/>
        </w:rPr>
        <w:t>resultado espontáneo, sincrónico, inapropiado, </w:t>
      </w:r>
      <w:r>
        <w:rPr/>
        <w:t>de </w:t>
      </w:r>
      <w:r>
        <w:rPr>
          <w:spacing w:val="-3"/>
        </w:rPr>
        <w:t>una </w:t>
      </w:r>
      <w:r>
        <w:rPr>
          <w:spacing w:val="-4"/>
        </w:rPr>
        <w:t>descarga eléctrica excesiva </w:t>
      </w:r>
      <w:r>
        <w:rPr/>
        <w:t>de </w:t>
      </w:r>
      <w:r>
        <w:rPr>
          <w:spacing w:val="-3"/>
        </w:rPr>
        <w:t>las </w:t>
      </w:r>
      <w:r>
        <w:rPr>
          <w:spacing w:val="-4"/>
        </w:rPr>
        <w:t>neuronas cerebrales </w:t>
      </w:r>
      <w:r>
        <w:rPr>
          <w:spacing w:val="-3"/>
        </w:rPr>
        <w:t>que </w:t>
      </w:r>
      <w:r>
        <w:rPr>
          <w:spacing w:val="-5"/>
        </w:rPr>
        <w:t>interfieren </w:t>
      </w:r>
      <w:r>
        <w:rPr>
          <w:spacing w:val="-3"/>
        </w:rPr>
        <w:t>con la </w:t>
      </w:r>
      <w:r>
        <w:rPr>
          <w:spacing w:val="-4"/>
        </w:rPr>
        <w:t>función normal </w:t>
      </w:r>
      <w:r>
        <w:rPr>
          <w:spacing w:val="-3"/>
        </w:rPr>
        <w:t>del </w:t>
      </w:r>
      <w:r>
        <w:rPr>
          <w:spacing w:val="-4"/>
        </w:rPr>
        <w:t>cerebro </w:t>
      </w:r>
      <w:r>
        <w:rPr/>
        <w:t>y </w:t>
      </w:r>
      <w:r>
        <w:rPr>
          <w:spacing w:val="-4"/>
        </w:rPr>
        <w:t>resultan </w:t>
      </w:r>
      <w:r>
        <w:rPr/>
        <w:t>en </w:t>
      </w:r>
      <w:r>
        <w:rPr>
          <w:spacing w:val="-4"/>
        </w:rPr>
        <w:t>alteraciones </w:t>
      </w:r>
      <w:r>
        <w:rPr>
          <w:spacing w:val="-2"/>
        </w:rPr>
        <w:t>del </w:t>
      </w:r>
      <w:r>
        <w:rPr>
          <w:spacing w:val="-4"/>
        </w:rPr>
        <w:t>nivel </w:t>
      </w:r>
      <w:r>
        <w:rPr/>
        <w:t>de </w:t>
      </w:r>
      <w:r>
        <w:rPr>
          <w:spacing w:val="-5"/>
        </w:rPr>
        <w:t>conciencia, </w:t>
      </w:r>
      <w:r>
        <w:rPr>
          <w:spacing w:val="-4"/>
        </w:rPr>
        <w:t>movimientos convulsivos </w:t>
      </w:r>
      <w:r>
        <w:rPr/>
        <w:t>u </w:t>
      </w:r>
      <w:r>
        <w:rPr>
          <w:spacing w:val="-4"/>
        </w:rPr>
        <w:t>otra actividad motora, fenómenos </w:t>
      </w:r>
      <w:r>
        <w:rPr>
          <w:spacing w:val="-5"/>
        </w:rPr>
        <w:t>sensoriales, conductuales</w:t>
      </w:r>
      <w:r>
        <w:rPr>
          <w:spacing w:val="-18"/>
        </w:rPr>
        <w:t> </w:t>
      </w:r>
      <w:r>
        <w:rPr/>
        <w:t>y</w:t>
      </w:r>
      <w:r>
        <w:rPr>
          <w:spacing w:val="-23"/>
        </w:rPr>
        <w:t> </w:t>
      </w:r>
      <w:r>
        <w:rPr>
          <w:spacing w:val="-4"/>
        </w:rPr>
        <w:t>deterioro</w:t>
      </w:r>
      <w:r>
        <w:rPr>
          <w:spacing w:val="-22"/>
        </w:rPr>
        <w:t> </w:t>
      </w:r>
      <w:r>
        <w:rPr>
          <w:spacing w:val="-5"/>
        </w:rPr>
        <w:t>mental</w:t>
      </w:r>
      <w:r>
        <w:rPr>
          <w:spacing w:val="-5"/>
          <w:position w:val="8"/>
          <w:sz w:val="16"/>
        </w:rPr>
        <w:t>(9)</w:t>
      </w:r>
      <w:r>
        <w:rPr>
          <w:spacing w:val="-5"/>
        </w:rPr>
        <w:t>.</w:t>
      </w:r>
      <w:r>
        <w:rPr>
          <w:spacing w:val="-20"/>
        </w:rPr>
        <w:t> </w:t>
      </w:r>
      <w:r>
        <w:rPr/>
        <w:t>La</w:t>
      </w:r>
      <w:r>
        <w:rPr>
          <w:spacing w:val="-22"/>
        </w:rPr>
        <w:t> </w:t>
      </w:r>
      <w:r>
        <w:rPr>
          <w:spacing w:val="-4"/>
        </w:rPr>
        <w:t>mayoría</w:t>
      </w:r>
      <w:r>
        <w:rPr>
          <w:spacing w:val="-20"/>
        </w:rPr>
        <w:t> </w:t>
      </w:r>
      <w:r>
        <w:rPr/>
        <w:t>de</w:t>
      </w:r>
      <w:r>
        <w:rPr>
          <w:spacing w:val="-22"/>
        </w:rPr>
        <w:t> </w:t>
      </w:r>
      <w:r>
        <w:rPr>
          <w:spacing w:val="-4"/>
        </w:rPr>
        <w:t>estos</w:t>
      </w:r>
      <w:r>
        <w:rPr>
          <w:spacing w:val="-21"/>
        </w:rPr>
        <w:t> </w:t>
      </w:r>
      <w:r>
        <w:rPr>
          <w:spacing w:val="-4"/>
        </w:rPr>
        <w:t>ataques</w:t>
      </w:r>
      <w:r>
        <w:rPr>
          <w:spacing w:val="-21"/>
        </w:rPr>
        <w:t> </w:t>
      </w:r>
      <w:r>
        <w:rPr>
          <w:spacing w:val="-3"/>
        </w:rPr>
        <w:t>se</w:t>
      </w:r>
      <w:r>
        <w:rPr>
          <w:spacing w:val="-22"/>
        </w:rPr>
        <w:t> </w:t>
      </w:r>
      <w:r>
        <w:rPr>
          <w:spacing w:val="-4"/>
        </w:rPr>
        <w:t>atribuyen</w:t>
      </w:r>
      <w:r>
        <w:rPr>
          <w:spacing w:val="-20"/>
        </w:rPr>
        <w:t> </w:t>
      </w:r>
      <w:r>
        <w:rPr/>
        <w:t>a</w:t>
      </w:r>
      <w:r>
        <w:rPr>
          <w:spacing w:val="-22"/>
        </w:rPr>
        <w:t> </w:t>
      </w:r>
      <w:r>
        <w:rPr>
          <w:spacing w:val="-3"/>
        </w:rPr>
        <w:t>una</w:t>
      </w:r>
      <w:r>
        <w:rPr>
          <w:spacing w:val="-20"/>
        </w:rPr>
        <w:t> </w:t>
      </w:r>
      <w:r>
        <w:rPr>
          <w:spacing w:val="-4"/>
        </w:rPr>
        <w:t>causa específica, como fiebre alta </w:t>
      </w:r>
      <w:r>
        <w:rPr/>
        <w:t>o </w:t>
      </w:r>
      <w:r>
        <w:rPr>
          <w:spacing w:val="-5"/>
        </w:rPr>
        <w:t>trastorno metabólico subyacente. </w:t>
      </w:r>
      <w:r>
        <w:rPr>
          <w:spacing w:val="-3"/>
        </w:rPr>
        <w:t>Las </w:t>
      </w:r>
      <w:r>
        <w:rPr>
          <w:spacing w:val="-5"/>
        </w:rPr>
        <w:t>convulsiones </w:t>
      </w:r>
      <w:r>
        <w:rPr>
          <w:spacing w:val="-4"/>
        </w:rPr>
        <w:t>aisladas </w:t>
      </w:r>
      <w:r>
        <w:rPr>
          <w:spacing w:val="-3"/>
        </w:rPr>
        <w:t>son más </w:t>
      </w:r>
      <w:r>
        <w:rPr>
          <w:spacing w:val="-4"/>
        </w:rPr>
        <w:t>comunes </w:t>
      </w:r>
      <w:r>
        <w:rPr/>
        <w:t>en </w:t>
      </w:r>
      <w:r>
        <w:rPr>
          <w:spacing w:val="-3"/>
        </w:rPr>
        <w:t>la </w:t>
      </w:r>
      <w:r>
        <w:rPr>
          <w:spacing w:val="-4"/>
        </w:rPr>
        <w:t>infancia, </w:t>
      </w:r>
      <w:r>
        <w:rPr>
          <w:spacing w:val="-3"/>
        </w:rPr>
        <w:t>con nada </w:t>
      </w:r>
      <w:r>
        <w:rPr>
          <w:spacing w:val="-4"/>
        </w:rPr>
        <w:t>menos </w:t>
      </w:r>
      <w:r>
        <w:rPr>
          <w:spacing w:val="-3"/>
        </w:rPr>
        <w:t>que </w:t>
      </w:r>
      <w:r>
        <w:rPr/>
        <w:t>4% de </w:t>
      </w:r>
      <w:r>
        <w:rPr>
          <w:spacing w:val="-4"/>
        </w:rPr>
        <w:t>los niños </w:t>
      </w:r>
      <w:r>
        <w:rPr>
          <w:spacing w:val="-3"/>
        </w:rPr>
        <w:t>que </w:t>
      </w:r>
      <w:r>
        <w:rPr>
          <w:spacing w:val="-4"/>
        </w:rPr>
        <w:t>tienen </w:t>
      </w:r>
      <w:r>
        <w:rPr/>
        <w:t>al </w:t>
      </w:r>
      <w:r>
        <w:rPr>
          <w:spacing w:val="-4"/>
        </w:rPr>
        <w:t>menos </w:t>
      </w:r>
      <w:r>
        <w:rPr>
          <w:spacing w:val="-3"/>
        </w:rPr>
        <w:t>una </w:t>
      </w:r>
      <w:r>
        <w:rPr>
          <w:spacing w:val="-4"/>
        </w:rPr>
        <w:t>convulsión</w:t>
      </w:r>
      <w:r>
        <w:rPr>
          <w:spacing w:val="58"/>
        </w:rPr>
        <w:t> </w:t>
      </w:r>
      <w:r>
        <w:rPr/>
        <w:t>antes de cumplir los 15. Sin embargo, un ataque aislado no es indicativo de epilepsia</w:t>
      </w:r>
      <w:r>
        <w:rPr>
          <w:spacing w:val="-12"/>
        </w:rPr>
        <w:t> </w:t>
      </w:r>
      <w:r>
        <w:rPr>
          <w:position w:val="8"/>
          <w:sz w:val="16"/>
        </w:rPr>
        <w:t>(9)</w:t>
      </w:r>
      <w:r>
        <w:rPr/>
        <w:t>.</w:t>
      </w:r>
    </w:p>
    <w:p>
      <w:pPr>
        <w:pStyle w:val="BodyText"/>
        <w:spacing w:before="7"/>
        <w:rPr>
          <w:sz w:val="34"/>
        </w:rPr>
      </w:pPr>
    </w:p>
    <w:p>
      <w:pPr>
        <w:pStyle w:val="BodyText"/>
        <w:spacing w:line="357" w:lineRule="auto"/>
        <w:ind w:left="118" w:right="118"/>
        <w:jc w:val="both"/>
      </w:pPr>
      <w:r>
        <w:rPr/>
        <w:t>En varios países, la incidencia anual de crisis recurrentes y no provocadas por edad ajustada varía de 28.9 a 53.1 por 100,00 personas en riesgo por años. Por edad de incidencia</w:t>
      </w:r>
      <w:r>
        <w:rPr>
          <w:spacing w:val="-9"/>
        </w:rPr>
        <w:t> </w:t>
      </w:r>
      <w:r>
        <w:rPr/>
        <w:t>la</w:t>
      </w:r>
      <w:r>
        <w:rPr>
          <w:spacing w:val="-11"/>
        </w:rPr>
        <w:t> </w:t>
      </w:r>
      <w:r>
        <w:rPr/>
        <w:t>epilepsia</w:t>
      </w:r>
      <w:r>
        <w:rPr>
          <w:spacing w:val="-11"/>
        </w:rPr>
        <w:t> </w:t>
      </w:r>
      <w:r>
        <w:rPr/>
        <w:t>es</w:t>
      </w:r>
      <w:r>
        <w:rPr>
          <w:spacing w:val="-9"/>
        </w:rPr>
        <w:t> </w:t>
      </w:r>
      <w:r>
        <w:rPr/>
        <w:t>más</w:t>
      </w:r>
      <w:r>
        <w:rPr>
          <w:spacing w:val="-7"/>
        </w:rPr>
        <w:t> </w:t>
      </w:r>
      <w:r>
        <w:rPr/>
        <w:t>alta</w:t>
      </w:r>
      <w:r>
        <w:rPr>
          <w:spacing w:val="-11"/>
        </w:rPr>
        <w:t> </w:t>
      </w:r>
      <w:r>
        <w:rPr/>
        <w:t>en</w:t>
      </w:r>
      <w:r>
        <w:rPr>
          <w:spacing w:val="-8"/>
        </w:rPr>
        <w:t> </w:t>
      </w:r>
      <w:r>
        <w:rPr/>
        <w:t>jóvenes</w:t>
      </w:r>
      <w:r>
        <w:rPr>
          <w:spacing w:val="-12"/>
        </w:rPr>
        <w:t> </w:t>
      </w:r>
      <w:r>
        <w:rPr/>
        <w:t>y</w:t>
      </w:r>
      <w:r>
        <w:rPr>
          <w:spacing w:val="-12"/>
        </w:rPr>
        <w:t> </w:t>
      </w:r>
      <w:r>
        <w:rPr/>
        <w:t>las</w:t>
      </w:r>
      <w:r>
        <w:rPr>
          <w:spacing w:val="-9"/>
        </w:rPr>
        <w:t> </w:t>
      </w:r>
      <w:r>
        <w:rPr/>
        <w:t>tasas</w:t>
      </w:r>
      <w:r>
        <w:rPr>
          <w:spacing w:val="-9"/>
        </w:rPr>
        <w:t> </w:t>
      </w:r>
      <w:r>
        <w:rPr/>
        <w:t>más</w:t>
      </w:r>
      <w:r>
        <w:rPr>
          <w:spacing w:val="-9"/>
        </w:rPr>
        <w:t> </w:t>
      </w:r>
      <w:r>
        <w:rPr/>
        <w:t>altas</w:t>
      </w:r>
      <w:r>
        <w:rPr>
          <w:spacing w:val="-12"/>
        </w:rPr>
        <w:t> </w:t>
      </w:r>
      <w:r>
        <w:rPr/>
        <w:t>se</w:t>
      </w:r>
      <w:r>
        <w:rPr>
          <w:spacing w:val="-8"/>
        </w:rPr>
        <w:t> </w:t>
      </w:r>
      <w:r>
        <w:rPr/>
        <w:t>observan</w:t>
      </w:r>
      <w:r>
        <w:rPr>
          <w:spacing w:val="-8"/>
        </w:rPr>
        <w:t> </w:t>
      </w:r>
      <w:r>
        <w:rPr/>
        <w:t>en</w:t>
      </w:r>
      <w:r>
        <w:rPr>
          <w:spacing w:val="-8"/>
        </w:rPr>
        <w:t> </w:t>
      </w:r>
      <w:r>
        <w:rPr/>
        <w:t>los primeros meses de vida, </w:t>
      </w:r>
      <w:r>
        <w:rPr>
          <w:position w:val="8"/>
          <w:sz w:val="16"/>
        </w:rPr>
        <w:t>(3) </w:t>
      </w:r>
      <w:r>
        <w:rPr/>
        <w:t>la incidencia en adultos es relativamente</w:t>
      </w:r>
      <w:r>
        <w:rPr>
          <w:spacing w:val="-19"/>
        </w:rPr>
        <w:t> </w:t>
      </w:r>
      <w:r>
        <w:rPr/>
        <w:t>baja.</w:t>
      </w:r>
    </w:p>
    <w:p>
      <w:pPr>
        <w:spacing w:after="0" w:line="357" w:lineRule="auto"/>
        <w:jc w:val="both"/>
        <w:sectPr>
          <w:pgSz w:w="12240" w:h="15840"/>
          <w:pgMar w:header="749" w:footer="1003" w:top="960" w:bottom="1200" w:left="1300" w:right="1580"/>
        </w:sectPr>
      </w:pPr>
    </w:p>
    <w:p>
      <w:pPr>
        <w:pStyle w:val="BodyText"/>
        <w:rPr>
          <w:sz w:val="20"/>
        </w:rPr>
      </w:pPr>
    </w:p>
    <w:p>
      <w:pPr>
        <w:pStyle w:val="BodyText"/>
        <w:rPr>
          <w:sz w:val="20"/>
        </w:rPr>
      </w:pPr>
    </w:p>
    <w:p>
      <w:pPr>
        <w:pStyle w:val="BodyText"/>
        <w:spacing w:before="5"/>
        <w:rPr>
          <w:sz w:val="17"/>
        </w:rPr>
      </w:pPr>
    </w:p>
    <w:p>
      <w:pPr>
        <w:pStyle w:val="BodyText"/>
        <w:spacing w:line="360" w:lineRule="auto" w:before="70"/>
        <w:ind w:left="118" w:right="116"/>
        <w:jc w:val="both"/>
      </w:pPr>
      <w:r>
        <w:rPr/>
        <w:t>De</w:t>
      </w:r>
      <w:r>
        <w:rPr>
          <w:spacing w:val="-9"/>
        </w:rPr>
        <w:t> </w:t>
      </w:r>
      <w:r>
        <w:rPr/>
        <w:t>acuerdo</w:t>
      </w:r>
      <w:r>
        <w:rPr>
          <w:spacing w:val="-8"/>
        </w:rPr>
        <w:t> </w:t>
      </w:r>
      <w:r>
        <w:rPr/>
        <w:t>a</w:t>
      </w:r>
      <w:r>
        <w:rPr>
          <w:spacing w:val="-8"/>
        </w:rPr>
        <w:t> </w:t>
      </w:r>
      <w:r>
        <w:rPr/>
        <w:t>la</w:t>
      </w:r>
      <w:r>
        <w:rPr>
          <w:spacing w:val="-9"/>
        </w:rPr>
        <w:t> </w:t>
      </w:r>
      <w:r>
        <w:rPr/>
        <w:t>realización</w:t>
      </w:r>
      <w:r>
        <w:rPr>
          <w:spacing w:val="-8"/>
        </w:rPr>
        <w:t> </w:t>
      </w:r>
      <w:r>
        <w:rPr/>
        <w:t>de</w:t>
      </w:r>
      <w:r>
        <w:rPr>
          <w:spacing w:val="-8"/>
        </w:rPr>
        <w:t> </w:t>
      </w:r>
      <w:r>
        <w:rPr/>
        <w:t>diversas</w:t>
      </w:r>
      <w:r>
        <w:rPr>
          <w:spacing w:val="-9"/>
        </w:rPr>
        <w:t> </w:t>
      </w:r>
      <w:r>
        <w:rPr/>
        <w:t>investigaciones,</w:t>
      </w:r>
      <w:r>
        <w:rPr>
          <w:spacing w:val="-9"/>
        </w:rPr>
        <w:t> </w:t>
      </w:r>
      <w:r>
        <w:rPr/>
        <w:t>se</w:t>
      </w:r>
      <w:r>
        <w:rPr>
          <w:spacing w:val="-8"/>
        </w:rPr>
        <w:t> </w:t>
      </w:r>
      <w:r>
        <w:rPr/>
        <w:t>determinó</w:t>
      </w:r>
      <w:r>
        <w:rPr>
          <w:spacing w:val="-7"/>
        </w:rPr>
        <w:t> </w:t>
      </w:r>
      <w:r>
        <w:rPr/>
        <w:t>una</w:t>
      </w:r>
      <w:r>
        <w:rPr>
          <w:spacing w:val="-11"/>
        </w:rPr>
        <w:t> </w:t>
      </w:r>
      <w:r>
        <w:rPr/>
        <w:t>prevalencia aceptada por la OMS de 7 enfermos por cada mil personas a nivel mundial, lo que da como</w:t>
      </w:r>
      <w:r>
        <w:rPr>
          <w:spacing w:val="-6"/>
        </w:rPr>
        <w:t> </w:t>
      </w:r>
      <w:r>
        <w:rPr/>
        <w:t>resultado</w:t>
      </w:r>
      <w:r>
        <w:rPr>
          <w:spacing w:val="-6"/>
        </w:rPr>
        <w:t> </w:t>
      </w:r>
      <w:r>
        <w:rPr/>
        <w:t>un</w:t>
      </w:r>
      <w:r>
        <w:rPr>
          <w:spacing w:val="-4"/>
        </w:rPr>
        <w:t> </w:t>
      </w:r>
      <w:r>
        <w:rPr/>
        <w:t>cálculo</w:t>
      </w:r>
      <w:r>
        <w:rPr>
          <w:spacing w:val="-4"/>
        </w:rPr>
        <w:t> </w:t>
      </w:r>
      <w:r>
        <w:rPr/>
        <w:t>aproximado</w:t>
      </w:r>
      <w:r>
        <w:rPr>
          <w:spacing w:val="-6"/>
        </w:rPr>
        <w:t> </w:t>
      </w:r>
      <w:r>
        <w:rPr/>
        <w:t>de</w:t>
      </w:r>
      <w:r>
        <w:rPr>
          <w:spacing w:val="-6"/>
        </w:rPr>
        <w:t> </w:t>
      </w:r>
      <w:r>
        <w:rPr/>
        <w:t>40</w:t>
      </w:r>
      <w:r>
        <w:rPr>
          <w:spacing w:val="-6"/>
        </w:rPr>
        <w:t> </w:t>
      </w:r>
      <w:r>
        <w:rPr/>
        <w:t>a</w:t>
      </w:r>
      <w:r>
        <w:rPr>
          <w:spacing w:val="-4"/>
        </w:rPr>
        <w:t> </w:t>
      </w:r>
      <w:r>
        <w:rPr/>
        <w:t>50</w:t>
      </w:r>
      <w:r>
        <w:rPr>
          <w:spacing w:val="-4"/>
        </w:rPr>
        <w:t> </w:t>
      </w:r>
      <w:r>
        <w:rPr/>
        <w:t>millones</w:t>
      </w:r>
      <w:r>
        <w:rPr>
          <w:spacing w:val="-7"/>
        </w:rPr>
        <w:t> </w:t>
      </w:r>
      <w:r>
        <w:rPr/>
        <w:t>de</w:t>
      </w:r>
      <w:r>
        <w:rPr>
          <w:spacing w:val="-6"/>
        </w:rPr>
        <w:t> </w:t>
      </w:r>
      <w:r>
        <w:rPr/>
        <w:t>pacientes</w:t>
      </w:r>
      <w:r>
        <w:rPr>
          <w:spacing w:val="-4"/>
        </w:rPr>
        <w:t> </w:t>
      </w:r>
      <w:r>
        <w:rPr/>
        <w:t>con</w:t>
      </w:r>
      <w:r>
        <w:rPr>
          <w:spacing w:val="-6"/>
        </w:rPr>
        <w:t> </w:t>
      </w:r>
      <w:r>
        <w:rPr/>
        <w:t>epilepsia en sus diferentes variedades. Sin embargo, esta cifra de 7/1000 es conservadora, ya que las cifras de prevalencia reportadas en países en desarrollo como lo es México son más elevadas. En nuestro país se han llevado a cabo diversos estudios epidemiológicos en zonas urbanas, suburbanas y rurales; que han dado como resultado una prevalencia de 15/1000</w:t>
      </w:r>
      <w:r>
        <w:rPr>
          <w:spacing w:val="-13"/>
        </w:rPr>
        <w:t> </w:t>
      </w:r>
      <w:r>
        <w:rPr>
          <w:position w:val="8"/>
          <w:sz w:val="16"/>
        </w:rPr>
        <w:t>(3)</w:t>
      </w:r>
      <w:r>
        <w:rPr/>
        <w:t>.</w:t>
      </w:r>
    </w:p>
    <w:p>
      <w:pPr>
        <w:pStyle w:val="BodyText"/>
        <w:rPr>
          <w:sz w:val="26"/>
        </w:rPr>
      </w:pPr>
    </w:p>
    <w:p>
      <w:pPr>
        <w:pStyle w:val="BodyText"/>
        <w:rPr>
          <w:sz w:val="26"/>
        </w:rPr>
      </w:pPr>
    </w:p>
    <w:p>
      <w:pPr>
        <w:pStyle w:val="Heading2"/>
        <w:numPr>
          <w:ilvl w:val="2"/>
          <w:numId w:val="2"/>
        </w:numPr>
        <w:tabs>
          <w:tab w:pos="722" w:val="left" w:leader="none"/>
        </w:tabs>
        <w:spacing w:line="240" w:lineRule="auto" w:before="217" w:after="0"/>
        <w:ind w:left="721" w:right="0" w:hanging="603"/>
        <w:jc w:val="both"/>
      </w:pPr>
      <w:r>
        <w:rPr/>
        <w:t>Etiología y</w:t>
      </w:r>
      <w:r>
        <w:rPr>
          <w:spacing w:val="-5"/>
        </w:rPr>
        <w:t> </w:t>
      </w:r>
      <w:r>
        <w:rPr/>
        <w:t>patogenia.</w:t>
      </w:r>
    </w:p>
    <w:p>
      <w:pPr>
        <w:pStyle w:val="BodyText"/>
        <w:spacing w:before="4"/>
        <w:rPr>
          <w:b/>
          <w:sz w:val="29"/>
        </w:rPr>
      </w:pPr>
    </w:p>
    <w:p>
      <w:pPr>
        <w:pStyle w:val="BodyText"/>
        <w:spacing w:line="357" w:lineRule="auto" w:before="1"/>
        <w:ind w:left="118" w:right="122"/>
        <w:jc w:val="both"/>
      </w:pPr>
      <w:r>
        <w:rPr/>
        <w:t>En el 70% de los casos de epilepsia, la etiología específica no se sabe con certeza. Estos casos se definen como la epilepsia idiopática o primaria. Cuando se conoce la etiología de las convulsiones, la afección se conoce como secundaria o epilepsia adquirida epilepsia </w:t>
      </w:r>
      <w:r>
        <w:rPr>
          <w:position w:val="8"/>
          <w:sz w:val="16"/>
        </w:rPr>
        <w:t>(10)</w:t>
      </w:r>
      <w:r>
        <w:rPr/>
        <w:t>.</w:t>
      </w:r>
    </w:p>
    <w:p>
      <w:pPr>
        <w:pStyle w:val="BodyText"/>
        <w:spacing w:line="357" w:lineRule="auto" w:before="203"/>
        <w:ind w:left="118" w:right="116"/>
        <w:jc w:val="both"/>
      </w:pPr>
      <w:r>
        <w:rPr/>
        <w:t>Las</w:t>
      </w:r>
      <w:r>
        <w:rPr>
          <w:spacing w:val="-14"/>
        </w:rPr>
        <w:t> </w:t>
      </w:r>
      <w:r>
        <w:rPr/>
        <w:t>Epilepsias</w:t>
      </w:r>
      <w:r>
        <w:rPr>
          <w:spacing w:val="-13"/>
        </w:rPr>
        <w:t> </w:t>
      </w:r>
      <w:r>
        <w:rPr/>
        <w:t>secundarias</w:t>
      </w:r>
      <w:r>
        <w:rPr>
          <w:spacing w:val="-14"/>
        </w:rPr>
        <w:t> </w:t>
      </w:r>
      <w:r>
        <w:rPr/>
        <w:t>son</w:t>
      </w:r>
      <w:r>
        <w:rPr>
          <w:spacing w:val="-15"/>
        </w:rPr>
        <w:t> </w:t>
      </w:r>
      <w:r>
        <w:rPr/>
        <w:t>el</w:t>
      </w:r>
      <w:r>
        <w:rPr>
          <w:spacing w:val="-14"/>
        </w:rPr>
        <w:t> </w:t>
      </w:r>
      <w:r>
        <w:rPr/>
        <w:t>resultado</w:t>
      </w:r>
      <w:r>
        <w:rPr>
          <w:spacing w:val="-13"/>
        </w:rPr>
        <w:t> </w:t>
      </w:r>
      <w:r>
        <w:rPr/>
        <w:t>del</w:t>
      </w:r>
      <w:r>
        <w:rPr>
          <w:spacing w:val="-14"/>
        </w:rPr>
        <w:t> </w:t>
      </w:r>
      <w:r>
        <w:rPr/>
        <w:t>metabolismo,</w:t>
      </w:r>
      <w:r>
        <w:rPr>
          <w:spacing w:val="-8"/>
        </w:rPr>
        <w:t> </w:t>
      </w:r>
      <w:r>
        <w:rPr/>
        <w:t>de</w:t>
      </w:r>
      <w:r>
        <w:rPr>
          <w:spacing w:val="-13"/>
        </w:rPr>
        <w:t> </w:t>
      </w:r>
      <w:r>
        <w:rPr/>
        <w:t>anomalías</w:t>
      </w:r>
      <w:r>
        <w:rPr>
          <w:spacing w:val="-16"/>
        </w:rPr>
        <w:t> </w:t>
      </w:r>
      <w:r>
        <w:rPr/>
        <w:t>genéticas, estructurales o funcionales </w:t>
      </w:r>
      <w:r>
        <w:rPr>
          <w:position w:val="8"/>
          <w:sz w:val="16"/>
        </w:rPr>
        <w:t>(10)</w:t>
      </w:r>
      <w:r>
        <w:rPr/>
        <w:t>. Algunos ejemplos de trastornos metabólicos relacionados con la epilepsia son desequilibrio electrolítico, acidosis, hiperglucemia, hipoglucemia, hipoxia, deshidratación, intoxicación </w:t>
      </w:r>
      <w:r>
        <w:rPr>
          <w:position w:val="8"/>
          <w:sz w:val="16"/>
        </w:rPr>
        <w:t>(11)</w:t>
      </w:r>
      <w:r>
        <w:rPr/>
        <w:t>. Ejemplos de algunas en enfermedades sistémicas que pueden provocar convulsiones son la sepsis, el lupus eritematoso sistémico, la hipertensión y la diabetes</w:t>
      </w:r>
      <w:r>
        <w:rPr>
          <w:spacing w:val="-12"/>
        </w:rPr>
        <w:t> </w:t>
      </w:r>
      <w:r>
        <w:rPr>
          <w:position w:val="8"/>
          <w:sz w:val="16"/>
        </w:rPr>
        <w:t>(11)</w:t>
      </w:r>
      <w:r>
        <w:rPr/>
        <w:t>.</w:t>
      </w:r>
    </w:p>
    <w:p>
      <w:pPr>
        <w:pStyle w:val="BodyText"/>
        <w:spacing w:line="360" w:lineRule="auto" w:before="203"/>
        <w:ind w:left="118" w:right="116"/>
        <w:jc w:val="both"/>
      </w:pPr>
      <w:r>
        <w:rPr/>
        <w:t>Otras causas de la epilepsia son malformaciones vasculares cerebrales, tumores cerebrales y hamartomas, lesiones isquémicas, traumas en la cabeza, traumas de nacimiento, infecciones que afectan a los bebés durante el embarazo, enfermedades inflamatorias y las enfermedades infecciosas. Las convulsiones también pueden</w:t>
      </w:r>
      <w:r>
        <w:rPr>
          <w:spacing w:val="-44"/>
        </w:rPr>
        <w:t> </w:t>
      </w:r>
      <w:r>
        <w:rPr/>
        <w:t>estar asociados con el síndrome de West, síndrome Lennox-Gastaut Syn-Drome y el Síndrome de Landau Kleffner</w:t>
      </w:r>
      <w:r>
        <w:rPr>
          <w:spacing w:val="-11"/>
        </w:rPr>
        <w:t> </w:t>
      </w:r>
      <w:r>
        <w:rPr>
          <w:position w:val="8"/>
          <w:sz w:val="16"/>
        </w:rPr>
        <w:t>(12)</w:t>
      </w:r>
      <w:r>
        <w:rPr/>
        <w:t>.</w:t>
      </w:r>
    </w:p>
    <w:p>
      <w:pPr>
        <w:pStyle w:val="BodyText"/>
        <w:spacing w:line="360" w:lineRule="auto" w:before="198"/>
        <w:ind w:left="118" w:right="115"/>
        <w:jc w:val="both"/>
      </w:pPr>
      <w:r>
        <w:rPr/>
        <w:t>La etiología de la epilepsia secundaria puede presentarse sólo en un tercio de los casos   diagnosticados   cuando   los   pacientes   son   adultos.   Las </w:t>
      </w:r>
      <w:r>
        <w:rPr>
          <w:spacing w:val="57"/>
        </w:rPr>
        <w:t> </w:t>
      </w:r>
      <w:r>
        <w:rPr/>
        <w:t>enfermedades</w:t>
      </w:r>
    </w:p>
    <w:p>
      <w:pPr>
        <w:spacing w:after="0" w:line="360" w:lineRule="auto"/>
        <w:jc w:val="both"/>
        <w:sectPr>
          <w:pgSz w:w="12240" w:h="15840"/>
          <w:pgMar w:header="749" w:footer="1003" w:top="960" w:bottom="1200" w:left="1300" w:right="1580"/>
        </w:sectPr>
      </w:pPr>
    </w:p>
    <w:p>
      <w:pPr>
        <w:pStyle w:val="BodyText"/>
        <w:rPr>
          <w:sz w:val="20"/>
        </w:rPr>
      </w:pPr>
    </w:p>
    <w:p>
      <w:pPr>
        <w:pStyle w:val="BodyText"/>
        <w:rPr>
          <w:sz w:val="20"/>
        </w:rPr>
      </w:pPr>
    </w:p>
    <w:p>
      <w:pPr>
        <w:pStyle w:val="BodyText"/>
        <w:spacing w:before="5"/>
        <w:rPr>
          <w:sz w:val="17"/>
        </w:rPr>
      </w:pPr>
    </w:p>
    <w:p>
      <w:pPr>
        <w:pStyle w:val="BodyText"/>
        <w:spacing w:line="355" w:lineRule="auto" w:before="70"/>
        <w:ind w:left="118" w:right="115"/>
        <w:jc w:val="both"/>
      </w:pPr>
      <w:r>
        <w:rPr/>
        <w:t>cerebrovasculares</w:t>
      </w:r>
      <w:r>
        <w:rPr>
          <w:spacing w:val="-15"/>
        </w:rPr>
        <w:t> </w:t>
      </w:r>
      <w:r>
        <w:rPr/>
        <w:t>son</w:t>
      </w:r>
      <w:r>
        <w:rPr>
          <w:spacing w:val="-16"/>
        </w:rPr>
        <w:t> </w:t>
      </w:r>
      <w:r>
        <w:rPr/>
        <w:t>las</w:t>
      </w:r>
      <w:r>
        <w:rPr>
          <w:spacing w:val="-14"/>
        </w:rPr>
        <w:t> </w:t>
      </w:r>
      <w:r>
        <w:rPr/>
        <w:t>causas</w:t>
      </w:r>
      <w:r>
        <w:rPr>
          <w:spacing w:val="-17"/>
        </w:rPr>
        <w:t> </w:t>
      </w:r>
      <w:r>
        <w:rPr/>
        <w:t>más</w:t>
      </w:r>
      <w:r>
        <w:rPr>
          <w:spacing w:val="-20"/>
        </w:rPr>
        <w:t> </w:t>
      </w:r>
      <w:r>
        <w:rPr/>
        <w:t>frecuentemente</w:t>
      </w:r>
      <w:r>
        <w:rPr>
          <w:spacing w:val="-16"/>
        </w:rPr>
        <w:t> </w:t>
      </w:r>
      <w:r>
        <w:rPr/>
        <w:t>encontrados</w:t>
      </w:r>
      <w:r>
        <w:rPr>
          <w:spacing w:val="-11"/>
        </w:rPr>
        <w:t> </w:t>
      </w:r>
      <w:r>
        <w:rPr/>
        <w:t>de</w:t>
      </w:r>
      <w:r>
        <w:rPr>
          <w:spacing w:val="-14"/>
        </w:rPr>
        <w:t> </w:t>
      </w:r>
      <w:r>
        <w:rPr/>
        <w:t>epilepsia</w:t>
      </w:r>
      <w:r>
        <w:rPr>
          <w:spacing w:val="-17"/>
        </w:rPr>
        <w:t> </w:t>
      </w:r>
      <w:r>
        <w:rPr/>
        <w:t>(40% de los casos). La segunda causa más frecuentemente son los tumores cerebrales</w:t>
      </w:r>
      <w:r>
        <w:rPr>
          <w:spacing w:val="-35"/>
        </w:rPr>
        <w:t> </w:t>
      </w:r>
      <w:r>
        <w:rPr>
          <w:position w:val="8"/>
          <w:sz w:val="16"/>
        </w:rPr>
        <w:t>(11)</w:t>
      </w:r>
      <w:r>
        <w:rPr/>
        <w:t>.</w:t>
      </w:r>
    </w:p>
    <w:p>
      <w:pPr>
        <w:pStyle w:val="BodyText"/>
        <w:spacing w:line="357" w:lineRule="auto" w:before="206"/>
        <w:ind w:left="118" w:right="116"/>
        <w:jc w:val="both"/>
        <w:rPr>
          <w:sz w:val="16"/>
        </w:rPr>
      </w:pPr>
      <w:r>
        <w:rPr/>
        <w:t>Epilepsia genética están relacionados con mutaciones, que causan una anomalía cerebral, la neurodegeneración y el funcionamiento cerebral anormal. Hay tres tipos de epilepsia que muestran transmisión autosómica. </w:t>
      </w:r>
      <w:r>
        <w:rPr>
          <w:position w:val="8"/>
          <w:sz w:val="16"/>
        </w:rPr>
        <w:t>(12)</w:t>
      </w:r>
    </w:p>
    <w:p>
      <w:pPr>
        <w:pStyle w:val="ListParagraph"/>
        <w:numPr>
          <w:ilvl w:val="0"/>
          <w:numId w:val="4"/>
        </w:numPr>
        <w:tabs>
          <w:tab w:pos="400" w:val="left" w:leader="none"/>
        </w:tabs>
        <w:spacing w:line="240" w:lineRule="auto" w:before="203" w:after="0"/>
        <w:ind w:left="399" w:right="0" w:hanging="281"/>
        <w:jc w:val="both"/>
        <w:rPr>
          <w:sz w:val="24"/>
        </w:rPr>
      </w:pPr>
      <w:r>
        <w:rPr>
          <w:sz w:val="24"/>
        </w:rPr>
        <w:t>Convulsiones neonatales familiares</w:t>
      </w:r>
      <w:r>
        <w:rPr>
          <w:spacing w:val="-16"/>
          <w:sz w:val="24"/>
        </w:rPr>
        <w:t> </w:t>
      </w:r>
      <w:r>
        <w:rPr>
          <w:sz w:val="24"/>
        </w:rPr>
        <w:t>benignas</w:t>
      </w:r>
    </w:p>
    <w:p>
      <w:pPr>
        <w:pStyle w:val="BodyText"/>
        <w:spacing w:before="4"/>
        <w:rPr>
          <w:sz w:val="29"/>
        </w:rPr>
      </w:pPr>
    </w:p>
    <w:p>
      <w:pPr>
        <w:pStyle w:val="ListParagraph"/>
        <w:numPr>
          <w:ilvl w:val="0"/>
          <w:numId w:val="4"/>
        </w:numPr>
        <w:tabs>
          <w:tab w:pos="400" w:val="left" w:leader="none"/>
        </w:tabs>
        <w:spacing w:line="240" w:lineRule="auto" w:before="1" w:after="0"/>
        <w:ind w:left="399" w:right="0" w:hanging="281"/>
        <w:jc w:val="both"/>
        <w:rPr>
          <w:sz w:val="24"/>
        </w:rPr>
      </w:pPr>
      <w:r>
        <w:rPr>
          <w:sz w:val="24"/>
        </w:rPr>
        <w:t>Epilepsia generalizada con convulsiones</w:t>
      </w:r>
      <w:r>
        <w:rPr>
          <w:spacing w:val="-17"/>
          <w:sz w:val="24"/>
        </w:rPr>
        <w:t> </w:t>
      </w:r>
      <w:r>
        <w:rPr>
          <w:sz w:val="24"/>
        </w:rPr>
        <w:t>inflamatorias</w:t>
      </w:r>
    </w:p>
    <w:p>
      <w:pPr>
        <w:pStyle w:val="BodyText"/>
        <w:spacing w:before="3"/>
        <w:rPr>
          <w:sz w:val="29"/>
        </w:rPr>
      </w:pPr>
    </w:p>
    <w:p>
      <w:pPr>
        <w:pStyle w:val="ListParagraph"/>
        <w:numPr>
          <w:ilvl w:val="0"/>
          <w:numId w:val="4"/>
        </w:numPr>
        <w:tabs>
          <w:tab w:pos="386" w:val="left" w:leader="none"/>
        </w:tabs>
        <w:spacing w:line="240" w:lineRule="auto" w:before="0" w:after="0"/>
        <w:ind w:left="385" w:right="0" w:hanging="267"/>
        <w:jc w:val="both"/>
        <w:rPr>
          <w:sz w:val="24"/>
        </w:rPr>
      </w:pPr>
      <w:r>
        <w:rPr>
          <w:sz w:val="24"/>
        </w:rPr>
        <w:t>Síndrome de epilepsia</w:t>
      </w:r>
      <w:r>
        <w:rPr>
          <w:spacing w:val="-12"/>
          <w:sz w:val="24"/>
        </w:rPr>
        <w:t> </w:t>
      </w:r>
      <w:r>
        <w:rPr>
          <w:sz w:val="24"/>
        </w:rPr>
        <w:t>parcial.</w:t>
      </w:r>
    </w:p>
    <w:p>
      <w:pPr>
        <w:pStyle w:val="BodyText"/>
      </w:pPr>
    </w:p>
    <w:p>
      <w:pPr>
        <w:pStyle w:val="BodyText"/>
      </w:pPr>
    </w:p>
    <w:p>
      <w:pPr>
        <w:pStyle w:val="BodyText"/>
        <w:spacing w:before="9"/>
        <w:rPr>
          <w:sz w:val="34"/>
        </w:rPr>
      </w:pPr>
    </w:p>
    <w:p>
      <w:pPr>
        <w:pStyle w:val="Heading2"/>
        <w:numPr>
          <w:ilvl w:val="2"/>
          <w:numId w:val="2"/>
        </w:numPr>
        <w:tabs>
          <w:tab w:pos="721" w:val="left" w:leader="none"/>
        </w:tabs>
        <w:spacing w:line="240" w:lineRule="auto" w:before="1" w:after="0"/>
        <w:ind w:left="720" w:right="0" w:hanging="602"/>
        <w:jc w:val="both"/>
      </w:pPr>
      <w:r>
        <w:rPr/>
        <w:t>Clasificación.</w:t>
      </w:r>
    </w:p>
    <w:p>
      <w:pPr>
        <w:pStyle w:val="BodyText"/>
        <w:rPr>
          <w:b/>
          <w:sz w:val="21"/>
        </w:rPr>
      </w:pPr>
    </w:p>
    <w:p>
      <w:pPr>
        <w:pStyle w:val="BodyText"/>
        <w:spacing w:line="360" w:lineRule="auto" w:before="1"/>
        <w:ind w:left="118" w:right="116"/>
        <w:jc w:val="both"/>
      </w:pPr>
      <w:r>
        <w:rPr/>
        <w:t>La</w:t>
      </w:r>
      <w:r>
        <w:rPr>
          <w:spacing w:val="-16"/>
        </w:rPr>
        <w:t> </w:t>
      </w:r>
      <w:r>
        <w:rPr/>
        <w:t>historia</w:t>
      </w:r>
      <w:r>
        <w:rPr>
          <w:spacing w:val="-16"/>
        </w:rPr>
        <w:t> </w:t>
      </w:r>
      <w:r>
        <w:rPr/>
        <w:t>de</w:t>
      </w:r>
      <w:r>
        <w:rPr>
          <w:spacing w:val="-15"/>
        </w:rPr>
        <w:t> </w:t>
      </w:r>
      <w:r>
        <w:rPr/>
        <w:t>la</w:t>
      </w:r>
      <w:r>
        <w:rPr>
          <w:spacing w:val="-13"/>
        </w:rPr>
        <w:t> </w:t>
      </w:r>
      <w:r>
        <w:rPr/>
        <w:t>clasificación</w:t>
      </w:r>
      <w:r>
        <w:rPr>
          <w:spacing w:val="-10"/>
        </w:rPr>
        <w:t> </w:t>
      </w:r>
      <w:r>
        <w:rPr/>
        <w:t>se</w:t>
      </w:r>
      <w:r>
        <w:rPr>
          <w:spacing w:val="-16"/>
        </w:rPr>
        <w:t> </w:t>
      </w:r>
      <w:r>
        <w:rPr/>
        <w:t>publica</w:t>
      </w:r>
      <w:r>
        <w:rPr>
          <w:spacing w:val="-13"/>
        </w:rPr>
        <w:t> </w:t>
      </w:r>
      <w:r>
        <w:rPr/>
        <w:t>por</w:t>
      </w:r>
      <w:r>
        <w:rPr>
          <w:spacing w:val="-15"/>
        </w:rPr>
        <w:t> </w:t>
      </w:r>
      <w:r>
        <w:rPr/>
        <w:t>primera</w:t>
      </w:r>
      <w:r>
        <w:rPr>
          <w:spacing w:val="-16"/>
        </w:rPr>
        <w:t> </w:t>
      </w:r>
      <w:r>
        <w:rPr/>
        <w:t>vez</w:t>
      </w:r>
      <w:r>
        <w:rPr>
          <w:spacing w:val="-14"/>
        </w:rPr>
        <w:t> </w:t>
      </w:r>
      <w:r>
        <w:rPr/>
        <w:t>en</w:t>
      </w:r>
      <w:r>
        <w:rPr>
          <w:spacing w:val="-15"/>
        </w:rPr>
        <w:t> </w:t>
      </w:r>
      <w:r>
        <w:rPr/>
        <w:t>1960</w:t>
      </w:r>
      <w:r>
        <w:rPr>
          <w:spacing w:val="-15"/>
        </w:rPr>
        <w:t> </w:t>
      </w:r>
      <w:r>
        <w:rPr/>
        <w:t>y</w:t>
      </w:r>
      <w:r>
        <w:rPr>
          <w:spacing w:val="-16"/>
        </w:rPr>
        <w:t> </w:t>
      </w:r>
      <w:r>
        <w:rPr/>
        <w:t>se</w:t>
      </w:r>
      <w:r>
        <w:rPr>
          <w:spacing w:val="-16"/>
        </w:rPr>
        <w:t> </w:t>
      </w:r>
      <w:r>
        <w:rPr/>
        <w:t>actualiza</w:t>
      </w:r>
      <w:r>
        <w:rPr>
          <w:spacing w:val="-15"/>
        </w:rPr>
        <w:t> </w:t>
      </w:r>
      <w:r>
        <w:rPr/>
        <w:t>en</w:t>
      </w:r>
      <w:r>
        <w:rPr>
          <w:spacing w:val="-16"/>
        </w:rPr>
        <w:t> </w:t>
      </w:r>
      <w:r>
        <w:rPr/>
        <w:t>1981 para el concepto de convulsiones (ILAE) mientras que en 1989 para la epilepsia, la clasificación se basa en conceptos que, en su mayor parte, son anteriores a la neuroimagen moderna, tecnologías genómicas y los conceptos de la biología molecular. Los autores originales preveían que serían necesarios cambios en la clasificación debido a nueva información adquirida y al desarrollo de nuevas tecnologías</w:t>
      </w:r>
      <w:r>
        <w:rPr>
          <w:spacing w:val="-20"/>
        </w:rPr>
        <w:t> </w:t>
      </w:r>
      <w:r>
        <w:rPr/>
        <w:t>de</w:t>
      </w:r>
      <w:r>
        <w:rPr>
          <w:spacing w:val="-17"/>
        </w:rPr>
        <w:t> </w:t>
      </w:r>
      <w:r>
        <w:rPr/>
        <w:t>investigación.</w:t>
      </w:r>
      <w:r>
        <w:rPr>
          <w:spacing w:val="-17"/>
        </w:rPr>
        <w:t> </w:t>
      </w:r>
      <w:r>
        <w:rPr/>
        <w:t>Esta</w:t>
      </w:r>
      <w:r>
        <w:rPr>
          <w:spacing w:val="-16"/>
        </w:rPr>
        <w:t> </w:t>
      </w:r>
      <w:r>
        <w:rPr/>
        <w:t>no</w:t>
      </w:r>
      <w:r>
        <w:rPr>
          <w:spacing w:val="-17"/>
        </w:rPr>
        <w:t> </w:t>
      </w:r>
      <w:r>
        <w:rPr/>
        <w:t>es</w:t>
      </w:r>
      <w:r>
        <w:rPr>
          <w:spacing w:val="-17"/>
        </w:rPr>
        <w:t> </w:t>
      </w:r>
      <w:r>
        <w:rPr/>
        <w:t>una</w:t>
      </w:r>
      <w:r>
        <w:rPr>
          <w:spacing w:val="-17"/>
        </w:rPr>
        <w:t> </w:t>
      </w:r>
      <w:r>
        <w:rPr/>
        <w:t>tarea</w:t>
      </w:r>
      <w:r>
        <w:rPr>
          <w:spacing w:val="-16"/>
        </w:rPr>
        <w:t> </w:t>
      </w:r>
      <w:r>
        <w:rPr/>
        <w:t>sencilla.</w:t>
      </w:r>
      <w:r>
        <w:rPr>
          <w:spacing w:val="-11"/>
        </w:rPr>
        <w:t> </w:t>
      </w:r>
      <w:r>
        <w:rPr/>
        <w:t>Se</w:t>
      </w:r>
      <w:r>
        <w:rPr>
          <w:spacing w:val="-17"/>
        </w:rPr>
        <w:t> </w:t>
      </w:r>
      <w:r>
        <w:rPr/>
        <w:t>han</w:t>
      </w:r>
      <w:r>
        <w:rPr>
          <w:spacing w:val="-17"/>
        </w:rPr>
        <w:t> </w:t>
      </w:r>
      <w:r>
        <w:rPr/>
        <w:t>hecho</w:t>
      </w:r>
      <w:r>
        <w:rPr>
          <w:spacing w:val="-17"/>
        </w:rPr>
        <w:t> </w:t>
      </w:r>
      <w:r>
        <w:rPr/>
        <w:t>intentos</w:t>
      </w:r>
      <w:r>
        <w:rPr>
          <w:spacing w:val="-17"/>
        </w:rPr>
        <w:t> </w:t>
      </w:r>
      <w:r>
        <w:rPr/>
        <w:t>para actualizar los documentos de 1981 y 1989 </w:t>
      </w:r>
      <w:r>
        <w:rPr>
          <w:position w:val="8"/>
          <w:sz w:val="16"/>
        </w:rPr>
        <w:t>(4)</w:t>
      </w:r>
      <w:r>
        <w:rPr/>
        <w:t>; sin embargo, ninguna nueva propuesta se ha recibido</w:t>
      </w:r>
      <w:r>
        <w:rPr>
          <w:spacing w:val="-5"/>
        </w:rPr>
        <w:t> </w:t>
      </w:r>
      <w:r>
        <w:rPr>
          <w:position w:val="8"/>
          <w:sz w:val="16"/>
        </w:rPr>
        <w:t>(5)</w:t>
      </w:r>
      <w:r>
        <w:rPr/>
        <w:t>.</w:t>
      </w:r>
    </w:p>
    <w:p>
      <w:pPr>
        <w:pStyle w:val="BodyText"/>
        <w:spacing w:line="357" w:lineRule="auto" w:before="198"/>
        <w:ind w:left="118" w:right="119"/>
        <w:jc w:val="both"/>
      </w:pPr>
      <w:r>
        <w:rPr/>
        <w:t>Se han propuesto múltiples sistemas de clasificación de la epilepsia basándose en diferentes</w:t>
      </w:r>
      <w:r>
        <w:rPr>
          <w:spacing w:val="-10"/>
        </w:rPr>
        <w:t> </w:t>
      </w:r>
      <w:r>
        <w:rPr/>
        <w:t>elementos</w:t>
      </w:r>
      <w:r>
        <w:rPr>
          <w:spacing w:val="-10"/>
        </w:rPr>
        <w:t> </w:t>
      </w:r>
      <w:r>
        <w:rPr/>
        <w:t>descriptivos,</w:t>
      </w:r>
      <w:r>
        <w:rPr>
          <w:spacing w:val="-7"/>
        </w:rPr>
        <w:t> </w:t>
      </w:r>
      <w:r>
        <w:rPr/>
        <w:t>ya</w:t>
      </w:r>
      <w:r>
        <w:rPr>
          <w:spacing w:val="-7"/>
        </w:rPr>
        <w:t> </w:t>
      </w:r>
      <w:r>
        <w:rPr/>
        <w:t>sea</w:t>
      </w:r>
      <w:r>
        <w:rPr>
          <w:spacing w:val="-9"/>
        </w:rPr>
        <w:t> </w:t>
      </w:r>
      <w:r>
        <w:rPr/>
        <w:t>la</w:t>
      </w:r>
      <w:r>
        <w:rPr>
          <w:spacing w:val="-9"/>
        </w:rPr>
        <w:t> </w:t>
      </w:r>
      <w:r>
        <w:rPr/>
        <w:t>semiología,</w:t>
      </w:r>
      <w:r>
        <w:rPr>
          <w:spacing w:val="-7"/>
        </w:rPr>
        <w:t> </w:t>
      </w:r>
      <w:r>
        <w:rPr/>
        <w:t>la</w:t>
      </w:r>
      <w:r>
        <w:rPr>
          <w:spacing w:val="-10"/>
        </w:rPr>
        <w:t> </w:t>
      </w:r>
      <w:r>
        <w:rPr/>
        <w:t>gravedad,</w:t>
      </w:r>
      <w:r>
        <w:rPr>
          <w:spacing w:val="-7"/>
        </w:rPr>
        <w:t> </w:t>
      </w:r>
      <w:r>
        <w:rPr/>
        <w:t>la</w:t>
      </w:r>
      <w:r>
        <w:rPr>
          <w:spacing w:val="-10"/>
        </w:rPr>
        <w:t> </w:t>
      </w:r>
      <w:r>
        <w:rPr/>
        <w:t>topografía</w:t>
      </w:r>
      <w:r>
        <w:rPr>
          <w:spacing w:val="-9"/>
        </w:rPr>
        <w:t> </w:t>
      </w:r>
      <w:r>
        <w:rPr/>
        <w:t>o</w:t>
      </w:r>
      <w:r>
        <w:rPr>
          <w:spacing w:val="-9"/>
        </w:rPr>
        <w:t> </w:t>
      </w:r>
      <w:r>
        <w:rPr/>
        <w:t>la etiología de las crisis y el síndrome</w:t>
      </w:r>
      <w:r>
        <w:rPr>
          <w:spacing w:val="-7"/>
        </w:rPr>
        <w:t> </w:t>
      </w:r>
      <w:r>
        <w:rPr>
          <w:position w:val="8"/>
          <w:sz w:val="16"/>
        </w:rPr>
        <w:t>(13)</w:t>
      </w:r>
      <w:r>
        <w:rPr/>
        <w:t>.</w:t>
      </w:r>
    </w:p>
    <w:p>
      <w:pPr>
        <w:pStyle w:val="BodyText"/>
        <w:spacing w:line="357" w:lineRule="auto" w:before="204"/>
        <w:ind w:left="118" w:right="115"/>
        <w:jc w:val="both"/>
      </w:pPr>
      <w:r>
        <w:rPr/>
        <w:t>En su reciente informe, la Comisión ILAE para la clasificación de las epilepsia se ha ocupado</w:t>
      </w:r>
      <w:r>
        <w:rPr>
          <w:spacing w:val="-6"/>
        </w:rPr>
        <w:t> </w:t>
      </w:r>
      <w:r>
        <w:rPr/>
        <w:t>de</w:t>
      </w:r>
      <w:r>
        <w:rPr>
          <w:spacing w:val="-6"/>
        </w:rPr>
        <w:t> </w:t>
      </w:r>
      <w:r>
        <w:rPr/>
        <w:t>la</w:t>
      </w:r>
      <w:r>
        <w:rPr>
          <w:spacing w:val="-5"/>
        </w:rPr>
        <w:t> </w:t>
      </w:r>
      <w:r>
        <w:rPr/>
        <w:t>etiología</w:t>
      </w:r>
      <w:r>
        <w:rPr>
          <w:spacing w:val="-6"/>
        </w:rPr>
        <w:t> </w:t>
      </w:r>
      <w:r>
        <w:rPr/>
        <w:t>y</w:t>
      </w:r>
      <w:r>
        <w:rPr>
          <w:spacing w:val="-9"/>
        </w:rPr>
        <w:t> </w:t>
      </w:r>
      <w:r>
        <w:rPr/>
        <w:t>dividido</w:t>
      </w:r>
      <w:r>
        <w:rPr>
          <w:spacing w:val="-4"/>
        </w:rPr>
        <w:t> </w:t>
      </w:r>
      <w:r>
        <w:rPr/>
        <w:t>la</w:t>
      </w:r>
      <w:r>
        <w:rPr>
          <w:spacing w:val="-6"/>
        </w:rPr>
        <w:t> </w:t>
      </w:r>
      <w:r>
        <w:rPr/>
        <w:t>epilepsia</w:t>
      </w:r>
      <w:r>
        <w:rPr>
          <w:spacing w:val="-7"/>
        </w:rPr>
        <w:t> </w:t>
      </w:r>
      <w:r>
        <w:rPr/>
        <w:t>en</w:t>
      </w:r>
      <w:r>
        <w:rPr>
          <w:spacing w:val="-6"/>
        </w:rPr>
        <w:t> </w:t>
      </w:r>
      <w:r>
        <w:rPr/>
        <w:t>tres</w:t>
      </w:r>
      <w:r>
        <w:rPr>
          <w:spacing w:val="-7"/>
        </w:rPr>
        <w:t> </w:t>
      </w:r>
      <w:r>
        <w:rPr/>
        <w:t>categorías:</w:t>
      </w:r>
      <w:r>
        <w:rPr>
          <w:spacing w:val="-6"/>
        </w:rPr>
        <w:t> </w:t>
      </w:r>
      <w:r>
        <w:rPr/>
        <w:t>genética,</w:t>
      </w:r>
      <w:r>
        <w:rPr>
          <w:spacing w:val="-6"/>
        </w:rPr>
        <w:t> </w:t>
      </w:r>
      <w:r>
        <w:rPr/>
        <w:t>estructural/ metabólicas y de causa desconocida</w:t>
      </w:r>
      <w:r>
        <w:rPr>
          <w:spacing w:val="-12"/>
        </w:rPr>
        <w:t> </w:t>
      </w:r>
      <w:r>
        <w:rPr>
          <w:position w:val="8"/>
          <w:sz w:val="16"/>
        </w:rPr>
        <w:t>(5)</w:t>
      </w:r>
      <w:r>
        <w:rPr/>
        <w:t>.</w:t>
      </w:r>
    </w:p>
    <w:p>
      <w:pPr>
        <w:spacing w:after="0" w:line="357" w:lineRule="auto"/>
        <w:jc w:val="both"/>
        <w:sectPr>
          <w:pgSz w:w="12240" w:h="15840"/>
          <w:pgMar w:header="749" w:footer="1003" w:top="960" w:bottom="1200" w:left="1300" w:right="1580"/>
        </w:sectPr>
      </w:pPr>
    </w:p>
    <w:p>
      <w:pPr>
        <w:pStyle w:val="BodyText"/>
        <w:rPr>
          <w:sz w:val="20"/>
        </w:rPr>
      </w:pPr>
    </w:p>
    <w:p>
      <w:pPr>
        <w:pStyle w:val="BodyText"/>
        <w:rPr>
          <w:sz w:val="20"/>
        </w:rPr>
      </w:pPr>
    </w:p>
    <w:p>
      <w:pPr>
        <w:pStyle w:val="BodyText"/>
        <w:spacing w:before="5"/>
        <w:rPr>
          <w:sz w:val="17"/>
        </w:rPr>
      </w:pPr>
    </w:p>
    <w:p>
      <w:pPr>
        <w:pStyle w:val="BodyText"/>
        <w:spacing w:line="360" w:lineRule="auto" w:before="70"/>
        <w:ind w:left="118" w:right="117"/>
        <w:jc w:val="both"/>
      </w:pPr>
      <w:r>
        <w:rPr/>
        <w:t>a).-Genética: El concepto de epilepsia genética es el resultado directo de un defecto genético conocido o supuesto. El conocimiento sobre las contribuciones genéticas puede derivar de los estudios genéticos moleculares específicos que han sido bien replicados o gracias a la evidencia de un papel central de un componente genético. La designación de la naturaleza de la enfermedad genética no excluye la posibilidad de</w:t>
      </w:r>
      <w:r>
        <w:rPr>
          <w:spacing w:val="-16"/>
        </w:rPr>
        <w:t> </w:t>
      </w:r>
      <w:r>
        <w:rPr/>
        <w:t>que</w:t>
      </w:r>
      <w:r>
        <w:rPr>
          <w:spacing w:val="-16"/>
        </w:rPr>
        <w:t> </w:t>
      </w:r>
      <w:r>
        <w:rPr/>
        <w:t>los</w:t>
      </w:r>
      <w:r>
        <w:rPr>
          <w:spacing w:val="-18"/>
        </w:rPr>
        <w:t> </w:t>
      </w:r>
      <w:r>
        <w:rPr/>
        <w:t>factores</w:t>
      </w:r>
      <w:r>
        <w:rPr>
          <w:spacing w:val="-16"/>
        </w:rPr>
        <w:t> </w:t>
      </w:r>
      <w:r>
        <w:rPr/>
        <w:t>ambientales</w:t>
      </w:r>
      <w:r>
        <w:rPr>
          <w:spacing w:val="-16"/>
        </w:rPr>
        <w:t> </w:t>
      </w:r>
      <w:r>
        <w:rPr/>
        <w:t>(externos</w:t>
      </w:r>
      <w:r>
        <w:rPr>
          <w:spacing w:val="-16"/>
        </w:rPr>
        <w:t> </w:t>
      </w:r>
      <w:r>
        <w:rPr/>
        <w:t>al</w:t>
      </w:r>
      <w:r>
        <w:rPr>
          <w:spacing w:val="-14"/>
        </w:rPr>
        <w:t> </w:t>
      </w:r>
      <w:r>
        <w:rPr/>
        <w:t>individuo)</w:t>
      </w:r>
      <w:r>
        <w:rPr>
          <w:spacing w:val="-17"/>
        </w:rPr>
        <w:t> </w:t>
      </w:r>
      <w:r>
        <w:rPr/>
        <w:t>pueden</w:t>
      </w:r>
      <w:r>
        <w:rPr>
          <w:spacing w:val="-16"/>
        </w:rPr>
        <w:t> </w:t>
      </w:r>
      <w:r>
        <w:rPr/>
        <w:t>contribuir</w:t>
      </w:r>
      <w:r>
        <w:rPr>
          <w:spacing w:val="-18"/>
        </w:rPr>
        <w:t> </w:t>
      </w:r>
      <w:r>
        <w:rPr/>
        <w:t>a</w:t>
      </w:r>
      <w:r>
        <w:rPr>
          <w:spacing w:val="-16"/>
        </w:rPr>
        <w:t> </w:t>
      </w:r>
      <w:r>
        <w:rPr/>
        <w:t>la</w:t>
      </w:r>
      <w:r>
        <w:rPr>
          <w:spacing w:val="-16"/>
        </w:rPr>
        <w:t> </w:t>
      </w:r>
      <w:r>
        <w:rPr/>
        <w:t>expresión de la enfermedad. Aunque en la actualidad, no hay prácticamente ningún conocimiento</w:t>
      </w:r>
      <w:r>
        <w:rPr>
          <w:spacing w:val="-9"/>
        </w:rPr>
        <w:t> </w:t>
      </w:r>
      <w:r>
        <w:rPr/>
        <w:t>para</w:t>
      </w:r>
      <w:r>
        <w:rPr>
          <w:spacing w:val="-10"/>
        </w:rPr>
        <w:t> </w:t>
      </w:r>
      <w:r>
        <w:rPr/>
        <w:t>apoyar</w:t>
      </w:r>
      <w:r>
        <w:rPr>
          <w:spacing w:val="-8"/>
        </w:rPr>
        <w:t> </w:t>
      </w:r>
      <w:r>
        <w:rPr/>
        <w:t>a</w:t>
      </w:r>
      <w:r>
        <w:rPr>
          <w:spacing w:val="-7"/>
        </w:rPr>
        <w:t> </w:t>
      </w:r>
      <w:r>
        <w:rPr/>
        <w:t>las</w:t>
      </w:r>
      <w:r>
        <w:rPr>
          <w:spacing w:val="-7"/>
        </w:rPr>
        <w:t> </w:t>
      </w:r>
      <w:r>
        <w:rPr/>
        <w:t>influencias</w:t>
      </w:r>
      <w:r>
        <w:rPr>
          <w:spacing w:val="-6"/>
        </w:rPr>
        <w:t> </w:t>
      </w:r>
      <w:r>
        <w:rPr/>
        <w:t>ambientales</w:t>
      </w:r>
      <w:r>
        <w:rPr>
          <w:spacing w:val="-10"/>
        </w:rPr>
        <w:t> </w:t>
      </w:r>
      <w:r>
        <w:rPr/>
        <w:t>específicas</w:t>
      </w:r>
      <w:r>
        <w:rPr>
          <w:spacing w:val="-10"/>
        </w:rPr>
        <w:t> </w:t>
      </w:r>
      <w:r>
        <w:rPr/>
        <w:t>como</w:t>
      </w:r>
      <w:r>
        <w:rPr>
          <w:spacing w:val="-9"/>
        </w:rPr>
        <w:t> </w:t>
      </w:r>
      <w:r>
        <w:rPr/>
        <w:t>causantes</w:t>
      </w:r>
      <w:r>
        <w:rPr>
          <w:spacing w:val="-10"/>
        </w:rPr>
        <w:t> </w:t>
      </w:r>
      <w:r>
        <w:rPr/>
        <w:t>o contribuyentes a formas de</w:t>
      </w:r>
      <w:r>
        <w:rPr>
          <w:spacing w:val="-13"/>
        </w:rPr>
        <w:t> </w:t>
      </w:r>
      <w:r>
        <w:rPr/>
        <w:t>epilepsia.</w:t>
      </w:r>
    </w:p>
    <w:p>
      <w:pPr>
        <w:pStyle w:val="BodyText"/>
        <w:spacing w:line="360" w:lineRule="auto" w:before="202"/>
        <w:ind w:left="118" w:right="117"/>
        <w:jc w:val="both"/>
      </w:pPr>
      <w:r>
        <w:rPr/>
        <w:t>b).-Estructural/metabólico: Conceptualmente, hay una condición estructural o metabólica distinta o enfermedad que se ha demostrado se asocia con un riesgo significativamente mayor de desarrollar epilepsia en estudios diseñados adecuadamente. Las lesiones estructurales del cerebro incluyen trastornos como el derrame</w:t>
      </w:r>
      <w:r>
        <w:rPr>
          <w:spacing w:val="-9"/>
        </w:rPr>
        <w:t> </w:t>
      </w:r>
      <w:r>
        <w:rPr/>
        <w:t>cerebral,</w:t>
      </w:r>
      <w:r>
        <w:rPr>
          <w:spacing w:val="-10"/>
        </w:rPr>
        <w:t> </w:t>
      </w:r>
      <w:r>
        <w:rPr/>
        <w:t>trauma</w:t>
      </w:r>
      <w:r>
        <w:rPr>
          <w:spacing w:val="-9"/>
        </w:rPr>
        <w:t> </w:t>
      </w:r>
      <w:r>
        <w:rPr/>
        <w:t>y</w:t>
      </w:r>
      <w:r>
        <w:rPr>
          <w:spacing w:val="-10"/>
        </w:rPr>
        <w:t> </w:t>
      </w:r>
      <w:r>
        <w:rPr/>
        <w:t>la</w:t>
      </w:r>
      <w:r>
        <w:rPr>
          <w:spacing w:val="-10"/>
        </w:rPr>
        <w:t> </w:t>
      </w:r>
      <w:r>
        <w:rPr/>
        <w:t>infección</w:t>
      </w:r>
      <w:r>
        <w:rPr>
          <w:spacing w:val="-9"/>
        </w:rPr>
        <w:t> </w:t>
      </w:r>
      <w:r>
        <w:rPr/>
        <w:t>adquirida.</w:t>
      </w:r>
      <w:r>
        <w:rPr>
          <w:spacing w:val="-10"/>
        </w:rPr>
        <w:t> </w:t>
      </w:r>
      <w:r>
        <w:rPr/>
        <w:t>Estos</w:t>
      </w:r>
      <w:r>
        <w:rPr>
          <w:spacing w:val="-10"/>
        </w:rPr>
        <w:t> </w:t>
      </w:r>
      <w:r>
        <w:rPr/>
        <w:t>también</w:t>
      </w:r>
      <w:r>
        <w:rPr>
          <w:spacing w:val="-9"/>
        </w:rPr>
        <w:t> </w:t>
      </w:r>
      <w:r>
        <w:rPr/>
        <w:t>pueden</w:t>
      </w:r>
      <w:r>
        <w:rPr>
          <w:spacing w:val="-9"/>
        </w:rPr>
        <w:t> </w:t>
      </w:r>
      <w:r>
        <w:rPr/>
        <w:t>ser</w:t>
      </w:r>
      <w:r>
        <w:rPr>
          <w:spacing w:val="-11"/>
        </w:rPr>
        <w:t> </w:t>
      </w:r>
      <w:r>
        <w:rPr/>
        <w:t>de</w:t>
      </w:r>
      <w:r>
        <w:rPr>
          <w:spacing w:val="-9"/>
        </w:rPr>
        <w:t> </w:t>
      </w:r>
      <w:r>
        <w:rPr/>
        <w:t>origen genético</w:t>
      </w:r>
      <w:r>
        <w:rPr>
          <w:spacing w:val="-17"/>
        </w:rPr>
        <w:t> </w:t>
      </w:r>
      <w:r>
        <w:rPr/>
        <w:t>(por</w:t>
      </w:r>
      <w:r>
        <w:rPr>
          <w:spacing w:val="-18"/>
        </w:rPr>
        <w:t> </w:t>
      </w:r>
      <w:r>
        <w:rPr/>
        <w:t>ejemplo,</w:t>
      </w:r>
      <w:r>
        <w:rPr>
          <w:spacing w:val="-17"/>
        </w:rPr>
        <w:t> </w:t>
      </w:r>
      <w:r>
        <w:rPr/>
        <w:t>la</w:t>
      </w:r>
      <w:r>
        <w:rPr>
          <w:spacing w:val="-17"/>
        </w:rPr>
        <w:t> </w:t>
      </w:r>
      <w:r>
        <w:rPr/>
        <w:t>esclerosis</w:t>
      </w:r>
      <w:r>
        <w:rPr>
          <w:spacing w:val="-20"/>
        </w:rPr>
        <w:t> </w:t>
      </w:r>
      <w:r>
        <w:rPr/>
        <w:t>tuberosa,</w:t>
      </w:r>
      <w:r>
        <w:rPr>
          <w:spacing w:val="-19"/>
        </w:rPr>
        <w:t> </w:t>
      </w:r>
      <w:r>
        <w:rPr/>
        <w:t>o</w:t>
      </w:r>
      <w:r>
        <w:rPr>
          <w:spacing w:val="-17"/>
        </w:rPr>
        <w:t> </w:t>
      </w:r>
      <w:r>
        <w:rPr/>
        <w:t>malformaciones</w:t>
      </w:r>
      <w:r>
        <w:rPr>
          <w:spacing w:val="-20"/>
        </w:rPr>
        <w:t> </w:t>
      </w:r>
      <w:r>
        <w:rPr/>
        <w:t>del</w:t>
      </w:r>
      <w:r>
        <w:rPr>
          <w:spacing w:val="-20"/>
        </w:rPr>
        <w:t> </w:t>
      </w:r>
      <w:r>
        <w:rPr/>
        <w:t>desarrollo</w:t>
      </w:r>
      <w:r>
        <w:rPr>
          <w:spacing w:val="-17"/>
        </w:rPr>
        <w:t> </w:t>
      </w:r>
      <w:r>
        <w:rPr/>
        <w:t>cortical); Sin embargo, no es un trastorno separado interpuesto entre el defecto genético y la epilepsia.</w:t>
      </w:r>
    </w:p>
    <w:p>
      <w:pPr>
        <w:pStyle w:val="BodyText"/>
        <w:spacing w:line="360" w:lineRule="auto" w:before="204"/>
        <w:ind w:left="118" w:right="115"/>
        <w:jc w:val="both"/>
      </w:pPr>
      <w:r>
        <w:rPr/>
        <w:t>c).- Causa desconocida: Desconocido está destinado a ser visto con neutralidad, es decir un  trastorno aún no reconocido.</w:t>
      </w:r>
    </w:p>
    <w:p>
      <w:pPr>
        <w:pStyle w:val="BodyText"/>
        <w:spacing w:line="357" w:lineRule="auto" w:before="204"/>
        <w:ind w:left="118" w:right="112"/>
        <w:jc w:val="both"/>
      </w:pPr>
      <w:r>
        <w:rPr/>
        <w:t>Así como la misma ILAE presenta la siguiente clasificación internacional de la crisis epiléptica (TABLA 1.) basada en </w:t>
      </w:r>
      <w:r>
        <w:rPr>
          <w:spacing w:val="-3"/>
        </w:rPr>
        <w:t>las </w:t>
      </w:r>
      <w:r>
        <w:rPr>
          <w:spacing w:val="-4"/>
        </w:rPr>
        <w:t>características clínicas </w:t>
      </w:r>
      <w:r>
        <w:rPr/>
        <w:t>y </w:t>
      </w:r>
      <w:r>
        <w:rPr>
          <w:spacing w:val="-4"/>
        </w:rPr>
        <w:t>electroencefalografías </w:t>
      </w:r>
      <w:r>
        <w:rPr/>
        <w:t>de la </w:t>
      </w:r>
      <w:r>
        <w:rPr>
          <w:spacing w:val="-4"/>
        </w:rPr>
        <w:t>incautación </w:t>
      </w:r>
      <w:r>
        <w:rPr>
          <w:spacing w:val="-3"/>
        </w:rPr>
        <w:t>Todos </w:t>
      </w:r>
      <w:r>
        <w:rPr>
          <w:spacing w:val="-4"/>
        </w:rPr>
        <w:t>los </w:t>
      </w:r>
      <w:r>
        <w:rPr>
          <w:spacing w:val="-3"/>
        </w:rPr>
        <w:t>ataques están ampliamente divididos </w:t>
      </w:r>
      <w:r>
        <w:rPr/>
        <w:t>en </w:t>
      </w:r>
      <w:r>
        <w:rPr>
          <w:spacing w:val="-2"/>
        </w:rPr>
        <w:t>dos </w:t>
      </w:r>
      <w:r>
        <w:rPr>
          <w:spacing w:val="-3"/>
        </w:rPr>
        <w:t>clases </w:t>
      </w:r>
      <w:r>
        <w:rPr>
          <w:spacing w:val="-4"/>
        </w:rPr>
        <w:t>principales </w:t>
      </w:r>
      <w:r>
        <w:rPr>
          <w:spacing w:val="-3"/>
          <w:position w:val="8"/>
          <w:sz w:val="16"/>
        </w:rPr>
        <w:t>(5)</w:t>
      </w:r>
      <w:r>
        <w:rPr>
          <w:spacing w:val="-3"/>
        </w:rPr>
        <w:t>: </w:t>
      </w:r>
      <w:r>
        <w:rPr>
          <w:spacing w:val="-2"/>
        </w:rPr>
        <w:t>Las </w:t>
      </w:r>
      <w:r>
        <w:rPr>
          <w:spacing w:val="-4"/>
        </w:rPr>
        <w:t>crisis </w:t>
      </w:r>
      <w:r>
        <w:rPr>
          <w:spacing w:val="-3"/>
        </w:rPr>
        <w:t>parciales </w:t>
      </w:r>
      <w:r>
        <w:rPr/>
        <w:t>y </w:t>
      </w:r>
      <w:r>
        <w:rPr>
          <w:spacing w:val="-4"/>
        </w:rPr>
        <w:t>crisis generalizadas. </w:t>
      </w:r>
      <w:r>
        <w:rPr/>
        <w:t>Si la convulsión es el resultado de la hiperactividad en una parte específica de la corteza cerebral, se denomina parcial. Si la actividad involucra a toda la corteza cerebral, es una convulsión generalizada. Las convulsiones pueden evolucionar de un tipo a otro como las descargas eléctricas se propagan de un área del cerebro hacia otras partes </w:t>
      </w:r>
      <w:r>
        <w:rPr>
          <w:position w:val="8"/>
          <w:sz w:val="16"/>
        </w:rPr>
        <w:t>(8)</w:t>
      </w:r>
      <w:r>
        <w:rPr/>
        <w:t>.</w:t>
      </w:r>
    </w:p>
    <w:p>
      <w:pPr>
        <w:spacing w:after="0" w:line="357" w:lineRule="auto"/>
        <w:jc w:val="both"/>
        <w:sectPr>
          <w:pgSz w:w="12240" w:h="15840"/>
          <w:pgMar w:header="749" w:footer="1003" w:top="960" w:bottom="1200" w:left="1300" w:right="1580"/>
        </w:sectPr>
      </w:pPr>
    </w:p>
    <w:p>
      <w:pPr>
        <w:pStyle w:val="BodyText"/>
        <w:rPr>
          <w:sz w:val="20"/>
        </w:rPr>
      </w:pPr>
    </w:p>
    <w:p>
      <w:pPr>
        <w:pStyle w:val="BodyText"/>
        <w:rPr>
          <w:sz w:val="20"/>
        </w:rPr>
      </w:pPr>
    </w:p>
    <w:p>
      <w:pPr>
        <w:pStyle w:val="BodyText"/>
        <w:spacing w:before="7"/>
        <w:rPr>
          <w:sz w:val="23"/>
        </w:rPr>
      </w:pPr>
    </w:p>
    <w:p>
      <w:pPr>
        <w:pStyle w:val="BodyText"/>
        <w:spacing w:line="20" w:lineRule="exact"/>
        <w:ind w:left="128"/>
        <w:rPr>
          <w:sz w:val="2"/>
        </w:rPr>
      </w:pPr>
      <w:r>
        <w:rPr>
          <w:sz w:val="2"/>
        </w:rPr>
        <w:pict>
          <v:group style="width:450pt;height:1pt;mso-position-horizontal-relative:char;mso-position-vertical-relative:line" coordorigin="0,0" coordsize="9000,20">
            <v:line style="position:absolute" from="10,10" to="4499,10" stroked="true" strokeweight=".96pt" strokecolor="#4f81bc"/>
            <v:line style="position:absolute" from="4499,10" to="4518,10" stroked="true" strokeweight=".96pt" strokecolor="#4f81bc"/>
            <v:line style="position:absolute" from="4518,10" to="8990,10" stroked="true" strokeweight=".96pt" strokecolor="#4f81bc"/>
          </v:group>
        </w:pict>
      </w:r>
      <w:r>
        <w:rPr>
          <w:sz w:val="2"/>
        </w:rPr>
      </w:r>
    </w:p>
    <w:p>
      <w:pPr>
        <w:pStyle w:val="Heading2"/>
        <w:tabs>
          <w:tab w:pos="4735" w:val="left" w:leader="none"/>
        </w:tabs>
        <w:spacing w:line="274" w:lineRule="exact"/>
        <w:ind w:left="246"/>
        <w:jc w:val="left"/>
      </w:pPr>
      <w:r>
        <w:rPr/>
        <w:t>TIPOS DE</w:t>
      </w:r>
      <w:r>
        <w:rPr>
          <w:spacing w:val="-3"/>
        </w:rPr>
        <w:t> </w:t>
      </w:r>
      <w:r>
        <w:rPr/>
        <w:t>CRISIS</w:t>
      </w:r>
      <w:r>
        <w:rPr>
          <w:spacing w:val="-3"/>
        </w:rPr>
        <w:t> </w:t>
      </w:r>
      <w:r>
        <w:rPr/>
        <w:t>EPILÉPTICAS</w:t>
        <w:tab/>
        <w:t>SUBTIPOS DE CRISIS</w:t>
      </w:r>
      <w:r>
        <w:rPr>
          <w:spacing w:val="-15"/>
        </w:rPr>
        <w:t> </w:t>
      </w:r>
      <w:r>
        <w:rPr/>
        <w:t>EPILÉPTICAS</w:t>
      </w:r>
    </w:p>
    <w:p>
      <w:pPr>
        <w:pStyle w:val="BodyText"/>
        <w:spacing w:before="2"/>
        <w:rPr>
          <w:b/>
          <w:sz w:val="12"/>
        </w:rPr>
      </w:pPr>
    </w:p>
    <w:p>
      <w:pPr>
        <w:pStyle w:val="BodyText"/>
        <w:ind w:left="128"/>
        <w:rPr>
          <w:sz w:val="20"/>
        </w:rPr>
      </w:pPr>
      <w:r>
        <w:rPr>
          <w:sz w:val="20"/>
        </w:rPr>
        <w:pict>
          <v:group style="width:450pt;height:125.2pt;mso-position-horizontal-relative:char;mso-position-vertical-relative:line" coordorigin="0,0" coordsize="9000,2504">
            <v:rect style="position:absolute;left:10;top:20;width:108;height:1241" filled="true" fillcolor="#d2dfed" stroked="false">
              <v:fill type="solid"/>
            </v:rect>
            <v:rect style="position:absolute;left:4391;top:20;width:108;height:1241" filled="true" fillcolor="#d2dfed" stroked="false">
              <v:fill type="solid"/>
            </v:rect>
            <v:rect style="position:absolute;left:10;top:1260;width:4489;height:1243" filled="true" fillcolor="#d2dfed" stroked="false">
              <v:fill type="solid"/>
            </v:rect>
            <v:rect style="position:absolute;left:118;top:20;width:4272;height:413" filled="true" fillcolor="#d2dfed" stroked="false">
              <v:fill type="solid"/>
            </v:rect>
            <v:rect style="position:absolute;left:118;top:432;width:4272;height:415" filled="true" fillcolor="#d2dfed" stroked="false">
              <v:fill type="solid"/>
            </v:rect>
            <v:rect style="position:absolute;left:118;top:848;width:4272;height:413" filled="true" fillcolor="#d2dfed" stroked="false">
              <v:fill type="solid"/>
            </v:rect>
            <v:rect style="position:absolute;left:4499;top:20;width:108;height:2484" filled="true" fillcolor="#d2dfed" stroked="false">
              <v:fill type="solid"/>
            </v:rect>
            <v:rect style="position:absolute;left:8882;top:20;width:108;height:2484" filled="true" fillcolor="#d2dfed" stroked="false">
              <v:fill type="solid"/>
            </v:rect>
            <v:rect style="position:absolute;left:4607;top:20;width:4275;height:413" filled="true" fillcolor="#d2dfed" stroked="false">
              <v:fill type="solid"/>
            </v:rect>
            <v:rect style="position:absolute;left:4607;top:432;width:4275;height:415" filled="true" fillcolor="#d2dfed" stroked="false">
              <v:fill type="solid"/>
            </v:rect>
            <v:rect style="position:absolute;left:4607;top:848;width:4275;height:413" filled="true" fillcolor="#d2dfed" stroked="false">
              <v:fill type="solid"/>
            </v:rect>
            <v:rect style="position:absolute;left:4607;top:1260;width:4275;height:415" filled="true" fillcolor="#d2dfed" stroked="false">
              <v:fill type="solid"/>
            </v:rect>
            <v:rect style="position:absolute;left:4607;top:1676;width:4275;height:413" filled="true" fillcolor="#d2dfed" stroked="false">
              <v:fill type="solid"/>
            </v:rect>
            <v:rect style="position:absolute;left:4607;top:2088;width:4275;height:415" filled="true" fillcolor="#d2dfed" stroked="false">
              <v:fill type="solid"/>
            </v:rect>
            <v:line style="position:absolute" from="10,10" to="4499,10" stroked="true" strokeweight=".96001pt" strokecolor="#4f81bc"/>
            <v:line style="position:absolute" from="4499,10" to="4518,10" stroked="true" strokeweight=".96001pt" strokecolor="#4f81bc"/>
            <v:line style="position:absolute" from="4518,10" to="8990,10" stroked="true" strokeweight=".96001pt" strokecolor="#4f81bc"/>
            <v:shape style="position:absolute;left:118;top:876;width:2881;height:240" type="#_x0000_t202" filled="false" stroked="false">
              <v:textbox inset="0,0,0,0">
                <w:txbxContent>
                  <w:p>
                    <w:pPr>
                      <w:spacing w:line="240" w:lineRule="exact" w:before="0"/>
                      <w:ind w:left="0" w:right="-20" w:firstLine="0"/>
                      <w:jc w:val="left"/>
                      <w:rPr>
                        <w:sz w:val="24"/>
                      </w:rPr>
                    </w:pPr>
                    <w:r>
                      <w:rPr>
                        <w:sz w:val="24"/>
                      </w:rPr>
                      <w:t>CRISIS GENERALIZADAS</w:t>
                    </w:r>
                  </w:p>
                </w:txbxContent>
              </v:textbox>
              <w10:wrap type="none"/>
            </v:shape>
            <v:shape style="position:absolute;left:4607;top:48;width:2323;height:2309" type="#_x0000_t202" filled="false" stroked="false">
              <v:textbox inset="0,0,0,0">
                <w:txbxContent>
                  <w:p>
                    <w:pPr>
                      <w:spacing w:line="245" w:lineRule="exact" w:before="0"/>
                      <w:ind w:left="0" w:right="315" w:firstLine="0"/>
                      <w:jc w:val="left"/>
                      <w:rPr>
                        <w:sz w:val="24"/>
                      </w:rPr>
                    </w:pPr>
                    <w:r>
                      <w:rPr>
                        <w:sz w:val="24"/>
                      </w:rPr>
                      <w:t>Ausencias.</w:t>
                    </w:r>
                  </w:p>
                  <w:p>
                    <w:pPr>
                      <w:spacing w:line="360" w:lineRule="auto" w:before="137"/>
                      <w:ind w:left="0" w:right="315" w:firstLine="0"/>
                      <w:jc w:val="left"/>
                      <w:rPr>
                        <w:sz w:val="24"/>
                      </w:rPr>
                    </w:pPr>
                    <w:r>
                      <w:rPr>
                        <w:sz w:val="24"/>
                      </w:rPr>
                      <w:t>Crisis Mioclónicas. Crisis clónicas.</w:t>
                    </w:r>
                  </w:p>
                  <w:p>
                    <w:pPr>
                      <w:spacing w:before="2"/>
                      <w:ind w:left="0" w:right="315" w:firstLine="0"/>
                      <w:jc w:val="left"/>
                      <w:rPr>
                        <w:sz w:val="24"/>
                      </w:rPr>
                    </w:pPr>
                    <w:r>
                      <w:rPr>
                        <w:sz w:val="24"/>
                      </w:rPr>
                      <w:t>Crisis tónicas.</w:t>
                    </w:r>
                  </w:p>
                  <w:p>
                    <w:pPr>
                      <w:spacing w:line="410" w:lineRule="atLeast" w:before="5"/>
                      <w:ind w:left="0" w:right="-18" w:firstLine="0"/>
                      <w:jc w:val="left"/>
                      <w:rPr>
                        <w:sz w:val="24"/>
                      </w:rPr>
                    </w:pPr>
                    <w:r>
                      <w:rPr>
                        <w:sz w:val="24"/>
                      </w:rPr>
                      <w:t>Crisis tónico- clónicas Crisis atónicas</w:t>
                    </w:r>
                  </w:p>
                </w:txbxContent>
              </v:textbox>
              <w10:wrap type="none"/>
            </v:shape>
          </v:group>
        </w:pict>
      </w:r>
      <w:r>
        <w:rPr>
          <w:sz w:val="20"/>
        </w:rPr>
      </w:r>
    </w:p>
    <w:p>
      <w:pPr>
        <w:spacing w:after="0"/>
        <w:rPr>
          <w:sz w:val="20"/>
        </w:rPr>
        <w:sectPr>
          <w:pgSz w:w="12240" w:h="15840"/>
          <w:pgMar w:header="749" w:footer="1003" w:top="960" w:bottom="1200" w:left="1280" w:right="1580"/>
        </w:sectPr>
      </w:pPr>
    </w:p>
    <w:p>
      <w:pPr>
        <w:pStyle w:val="BodyText"/>
        <w:spacing w:before="3"/>
        <w:rPr>
          <w:b/>
          <w:sz w:val="34"/>
        </w:rPr>
      </w:pPr>
    </w:p>
    <w:p>
      <w:pPr>
        <w:pStyle w:val="BodyText"/>
        <w:ind w:left="246" w:right="-19"/>
      </w:pPr>
      <w:r>
        <w:rPr/>
        <w:t>CRISIS PARCIALES FOCALES</w:t>
      </w:r>
    </w:p>
    <w:p>
      <w:pPr>
        <w:pStyle w:val="BodyText"/>
        <w:spacing w:line="257" w:lineRule="exact"/>
        <w:ind w:left="246"/>
      </w:pPr>
      <w:r>
        <w:rPr/>
        <w:br w:type="column"/>
      </w:r>
      <w:r>
        <w:rPr/>
        <w:t>Crisis parciales simples</w:t>
      </w:r>
    </w:p>
    <w:p>
      <w:pPr>
        <w:pStyle w:val="BodyText"/>
        <w:spacing w:before="137"/>
        <w:ind w:left="246"/>
      </w:pPr>
      <w:r>
        <w:rPr/>
        <w:t>Crisis parciales complejas</w:t>
      </w:r>
    </w:p>
    <w:p>
      <w:pPr>
        <w:spacing w:after="0"/>
        <w:sectPr>
          <w:type w:val="continuous"/>
          <w:pgSz w:w="12240" w:h="15840"/>
          <w:pgMar w:top="920" w:bottom="280" w:left="1280" w:right="1580"/>
          <w:cols w:num="2" w:equalWidth="0">
            <w:col w:w="3648" w:space="841"/>
            <w:col w:w="4891"/>
          </w:cols>
        </w:sectPr>
      </w:pPr>
    </w:p>
    <w:p>
      <w:pPr>
        <w:pStyle w:val="BodyText"/>
        <w:spacing w:before="3"/>
        <w:rPr>
          <w:sz w:val="12"/>
        </w:rPr>
      </w:pPr>
    </w:p>
    <w:p>
      <w:pPr>
        <w:pStyle w:val="BodyText"/>
        <w:ind w:left="114"/>
        <w:rPr>
          <w:sz w:val="20"/>
        </w:rPr>
      </w:pPr>
      <w:r>
        <w:rPr>
          <w:sz w:val="20"/>
        </w:rPr>
        <w:pict>
          <v:group style="width:450.75pt;height:21.75pt;mso-position-horizontal-relative:char;mso-position-vertical-relative:line" coordorigin="0,0" coordsize="9015,435">
            <v:rect style="position:absolute;left:24;top:0;width:108;height:413" filled="true" fillcolor="#d2dfed" stroked="false">
              <v:fill type="solid"/>
            </v:rect>
            <v:rect style="position:absolute;left:4405;top:0;width:108;height:413" filled="true" fillcolor="#d2dfed" stroked="false">
              <v:fill type="solid"/>
            </v:rect>
            <v:rect style="position:absolute;left:132;top:0;width:4272;height:413" filled="true" fillcolor="#d2dfed" stroked="false">
              <v:fill type="solid"/>
            </v:rect>
            <v:rect style="position:absolute;left:4513;top:0;width:108;height:413" filled="true" fillcolor="#d2dfed" stroked="false">
              <v:fill type="solid"/>
            </v:rect>
            <v:rect style="position:absolute;left:8896;top:0;width:108;height:413" filled="true" fillcolor="#d2dfed" stroked="false">
              <v:fill type="solid"/>
            </v:rect>
            <v:rect style="position:absolute;left:4621;top:0;width:4275;height:413" filled="true" fillcolor="#d2dfed" stroked="false">
              <v:fill type="solid"/>
            </v:rect>
            <v:line style="position:absolute" from="10,425" to="4513,425" stroked="true" strokeweight=".95999pt" strokecolor="#4f81bc"/>
            <v:line style="position:absolute" from="4499,425" to="4518,425" stroked="true" strokeweight=".95999pt" strokecolor="#4f81bc"/>
            <v:line style="position:absolute" from="4518,425" to="9004,425" stroked="true" strokeweight=".95999pt" strokecolor="#4f81bc"/>
            <v:shape style="position:absolute;left:24;top:0;width:8980;height:424" type="#_x0000_t202" filled="false" stroked="false">
              <v:textbox inset="0,0,0,0">
                <w:txbxContent>
                  <w:p>
                    <w:pPr>
                      <w:tabs>
                        <w:tab w:pos="4596" w:val="left" w:leader="none"/>
                      </w:tabs>
                      <w:spacing w:line="274" w:lineRule="exact" w:before="0"/>
                      <w:ind w:left="107" w:right="0" w:firstLine="0"/>
                      <w:jc w:val="left"/>
                      <w:rPr>
                        <w:sz w:val="24"/>
                      </w:rPr>
                    </w:pPr>
                    <w:r>
                      <w:rPr>
                        <w:sz w:val="24"/>
                      </w:rPr>
                      <w:t>CRISIS</w:t>
                    </w:r>
                    <w:r>
                      <w:rPr>
                        <w:spacing w:val="-1"/>
                        <w:sz w:val="24"/>
                      </w:rPr>
                      <w:t> </w:t>
                    </w:r>
                    <w:r>
                      <w:rPr>
                        <w:sz w:val="24"/>
                      </w:rPr>
                      <w:t>NO</w:t>
                    </w:r>
                    <w:r>
                      <w:rPr>
                        <w:spacing w:val="-2"/>
                        <w:sz w:val="24"/>
                      </w:rPr>
                      <w:t> </w:t>
                    </w:r>
                    <w:r>
                      <w:rPr>
                        <w:sz w:val="24"/>
                      </w:rPr>
                      <w:t>CLASIFICADAS</w:t>
                      <w:tab/>
                      <w:t>Espasmos</w:t>
                    </w:r>
                    <w:r>
                      <w:rPr>
                        <w:spacing w:val="-8"/>
                        <w:sz w:val="24"/>
                      </w:rPr>
                      <w:t> </w:t>
                    </w:r>
                    <w:r>
                      <w:rPr>
                        <w:sz w:val="24"/>
                      </w:rPr>
                      <w:t>epilépticos.</w:t>
                    </w:r>
                  </w:p>
                </w:txbxContent>
              </v:textbox>
              <w10:wrap type="none"/>
            </v:shape>
          </v:group>
        </w:pict>
      </w:r>
      <w:r>
        <w:rPr>
          <w:sz w:val="20"/>
        </w:rPr>
      </w:r>
    </w:p>
    <w:p>
      <w:pPr>
        <w:spacing w:line="213" w:lineRule="exact" w:before="0"/>
        <w:ind w:left="138" w:right="0" w:firstLine="3994"/>
        <w:jc w:val="left"/>
        <w:rPr>
          <w:sz w:val="20"/>
        </w:rPr>
      </w:pPr>
      <w:r>
        <w:rPr>
          <w:sz w:val="20"/>
        </w:rPr>
        <w:t>Tabla 1. Clasificación de acuerdo a la ILAE (Fuente ILAE)</w:t>
      </w:r>
    </w:p>
    <w:p>
      <w:pPr>
        <w:pStyle w:val="BodyText"/>
        <w:spacing w:before="2"/>
        <w:rPr>
          <w:sz w:val="27"/>
        </w:rPr>
      </w:pPr>
    </w:p>
    <w:p>
      <w:pPr>
        <w:pStyle w:val="BodyText"/>
        <w:spacing w:line="360" w:lineRule="auto" w:before="1"/>
        <w:ind w:left="138" w:right="113"/>
        <w:jc w:val="both"/>
        <w:rPr>
          <w:sz w:val="16"/>
        </w:rPr>
      </w:pPr>
      <w:r>
        <w:rPr>
          <w:spacing w:val="-2"/>
        </w:rPr>
        <w:t>Los </w:t>
      </w:r>
      <w:r>
        <w:rPr>
          <w:spacing w:val="-3"/>
        </w:rPr>
        <w:t>signos </w:t>
      </w:r>
      <w:r>
        <w:rPr>
          <w:spacing w:val="-4"/>
        </w:rPr>
        <w:t>clínicos </w:t>
      </w:r>
      <w:r>
        <w:rPr/>
        <w:t>o </w:t>
      </w:r>
      <w:r>
        <w:rPr>
          <w:spacing w:val="-3"/>
        </w:rPr>
        <w:t>síntomas </w:t>
      </w:r>
      <w:r>
        <w:rPr/>
        <w:t>de </w:t>
      </w:r>
      <w:r>
        <w:rPr>
          <w:spacing w:val="-4"/>
        </w:rPr>
        <w:t>convulsiones </w:t>
      </w:r>
      <w:r>
        <w:rPr>
          <w:spacing w:val="-3"/>
        </w:rPr>
        <w:t>dependen </w:t>
      </w:r>
      <w:r>
        <w:rPr/>
        <w:t>de </w:t>
      </w:r>
      <w:r>
        <w:rPr>
          <w:spacing w:val="-3"/>
        </w:rPr>
        <w:t>la localización </w:t>
      </w:r>
      <w:r>
        <w:rPr/>
        <w:t>de </w:t>
      </w:r>
      <w:r>
        <w:rPr>
          <w:spacing w:val="-3"/>
        </w:rPr>
        <w:t>las descargas epilépticas </w:t>
      </w:r>
      <w:r>
        <w:rPr/>
        <w:t>en </w:t>
      </w:r>
      <w:r>
        <w:rPr>
          <w:spacing w:val="-3"/>
        </w:rPr>
        <w:t>la corteza </w:t>
      </w:r>
      <w:r>
        <w:rPr/>
        <w:t>y el </w:t>
      </w:r>
      <w:r>
        <w:rPr>
          <w:spacing w:val="-3"/>
        </w:rPr>
        <w:t>grado </w:t>
      </w:r>
      <w:r>
        <w:rPr/>
        <w:t>y el </w:t>
      </w:r>
      <w:r>
        <w:rPr>
          <w:spacing w:val="-3"/>
        </w:rPr>
        <w:t>patrón </w:t>
      </w:r>
      <w:r>
        <w:rPr/>
        <w:t>de la </w:t>
      </w:r>
      <w:r>
        <w:rPr>
          <w:spacing w:val="-3"/>
        </w:rPr>
        <w:t>propagación </w:t>
      </w:r>
      <w:r>
        <w:rPr/>
        <w:t>de </w:t>
      </w:r>
      <w:r>
        <w:rPr>
          <w:spacing w:val="-3"/>
        </w:rPr>
        <w:t>la descarga epiléptica </w:t>
      </w:r>
      <w:r>
        <w:rPr/>
        <w:t>en el </w:t>
      </w:r>
      <w:r>
        <w:rPr>
          <w:spacing w:val="-3"/>
        </w:rPr>
        <w:t>cerebro (Fig. </w:t>
      </w:r>
      <w:r>
        <w:rPr>
          <w:spacing w:val="-2"/>
        </w:rPr>
        <w:t>2). </w:t>
      </w:r>
      <w:r>
        <w:rPr>
          <w:spacing w:val="-4"/>
        </w:rPr>
        <w:t>Muchos </w:t>
      </w:r>
      <w:r>
        <w:rPr>
          <w:spacing w:val="-3"/>
        </w:rPr>
        <w:t>pacientes tendrán </w:t>
      </w:r>
      <w:r>
        <w:rPr>
          <w:spacing w:val="-2"/>
        </w:rPr>
        <w:t>más </w:t>
      </w:r>
      <w:r>
        <w:rPr/>
        <w:t>de un </w:t>
      </w:r>
      <w:r>
        <w:rPr>
          <w:spacing w:val="-3"/>
        </w:rPr>
        <w:t>tipo </w:t>
      </w:r>
      <w:r>
        <w:rPr/>
        <w:t>de </w:t>
      </w:r>
      <w:r>
        <w:rPr>
          <w:spacing w:val="-3"/>
        </w:rPr>
        <w:t>ataque</w:t>
      </w:r>
      <w:r>
        <w:rPr>
          <w:spacing w:val="-5"/>
        </w:rPr>
        <w:t> </w:t>
      </w:r>
      <w:r>
        <w:rPr/>
        <w:t>y</w:t>
      </w:r>
      <w:r>
        <w:rPr>
          <w:spacing w:val="-9"/>
        </w:rPr>
        <w:t> </w:t>
      </w:r>
      <w:r>
        <w:rPr>
          <w:spacing w:val="-3"/>
        </w:rPr>
        <w:t>las</w:t>
      </w:r>
      <w:r>
        <w:rPr>
          <w:spacing w:val="-9"/>
        </w:rPr>
        <w:t> </w:t>
      </w:r>
      <w:r>
        <w:rPr>
          <w:spacing w:val="-4"/>
        </w:rPr>
        <w:t>características</w:t>
      </w:r>
      <w:r>
        <w:rPr>
          <w:spacing w:val="-9"/>
        </w:rPr>
        <w:t> </w:t>
      </w:r>
      <w:r>
        <w:rPr/>
        <w:t>de</w:t>
      </w:r>
      <w:r>
        <w:rPr>
          <w:spacing w:val="-8"/>
        </w:rPr>
        <w:t> </w:t>
      </w:r>
      <w:r>
        <w:rPr>
          <w:spacing w:val="-3"/>
        </w:rPr>
        <w:t>cada</w:t>
      </w:r>
      <w:r>
        <w:rPr>
          <w:spacing w:val="-8"/>
        </w:rPr>
        <w:t> </w:t>
      </w:r>
      <w:r>
        <w:rPr>
          <w:spacing w:val="-3"/>
        </w:rPr>
        <w:t>tipo</w:t>
      </w:r>
      <w:r>
        <w:rPr>
          <w:spacing w:val="-10"/>
        </w:rPr>
        <w:t> </w:t>
      </w:r>
      <w:r>
        <w:rPr/>
        <w:t>de</w:t>
      </w:r>
      <w:r>
        <w:rPr>
          <w:spacing w:val="-8"/>
        </w:rPr>
        <w:t> </w:t>
      </w:r>
      <w:r>
        <w:rPr>
          <w:spacing w:val="-3"/>
        </w:rPr>
        <w:t>convulsión</w:t>
      </w:r>
      <w:r>
        <w:rPr>
          <w:spacing w:val="-9"/>
        </w:rPr>
        <w:t> </w:t>
      </w:r>
      <w:r>
        <w:rPr>
          <w:spacing w:val="-3"/>
        </w:rPr>
        <w:t>pueden</w:t>
      </w:r>
      <w:r>
        <w:rPr>
          <w:spacing w:val="-8"/>
        </w:rPr>
        <w:t> </w:t>
      </w:r>
      <w:r>
        <w:rPr>
          <w:spacing w:val="-4"/>
        </w:rPr>
        <w:t>cambiar</w:t>
      </w:r>
      <w:r>
        <w:rPr>
          <w:spacing w:val="-6"/>
        </w:rPr>
        <w:t> </w:t>
      </w:r>
      <w:r>
        <w:rPr/>
        <w:t>de</w:t>
      </w:r>
      <w:r>
        <w:rPr>
          <w:spacing w:val="-8"/>
        </w:rPr>
        <w:t> </w:t>
      </w:r>
      <w:r>
        <w:rPr>
          <w:spacing w:val="-4"/>
        </w:rPr>
        <w:t>incautación</w:t>
      </w:r>
      <w:r>
        <w:rPr>
          <w:spacing w:val="-10"/>
        </w:rPr>
        <w:t> </w:t>
      </w:r>
      <w:r>
        <w:rPr/>
        <w:t>o el </w:t>
      </w:r>
      <w:r>
        <w:rPr>
          <w:spacing w:val="-3"/>
        </w:rPr>
        <w:t>paso </w:t>
      </w:r>
      <w:r>
        <w:rPr>
          <w:spacing w:val="-2"/>
        </w:rPr>
        <w:t>del </w:t>
      </w:r>
      <w:r>
        <w:rPr>
          <w:spacing w:val="-3"/>
        </w:rPr>
        <w:t>tiempo</w:t>
      </w:r>
      <w:r>
        <w:rPr>
          <w:spacing w:val="-19"/>
        </w:rPr>
        <w:t> </w:t>
      </w:r>
      <w:r>
        <w:rPr>
          <w:spacing w:val="-3"/>
          <w:position w:val="8"/>
          <w:sz w:val="16"/>
        </w:rPr>
        <w:t>(9)</w:t>
      </w:r>
    </w:p>
    <w:p>
      <w:pPr>
        <w:pStyle w:val="BodyText"/>
        <w:spacing w:before="3"/>
        <w:rPr>
          <w:sz w:val="28"/>
        </w:rPr>
      </w:pPr>
      <w:r>
        <w:rPr/>
        <w:drawing>
          <wp:anchor distT="0" distB="0" distL="0" distR="0" allowOverlap="1" layoutInCell="1" locked="0" behindDoc="0" simplePos="0" relativeHeight="1264">
            <wp:simplePos x="0" y="0"/>
            <wp:positionH relativeFrom="page">
              <wp:posOffset>2455164</wp:posOffset>
            </wp:positionH>
            <wp:positionV relativeFrom="paragraph">
              <wp:posOffset>231577</wp:posOffset>
            </wp:positionV>
            <wp:extent cx="2764825" cy="2320861"/>
            <wp:effectExtent l="0" t="0" r="0" b="0"/>
            <wp:wrapTopAndBottom/>
            <wp:docPr id="7" name="image4.jpeg" descr=""/>
            <wp:cNvGraphicFramePr>
              <a:graphicFrameLocks noChangeAspect="1"/>
            </wp:cNvGraphicFramePr>
            <a:graphic>
              <a:graphicData uri="http://schemas.openxmlformats.org/drawingml/2006/picture">
                <pic:pic>
                  <pic:nvPicPr>
                    <pic:cNvPr id="8" name="image4.jpeg"/>
                    <pic:cNvPicPr/>
                  </pic:nvPicPr>
                  <pic:blipFill>
                    <a:blip r:embed="rId10" cstate="print"/>
                    <a:stretch>
                      <a:fillRect/>
                    </a:stretch>
                  </pic:blipFill>
                  <pic:spPr>
                    <a:xfrm>
                      <a:off x="0" y="0"/>
                      <a:ext cx="2764825" cy="2320861"/>
                    </a:xfrm>
                    <a:prstGeom prst="rect">
                      <a:avLst/>
                    </a:prstGeom>
                  </pic:spPr>
                </pic:pic>
              </a:graphicData>
            </a:graphic>
          </wp:anchor>
        </w:drawing>
      </w:r>
    </w:p>
    <w:p>
      <w:pPr>
        <w:pStyle w:val="BodyText"/>
        <w:rPr>
          <w:sz w:val="26"/>
        </w:rPr>
      </w:pPr>
    </w:p>
    <w:p>
      <w:pPr>
        <w:pStyle w:val="BodyText"/>
        <w:spacing w:before="7"/>
        <w:rPr>
          <w:sz w:val="23"/>
        </w:rPr>
      </w:pPr>
    </w:p>
    <w:p>
      <w:pPr>
        <w:spacing w:before="0"/>
        <w:ind w:left="2637" w:right="0" w:firstLine="0"/>
        <w:jc w:val="left"/>
        <w:rPr>
          <w:sz w:val="20"/>
        </w:rPr>
      </w:pPr>
      <w:r>
        <w:rPr>
          <w:sz w:val="20"/>
        </w:rPr>
        <w:t>Figura. 2 Localización de la descarga epiléptica.</w:t>
      </w:r>
    </w:p>
    <w:p>
      <w:pPr>
        <w:spacing w:after="0"/>
        <w:jc w:val="left"/>
        <w:rPr>
          <w:sz w:val="20"/>
        </w:rPr>
        <w:sectPr>
          <w:type w:val="continuous"/>
          <w:pgSz w:w="12240" w:h="15840"/>
          <w:pgMar w:top="920" w:bottom="280" w:left="1280" w:right="1580"/>
        </w:sectPr>
      </w:pPr>
    </w:p>
    <w:p>
      <w:pPr>
        <w:pStyle w:val="BodyText"/>
        <w:rPr>
          <w:sz w:val="20"/>
        </w:rPr>
      </w:pPr>
    </w:p>
    <w:p>
      <w:pPr>
        <w:pStyle w:val="BodyText"/>
        <w:rPr>
          <w:sz w:val="20"/>
        </w:rPr>
      </w:pPr>
    </w:p>
    <w:p>
      <w:pPr>
        <w:pStyle w:val="BodyText"/>
        <w:spacing w:before="3"/>
        <w:rPr>
          <w:sz w:val="17"/>
        </w:rPr>
      </w:pPr>
    </w:p>
    <w:p>
      <w:pPr>
        <w:pStyle w:val="ListParagraph"/>
        <w:numPr>
          <w:ilvl w:val="3"/>
          <w:numId w:val="2"/>
        </w:numPr>
        <w:tabs>
          <w:tab w:pos="858" w:val="left" w:leader="none"/>
        </w:tabs>
        <w:spacing w:line="240" w:lineRule="auto" w:before="69" w:after="0"/>
        <w:ind w:left="858" w:right="0" w:hanging="740"/>
        <w:jc w:val="left"/>
        <w:rPr>
          <w:sz w:val="24"/>
        </w:rPr>
      </w:pPr>
      <w:r>
        <w:rPr>
          <w:sz w:val="24"/>
          <w:u w:val="single"/>
        </w:rPr>
        <w:t>Convulsiones</w:t>
      </w:r>
      <w:r>
        <w:rPr>
          <w:spacing w:val="13"/>
          <w:sz w:val="24"/>
          <w:u w:val="single"/>
        </w:rPr>
        <w:t> </w:t>
      </w:r>
      <w:r>
        <w:rPr>
          <w:sz w:val="24"/>
          <w:u w:val="single"/>
        </w:rPr>
        <w:t>parciales</w:t>
      </w:r>
    </w:p>
    <w:p>
      <w:pPr>
        <w:pStyle w:val="BodyText"/>
        <w:spacing w:before="2"/>
        <w:rPr>
          <w:sz w:val="19"/>
        </w:rPr>
      </w:pPr>
    </w:p>
    <w:p>
      <w:pPr>
        <w:pStyle w:val="BodyText"/>
        <w:spacing w:line="360" w:lineRule="auto" w:before="70"/>
        <w:ind w:left="118" w:right="164"/>
        <w:jc w:val="both"/>
      </w:pPr>
      <w:r>
        <w:rPr/>
        <w:t>Las convulsiones parciales o focales (figura 3), son las más comunes y ocurren en el 75%</w:t>
      </w:r>
      <w:r>
        <w:rPr>
          <w:spacing w:val="-14"/>
        </w:rPr>
        <w:t> </w:t>
      </w:r>
      <w:r>
        <w:rPr/>
        <w:t>y</w:t>
      </w:r>
      <w:r>
        <w:rPr>
          <w:spacing w:val="-16"/>
        </w:rPr>
        <w:t> </w:t>
      </w:r>
      <w:r>
        <w:rPr/>
        <w:t>el</w:t>
      </w:r>
      <w:r>
        <w:rPr>
          <w:spacing w:val="-14"/>
        </w:rPr>
        <w:t> </w:t>
      </w:r>
      <w:r>
        <w:rPr/>
        <w:t>80%</w:t>
      </w:r>
      <w:r>
        <w:rPr>
          <w:spacing w:val="-14"/>
        </w:rPr>
        <w:t> </w:t>
      </w:r>
      <w:r>
        <w:rPr/>
        <w:t>de</w:t>
      </w:r>
      <w:r>
        <w:rPr>
          <w:spacing w:val="-13"/>
        </w:rPr>
        <w:t> </w:t>
      </w:r>
      <w:r>
        <w:rPr/>
        <w:t>los</w:t>
      </w:r>
      <w:r>
        <w:rPr>
          <w:spacing w:val="-13"/>
        </w:rPr>
        <w:t> </w:t>
      </w:r>
      <w:r>
        <w:rPr/>
        <w:t>pacientes</w:t>
      </w:r>
      <w:r>
        <w:rPr>
          <w:spacing w:val="-16"/>
        </w:rPr>
        <w:t> </w:t>
      </w:r>
      <w:r>
        <w:rPr/>
        <w:t>que</w:t>
      </w:r>
      <w:r>
        <w:rPr>
          <w:spacing w:val="-13"/>
        </w:rPr>
        <w:t> </w:t>
      </w:r>
      <w:r>
        <w:rPr/>
        <w:t>tienen</w:t>
      </w:r>
      <w:r>
        <w:rPr>
          <w:spacing w:val="-13"/>
        </w:rPr>
        <w:t> </w:t>
      </w:r>
      <w:r>
        <w:rPr/>
        <w:t>epilepsia.</w:t>
      </w:r>
      <w:r>
        <w:rPr>
          <w:spacing w:val="-13"/>
        </w:rPr>
        <w:t> </w:t>
      </w:r>
      <w:r>
        <w:rPr/>
        <w:t>En</w:t>
      </w:r>
      <w:r>
        <w:rPr>
          <w:spacing w:val="-13"/>
        </w:rPr>
        <w:t> </w:t>
      </w:r>
      <w:r>
        <w:rPr/>
        <w:t>contraste</w:t>
      </w:r>
      <w:r>
        <w:rPr>
          <w:spacing w:val="-13"/>
        </w:rPr>
        <w:t> </w:t>
      </w:r>
      <w:r>
        <w:rPr/>
        <w:t>con</w:t>
      </w:r>
      <w:r>
        <w:rPr>
          <w:spacing w:val="-11"/>
        </w:rPr>
        <w:t> </w:t>
      </w:r>
      <w:r>
        <w:rPr/>
        <w:t>las</w:t>
      </w:r>
      <w:r>
        <w:rPr>
          <w:spacing w:val="-13"/>
        </w:rPr>
        <w:t> </w:t>
      </w:r>
      <w:r>
        <w:rPr/>
        <w:t>convulsiones generalizadas, las convulsiones parciales comienzan focalmente con una descarga eléctrica anormal en una región restringida del cerebro </w:t>
      </w:r>
      <w:r>
        <w:rPr>
          <w:position w:val="8"/>
          <w:sz w:val="16"/>
        </w:rPr>
        <w:t>(8)</w:t>
      </w:r>
      <w:r>
        <w:rPr/>
        <w:t>. Las convulsiones</w:t>
      </w:r>
      <w:r>
        <w:rPr>
          <w:spacing w:val="-38"/>
        </w:rPr>
        <w:t> </w:t>
      </w:r>
      <w:r>
        <w:rPr/>
        <w:t>parciales se subclasifican por su efecto sobre la conciencia, y la memoria en convulsiones parciales simples (paciente permanece consciente), crisis parciales complejas (paciente ha deteriorado la conciencia), o crisis parciales en evolución para las convulsiones tónico-clónicas secundariamente generalizadas</w:t>
      </w:r>
      <w:r>
        <w:rPr>
          <w:spacing w:val="-21"/>
        </w:rPr>
        <w:t> </w:t>
      </w:r>
      <w:r>
        <w:rPr>
          <w:position w:val="8"/>
          <w:sz w:val="16"/>
        </w:rPr>
        <w:t>(14)</w:t>
      </w:r>
      <w:r>
        <w:rPr/>
        <w:t>.</w:t>
      </w:r>
    </w:p>
    <w:p>
      <w:pPr>
        <w:pStyle w:val="BodyText"/>
        <w:ind w:left="2542"/>
        <w:rPr>
          <w:sz w:val="20"/>
        </w:rPr>
      </w:pPr>
      <w:r>
        <w:rPr>
          <w:sz w:val="20"/>
        </w:rPr>
        <w:drawing>
          <wp:inline distT="0" distB="0" distL="0" distR="0">
            <wp:extent cx="2755860" cy="4140708"/>
            <wp:effectExtent l="0" t="0" r="0" b="0"/>
            <wp:docPr id="9" name="image5.jpeg" descr=""/>
            <wp:cNvGraphicFramePr>
              <a:graphicFrameLocks noChangeAspect="1"/>
            </wp:cNvGraphicFramePr>
            <a:graphic>
              <a:graphicData uri="http://schemas.openxmlformats.org/drawingml/2006/picture">
                <pic:pic>
                  <pic:nvPicPr>
                    <pic:cNvPr id="10" name="image5.jpeg"/>
                    <pic:cNvPicPr/>
                  </pic:nvPicPr>
                  <pic:blipFill>
                    <a:blip r:embed="rId12" cstate="print"/>
                    <a:stretch>
                      <a:fillRect/>
                    </a:stretch>
                  </pic:blipFill>
                  <pic:spPr>
                    <a:xfrm>
                      <a:off x="0" y="0"/>
                      <a:ext cx="2755860" cy="4140708"/>
                    </a:xfrm>
                    <a:prstGeom prst="rect">
                      <a:avLst/>
                    </a:prstGeom>
                  </pic:spPr>
                </pic:pic>
              </a:graphicData>
            </a:graphic>
          </wp:inline>
        </w:drawing>
      </w:r>
      <w:r>
        <w:rPr>
          <w:sz w:val="20"/>
        </w:rPr>
      </w:r>
    </w:p>
    <w:p>
      <w:pPr>
        <w:pStyle w:val="BodyText"/>
        <w:spacing w:before="8"/>
      </w:pPr>
    </w:p>
    <w:p>
      <w:pPr>
        <w:spacing w:before="0"/>
        <w:ind w:left="118" w:right="120" w:firstLine="0"/>
        <w:jc w:val="center"/>
        <w:rPr>
          <w:sz w:val="20"/>
        </w:rPr>
      </w:pPr>
      <w:r>
        <w:rPr>
          <w:sz w:val="20"/>
        </w:rPr>
        <w:t>Figura 3.  Convulsión Parcial</w:t>
      </w:r>
    </w:p>
    <w:p>
      <w:pPr>
        <w:pStyle w:val="BodyText"/>
        <w:rPr>
          <w:sz w:val="27"/>
        </w:rPr>
      </w:pPr>
    </w:p>
    <w:p>
      <w:pPr>
        <w:pStyle w:val="BodyText"/>
        <w:spacing w:line="360" w:lineRule="auto"/>
        <w:ind w:left="118" w:right="118"/>
        <w:jc w:val="both"/>
      </w:pPr>
      <w:r>
        <w:rPr/>
        <w:t>Las </w:t>
      </w:r>
      <w:r>
        <w:rPr>
          <w:i/>
        </w:rPr>
        <w:t>convulsiones parciales simples </w:t>
      </w:r>
      <w:r>
        <w:rPr/>
        <w:t>son las más espacialmente restringidas de las crisis parciales y se caracterizan por un episodio de alteración de la sensibilidad, la función</w:t>
      </w:r>
      <w:r>
        <w:rPr>
          <w:spacing w:val="-4"/>
        </w:rPr>
        <w:t> </w:t>
      </w:r>
      <w:r>
        <w:rPr/>
        <w:t>cognitiva,</w:t>
      </w:r>
      <w:r>
        <w:rPr>
          <w:spacing w:val="-4"/>
        </w:rPr>
        <w:t> </w:t>
      </w:r>
      <w:r>
        <w:rPr/>
        <w:t>o</w:t>
      </w:r>
      <w:r>
        <w:rPr>
          <w:spacing w:val="-4"/>
        </w:rPr>
        <w:t> </w:t>
      </w:r>
      <w:r>
        <w:rPr/>
        <w:t>la</w:t>
      </w:r>
      <w:r>
        <w:rPr>
          <w:spacing w:val="-9"/>
        </w:rPr>
        <w:t> </w:t>
      </w:r>
      <w:r>
        <w:rPr/>
        <w:t>actividad</w:t>
      </w:r>
      <w:r>
        <w:rPr>
          <w:spacing w:val="-6"/>
        </w:rPr>
        <w:t> </w:t>
      </w:r>
      <w:r>
        <w:rPr/>
        <w:t>motora</w:t>
      </w:r>
      <w:r>
        <w:rPr>
          <w:spacing w:val="-7"/>
        </w:rPr>
        <w:t> </w:t>
      </w:r>
      <w:r>
        <w:rPr/>
        <w:t>durante</w:t>
      </w:r>
      <w:r>
        <w:rPr>
          <w:spacing w:val="-3"/>
        </w:rPr>
        <w:t> </w:t>
      </w:r>
      <w:r>
        <w:rPr/>
        <w:t>la</w:t>
      </w:r>
      <w:r>
        <w:rPr>
          <w:spacing w:val="-4"/>
        </w:rPr>
        <w:t> </w:t>
      </w:r>
      <w:r>
        <w:rPr/>
        <w:t>cual</w:t>
      </w:r>
      <w:r>
        <w:rPr>
          <w:spacing w:val="-5"/>
        </w:rPr>
        <w:t> </w:t>
      </w:r>
      <w:r>
        <w:rPr/>
        <w:t>la</w:t>
      </w:r>
      <w:r>
        <w:rPr>
          <w:spacing w:val="-6"/>
        </w:rPr>
        <w:t> </w:t>
      </w:r>
      <w:r>
        <w:rPr/>
        <w:t>conciencia</w:t>
      </w:r>
      <w:r>
        <w:rPr>
          <w:spacing w:val="-6"/>
        </w:rPr>
        <w:t> </w:t>
      </w:r>
      <w:r>
        <w:rPr/>
        <w:t>y</w:t>
      </w:r>
      <w:r>
        <w:rPr>
          <w:spacing w:val="-7"/>
        </w:rPr>
        <w:t> </w:t>
      </w:r>
      <w:r>
        <w:rPr/>
        <w:t>la</w:t>
      </w:r>
      <w:r>
        <w:rPr>
          <w:spacing w:val="-4"/>
        </w:rPr>
        <w:t> </w:t>
      </w:r>
      <w:r>
        <w:rPr/>
        <w:t>capacidad</w:t>
      </w:r>
      <w:r>
        <w:rPr>
          <w:spacing w:val="-6"/>
        </w:rPr>
        <w:t> </w:t>
      </w:r>
      <w:r>
        <w:rPr/>
        <w:t>de</w:t>
      </w:r>
    </w:p>
    <w:p>
      <w:pPr>
        <w:spacing w:after="0" w:line="360" w:lineRule="auto"/>
        <w:jc w:val="both"/>
        <w:sectPr>
          <w:footerReference w:type="default" r:id="rId11"/>
          <w:pgSz w:w="12240" w:h="15840"/>
          <w:pgMar w:footer="1003" w:header="749" w:top="960" w:bottom="1200" w:left="1300" w:right="1580"/>
        </w:sectPr>
      </w:pPr>
    </w:p>
    <w:p>
      <w:pPr>
        <w:pStyle w:val="BodyText"/>
        <w:rPr>
          <w:sz w:val="20"/>
        </w:rPr>
      </w:pPr>
    </w:p>
    <w:p>
      <w:pPr>
        <w:pStyle w:val="BodyText"/>
        <w:rPr>
          <w:sz w:val="20"/>
        </w:rPr>
      </w:pPr>
    </w:p>
    <w:p>
      <w:pPr>
        <w:pStyle w:val="BodyText"/>
        <w:spacing w:before="2"/>
        <w:rPr>
          <w:sz w:val="16"/>
        </w:rPr>
      </w:pPr>
    </w:p>
    <w:p>
      <w:pPr>
        <w:pStyle w:val="BodyText"/>
        <w:spacing w:line="360" w:lineRule="auto" w:before="79"/>
        <w:ind w:left="118" w:right="115"/>
        <w:jc w:val="both"/>
      </w:pPr>
      <w:r>
        <w:rPr/>
        <w:t>interactuar con la unificación del entorno externo no se vean afectadas </w:t>
      </w:r>
      <w:r>
        <w:rPr>
          <w:position w:val="8"/>
          <w:sz w:val="16"/>
        </w:rPr>
        <w:t>(3)</w:t>
      </w:r>
      <w:r>
        <w:rPr/>
        <w:t>. Se les conoce como "auras" cuando fueren anteriores a un ataque complejo o secundariamente generalizado. Los síntomas varían, dependiendo de la región del cerebro</w:t>
      </w:r>
      <w:r>
        <w:rPr>
          <w:spacing w:val="-11"/>
        </w:rPr>
        <w:t> </w:t>
      </w:r>
      <w:r>
        <w:rPr/>
        <w:t>involucrada</w:t>
      </w:r>
      <w:r>
        <w:rPr>
          <w:spacing w:val="-10"/>
        </w:rPr>
        <w:t> </w:t>
      </w:r>
      <w:r>
        <w:rPr/>
        <w:t>y</w:t>
      </w:r>
      <w:r>
        <w:rPr>
          <w:spacing w:val="-14"/>
        </w:rPr>
        <w:t> </w:t>
      </w:r>
      <w:r>
        <w:rPr/>
        <w:t>pueden</w:t>
      </w:r>
      <w:r>
        <w:rPr>
          <w:spacing w:val="-11"/>
        </w:rPr>
        <w:t> </w:t>
      </w:r>
      <w:r>
        <w:rPr/>
        <w:t>tener</w:t>
      </w:r>
      <w:r>
        <w:rPr>
          <w:spacing w:val="-12"/>
        </w:rPr>
        <w:t> </w:t>
      </w:r>
      <w:r>
        <w:rPr/>
        <w:t>signos</w:t>
      </w:r>
      <w:r>
        <w:rPr>
          <w:spacing w:val="-14"/>
        </w:rPr>
        <w:t> </w:t>
      </w:r>
      <w:r>
        <w:rPr/>
        <w:t>motores</w:t>
      </w:r>
      <w:r>
        <w:rPr>
          <w:spacing w:val="-11"/>
        </w:rPr>
        <w:t> </w:t>
      </w:r>
      <w:r>
        <w:rPr/>
        <w:t>(movimiento</w:t>
      </w:r>
      <w:r>
        <w:rPr>
          <w:spacing w:val="-13"/>
        </w:rPr>
        <w:t> </w:t>
      </w:r>
      <w:r>
        <w:rPr/>
        <w:t>de</w:t>
      </w:r>
      <w:r>
        <w:rPr>
          <w:spacing w:val="-13"/>
        </w:rPr>
        <w:t> </w:t>
      </w:r>
      <w:r>
        <w:rPr/>
        <w:t>cualquier</w:t>
      </w:r>
      <w:r>
        <w:rPr>
          <w:spacing w:val="-12"/>
        </w:rPr>
        <w:t> </w:t>
      </w:r>
      <w:r>
        <w:rPr/>
        <w:t>parte</w:t>
      </w:r>
      <w:r>
        <w:rPr>
          <w:spacing w:val="-11"/>
        </w:rPr>
        <w:t> </w:t>
      </w:r>
      <w:r>
        <w:rPr/>
        <w:t>del cuerpo), señales sensoriales (cambios visuales u olfativos), signos psíquicos (miedo, ansiedad, dejávu), o signos autonómicos (mareo, taquicardia,</w:t>
      </w:r>
      <w:r>
        <w:rPr>
          <w:spacing w:val="-26"/>
        </w:rPr>
        <w:t> </w:t>
      </w:r>
      <w:r>
        <w:rPr/>
        <w:t>sudoración).</w:t>
      </w:r>
    </w:p>
    <w:p>
      <w:pPr>
        <w:pStyle w:val="BodyText"/>
      </w:pPr>
    </w:p>
    <w:p>
      <w:pPr>
        <w:pStyle w:val="BodyText"/>
        <w:spacing w:before="5"/>
        <w:rPr>
          <w:sz w:val="20"/>
        </w:rPr>
      </w:pPr>
    </w:p>
    <w:p>
      <w:pPr>
        <w:pStyle w:val="BodyText"/>
        <w:spacing w:line="360" w:lineRule="auto"/>
        <w:ind w:left="118" w:right="116"/>
        <w:jc w:val="both"/>
      </w:pPr>
      <w:r>
        <w:rPr/>
        <w:t>Las</w:t>
      </w:r>
      <w:r>
        <w:rPr>
          <w:spacing w:val="-10"/>
        </w:rPr>
        <w:t> </w:t>
      </w:r>
      <w:r>
        <w:rPr/>
        <w:t>convulsiones</w:t>
      </w:r>
      <w:r>
        <w:rPr>
          <w:spacing w:val="-13"/>
        </w:rPr>
        <w:t> </w:t>
      </w:r>
      <w:r>
        <w:rPr/>
        <w:t>parciales</w:t>
      </w:r>
      <w:r>
        <w:rPr>
          <w:spacing w:val="-10"/>
        </w:rPr>
        <w:t> </w:t>
      </w:r>
      <w:r>
        <w:rPr/>
        <w:t>complejas</w:t>
      </w:r>
      <w:r>
        <w:rPr>
          <w:spacing w:val="-10"/>
        </w:rPr>
        <w:t> </w:t>
      </w:r>
      <w:r>
        <w:rPr/>
        <w:t>se</w:t>
      </w:r>
      <w:r>
        <w:rPr>
          <w:spacing w:val="-5"/>
        </w:rPr>
        <w:t> </w:t>
      </w:r>
      <w:r>
        <w:rPr/>
        <w:t>caracterizan</w:t>
      </w:r>
      <w:r>
        <w:rPr>
          <w:spacing w:val="-8"/>
        </w:rPr>
        <w:t> </w:t>
      </w:r>
      <w:r>
        <w:rPr/>
        <w:t>por</w:t>
      </w:r>
      <w:r>
        <w:rPr>
          <w:spacing w:val="-11"/>
        </w:rPr>
        <w:t> </w:t>
      </w:r>
      <w:r>
        <w:rPr/>
        <w:t>un</w:t>
      </w:r>
      <w:r>
        <w:rPr>
          <w:spacing w:val="-9"/>
        </w:rPr>
        <w:t> </w:t>
      </w:r>
      <w:r>
        <w:rPr/>
        <w:t>episodio</w:t>
      </w:r>
      <w:r>
        <w:rPr>
          <w:spacing w:val="-9"/>
        </w:rPr>
        <w:t> </w:t>
      </w:r>
      <w:r>
        <w:rPr/>
        <w:t>de</w:t>
      </w:r>
      <w:r>
        <w:rPr>
          <w:spacing w:val="-9"/>
        </w:rPr>
        <w:t> </w:t>
      </w:r>
      <w:r>
        <w:rPr/>
        <w:t>alteración</w:t>
      </w:r>
      <w:r>
        <w:rPr>
          <w:spacing w:val="-12"/>
        </w:rPr>
        <w:t> </w:t>
      </w:r>
      <w:r>
        <w:rPr/>
        <w:t>de la conciencia con un comportamiento alterado, pueden durar entre 30 segundos y 2 minutos</w:t>
      </w:r>
      <w:r>
        <w:rPr>
          <w:spacing w:val="-19"/>
        </w:rPr>
        <w:t> </w:t>
      </w:r>
      <w:r>
        <w:rPr>
          <w:position w:val="8"/>
          <w:sz w:val="16"/>
        </w:rPr>
        <w:t>(8)</w:t>
      </w:r>
      <w:r>
        <w:rPr/>
        <w:t>.</w:t>
      </w:r>
      <w:r>
        <w:rPr>
          <w:spacing w:val="-19"/>
        </w:rPr>
        <w:t> </w:t>
      </w:r>
      <w:r>
        <w:rPr/>
        <w:t>La</w:t>
      </w:r>
      <w:r>
        <w:rPr>
          <w:spacing w:val="-19"/>
        </w:rPr>
        <w:t> </w:t>
      </w:r>
      <w:r>
        <w:rPr/>
        <w:t>actividad</w:t>
      </w:r>
      <w:r>
        <w:rPr>
          <w:spacing w:val="-19"/>
        </w:rPr>
        <w:t> </w:t>
      </w:r>
      <w:r>
        <w:rPr/>
        <w:t>motora</w:t>
      </w:r>
      <w:r>
        <w:rPr>
          <w:spacing w:val="-20"/>
        </w:rPr>
        <w:t> </w:t>
      </w:r>
      <w:r>
        <w:rPr/>
        <w:t>puede</w:t>
      </w:r>
      <w:r>
        <w:rPr>
          <w:spacing w:val="-19"/>
        </w:rPr>
        <w:t> </w:t>
      </w:r>
      <w:r>
        <w:rPr/>
        <w:t>consistir</w:t>
      </w:r>
      <w:r>
        <w:rPr>
          <w:spacing w:val="-21"/>
        </w:rPr>
        <w:t> </w:t>
      </w:r>
      <w:r>
        <w:rPr/>
        <w:t>en</w:t>
      </w:r>
      <w:r>
        <w:rPr>
          <w:spacing w:val="-19"/>
        </w:rPr>
        <w:t> </w:t>
      </w:r>
      <w:r>
        <w:rPr/>
        <w:t>movimientos</w:t>
      </w:r>
      <w:r>
        <w:rPr>
          <w:spacing w:val="-20"/>
        </w:rPr>
        <w:t> </w:t>
      </w:r>
      <w:r>
        <w:rPr/>
        <w:t>automáticos</w:t>
      </w:r>
      <w:r>
        <w:rPr>
          <w:spacing w:val="-20"/>
        </w:rPr>
        <w:t> </w:t>
      </w:r>
      <w:r>
        <w:rPr/>
        <w:t>repetitivos de la cara o las extremidades. Las crisis parciales con generalización secundaria se producen cuando la incautación se localiza inicialmente a un área limitada o se extiende</w:t>
      </w:r>
      <w:r>
        <w:rPr>
          <w:spacing w:val="-9"/>
        </w:rPr>
        <w:t> </w:t>
      </w:r>
      <w:r>
        <w:rPr/>
        <w:t>involucrando</w:t>
      </w:r>
      <w:r>
        <w:rPr>
          <w:spacing w:val="-9"/>
        </w:rPr>
        <w:t> </w:t>
      </w:r>
      <w:r>
        <w:rPr/>
        <w:t>ambos</w:t>
      </w:r>
      <w:r>
        <w:rPr>
          <w:spacing w:val="-10"/>
        </w:rPr>
        <w:t> </w:t>
      </w:r>
      <w:r>
        <w:rPr/>
        <w:t>lados</w:t>
      </w:r>
      <w:r>
        <w:rPr>
          <w:spacing w:val="-13"/>
        </w:rPr>
        <w:t> </w:t>
      </w:r>
      <w:r>
        <w:rPr/>
        <w:t>del</w:t>
      </w:r>
      <w:r>
        <w:rPr>
          <w:spacing w:val="-9"/>
        </w:rPr>
        <w:t> </w:t>
      </w:r>
      <w:r>
        <w:rPr/>
        <w:t>cerebro</w:t>
      </w:r>
      <w:r>
        <w:rPr>
          <w:spacing w:val="-10"/>
        </w:rPr>
        <w:t> </w:t>
      </w:r>
      <w:r>
        <w:rPr/>
        <w:t>y</w:t>
      </w:r>
      <w:r>
        <w:rPr>
          <w:spacing w:val="-13"/>
        </w:rPr>
        <w:t> </w:t>
      </w:r>
      <w:r>
        <w:rPr/>
        <w:t>se</w:t>
      </w:r>
      <w:r>
        <w:rPr>
          <w:spacing w:val="-9"/>
        </w:rPr>
        <w:t> </w:t>
      </w:r>
      <w:r>
        <w:rPr/>
        <w:t>convierte</w:t>
      </w:r>
      <w:r>
        <w:rPr>
          <w:spacing w:val="-9"/>
        </w:rPr>
        <w:t> </w:t>
      </w:r>
      <w:r>
        <w:rPr/>
        <w:t>en</w:t>
      </w:r>
      <w:r>
        <w:rPr>
          <w:spacing w:val="-9"/>
        </w:rPr>
        <w:t> </w:t>
      </w:r>
      <w:r>
        <w:rPr/>
        <w:t>una</w:t>
      </w:r>
      <w:r>
        <w:rPr>
          <w:spacing w:val="-9"/>
        </w:rPr>
        <w:t> </w:t>
      </w:r>
      <w:r>
        <w:rPr/>
        <w:t>convulsión</w:t>
      </w:r>
      <w:r>
        <w:rPr>
          <w:spacing w:val="-12"/>
        </w:rPr>
        <w:t> </w:t>
      </w:r>
      <w:r>
        <w:rPr/>
        <w:t>"gran mal" o</w:t>
      </w:r>
      <w:r>
        <w:rPr>
          <w:spacing w:val="-4"/>
        </w:rPr>
        <w:t> </w:t>
      </w:r>
      <w:r>
        <w:rPr/>
        <w:t>tónico-clónicas.</w:t>
      </w:r>
    </w:p>
    <w:p>
      <w:pPr>
        <w:pStyle w:val="BodyText"/>
        <w:spacing w:before="2"/>
        <w:rPr>
          <w:sz w:val="29"/>
        </w:rPr>
      </w:pPr>
    </w:p>
    <w:p>
      <w:pPr>
        <w:pStyle w:val="ListParagraph"/>
        <w:numPr>
          <w:ilvl w:val="3"/>
          <w:numId w:val="2"/>
        </w:numPr>
        <w:tabs>
          <w:tab w:pos="938" w:val="left" w:leader="none"/>
        </w:tabs>
        <w:spacing w:line="240" w:lineRule="auto" w:before="1" w:after="0"/>
        <w:ind w:left="937" w:right="0" w:hanging="819"/>
        <w:jc w:val="both"/>
        <w:rPr>
          <w:sz w:val="24"/>
        </w:rPr>
      </w:pPr>
      <w:r>
        <w:rPr>
          <w:sz w:val="24"/>
          <w:u w:val="single"/>
        </w:rPr>
        <w:t>Convulsiones</w:t>
      </w:r>
      <w:r>
        <w:rPr>
          <w:spacing w:val="37"/>
          <w:sz w:val="24"/>
          <w:u w:val="single"/>
        </w:rPr>
        <w:t> </w:t>
      </w:r>
      <w:r>
        <w:rPr>
          <w:sz w:val="24"/>
          <w:u w:val="single"/>
        </w:rPr>
        <w:t>generalizadas</w:t>
      </w:r>
    </w:p>
    <w:p>
      <w:pPr>
        <w:pStyle w:val="BodyText"/>
        <w:spacing w:before="6"/>
        <w:rPr>
          <w:sz w:val="18"/>
        </w:rPr>
      </w:pPr>
    </w:p>
    <w:p>
      <w:pPr>
        <w:pStyle w:val="BodyText"/>
        <w:spacing w:line="360" w:lineRule="auto" w:before="70"/>
        <w:ind w:left="118" w:right="120"/>
        <w:jc w:val="both"/>
      </w:pPr>
      <w:r>
        <w:rPr/>
        <w:t>Las </w:t>
      </w:r>
      <w:r>
        <w:rPr>
          <w:i/>
        </w:rPr>
        <w:t>convulsiones generalizadas </w:t>
      </w:r>
      <w:r>
        <w:rPr/>
        <w:t>(Fig. 4) comienzan con una descarga eléctrica extendida, con una excesiva participación de la mayor parte o la totalidad del cerebro al</w:t>
      </w:r>
      <w:r>
        <w:rPr>
          <w:spacing w:val="-8"/>
        </w:rPr>
        <w:t> </w:t>
      </w:r>
      <w:r>
        <w:rPr/>
        <w:t>mismo</w:t>
      </w:r>
      <w:r>
        <w:rPr>
          <w:spacing w:val="-7"/>
        </w:rPr>
        <w:t> </w:t>
      </w:r>
      <w:r>
        <w:rPr/>
        <w:t>tiempo.</w:t>
      </w:r>
      <w:r>
        <w:rPr>
          <w:spacing w:val="-8"/>
        </w:rPr>
        <w:t> </w:t>
      </w:r>
      <w:r>
        <w:rPr/>
        <w:t>Se</w:t>
      </w:r>
      <w:r>
        <w:rPr>
          <w:spacing w:val="-7"/>
        </w:rPr>
        <w:t> </w:t>
      </w:r>
      <w:r>
        <w:rPr/>
        <w:t>dividen</w:t>
      </w:r>
      <w:r>
        <w:rPr>
          <w:spacing w:val="-7"/>
        </w:rPr>
        <w:t> </w:t>
      </w:r>
      <w:r>
        <w:rPr/>
        <w:t>en</w:t>
      </w:r>
      <w:r>
        <w:rPr>
          <w:spacing w:val="-7"/>
        </w:rPr>
        <w:t> </w:t>
      </w:r>
      <w:r>
        <w:rPr/>
        <w:t>varios</w:t>
      </w:r>
      <w:r>
        <w:rPr>
          <w:spacing w:val="-8"/>
        </w:rPr>
        <w:t> </w:t>
      </w:r>
      <w:r>
        <w:rPr/>
        <w:t>tipos,</w:t>
      </w:r>
      <w:r>
        <w:rPr>
          <w:spacing w:val="-7"/>
        </w:rPr>
        <w:t> </w:t>
      </w:r>
      <w:r>
        <w:rPr/>
        <w:t>incluyendo</w:t>
      </w:r>
      <w:r>
        <w:rPr>
          <w:spacing w:val="-7"/>
        </w:rPr>
        <w:t> </w:t>
      </w:r>
      <w:r>
        <w:rPr/>
        <w:t>ausencia,</w:t>
      </w:r>
      <w:r>
        <w:rPr>
          <w:spacing w:val="-7"/>
        </w:rPr>
        <w:t> </w:t>
      </w:r>
      <w:r>
        <w:rPr/>
        <w:t>mioclónica,</w:t>
      </w:r>
      <w:r>
        <w:rPr>
          <w:spacing w:val="-7"/>
        </w:rPr>
        <w:t> </w:t>
      </w:r>
      <w:r>
        <w:rPr/>
        <w:t>atónico, tónico, clónico, y tónico-clónicas</w:t>
      </w:r>
      <w:r>
        <w:rPr>
          <w:spacing w:val="-8"/>
        </w:rPr>
        <w:t> </w:t>
      </w:r>
      <w:r>
        <w:rPr>
          <w:position w:val="8"/>
          <w:sz w:val="16"/>
        </w:rPr>
        <w:t>(15)</w:t>
      </w:r>
      <w:r>
        <w:rPr/>
        <w:t>.</w:t>
      </w:r>
    </w:p>
    <w:p>
      <w:pPr>
        <w:pStyle w:val="BodyText"/>
        <w:spacing w:line="360" w:lineRule="auto" w:before="25"/>
        <w:ind w:left="118" w:right="115"/>
        <w:jc w:val="both"/>
      </w:pPr>
      <w:r>
        <w:rPr/>
        <w:t>Los</w:t>
      </w:r>
      <w:r>
        <w:rPr>
          <w:spacing w:val="-20"/>
        </w:rPr>
        <w:t> </w:t>
      </w:r>
      <w:r>
        <w:rPr/>
        <w:t>signos</w:t>
      </w:r>
      <w:r>
        <w:rPr>
          <w:spacing w:val="-18"/>
        </w:rPr>
        <w:t> </w:t>
      </w:r>
      <w:r>
        <w:rPr/>
        <w:t>clínicos</w:t>
      </w:r>
      <w:r>
        <w:rPr>
          <w:spacing w:val="-20"/>
        </w:rPr>
        <w:t> </w:t>
      </w:r>
      <w:r>
        <w:rPr/>
        <w:t>de</w:t>
      </w:r>
      <w:r>
        <w:rPr>
          <w:spacing w:val="-19"/>
        </w:rPr>
        <w:t> </w:t>
      </w:r>
      <w:r>
        <w:rPr/>
        <w:t>un</w:t>
      </w:r>
      <w:r>
        <w:rPr>
          <w:spacing w:val="-17"/>
        </w:rPr>
        <w:t> </w:t>
      </w:r>
      <w:r>
        <w:rPr/>
        <w:t>tónico-clónicas</w:t>
      </w:r>
      <w:r>
        <w:rPr>
          <w:spacing w:val="-18"/>
        </w:rPr>
        <w:t> </w:t>
      </w:r>
      <w:r>
        <w:rPr/>
        <w:t>(o</w:t>
      </w:r>
      <w:r>
        <w:rPr>
          <w:spacing w:val="-19"/>
        </w:rPr>
        <w:t> </w:t>
      </w:r>
      <w:r>
        <w:rPr/>
        <w:t>gran</w:t>
      </w:r>
      <w:r>
        <w:rPr>
          <w:spacing w:val="-19"/>
        </w:rPr>
        <w:t> </w:t>
      </w:r>
      <w:r>
        <w:rPr/>
        <w:t>mal)</w:t>
      </w:r>
      <w:r>
        <w:rPr>
          <w:spacing w:val="-20"/>
        </w:rPr>
        <w:t> </w:t>
      </w:r>
      <w:r>
        <w:rPr/>
        <w:t>convulsión</w:t>
      </w:r>
      <w:r>
        <w:rPr>
          <w:spacing w:val="-19"/>
        </w:rPr>
        <w:t> </w:t>
      </w:r>
      <w:r>
        <w:rPr/>
        <w:t>generalizada</w:t>
      </w:r>
      <w:r>
        <w:rPr>
          <w:spacing w:val="-19"/>
        </w:rPr>
        <w:t> </w:t>
      </w:r>
      <w:r>
        <w:rPr/>
        <w:t>son</w:t>
      </w:r>
      <w:r>
        <w:rPr>
          <w:spacing w:val="-19"/>
        </w:rPr>
        <w:t> </w:t>
      </w:r>
      <w:r>
        <w:rPr/>
        <w:t>bien reconocidas.</w:t>
      </w:r>
      <w:r>
        <w:rPr>
          <w:spacing w:val="-9"/>
        </w:rPr>
        <w:t> </w:t>
      </w:r>
      <w:r>
        <w:rPr/>
        <w:t>Un</w:t>
      </w:r>
      <w:r>
        <w:rPr>
          <w:spacing w:val="-9"/>
        </w:rPr>
        <w:t> </w:t>
      </w:r>
      <w:r>
        <w:rPr/>
        <w:t>aura</w:t>
      </w:r>
      <w:r>
        <w:rPr>
          <w:spacing w:val="-9"/>
        </w:rPr>
        <w:t> </w:t>
      </w:r>
      <w:r>
        <w:rPr/>
        <w:t>(una</w:t>
      </w:r>
      <w:r>
        <w:rPr>
          <w:spacing w:val="-11"/>
        </w:rPr>
        <w:t> </w:t>
      </w:r>
      <w:r>
        <w:rPr/>
        <w:t>alteración</w:t>
      </w:r>
      <w:r>
        <w:rPr>
          <w:spacing w:val="-9"/>
        </w:rPr>
        <w:t> </w:t>
      </w:r>
      <w:r>
        <w:rPr/>
        <w:t>sensorial)</w:t>
      </w:r>
      <w:r>
        <w:rPr>
          <w:spacing w:val="-13"/>
        </w:rPr>
        <w:t> </w:t>
      </w:r>
      <w:r>
        <w:rPr/>
        <w:t>precede</w:t>
      </w:r>
      <w:r>
        <w:rPr>
          <w:spacing w:val="-11"/>
        </w:rPr>
        <w:t> </w:t>
      </w:r>
      <w:r>
        <w:rPr/>
        <w:t>a</w:t>
      </w:r>
      <w:r>
        <w:rPr>
          <w:spacing w:val="-9"/>
        </w:rPr>
        <w:t> </w:t>
      </w:r>
      <w:r>
        <w:rPr/>
        <w:t>la</w:t>
      </w:r>
      <w:r>
        <w:rPr>
          <w:spacing w:val="-9"/>
        </w:rPr>
        <w:t> </w:t>
      </w:r>
      <w:r>
        <w:rPr/>
        <w:t>convulsión</w:t>
      </w:r>
      <w:r>
        <w:rPr>
          <w:spacing w:val="-11"/>
        </w:rPr>
        <w:t> </w:t>
      </w:r>
      <w:r>
        <w:rPr/>
        <w:t>en</w:t>
      </w:r>
      <w:r>
        <w:rPr>
          <w:spacing w:val="-11"/>
        </w:rPr>
        <w:t> </w:t>
      </w:r>
      <w:r>
        <w:rPr/>
        <w:t>35%</w:t>
      </w:r>
      <w:r>
        <w:rPr>
          <w:spacing w:val="-8"/>
        </w:rPr>
        <w:t> </w:t>
      </w:r>
      <w:r>
        <w:rPr/>
        <w:t>de</w:t>
      </w:r>
      <w:r>
        <w:rPr>
          <w:spacing w:val="-9"/>
        </w:rPr>
        <w:t> </w:t>
      </w:r>
      <w:r>
        <w:rPr/>
        <w:t>los pacientes. El aura es seguida por una pérdida abrupta de la conciencia, a menudo acompañada por un “grito epiléptico” causado por el aire que es forzado a salir por la contracción</w:t>
      </w:r>
      <w:r>
        <w:rPr>
          <w:spacing w:val="-9"/>
        </w:rPr>
        <w:t> </w:t>
      </w:r>
      <w:r>
        <w:rPr/>
        <w:t>del</w:t>
      </w:r>
      <w:r>
        <w:rPr>
          <w:spacing w:val="-7"/>
        </w:rPr>
        <w:t> </w:t>
      </w:r>
      <w:r>
        <w:rPr/>
        <w:t>diafragma</w:t>
      </w:r>
      <w:r>
        <w:rPr>
          <w:spacing w:val="-6"/>
        </w:rPr>
        <w:t> </w:t>
      </w:r>
      <w:r>
        <w:rPr/>
        <w:t>a</w:t>
      </w:r>
      <w:r>
        <w:rPr>
          <w:spacing w:val="-9"/>
        </w:rPr>
        <w:t> </w:t>
      </w:r>
      <w:r>
        <w:rPr/>
        <w:t>través</w:t>
      </w:r>
      <w:r>
        <w:rPr>
          <w:spacing w:val="-10"/>
        </w:rPr>
        <w:t> </w:t>
      </w:r>
      <w:r>
        <w:rPr/>
        <w:t>de</w:t>
      </w:r>
      <w:r>
        <w:rPr>
          <w:spacing w:val="-9"/>
        </w:rPr>
        <w:t> </w:t>
      </w:r>
      <w:r>
        <w:rPr/>
        <w:t>una</w:t>
      </w:r>
      <w:r>
        <w:rPr>
          <w:spacing w:val="-7"/>
        </w:rPr>
        <w:t> </w:t>
      </w:r>
      <w:r>
        <w:rPr/>
        <w:t>glotis</w:t>
      </w:r>
      <w:r>
        <w:rPr>
          <w:spacing w:val="-10"/>
        </w:rPr>
        <w:t> </w:t>
      </w:r>
      <w:r>
        <w:rPr/>
        <w:t>parcialmente</w:t>
      </w:r>
      <w:r>
        <w:rPr>
          <w:spacing w:val="-6"/>
        </w:rPr>
        <w:t> </w:t>
      </w:r>
      <w:r>
        <w:rPr/>
        <w:t>cerrada.</w:t>
      </w:r>
      <w:r>
        <w:rPr>
          <w:spacing w:val="-2"/>
        </w:rPr>
        <w:t> </w:t>
      </w:r>
      <w:r>
        <w:rPr/>
        <w:t>Durante</w:t>
      </w:r>
      <w:r>
        <w:rPr>
          <w:spacing w:val="-7"/>
        </w:rPr>
        <w:t> </w:t>
      </w:r>
      <w:r>
        <w:rPr/>
        <w:t>la</w:t>
      </w:r>
      <w:r>
        <w:rPr>
          <w:spacing w:val="-8"/>
        </w:rPr>
        <w:t> </w:t>
      </w:r>
      <w:r>
        <w:rPr/>
        <w:t>fase tónica (10-15 segundos), todo el cuerpo presenta rigidez debido a la totalidad de la contracción de los músculos y los pacientes pueden mostrar clínicamente cianosis, taquicardia e hipertensión</w:t>
      </w:r>
      <w:r>
        <w:rPr>
          <w:spacing w:val="-41"/>
        </w:rPr>
        <w:t> </w:t>
      </w:r>
      <w:r>
        <w:rPr>
          <w:position w:val="8"/>
          <w:sz w:val="16"/>
        </w:rPr>
        <w:t>(8)</w:t>
      </w:r>
      <w:r>
        <w:rPr/>
        <w:t>.</w:t>
      </w:r>
    </w:p>
    <w:p>
      <w:pPr>
        <w:spacing w:after="0" w:line="360" w:lineRule="auto"/>
        <w:jc w:val="both"/>
        <w:sectPr>
          <w:footerReference w:type="default" r:id="rId13"/>
          <w:pgSz w:w="12240" w:h="15840"/>
          <w:pgMar w:footer="1003" w:header="749" w:top="960" w:bottom="1200" w:left="1300" w:right="1580"/>
          <w:pgNumType w:start="11"/>
        </w:sectPr>
      </w:pPr>
    </w:p>
    <w:p>
      <w:pPr>
        <w:pStyle w:val="BodyText"/>
        <w:rPr>
          <w:sz w:val="20"/>
        </w:rPr>
      </w:pPr>
    </w:p>
    <w:p>
      <w:pPr>
        <w:pStyle w:val="BodyText"/>
        <w:rPr>
          <w:sz w:val="20"/>
        </w:rPr>
      </w:pPr>
    </w:p>
    <w:p>
      <w:pPr>
        <w:pStyle w:val="BodyText"/>
        <w:spacing w:before="7"/>
        <w:rPr>
          <w:sz w:val="23"/>
        </w:rPr>
      </w:pPr>
    </w:p>
    <w:p>
      <w:pPr>
        <w:pStyle w:val="BodyText"/>
        <w:ind w:left="2324"/>
        <w:rPr>
          <w:sz w:val="20"/>
        </w:rPr>
      </w:pPr>
      <w:r>
        <w:rPr>
          <w:sz w:val="20"/>
        </w:rPr>
        <w:drawing>
          <wp:inline distT="0" distB="0" distL="0" distR="0">
            <wp:extent cx="3025795" cy="4216146"/>
            <wp:effectExtent l="0" t="0" r="0" b="0"/>
            <wp:docPr id="11" name="image6.jpeg" descr=""/>
            <wp:cNvGraphicFramePr>
              <a:graphicFrameLocks noChangeAspect="1"/>
            </wp:cNvGraphicFramePr>
            <a:graphic>
              <a:graphicData uri="http://schemas.openxmlformats.org/drawingml/2006/picture">
                <pic:pic>
                  <pic:nvPicPr>
                    <pic:cNvPr id="12" name="image6.jpeg"/>
                    <pic:cNvPicPr/>
                  </pic:nvPicPr>
                  <pic:blipFill>
                    <a:blip r:embed="rId14" cstate="print"/>
                    <a:stretch>
                      <a:fillRect/>
                    </a:stretch>
                  </pic:blipFill>
                  <pic:spPr>
                    <a:xfrm>
                      <a:off x="0" y="0"/>
                      <a:ext cx="3025795" cy="4216146"/>
                    </a:xfrm>
                    <a:prstGeom prst="rect">
                      <a:avLst/>
                    </a:prstGeom>
                  </pic:spPr>
                </pic:pic>
              </a:graphicData>
            </a:graphic>
          </wp:inline>
        </w:drawing>
      </w:r>
      <w:r>
        <w:rPr>
          <w:sz w:val="20"/>
        </w:rPr>
      </w:r>
    </w:p>
    <w:p>
      <w:pPr>
        <w:spacing w:before="109"/>
        <w:ind w:left="2975" w:right="194" w:firstLine="0"/>
        <w:jc w:val="left"/>
        <w:rPr>
          <w:sz w:val="20"/>
        </w:rPr>
      </w:pPr>
      <w:r>
        <w:rPr>
          <w:sz w:val="20"/>
        </w:rPr>
        <w:t>Figura 4. Convulsiones Generalizadas.</w:t>
      </w:r>
    </w:p>
    <w:p>
      <w:pPr>
        <w:pStyle w:val="BodyText"/>
        <w:rPr>
          <w:sz w:val="20"/>
        </w:rPr>
      </w:pPr>
    </w:p>
    <w:p>
      <w:pPr>
        <w:pStyle w:val="BodyText"/>
        <w:rPr>
          <w:sz w:val="20"/>
        </w:rPr>
      </w:pPr>
    </w:p>
    <w:p>
      <w:pPr>
        <w:pStyle w:val="BodyText"/>
        <w:spacing w:line="360" w:lineRule="auto" w:before="125"/>
        <w:ind w:left="118" w:right="115"/>
        <w:jc w:val="both"/>
      </w:pPr>
      <w:r>
        <w:rPr/>
        <w:t>La</w:t>
      </w:r>
      <w:r>
        <w:rPr>
          <w:spacing w:val="-19"/>
        </w:rPr>
        <w:t> </w:t>
      </w:r>
      <w:r>
        <w:rPr/>
        <w:t>fase</w:t>
      </w:r>
      <w:r>
        <w:rPr>
          <w:spacing w:val="-19"/>
        </w:rPr>
        <w:t> </w:t>
      </w:r>
      <w:r>
        <w:rPr/>
        <w:t>clónica</w:t>
      </w:r>
      <w:r>
        <w:rPr>
          <w:spacing w:val="-20"/>
        </w:rPr>
        <w:t> </w:t>
      </w:r>
      <w:r>
        <w:rPr/>
        <w:t>que</w:t>
      </w:r>
      <w:r>
        <w:rPr>
          <w:spacing w:val="-19"/>
        </w:rPr>
        <w:t> </w:t>
      </w:r>
      <w:r>
        <w:rPr/>
        <w:t>sigue,</w:t>
      </w:r>
      <w:r>
        <w:rPr>
          <w:spacing w:val="-21"/>
        </w:rPr>
        <w:t> </w:t>
      </w:r>
      <w:r>
        <w:rPr/>
        <w:t>está</w:t>
      </w:r>
      <w:r>
        <w:rPr>
          <w:spacing w:val="-19"/>
        </w:rPr>
        <w:t> </w:t>
      </w:r>
      <w:r>
        <w:rPr/>
        <w:t>caracterizada</w:t>
      </w:r>
      <w:r>
        <w:rPr>
          <w:spacing w:val="-19"/>
        </w:rPr>
        <w:t> </w:t>
      </w:r>
      <w:r>
        <w:rPr/>
        <w:t>por</w:t>
      </w:r>
      <w:r>
        <w:rPr>
          <w:spacing w:val="-19"/>
        </w:rPr>
        <w:t> </w:t>
      </w:r>
      <w:r>
        <w:rPr/>
        <w:t>sacudidas</w:t>
      </w:r>
      <w:r>
        <w:rPr>
          <w:spacing w:val="-19"/>
        </w:rPr>
        <w:t> </w:t>
      </w:r>
      <w:r>
        <w:rPr/>
        <w:t>rítmicas</w:t>
      </w:r>
      <w:r>
        <w:rPr>
          <w:spacing w:val="-21"/>
        </w:rPr>
        <w:t> </w:t>
      </w:r>
      <w:r>
        <w:rPr/>
        <w:t>simultáneas</w:t>
      </w:r>
      <w:r>
        <w:rPr>
          <w:spacing w:val="-18"/>
        </w:rPr>
        <w:t> </w:t>
      </w:r>
      <w:r>
        <w:rPr/>
        <w:t>de</w:t>
      </w:r>
      <w:r>
        <w:rPr>
          <w:spacing w:val="-19"/>
        </w:rPr>
        <w:t> </w:t>
      </w:r>
      <w:r>
        <w:rPr/>
        <w:t>los brazos y las piernas, por lo general una duración de al menos 1 minuto (figura 4). La pérdida de control de la vejiga es común y los pacientes se pueden morder la lengua, las</w:t>
      </w:r>
      <w:r>
        <w:rPr>
          <w:spacing w:val="-17"/>
        </w:rPr>
        <w:t> </w:t>
      </w:r>
      <w:r>
        <w:rPr/>
        <w:t>mejillas</w:t>
      </w:r>
      <w:r>
        <w:rPr>
          <w:spacing w:val="-16"/>
        </w:rPr>
        <w:t> </w:t>
      </w:r>
      <w:r>
        <w:rPr/>
        <w:t>o</w:t>
      </w:r>
      <w:r>
        <w:rPr>
          <w:spacing w:val="-13"/>
        </w:rPr>
        <w:t> </w:t>
      </w:r>
      <w:r>
        <w:rPr/>
        <w:t>labios.</w:t>
      </w:r>
      <w:r>
        <w:rPr>
          <w:spacing w:val="-12"/>
        </w:rPr>
        <w:t> </w:t>
      </w:r>
      <w:r>
        <w:rPr/>
        <w:t>Después</w:t>
      </w:r>
      <w:r>
        <w:rPr>
          <w:spacing w:val="-16"/>
        </w:rPr>
        <w:t> </w:t>
      </w:r>
      <w:r>
        <w:rPr/>
        <w:t>de</w:t>
      </w:r>
      <w:r>
        <w:rPr>
          <w:spacing w:val="-15"/>
        </w:rPr>
        <w:t> </w:t>
      </w:r>
      <w:r>
        <w:rPr/>
        <w:t>este</w:t>
      </w:r>
      <w:r>
        <w:rPr>
          <w:spacing w:val="-15"/>
        </w:rPr>
        <w:t> </w:t>
      </w:r>
      <w:r>
        <w:rPr/>
        <w:t>tipo</w:t>
      </w:r>
      <w:r>
        <w:rPr>
          <w:spacing w:val="-15"/>
        </w:rPr>
        <w:t> </w:t>
      </w:r>
      <w:r>
        <w:rPr/>
        <w:t>de</w:t>
      </w:r>
      <w:r>
        <w:rPr>
          <w:spacing w:val="-15"/>
        </w:rPr>
        <w:t> </w:t>
      </w:r>
      <w:r>
        <w:rPr/>
        <w:t>ataque,</w:t>
      </w:r>
      <w:r>
        <w:rPr>
          <w:spacing w:val="-15"/>
        </w:rPr>
        <w:t> </w:t>
      </w:r>
      <w:r>
        <w:rPr/>
        <w:t>el</w:t>
      </w:r>
      <w:r>
        <w:rPr>
          <w:spacing w:val="-16"/>
        </w:rPr>
        <w:t> </w:t>
      </w:r>
      <w:r>
        <w:rPr/>
        <w:t>paciente</w:t>
      </w:r>
      <w:r>
        <w:rPr>
          <w:spacing w:val="-15"/>
        </w:rPr>
        <w:t> </w:t>
      </w:r>
      <w:r>
        <w:rPr/>
        <w:t>normalmente</w:t>
      </w:r>
      <w:r>
        <w:rPr>
          <w:spacing w:val="-15"/>
        </w:rPr>
        <w:t> </w:t>
      </w:r>
      <w:r>
        <w:rPr/>
        <w:t>entra</w:t>
      </w:r>
      <w:r>
        <w:rPr>
          <w:spacing w:val="-17"/>
        </w:rPr>
        <w:t> </w:t>
      </w:r>
      <w:r>
        <w:rPr/>
        <w:t>en un</w:t>
      </w:r>
      <w:r>
        <w:rPr>
          <w:spacing w:val="-8"/>
        </w:rPr>
        <w:t> </w:t>
      </w:r>
      <w:r>
        <w:rPr/>
        <w:t>estado</w:t>
      </w:r>
      <w:r>
        <w:rPr>
          <w:spacing w:val="-8"/>
        </w:rPr>
        <w:t> </w:t>
      </w:r>
      <w:r>
        <w:rPr/>
        <w:t>"postictal"</w:t>
      </w:r>
      <w:r>
        <w:rPr>
          <w:spacing w:val="-10"/>
        </w:rPr>
        <w:t> </w:t>
      </w:r>
      <w:r>
        <w:rPr/>
        <w:t>de</w:t>
      </w:r>
      <w:r>
        <w:rPr>
          <w:spacing w:val="-8"/>
        </w:rPr>
        <w:t> </w:t>
      </w:r>
      <w:r>
        <w:rPr/>
        <w:t>confusión</w:t>
      </w:r>
      <w:r>
        <w:rPr>
          <w:spacing w:val="-8"/>
        </w:rPr>
        <w:t> </w:t>
      </w:r>
      <w:r>
        <w:rPr/>
        <w:t>y</w:t>
      </w:r>
      <w:r>
        <w:rPr>
          <w:spacing w:val="-10"/>
        </w:rPr>
        <w:t> </w:t>
      </w:r>
      <w:r>
        <w:rPr/>
        <w:t>fatiga</w:t>
      </w:r>
      <w:r>
        <w:rPr>
          <w:spacing w:val="-8"/>
        </w:rPr>
        <w:t> </w:t>
      </w:r>
      <w:r>
        <w:rPr/>
        <w:t>que</w:t>
      </w:r>
      <w:r>
        <w:rPr>
          <w:spacing w:val="-8"/>
        </w:rPr>
        <w:t> </w:t>
      </w:r>
      <w:r>
        <w:rPr/>
        <w:t>dura</w:t>
      </w:r>
      <w:r>
        <w:rPr>
          <w:spacing w:val="-8"/>
        </w:rPr>
        <w:t> </w:t>
      </w:r>
      <w:r>
        <w:rPr/>
        <w:t>30</w:t>
      </w:r>
      <w:r>
        <w:rPr>
          <w:spacing w:val="-10"/>
        </w:rPr>
        <w:t> </w:t>
      </w:r>
      <w:r>
        <w:rPr/>
        <w:t>minutos</w:t>
      </w:r>
      <w:r>
        <w:rPr>
          <w:spacing w:val="-8"/>
        </w:rPr>
        <w:t> </w:t>
      </w:r>
      <w:r>
        <w:rPr/>
        <w:t>o</w:t>
      </w:r>
      <w:r>
        <w:rPr>
          <w:spacing w:val="-10"/>
        </w:rPr>
        <w:t> </w:t>
      </w:r>
      <w:r>
        <w:rPr/>
        <w:t>más</w:t>
      </w:r>
      <w:r>
        <w:rPr>
          <w:spacing w:val="-4"/>
        </w:rPr>
        <w:t> </w:t>
      </w:r>
      <w:r>
        <w:rPr>
          <w:position w:val="8"/>
          <w:sz w:val="16"/>
        </w:rPr>
        <w:t>(14)</w:t>
      </w:r>
      <w:r>
        <w:rPr/>
        <w:t>.</w:t>
      </w:r>
    </w:p>
    <w:p>
      <w:pPr>
        <w:pStyle w:val="BodyText"/>
        <w:rPr>
          <w:sz w:val="26"/>
        </w:rPr>
      </w:pPr>
    </w:p>
    <w:p>
      <w:pPr>
        <w:pStyle w:val="BodyText"/>
        <w:spacing w:line="360" w:lineRule="auto" w:before="165"/>
        <w:ind w:left="118" w:right="116"/>
        <w:jc w:val="both"/>
      </w:pPr>
      <w:r>
        <w:rPr/>
        <w:t>Las</w:t>
      </w:r>
      <w:r>
        <w:rPr>
          <w:spacing w:val="-20"/>
        </w:rPr>
        <w:t> </w:t>
      </w:r>
      <w:r>
        <w:rPr>
          <w:i/>
        </w:rPr>
        <w:t>Convulsiones</w:t>
      </w:r>
      <w:r>
        <w:rPr>
          <w:i/>
          <w:spacing w:val="-20"/>
        </w:rPr>
        <w:t> </w:t>
      </w:r>
      <w:r>
        <w:rPr>
          <w:i/>
        </w:rPr>
        <w:t>tónico-clónicas</w:t>
      </w:r>
      <w:r>
        <w:rPr>
          <w:i/>
          <w:spacing w:val="-20"/>
        </w:rPr>
        <w:t> </w:t>
      </w:r>
      <w:r>
        <w:rPr/>
        <w:t>que</w:t>
      </w:r>
      <w:r>
        <w:rPr>
          <w:spacing w:val="-20"/>
        </w:rPr>
        <w:t> </w:t>
      </w:r>
      <w:r>
        <w:rPr/>
        <w:t>duran</w:t>
      </w:r>
      <w:r>
        <w:rPr>
          <w:spacing w:val="-22"/>
        </w:rPr>
        <w:t> </w:t>
      </w:r>
      <w:r>
        <w:rPr/>
        <w:t>más</w:t>
      </w:r>
      <w:r>
        <w:rPr>
          <w:spacing w:val="-20"/>
        </w:rPr>
        <w:t> </w:t>
      </w:r>
      <w:r>
        <w:rPr/>
        <w:t>de</w:t>
      </w:r>
      <w:r>
        <w:rPr>
          <w:spacing w:val="-19"/>
        </w:rPr>
        <w:t> </w:t>
      </w:r>
      <w:r>
        <w:rPr/>
        <w:t>5</w:t>
      </w:r>
      <w:r>
        <w:rPr>
          <w:spacing w:val="-22"/>
        </w:rPr>
        <w:t> </w:t>
      </w:r>
      <w:r>
        <w:rPr/>
        <w:t>minutos</w:t>
      </w:r>
      <w:r>
        <w:rPr>
          <w:spacing w:val="-23"/>
        </w:rPr>
        <w:t> </w:t>
      </w:r>
      <w:r>
        <w:rPr/>
        <w:t>o</w:t>
      </w:r>
      <w:r>
        <w:rPr>
          <w:spacing w:val="-17"/>
        </w:rPr>
        <w:t> </w:t>
      </w:r>
      <w:r>
        <w:rPr/>
        <w:t>se</w:t>
      </w:r>
      <w:r>
        <w:rPr>
          <w:spacing w:val="-19"/>
        </w:rPr>
        <w:t> </w:t>
      </w:r>
      <w:r>
        <w:rPr/>
        <w:t>repiten</w:t>
      </w:r>
      <w:r>
        <w:rPr>
          <w:spacing w:val="-19"/>
        </w:rPr>
        <w:t> </w:t>
      </w:r>
      <w:r>
        <w:rPr/>
        <w:t>en</w:t>
      </w:r>
      <w:r>
        <w:rPr>
          <w:spacing w:val="-19"/>
        </w:rPr>
        <w:t> </w:t>
      </w:r>
      <w:r>
        <w:rPr/>
        <w:t>una</w:t>
      </w:r>
      <w:r>
        <w:rPr>
          <w:spacing w:val="-20"/>
        </w:rPr>
        <w:t> </w:t>
      </w:r>
      <w:r>
        <w:rPr/>
        <w:t>serie de</w:t>
      </w:r>
      <w:r>
        <w:rPr>
          <w:spacing w:val="-9"/>
        </w:rPr>
        <w:t> </w:t>
      </w:r>
      <w:r>
        <w:rPr/>
        <w:t>dos</w:t>
      </w:r>
      <w:r>
        <w:rPr>
          <w:spacing w:val="-9"/>
        </w:rPr>
        <w:t> </w:t>
      </w:r>
      <w:r>
        <w:rPr/>
        <w:t>o</w:t>
      </w:r>
      <w:r>
        <w:rPr>
          <w:spacing w:val="-9"/>
        </w:rPr>
        <w:t> </w:t>
      </w:r>
      <w:r>
        <w:rPr/>
        <w:t>más</w:t>
      </w:r>
      <w:r>
        <w:rPr>
          <w:spacing w:val="-9"/>
        </w:rPr>
        <w:t> </w:t>
      </w:r>
      <w:r>
        <w:rPr/>
        <w:t>sin</w:t>
      </w:r>
      <w:r>
        <w:rPr>
          <w:spacing w:val="-10"/>
        </w:rPr>
        <w:t> </w:t>
      </w:r>
      <w:r>
        <w:rPr/>
        <w:t>un</w:t>
      </w:r>
      <w:r>
        <w:rPr>
          <w:spacing w:val="-9"/>
        </w:rPr>
        <w:t> </w:t>
      </w:r>
      <w:r>
        <w:rPr/>
        <w:t>retorno</w:t>
      </w:r>
      <w:r>
        <w:rPr>
          <w:spacing w:val="-10"/>
        </w:rPr>
        <w:t> </w:t>
      </w:r>
      <w:r>
        <w:rPr/>
        <w:t>a</w:t>
      </w:r>
      <w:r>
        <w:rPr>
          <w:spacing w:val="-9"/>
        </w:rPr>
        <w:t> </w:t>
      </w:r>
      <w:r>
        <w:rPr/>
        <w:t>la</w:t>
      </w:r>
      <w:r>
        <w:rPr>
          <w:spacing w:val="-9"/>
        </w:rPr>
        <w:t> </w:t>
      </w:r>
      <w:r>
        <w:rPr/>
        <w:t>conciencia</w:t>
      </w:r>
      <w:r>
        <w:rPr>
          <w:spacing w:val="-7"/>
        </w:rPr>
        <w:t> </w:t>
      </w:r>
      <w:r>
        <w:rPr/>
        <w:t>indican</w:t>
      </w:r>
      <w:r>
        <w:rPr>
          <w:spacing w:val="-10"/>
        </w:rPr>
        <w:t> </w:t>
      </w:r>
      <w:r>
        <w:rPr/>
        <w:t>una</w:t>
      </w:r>
      <w:r>
        <w:rPr>
          <w:spacing w:val="-10"/>
        </w:rPr>
        <w:t> </w:t>
      </w:r>
      <w:r>
        <w:rPr/>
        <w:t>emergencia</w:t>
      </w:r>
      <w:r>
        <w:rPr>
          <w:spacing w:val="-10"/>
        </w:rPr>
        <w:t> </w:t>
      </w:r>
      <w:r>
        <w:rPr/>
        <w:t>neurológica</w:t>
      </w:r>
      <w:r>
        <w:rPr>
          <w:spacing w:val="-9"/>
        </w:rPr>
        <w:t> </w:t>
      </w:r>
      <w:r>
        <w:rPr/>
        <w:t>grave llamada</w:t>
      </w:r>
      <w:r>
        <w:rPr>
          <w:spacing w:val="-19"/>
        </w:rPr>
        <w:t> </w:t>
      </w:r>
      <w:r>
        <w:rPr/>
        <w:t>estado</w:t>
      </w:r>
      <w:r>
        <w:rPr>
          <w:spacing w:val="-19"/>
        </w:rPr>
        <w:t> </w:t>
      </w:r>
      <w:r>
        <w:rPr/>
        <w:t>epiléptico</w:t>
      </w:r>
      <w:r>
        <w:rPr>
          <w:spacing w:val="-18"/>
        </w:rPr>
        <w:t> </w:t>
      </w:r>
      <w:r>
        <w:rPr/>
        <w:t>que</w:t>
      </w:r>
      <w:r>
        <w:rPr>
          <w:spacing w:val="-18"/>
        </w:rPr>
        <w:t> </w:t>
      </w:r>
      <w:r>
        <w:rPr/>
        <w:t>requiere</w:t>
      </w:r>
      <w:r>
        <w:rPr>
          <w:spacing w:val="-20"/>
        </w:rPr>
        <w:t> </w:t>
      </w:r>
      <w:r>
        <w:rPr/>
        <w:t>atención</w:t>
      </w:r>
      <w:r>
        <w:rPr>
          <w:spacing w:val="-19"/>
        </w:rPr>
        <w:t> </w:t>
      </w:r>
      <w:r>
        <w:rPr/>
        <w:t>médica</w:t>
      </w:r>
      <w:r>
        <w:rPr>
          <w:spacing w:val="-18"/>
        </w:rPr>
        <w:t> </w:t>
      </w:r>
      <w:r>
        <w:rPr/>
        <w:t>inmediata</w:t>
      </w:r>
      <w:r>
        <w:rPr>
          <w:spacing w:val="-19"/>
        </w:rPr>
        <w:t> </w:t>
      </w:r>
      <w:r>
        <w:rPr/>
        <w:t>a</w:t>
      </w:r>
      <w:r>
        <w:rPr>
          <w:spacing w:val="-19"/>
        </w:rPr>
        <w:t> </w:t>
      </w:r>
      <w:r>
        <w:rPr/>
        <w:t>causa</w:t>
      </w:r>
      <w:r>
        <w:rPr>
          <w:spacing w:val="-19"/>
        </w:rPr>
        <w:t> </w:t>
      </w:r>
      <w:r>
        <w:rPr/>
        <w:t>de</w:t>
      </w:r>
      <w:r>
        <w:rPr>
          <w:spacing w:val="-19"/>
        </w:rPr>
        <w:t> </w:t>
      </w:r>
      <w:r>
        <w:rPr/>
        <w:t>deterioro de las vías respiratorias y la aspiración. Oxígeno Flexible mental seguida de la administración</w:t>
      </w:r>
      <w:r>
        <w:rPr>
          <w:spacing w:val="-19"/>
        </w:rPr>
        <w:t> </w:t>
      </w:r>
      <w:r>
        <w:rPr/>
        <w:t>de</w:t>
      </w:r>
      <w:r>
        <w:rPr>
          <w:spacing w:val="-20"/>
        </w:rPr>
        <w:t> </w:t>
      </w:r>
      <w:r>
        <w:rPr/>
        <w:t>una</w:t>
      </w:r>
      <w:r>
        <w:rPr>
          <w:spacing w:val="-20"/>
        </w:rPr>
        <w:t> </w:t>
      </w:r>
      <w:r>
        <w:rPr/>
        <w:t>benzodiazepina</w:t>
      </w:r>
      <w:r>
        <w:rPr>
          <w:spacing w:val="-20"/>
        </w:rPr>
        <w:t> </w:t>
      </w:r>
      <w:r>
        <w:rPr/>
        <w:t>parenteral</w:t>
      </w:r>
      <w:r>
        <w:rPr>
          <w:spacing w:val="-19"/>
        </w:rPr>
        <w:t> </w:t>
      </w:r>
      <w:r>
        <w:rPr/>
        <w:t>como</w:t>
      </w:r>
      <w:r>
        <w:rPr>
          <w:spacing w:val="-20"/>
        </w:rPr>
        <w:t> </w:t>
      </w:r>
      <w:r>
        <w:rPr/>
        <w:t>el</w:t>
      </w:r>
      <w:r>
        <w:rPr>
          <w:spacing w:val="-21"/>
        </w:rPr>
        <w:t> </w:t>
      </w:r>
      <w:r>
        <w:rPr/>
        <w:t>diazepam</w:t>
      </w:r>
      <w:r>
        <w:rPr>
          <w:spacing w:val="-19"/>
        </w:rPr>
        <w:t> </w:t>
      </w:r>
      <w:r>
        <w:rPr/>
        <w:t>o</w:t>
      </w:r>
      <w:r>
        <w:rPr>
          <w:spacing w:val="-20"/>
        </w:rPr>
        <w:t> </w:t>
      </w:r>
      <w:r>
        <w:rPr/>
        <w:t>midazolam</w:t>
      </w:r>
      <w:r>
        <w:rPr>
          <w:spacing w:val="-19"/>
        </w:rPr>
        <w:t> </w:t>
      </w:r>
      <w:r>
        <w:rPr/>
        <w:t>debe ser</w:t>
      </w:r>
      <w:r>
        <w:rPr>
          <w:spacing w:val="-10"/>
        </w:rPr>
        <w:t> </w:t>
      </w:r>
      <w:r>
        <w:rPr/>
        <w:t>seguido</w:t>
      </w:r>
      <w:r>
        <w:rPr>
          <w:spacing w:val="-8"/>
        </w:rPr>
        <w:t> </w:t>
      </w:r>
      <w:r>
        <w:rPr/>
        <w:t>por</w:t>
      </w:r>
      <w:r>
        <w:rPr>
          <w:spacing w:val="-10"/>
        </w:rPr>
        <w:t> </w:t>
      </w:r>
      <w:r>
        <w:rPr/>
        <w:t>el</w:t>
      </w:r>
      <w:r>
        <w:rPr>
          <w:spacing w:val="-9"/>
        </w:rPr>
        <w:t> </w:t>
      </w:r>
      <w:r>
        <w:rPr/>
        <w:t>transporte</w:t>
      </w:r>
      <w:r>
        <w:rPr>
          <w:spacing w:val="-8"/>
        </w:rPr>
        <w:t> </w:t>
      </w:r>
      <w:r>
        <w:rPr/>
        <w:t>a</w:t>
      </w:r>
      <w:r>
        <w:rPr>
          <w:spacing w:val="-8"/>
        </w:rPr>
        <w:t> </w:t>
      </w:r>
      <w:r>
        <w:rPr/>
        <w:t>un</w:t>
      </w:r>
      <w:r>
        <w:rPr>
          <w:spacing w:val="-10"/>
        </w:rPr>
        <w:t> </w:t>
      </w:r>
      <w:r>
        <w:rPr/>
        <w:t>departamento</w:t>
      </w:r>
      <w:r>
        <w:rPr>
          <w:spacing w:val="-10"/>
        </w:rPr>
        <w:t> </w:t>
      </w:r>
      <w:r>
        <w:rPr/>
        <w:t>de</w:t>
      </w:r>
      <w:r>
        <w:rPr>
          <w:spacing w:val="-10"/>
        </w:rPr>
        <w:t> </w:t>
      </w:r>
      <w:r>
        <w:rPr/>
        <w:t>emergencia</w:t>
      </w:r>
      <w:r>
        <w:rPr>
          <w:spacing w:val="-8"/>
        </w:rPr>
        <w:t> </w:t>
      </w:r>
      <w:r>
        <w:rPr/>
        <w:t>hospitalaria</w:t>
      </w:r>
      <w:r>
        <w:rPr>
          <w:spacing w:val="-6"/>
        </w:rPr>
        <w:t> </w:t>
      </w:r>
      <w:r>
        <w:rPr>
          <w:spacing w:val="-3"/>
          <w:position w:val="8"/>
          <w:sz w:val="16"/>
        </w:rPr>
        <w:t>(8)</w:t>
      </w:r>
      <w:r>
        <w:rPr>
          <w:spacing w:val="-3"/>
        </w:rPr>
        <w:t>.</w:t>
      </w:r>
    </w:p>
    <w:p>
      <w:pPr>
        <w:spacing w:after="0" w:line="360" w:lineRule="auto"/>
        <w:jc w:val="both"/>
        <w:sectPr>
          <w:pgSz w:w="12240" w:h="15840"/>
          <w:pgMar w:header="749" w:footer="1003" w:top="960" w:bottom="1200" w:left="1300" w:right="158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4"/>
        <w:rPr>
          <w:sz w:val="19"/>
        </w:rPr>
      </w:pPr>
    </w:p>
    <w:p>
      <w:pPr>
        <w:pStyle w:val="BodyText"/>
        <w:spacing w:line="360" w:lineRule="auto"/>
        <w:ind w:left="118" w:right="116"/>
        <w:jc w:val="both"/>
      </w:pPr>
      <w:r>
        <w:rPr>
          <w:i/>
        </w:rPr>
        <w:t>Ausencia </w:t>
      </w:r>
      <w:r>
        <w:rPr>
          <w:position w:val="8"/>
          <w:sz w:val="16"/>
        </w:rPr>
        <w:t>(8, 14) </w:t>
      </w:r>
      <w:r>
        <w:rPr/>
        <w:t>(pequeño mal) son convulsiones con episodios breves de conciencia alterada o deteriorada, la falta de respuesta y el cese de la actividad. No ocurre aura y los pacientes tendrán un breve episodio de pérdida de la mirada, que generalmente dura menos de 10 segundos, a veces asociado con el parpadeo o movimientos automáticos</w:t>
      </w:r>
      <w:r>
        <w:rPr>
          <w:spacing w:val="-14"/>
        </w:rPr>
        <w:t> </w:t>
      </w:r>
      <w:r>
        <w:rPr/>
        <w:t>de</w:t>
      </w:r>
      <w:r>
        <w:rPr>
          <w:spacing w:val="-13"/>
        </w:rPr>
        <w:t> </w:t>
      </w:r>
      <w:r>
        <w:rPr/>
        <w:t>las</w:t>
      </w:r>
      <w:r>
        <w:rPr>
          <w:spacing w:val="-13"/>
        </w:rPr>
        <w:t> </w:t>
      </w:r>
      <w:r>
        <w:rPr/>
        <w:t>manos</w:t>
      </w:r>
      <w:r>
        <w:rPr>
          <w:spacing w:val="-14"/>
        </w:rPr>
        <w:t> </w:t>
      </w:r>
      <w:r>
        <w:rPr/>
        <w:t>o</w:t>
      </w:r>
      <w:r>
        <w:rPr>
          <w:spacing w:val="-13"/>
        </w:rPr>
        <w:t> </w:t>
      </w:r>
      <w:r>
        <w:rPr/>
        <w:t>la</w:t>
      </w:r>
      <w:r>
        <w:rPr>
          <w:spacing w:val="-16"/>
        </w:rPr>
        <w:t> </w:t>
      </w:r>
      <w:r>
        <w:rPr/>
        <w:t>boca</w:t>
      </w:r>
      <w:r>
        <w:rPr>
          <w:spacing w:val="-13"/>
        </w:rPr>
        <w:t> </w:t>
      </w:r>
      <w:r>
        <w:rPr/>
        <w:t>y</w:t>
      </w:r>
      <w:r>
        <w:rPr>
          <w:spacing w:val="-16"/>
        </w:rPr>
        <w:t> </w:t>
      </w:r>
      <w:r>
        <w:rPr/>
        <w:t>cambios</w:t>
      </w:r>
      <w:r>
        <w:rPr>
          <w:spacing w:val="-14"/>
        </w:rPr>
        <w:t> </w:t>
      </w:r>
      <w:r>
        <w:rPr/>
        <w:t>autonómicos,</w:t>
      </w:r>
      <w:r>
        <w:rPr>
          <w:spacing w:val="-13"/>
        </w:rPr>
        <w:t> </w:t>
      </w:r>
      <w:r>
        <w:rPr/>
        <w:t>como</w:t>
      </w:r>
      <w:r>
        <w:rPr>
          <w:spacing w:val="-13"/>
        </w:rPr>
        <w:t> </w:t>
      </w:r>
      <w:r>
        <w:rPr/>
        <w:t>palidez,</w:t>
      </w:r>
      <w:r>
        <w:rPr>
          <w:spacing w:val="-13"/>
        </w:rPr>
        <w:t> </w:t>
      </w:r>
      <w:r>
        <w:rPr/>
        <w:t>taquicardia o</w:t>
      </w:r>
      <w:r>
        <w:rPr>
          <w:spacing w:val="-3"/>
        </w:rPr>
        <w:t> </w:t>
      </w:r>
      <w:r>
        <w:rPr/>
        <w:t>salivación.</w:t>
      </w:r>
    </w:p>
    <w:p>
      <w:pPr>
        <w:pStyle w:val="BodyText"/>
      </w:pPr>
    </w:p>
    <w:p>
      <w:pPr>
        <w:pStyle w:val="BodyText"/>
        <w:spacing w:line="360" w:lineRule="auto" w:before="149"/>
        <w:ind w:left="118" w:right="114"/>
        <w:jc w:val="both"/>
      </w:pPr>
      <w:r>
        <w:rPr/>
        <w:t>Las crisis de ausencia atípicas </w:t>
      </w:r>
      <w:r>
        <w:rPr>
          <w:position w:val="8"/>
          <w:sz w:val="16"/>
        </w:rPr>
        <w:t>(8)</w:t>
      </w:r>
      <w:r>
        <w:rPr/>
        <w:t>, que se producen en los pacientes con epilepsias generalizadas sintomáticas, son por lo general más tiempo que las ausencias típicas y con frecuencia tienen inicio y la resolución más gradual. Estas convulsiones generalmente</w:t>
      </w:r>
      <w:r>
        <w:rPr>
          <w:spacing w:val="-16"/>
        </w:rPr>
        <w:t> </w:t>
      </w:r>
      <w:r>
        <w:rPr/>
        <w:t>ocurren</w:t>
      </w:r>
      <w:r>
        <w:rPr>
          <w:spacing w:val="-17"/>
        </w:rPr>
        <w:t> </w:t>
      </w:r>
      <w:r>
        <w:rPr/>
        <w:t>en</w:t>
      </w:r>
      <w:r>
        <w:rPr>
          <w:spacing w:val="-17"/>
        </w:rPr>
        <w:t> </w:t>
      </w:r>
      <w:r>
        <w:rPr/>
        <w:t>niños</w:t>
      </w:r>
      <w:r>
        <w:rPr>
          <w:spacing w:val="-17"/>
        </w:rPr>
        <w:t> </w:t>
      </w:r>
      <w:r>
        <w:rPr/>
        <w:t>que</w:t>
      </w:r>
      <w:r>
        <w:rPr>
          <w:spacing w:val="-14"/>
        </w:rPr>
        <w:t> </w:t>
      </w:r>
      <w:r>
        <w:rPr/>
        <w:t>también</w:t>
      </w:r>
      <w:r>
        <w:rPr>
          <w:spacing w:val="-16"/>
        </w:rPr>
        <w:t> </w:t>
      </w:r>
      <w:r>
        <w:rPr/>
        <w:t>tienen</w:t>
      </w:r>
      <w:r>
        <w:rPr>
          <w:spacing w:val="-14"/>
        </w:rPr>
        <w:t> </w:t>
      </w:r>
      <w:r>
        <w:rPr/>
        <w:t>otros</w:t>
      </w:r>
      <w:r>
        <w:rPr>
          <w:spacing w:val="-15"/>
        </w:rPr>
        <w:t> </w:t>
      </w:r>
      <w:r>
        <w:rPr/>
        <w:t>tipos</w:t>
      </w:r>
      <w:r>
        <w:rPr>
          <w:spacing w:val="-17"/>
        </w:rPr>
        <w:t> </w:t>
      </w:r>
      <w:r>
        <w:rPr/>
        <w:t>de</w:t>
      </w:r>
      <w:r>
        <w:rPr>
          <w:spacing w:val="-14"/>
        </w:rPr>
        <w:t> </w:t>
      </w:r>
      <w:r>
        <w:rPr/>
        <w:t>convulsiones,</w:t>
      </w:r>
      <w:r>
        <w:rPr>
          <w:spacing w:val="-14"/>
        </w:rPr>
        <w:t> </w:t>
      </w:r>
      <w:r>
        <w:rPr/>
        <w:t>inferior a la media de inteligencia y la epilepsia más mal</w:t>
      </w:r>
      <w:r>
        <w:rPr>
          <w:spacing w:val="-20"/>
        </w:rPr>
        <w:t> </w:t>
      </w:r>
      <w:r>
        <w:rPr/>
        <w:t>controlada.</w:t>
      </w:r>
    </w:p>
    <w:p>
      <w:pPr>
        <w:pStyle w:val="BodyText"/>
      </w:pPr>
    </w:p>
    <w:p>
      <w:pPr>
        <w:pStyle w:val="BodyText"/>
        <w:spacing w:line="360" w:lineRule="auto" w:before="146"/>
        <w:ind w:left="118" w:right="116"/>
        <w:jc w:val="both"/>
      </w:pPr>
      <w:r>
        <w:rPr/>
        <w:t>Las </w:t>
      </w:r>
      <w:r>
        <w:rPr>
          <w:i/>
        </w:rPr>
        <w:t>Convulsiones mioclónicas </w:t>
      </w:r>
      <w:r>
        <w:rPr/>
        <w:t>se caracterizan por un breve tirón o una serie de sacudidas que pueden implicar una pequeña parte del cuerpo, tal como un solo</w:t>
      </w:r>
      <w:r>
        <w:rPr>
          <w:spacing w:val="-33"/>
        </w:rPr>
        <w:t> </w:t>
      </w:r>
      <w:r>
        <w:rPr/>
        <w:t>dedo, la mano o el pie o pueden implicar ambos lados del cuerpo al mismo tiempo, más a menudo</w:t>
      </w:r>
      <w:r>
        <w:rPr>
          <w:spacing w:val="-11"/>
        </w:rPr>
        <w:t> </w:t>
      </w:r>
      <w:r>
        <w:rPr/>
        <w:t>los</w:t>
      </w:r>
      <w:r>
        <w:rPr>
          <w:spacing w:val="-13"/>
        </w:rPr>
        <w:t> </w:t>
      </w:r>
      <w:r>
        <w:rPr/>
        <w:t>hombros</w:t>
      </w:r>
      <w:r>
        <w:rPr>
          <w:spacing w:val="-14"/>
        </w:rPr>
        <w:t> </w:t>
      </w:r>
      <w:r>
        <w:rPr/>
        <w:t>o</w:t>
      </w:r>
      <w:r>
        <w:rPr>
          <w:spacing w:val="-13"/>
        </w:rPr>
        <w:t> </w:t>
      </w:r>
      <w:r>
        <w:rPr/>
        <w:t>los</w:t>
      </w:r>
      <w:r>
        <w:rPr>
          <w:spacing w:val="-11"/>
        </w:rPr>
        <w:t> </w:t>
      </w:r>
      <w:r>
        <w:rPr/>
        <w:t>brazos</w:t>
      </w:r>
      <w:r>
        <w:rPr>
          <w:spacing w:val="-9"/>
        </w:rPr>
        <w:t> </w:t>
      </w:r>
      <w:r>
        <w:rPr/>
        <w:t>superiores.</w:t>
      </w:r>
      <w:r>
        <w:rPr>
          <w:spacing w:val="-15"/>
        </w:rPr>
        <w:t> </w:t>
      </w:r>
      <w:r>
        <w:rPr/>
        <w:t>Por</w:t>
      </w:r>
      <w:r>
        <w:rPr>
          <w:spacing w:val="-12"/>
        </w:rPr>
        <w:t> </w:t>
      </w:r>
      <w:r>
        <w:rPr/>
        <w:t>lo</w:t>
      </w:r>
      <w:r>
        <w:rPr>
          <w:spacing w:val="-13"/>
        </w:rPr>
        <w:t> </w:t>
      </w:r>
      <w:r>
        <w:rPr/>
        <w:t>general</w:t>
      </w:r>
      <w:r>
        <w:rPr>
          <w:spacing w:val="-12"/>
        </w:rPr>
        <w:t> </w:t>
      </w:r>
      <w:r>
        <w:rPr/>
        <w:t>son</w:t>
      </w:r>
      <w:r>
        <w:rPr>
          <w:spacing w:val="-11"/>
        </w:rPr>
        <w:t> </w:t>
      </w:r>
      <w:r>
        <w:rPr/>
        <w:t>de</w:t>
      </w:r>
      <w:r>
        <w:rPr>
          <w:spacing w:val="-11"/>
        </w:rPr>
        <w:t> </w:t>
      </w:r>
      <w:r>
        <w:rPr/>
        <w:t>corta</w:t>
      </w:r>
      <w:r>
        <w:rPr>
          <w:spacing w:val="-11"/>
        </w:rPr>
        <w:t> </w:t>
      </w:r>
      <w:r>
        <w:rPr/>
        <w:t>duración</w:t>
      </w:r>
      <w:r>
        <w:rPr>
          <w:spacing w:val="-12"/>
        </w:rPr>
        <w:t> </w:t>
      </w:r>
      <w:r>
        <w:rPr>
          <w:position w:val="8"/>
          <w:sz w:val="16"/>
        </w:rPr>
        <w:t>(11)</w:t>
      </w:r>
      <w:r>
        <w:rPr/>
        <w:t>.</w:t>
      </w:r>
    </w:p>
    <w:p>
      <w:pPr>
        <w:pStyle w:val="BodyText"/>
        <w:spacing w:before="9"/>
        <w:rPr>
          <w:sz w:val="35"/>
        </w:rPr>
      </w:pPr>
    </w:p>
    <w:p>
      <w:pPr>
        <w:pStyle w:val="BodyText"/>
        <w:spacing w:line="360" w:lineRule="auto"/>
        <w:ind w:left="118" w:right="116"/>
        <w:jc w:val="both"/>
      </w:pPr>
      <w:r>
        <w:rPr/>
        <w:t>Las </w:t>
      </w:r>
      <w:r>
        <w:rPr>
          <w:i/>
        </w:rPr>
        <w:t>crisis atónica</w:t>
      </w:r>
      <w:r>
        <w:rPr/>
        <w:t>s se manifiestan como una pérdida repentina del tono muscular en la mayor parte o la totalidad del cuerpo, que puede incluir caídas o el paciente puede derrumbarse al suelo</w:t>
      </w:r>
      <w:r>
        <w:rPr>
          <w:spacing w:val="-11"/>
        </w:rPr>
        <w:t> </w:t>
      </w:r>
      <w:r>
        <w:rPr>
          <w:position w:val="8"/>
          <w:sz w:val="16"/>
        </w:rPr>
        <w:t>(8)</w:t>
      </w:r>
      <w:r>
        <w:rPr/>
        <w:t>.</w:t>
      </w:r>
    </w:p>
    <w:p>
      <w:pPr>
        <w:pStyle w:val="BodyText"/>
        <w:spacing w:before="9"/>
        <w:rPr>
          <w:sz w:val="35"/>
        </w:rPr>
      </w:pPr>
    </w:p>
    <w:p>
      <w:pPr>
        <w:pStyle w:val="BodyText"/>
        <w:spacing w:line="360" w:lineRule="auto"/>
        <w:ind w:left="118" w:right="121"/>
        <w:jc w:val="both"/>
      </w:pPr>
      <w:r>
        <w:rPr/>
        <w:t>Las</w:t>
      </w:r>
      <w:r>
        <w:rPr>
          <w:spacing w:val="-7"/>
        </w:rPr>
        <w:t> </w:t>
      </w:r>
      <w:r>
        <w:rPr>
          <w:i/>
        </w:rPr>
        <w:t>Clónicas</w:t>
      </w:r>
      <w:r>
        <w:rPr>
          <w:i/>
          <w:spacing w:val="-7"/>
        </w:rPr>
        <w:t> </w:t>
      </w:r>
      <w:r>
        <w:rPr/>
        <w:t>son,</w:t>
      </w:r>
      <w:r>
        <w:rPr>
          <w:spacing w:val="-7"/>
        </w:rPr>
        <w:t> </w:t>
      </w:r>
      <w:r>
        <w:rPr/>
        <w:t>movimientos</w:t>
      </w:r>
      <w:r>
        <w:rPr>
          <w:spacing w:val="-7"/>
        </w:rPr>
        <w:t> </w:t>
      </w:r>
      <w:r>
        <w:rPr/>
        <w:t>rítmicos</w:t>
      </w:r>
      <w:r>
        <w:rPr>
          <w:spacing w:val="-7"/>
        </w:rPr>
        <w:t> </w:t>
      </w:r>
      <w:r>
        <w:rPr/>
        <w:t>espasmódicos</w:t>
      </w:r>
      <w:r>
        <w:rPr>
          <w:spacing w:val="-7"/>
        </w:rPr>
        <w:t> </w:t>
      </w:r>
      <w:r>
        <w:rPr/>
        <w:t>de</w:t>
      </w:r>
      <w:r>
        <w:rPr>
          <w:spacing w:val="-7"/>
        </w:rPr>
        <w:t> </w:t>
      </w:r>
      <w:r>
        <w:rPr/>
        <w:t>las</w:t>
      </w:r>
      <w:r>
        <w:rPr>
          <w:spacing w:val="-7"/>
        </w:rPr>
        <w:t> </w:t>
      </w:r>
      <w:r>
        <w:rPr/>
        <w:t>partes</w:t>
      </w:r>
      <w:r>
        <w:rPr>
          <w:spacing w:val="-9"/>
        </w:rPr>
        <w:t> </w:t>
      </w:r>
      <w:r>
        <w:rPr/>
        <w:t>del</w:t>
      </w:r>
      <w:r>
        <w:rPr>
          <w:spacing w:val="-7"/>
        </w:rPr>
        <w:t> </w:t>
      </w:r>
      <w:r>
        <w:rPr/>
        <w:t>cuerpo,</w:t>
      </w:r>
      <w:r>
        <w:rPr>
          <w:spacing w:val="-7"/>
        </w:rPr>
        <w:t> </w:t>
      </w:r>
      <w:r>
        <w:rPr/>
        <w:t>como los brazos o las piernas, con alteración de la conciencia que se producen con frecuencia en personas que tienen epilepsia focal</w:t>
      </w:r>
      <w:r>
        <w:rPr>
          <w:spacing w:val="-16"/>
        </w:rPr>
        <w:t> </w:t>
      </w:r>
      <w:r>
        <w:rPr>
          <w:position w:val="8"/>
          <w:sz w:val="16"/>
        </w:rPr>
        <w:t>(15)</w:t>
      </w:r>
      <w:r>
        <w:rPr/>
        <w:t>.</w:t>
      </w:r>
    </w:p>
    <w:p>
      <w:pPr>
        <w:pStyle w:val="BodyText"/>
        <w:spacing w:before="9"/>
        <w:rPr>
          <w:sz w:val="35"/>
        </w:rPr>
      </w:pPr>
    </w:p>
    <w:p>
      <w:pPr>
        <w:pStyle w:val="BodyText"/>
        <w:spacing w:line="360" w:lineRule="auto"/>
        <w:ind w:left="118" w:right="118"/>
        <w:jc w:val="both"/>
      </w:pPr>
      <w:r>
        <w:rPr>
          <w:i/>
        </w:rPr>
        <w:t>Convulsiones</w:t>
      </w:r>
      <w:r>
        <w:rPr>
          <w:i/>
          <w:spacing w:val="-16"/>
        </w:rPr>
        <w:t> </w:t>
      </w:r>
      <w:r>
        <w:rPr>
          <w:i/>
        </w:rPr>
        <w:t>tónicas</w:t>
      </w:r>
      <w:r>
        <w:rPr>
          <w:i/>
          <w:spacing w:val="-14"/>
        </w:rPr>
        <w:t> </w:t>
      </w:r>
      <w:r>
        <w:rPr/>
        <w:t>se</w:t>
      </w:r>
      <w:r>
        <w:rPr>
          <w:spacing w:val="-16"/>
        </w:rPr>
        <w:t> </w:t>
      </w:r>
      <w:r>
        <w:rPr/>
        <w:t>caracterizan</w:t>
      </w:r>
      <w:r>
        <w:rPr>
          <w:spacing w:val="-16"/>
        </w:rPr>
        <w:t> </w:t>
      </w:r>
      <w:r>
        <w:rPr/>
        <w:t>por</w:t>
      </w:r>
      <w:r>
        <w:rPr>
          <w:spacing w:val="-17"/>
        </w:rPr>
        <w:t> </w:t>
      </w:r>
      <w:r>
        <w:rPr/>
        <w:t>una</w:t>
      </w:r>
      <w:r>
        <w:rPr>
          <w:spacing w:val="-18"/>
        </w:rPr>
        <w:t> </w:t>
      </w:r>
      <w:r>
        <w:rPr/>
        <w:t>rigidez</w:t>
      </w:r>
      <w:r>
        <w:rPr>
          <w:spacing w:val="-16"/>
        </w:rPr>
        <w:t> </w:t>
      </w:r>
      <w:r>
        <w:rPr/>
        <w:t>del</w:t>
      </w:r>
      <w:r>
        <w:rPr>
          <w:spacing w:val="-17"/>
        </w:rPr>
        <w:t> </w:t>
      </w:r>
      <w:r>
        <w:rPr/>
        <w:t>cuerpo</w:t>
      </w:r>
      <w:r>
        <w:rPr>
          <w:spacing w:val="-11"/>
        </w:rPr>
        <w:t> </w:t>
      </w:r>
      <w:r>
        <w:rPr/>
        <w:t>o</w:t>
      </w:r>
      <w:r>
        <w:rPr>
          <w:spacing w:val="-18"/>
        </w:rPr>
        <w:t> </w:t>
      </w:r>
      <w:r>
        <w:rPr/>
        <w:t>de</w:t>
      </w:r>
      <w:r>
        <w:rPr>
          <w:spacing w:val="-18"/>
        </w:rPr>
        <w:t> </w:t>
      </w:r>
      <w:r>
        <w:rPr/>
        <w:t>las</w:t>
      </w:r>
      <w:r>
        <w:rPr>
          <w:spacing w:val="-16"/>
        </w:rPr>
        <w:t> </w:t>
      </w:r>
      <w:r>
        <w:rPr/>
        <w:t>extremidades, a menudo resulta en una caída si el paciente está de pie. Estos ataques tienen el mayor  riesgo  de  lesión  traumática  en  la  cabeza,  oral  y  estructuras      </w:t>
      </w:r>
      <w:r>
        <w:rPr>
          <w:spacing w:val="45"/>
        </w:rPr>
        <w:t> </w:t>
      </w:r>
      <w:r>
        <w:rPr/>
        <w:t>dentales</w:t>
      </w:r>
    </w:p>
    <w:p>
      <w:pPr>
        <w:spacing w:after="0" w:line="360" w:lineRule="auto"/>
        <w:jc w:val="both"/>
        <w:sectPr>
          <w:pgSz w:w="12240" w:h="15840"/>
          <w:pgMar w:header="749" w:footer="1003" w:top="960" w:bottom="1200" w:left="1300" w:right="1580"/>
        </w:sectPr>
      </w:pPr>
    </w:p>
    <w:p>
      <w:pPr>
        <w:pStyle w:val="BodyText"/>
        <w:rPr>
          <w:sz w:val="20"/>
        </w:rPr>
      </w:pPr>
    </w:p>
    <w:p>
      <w:pPr>
        <w:pStyle w:val="BodyText"/>
        <w:rPr>
          <w:sz w:val="20"/>
        </w:rPr>
      </w:pPr>
    </w:p>
    <w:p>
      <w:pPr>
        <w:pStyle w:val="BodyText"/>
        <w:spacing w:before="5"/>
        <w:rPr>
          <w:sz w:val="17"/>
        </w:rPr>
      </w:pPr>
    </w:p>
    <w:p>
      <w:pPr>
        <w:pStyle w:val="BodyText"/>
        <w:spacing w:line="355" w:lineRule="auto" w:before="70"/>
        <w:ind w:left="118" w:right="116"/>
        <w:jc w:val="both"/>
      </w:pPr>
      <w:r>
        <w:rPr/>
        <w:t>secundarias a la caída y la contracción forzada de los maxilares. Los ataques tónicos duran de 5 a 20 segundos y son seguidos por un estado postictal</w:t>
      </w:r>
      <w:r>
        <w:rPr>
          <w:position w:val="8"/>
          <w:sz w:val="16"/>
        </w:rPr>
        <w:t>(8,16)</w:t>
      </w:r>
      <w:r>
        <w:rPr/>
        <w:t>.</w:t>
      </w:r>
    </w:p>
    <w:p>
      <w:pPr>
        <w:pStyle w:val="BodyText"/>
        <w:spacing w:before="5"/>
        <w:rPr>
          <w:sz w:val="36"/>
        </w:rPr>
      </w:pPr>
    </w:p>
    <w:p>
      <w:pPr>
        <w:pStyle w:val="Heading2"/>
        <w:ind w:left="118"/>
      </w:pPr>
      <w:r>
        <w:rPr/>
        <w:t>2.1.6 Bases fisiopatológicas de la epilepsia.</w:t>
      </w:r>
    </w:p>
    <w:p>
      <w:pPr>
        <w:pStyle w:val="BodyText"/>
        <w:spacing w:before="4"/>
        <w:rPr>
          <w:b/>
          <w:sz w:val="29"/>
        </w:rPr>
      </w:pPr>
    </w:p>
    <w:p>
      <w:pPr>
        <w:pStyle w:val="BodyText"/>
        <w:spacing w:line="357" w:lineRule="auto" w:before="1"/>
        <w:ind w:left="118" w:right="116"/>
        <w:jc w:val="both"/>
      </w:pPr>
      <w:r>
        <w:rPr/>
        <w:t>Aunque las bases fisiopatológicas de la epilepsia no son todavía bien conocidas y la mayoría de los datos han sido obtenidos de crisis parciales, tal parece que en el</w:t>
      </w:r>
      <w:r>
        <w:rPr>
          <w:spacing w:val="-44"/>
        </w:rPr>
        <w:t> </w:t>
      </w:r>
      <w:r>
        <w:rPr/>
        <w:t>inicio y la propagación de la descarga paroxística intervienen</w:t>
      </w:r>
      <w:r>
        <w:rPr>
          <w:spacing w:val="-17"/>
        </w:rPr>
        <w:t> </w:t>
      </w:r>
      <w:r>
        <w:rPr>
          <w:position w:val="8"/>
          <w:sz w:val="16"/>
        </w:rPr>
        <w:t>(17)</w:t>
      </w:r>
      <w:r>
        <w:rPr/>
        <w:t>:</w:t>
      </w:r>
    </w:p>
    <w:p>
      <w:pPr>
        <w:pStyle w:val="ListParagraph"/>
        <w:numPr>
          <w:ilvl w:val="0"/>
          <w:numId w:val="5"/>
        </w:numPr>
        <w:tabs>
          <w:tab w:pos="400" w:val="left" w:leader="none"/>
        </w:tabs>
        <w:spacing w:line="240" w:lineRule="auto" w:before="1" w:after="0"/>
        <w:ind w:left="118" w:right="0" w:firstLine="0"/>
        <w:jc w:val="both"/>
        <w:rPr>
          <w:sz w:val="24"/>
        </w:rPr>
      </w:pPr>
      <w:r>
        <w:rPr>
          <w:sz w:val="24"/>
        </w:rPr>
        <w:t>La capacidad de un grupo de neuronas para generar la</w:t>
      </w:r>
      <w:r>
        <w:rPr>
          <w:spacing w:val="-23"/>
          <w:sz w:val="24"/>
        </w:rPr>
        <w:t> </w:t>
      </w:r>
      <w:r>
        <w:rPr>
          <w:sz w:val="24"/>
        </w:rPr>
        <w:t>descarga</w:t>
      </w:r>
    </w:p>
    <w:p>
      <w:pPr>
        <w:pStyle w:val="ListParagraph"/>
        <w:numPr>
          <w:ilvl w:val="0"/>
          <w:numId w:val="5"/>
        </w:numPr>
        <w:tabs>
          <w:tab w:pos="416" w:val="left" w:leader="none"/>
        </w:tabs>
        <w:spacing w:line="360" w:lineRule="auto" w:before="140" w:after="0"/>
        <w:ind w:left="118" w:right="112" w:firstLine="0"/>
        <w:jc w:val="both"/>
        <w:rPr>
          <w:sz w:val="24"/>
        </w:rPr>
      </w:pPr>
      <w:r>
        <w:rPr>
          <w:sz w:val="24"/>
        </w:rPr>
        <w:t>La capacidad del sistema excitador glutamatérgico, en especial de los receptores para N-metil-D-aspartato (NMDA), para amplificar la señal, generándola y propagándola.</w:t>
      </w:r>
    </w:p>
    <w:p>
      <w:pPr>
        <w:pStyle w:val="ListParagraph"/>
        <w:numPr>
          <w:ilvl w:val="0"/>
          <w:numId w:val="5"/>
        </w:numPr>
        <w:tabs>
          <w:tab w:pos="412" w:val="left" w:leader="none"/>
        </w:tabs>
        <w:spacing w:line="360" w:lineRule="auto" w:before="2" w:after="0"/>
        <w:ind w:left="118" w:right="119" w:firstLine="0"/>
        <w:jc w:val="both"/>
        <w:rPr>
          <w:sz w:val="24"/>
        </w:rPr>
      </w:pPr>
      <w:r>
        <w:rPr>
          <w:sz w:val="24"/>
        </w:rPr>
        <w:t>La capacidad del sistema inhibidor GABAérgico para regular la activación de los receptores NMDA, impedir la génesis de la descarga y controlar su propagación intracerebral.</w:t>
      </w:r>
    </w:p>
    <w:p>
      <w:pPr>
        <w:pStyle w:val="BodyText"/>
      </w:pPr>
    </w:p>
    <w:p>
      <w:pPr>
        <w:pStyle w:val="ListParagraph"/>
        <w:numPr>
          <w:ilvl w:val="3"/>
          <w:numId w:val="6"/>
        </w:numPr>
        <w:tabs>
          <w:tab w:pos="920" w:val="left" w:leader="none"/>
        </w:tabs>
        <w:spacing w:line="240" w:lineRule="auto" w:before="142" w:after="0"/>
        <w:ind w:left="919" w:right="0" w:hanging="801"/>
        <w:jc w:val="both"/>
        <w:rPr>
          <w:sz w:val="24"/>
        </w:rPr>
      </w:pPr>
      <w:r>
        <w:rPr>
          <w:sz w:val="24"/>
          <w:u w:val="single"/>
        </w:rPr>
        <w:t>Inicio de la actividad</w:t>
      </w:r>
      <w:r>
        <w:rPr>
          <w:spacing w:val="-13"/>
          <w:sz w:val="24"/>
          <w:u w:val="single"/>
        </w:rPr>
        <w:t> </w:t>
      </w:r>
      <w:r>
        <w:rPr>
          <w:sz w:val="24"/>
          <w:u w:val="single"/>
        </w:rPr>
        <w:t>epiléptica.</w:t>
      </w:r>
    </w:p>
    <w:p>
      <w:pPr>
        <w:pStyle w:val="BodyText"/>
        <w:rPr>
          <w:sz w:val="20"/>
        </w:rPr>
      </w:pPr>
    </w:p>
    <w:p>
      <w:pPr>
        <w:pStyle w:val="BodyText"/>
        <w:rPr>
          <w:sz w:val="22"/>
        </w:rPr>
      </w:pPr>
    </w:p>
    <w:p>
      <w:pPr>
        <w:pStyle w:val="BodyText"/>
        <w:spacing w:line="360" w:lineRule="auto" w:before="69"/>
        <w:ind w:left="118" w:right="119"/>
        <w:jc w:val="both"/>
      </w:pPr>
      <w:r>
        <w:rPr/>
        <w:t>Las crisis suelen originarse a partir de los cambios paroxísticos de despolarización (PDS) que se observan en el foco epiléptico (figura 5). Estos cambios se inician con una despolarización de la neurona que responde con una salva de potenciales de acción</w:t>
      </w:r>
      <w:r>
        <w:rPr>
          <w:spacing w:val="-14"/>
        </w:rPr>
        <w:t> </w:t>
      </w:r>
      <w:r>
        <w:rPr/>
        <w:t>de</w:t>
      </w:r>
      <w:r>
        <w:rPr>
          <w:spacing w:val="-14"/>
        </w:rPr>
        <w:t> </w:t>
      </w:r>
      <w:r>
        <w:rPr/>
        <w:t>alta</w:t>
      </w:r>
      <w:r>
        <w:rPr>
          <w:spacing w:val="-17"/>
        </w:rPr>
        <w:t> </w:t>
      </w:r>
      <w:r>
        <w:rPr/>
        <w:t>frecuencia,</w:t>
      </w:r>
      <w:r>
        <w:rPr>
          <w:spacing w:val="-14"/>
        </w:rPr>
        <w:t> </w:t>
      </w:r>
      <w:r>
        <w:rPr/>
        <w:t>acompañados</w:t>
      </w:r>
      <w:r>
        <w:rPr>
          <w:spacing w:val="-15"/>
        </w:rPr>
        <w:t> </w:t>
      </w:r>
      <w:r>
        <w:rPr/>
        <w:t>de</w:t>
      </w:r>
      <w:r>
        <w:rPr>
          <w:spacing w:val="-14"/>
        </w:rPr>
        <w:t> </w:t>
      </w:r>
      <w:r>
        <w:rPr/>
        <w:t>una</w:t>
      </w:r>
      <w:r>
        <w:rPr>
          <w:spacing w:val="-14"/>
        </w:rPr>
        <w:t> </w:t>
      </w:r>
      <w:r>
        <w:rPr/>
        <w:t>despolarización</w:t>
      </w:r>
      <w:r>
        <w:rPr>
          <w:spacing w:val="-14"/>
        </w:rPr>
        <w:t> </w:t>
      </w:r>
      <w:r>
        <w:rPr/>
        <w:t>mantenida</w:t>
      </w:r>
      <w:r>
        <w:rPr>
          <w:spacing w:val="-14"/>
        </w:rPr>
        <w:t> </w:t>
      </w:r>
      <w:r>
        <w:rPr/>
        <w:t>y</w:t>
      </w:r>
      <w:r>
        <w:rPr>
          <w:spacing w:val="-17"/>
        </w:rPr>
        <w:t> </w:t>
      </w:r>
      <w:r>
        <w:rPr/>
        <w:t>seguidos por una hiperpolarización de la neurona</w:t>
      </w:r>
      <w:r>
        <w:rPr>
          <w:spacing w:val="-16"/>
        </w:rPr>
        <w:t> </w:t>
      </w:r>
      <w:r>
        <w:rPr>
          <w:position w:val="8"/>
          <w:sz w:val="16"/>
        </w:rPr>
        <w:t>(3)</w:t>
      </w:r>
      <w:r>
        <w:rPr/>
        <w:t>.</w:t>
      </w:r>
    </w:p>
    <w:p>
      <w:pPr>
        <w:spacing w:after="0" w:line="360" w:lineRule="auto"/>
        <w:jc w:val="both"/>
        <w:sectPr>
          <w:pgSz w:w="12240" w:h="15840"/>
          <w:pgMar w:header="749" w:footer="1003" w:top="960" w:bottom="1200" w:left="1300" w:right="1580"/>
        </w:sectPr>
      </w:pPr>
    </w:p>
    <w:p>
      <w:pPr>
        <w:pStyle w:val="BodyText"/>
        <w:rPr>
          <w:sz w:val="20"/>
        </w:rPr>
      </w:pPr>
    </w:p>
    <w:p>
      <w:pPr>
        <w:pStyle w:val="BodyText"/>
        <w:rPr>
          <w:sz w:val="20"/>
        </w:rPr>
      </w:pPr>
    </w:p>
    <w:p>
      <w:pPr>
        <w:pStyle w:val="BodyText"/>
        <w:spacing w:before="7"/>
        <w:rPr>
          <w:sz w:val="23"/>
        </w:rPr>
      </w:pPr>
    </w:p>
    <w:p>
      <w:pPr>
        <w:pStyle w:val="BodyText"/>
        <w:ind w:left="1568"/>
        <w:rPr>
          <w:sz w:val="20"/>
        </w:rPr>
      </w:pPr>
      <w:r>
        <w:rPr>
          <w:sz w:val="20"/>
        </w:rPr>
        <w:drawing>
          <wp:inline distT="0" distB="0" distL="0" distR="0">
            <wp:extent cx="3971234" cy="2209800"/>
            <wp:effectExtent l="0" t="0" r="0" b="0"/>
            <wp:docPr id="13" name="image7.png" descr=""/>
            <wp:cNvGraphicFramePr>
              <a:graphicFrameLocks noChangeAspect="1"/>
            </wp:cNvGraphicFramePr>
            <a:graphic>
              <a:graphicData uri="http://schemas.openxmlformats.org/drawingml/2006/picture">
                <pic:pic>
                  <pic:nvPicPr>
                    <pic:cNvPr id="14" name="image7.png"/>
                    <pic:cNvPicPr/>
                  </pic:nvPicPr>
                  <pic:blipFill>
                    <a:blip r:embed="rId15" cstate="print"/>
                    <a:stretch>
                      <a:fillRect/>
                    </a:stretch>
                  </pic:blipFill>
                  <pic:spPr>
                    <a:xfrm>
                      <a:off x="0" y="0"/>
                      <a:ext cx="3971234" cy="2209800"/>
                    </a:xfrm>
                    <a:prstGeom prst="rect">
                      <a:avLst/>
                    </a:prstGeom>
                  </pic:spPr>
                </pic:pic>
              </a:graphicData>
            </a:graphic>
          </wp:inline>
        </w:drawing>
      </w:r>
      <w:r>
        <w:rPr>
          <w:sz w:val="20"/>
        </w:rPr>
      </w:r>
    </w:p>
    <w:p>
      <w:pPr>
        <w:spacing w:before="132"/>
        <w:ind w:left="118" w:right="58" w:firstLine="0"/>
        <w:jc w:val="center"/>
        <w:rPr>
          <w:sz w:val="20"/>
        </w:rPr>
      </w:pPr>
      <w:r>
        <w:rPr>
          <w:sz w:val="20"/>
        </w:rPr>
        <w:t>Figura 5. Foco epiléptico.</w:t>
      </w:r>
    </w:p>
    <w:p>
      <w:pPr>
        <w:pStyle w:val="BodyText"/>
        <w:rPr>
          <w:sz w:val="20"/>
        </w:rPr>
      </w:pPr>
    </w:p>
    <w:p>
      <w:pPr>
        <w:pStyle w:val="BodyText"/>
        <w:spacing w:before="2"/>
        <w:rPr>
          <w:sz w:val="20"/>
        </w:rPr>
      </w:pPr>
    </w:p>
    <w:p>
      <w:pPr>
        <w:pStyle w:val="BodyText"/>
        <w:spacing w:line="360" w:lineRule="auto"/>
        <w:ind w:left="118" w:right="117"/>
        <w:jc w:val="both"/>
      </w:pPr>
      <w:r>
        <w:rPr/>
        <w:t>El</w:t>
      </w:r>
      <w:r>
        <w:rPr>
          <w:spacing w:val="-5"/>
        </w:rPr>
        <w:t> </w:t>
      </w:r>
      <w:r>
        <w:rPr/>
        <w:t>inicio</w:t>
      </w:r>
      <w:r>
        <w:rPr>
          <w:spacing w:val="-4"/>
        </w:rPr>
        <w:t> </w:t>
      </w:r>
      <w:r>
        <w:rPr/>
        <w:t>de</w:t>
      </w:r>
      <w:r>
        <w:rPr>
          <w:spacing w:val="-4"/>
        </w:rPr>
        <w:t> </w:t>
      </w:r>
      <w:r>
        <w:rPr/>
        <w:t>la</w:t>
      </w:r>
      <w:r>
        <w:rPr>
          <w:spacing w:val="-4"/>
        </w:rPr>
        <w:t> </w:t>
      </w:r>
      <w:r>
        <w:rPr/>
        <w:t>descarga</w:t>
      </w:r>
      <w:r>
        <w:rPr>
          <w:spacing w:val="-4"/>
        </w:rPr>
        <w:t> </w:t>
      </w:r>
      <w:r>
        <w:rPr/>
        <w:t>se</w:t>
      </w:r>
      <w:r>
        <w:rPr>
          <w:spacing w:val="-4"/>
        </w:rPr>
        <w:t> </w:t>
      </w:r>
      <w:r>
        <w:rPr/>
        <w:t>atribuye</w:t>
      </w:r>
      <w:r>
        <w:rPr>
          <w:spacing w:val="-4"/>
        </w:rPr>
        <w:t> </w:t>
      </w:r>
      <w:r>
        <w:rPr/>
        <w:t>a</w:t>
      </w:r>
      <w:r>
        <w:rPr>
          <w:spacing w:val="-4"/>
        </w:rPr>
        <w:t> </w:t>
      </w:r>
      <w:r>
        <w:rPr/>
        <w:t>la</w:t>
      </w:r>
      <w:r>
        <w:rPr>
          <w:spacing w:val="-4"/>
        </w:rPr>
        <w:t> </w:t>
      </w:r>
      <w:r>
        <w:rPr/>
        <w:t>activación</w:t>
      </w:r>
      <w:r>
        <w:rPr>
          <w:spacing w:val="-3"/>
        </w:rPr>
        <w:t> </w:t>
      </w:r>
      <w:r>
        <w:rPr/>
        <w:t>de</w:t>
      </w:r>
      <w:r>
        <w:rPr>
          <w:spacing w:val="-4"/>
        </w:rPr>
        <w:t> </w:t>
      </w:r>
      <w:r>
        <w:rPr/>
        <w:t>receptores</w:t>
      </w:r>
      <w:r>
        <w:rPr>
          <w:spacing w:val="-4"/>
        </w:rPr>
        <w:t> </w:t>
      </w:r>
      <w:r>
        <w:rPr/>
        <w:t>glutamatérgicos</w:t>
      </w:r>
      <w:r>
        <w:rPr>
          <w:spacing w:val="-4"/>
        </w:rPr>
        <w:t> </w:t>
      </w:r>
      <w:r>
        <w:rPr/>
        <w:t>para el ácido a-amino-3-hidroxi-5-metil-4-isoxiazol-propiónico (AMPA), que permite una rápida</w:t>
      </w:r>
      <w:r>
        <w:rPr>
          <w:spacing w:val="-16"/>
        </w:rPr>
        <w:t> </w:t>
      </w:r>
      <w:r>
        <w:rPr/>
        <w:t>entrada</w:t>
      </w:r>
      <w:r>
        <w:rPr>
          <w:spacing w:val="-17"/>
        </w:rPr>
        <w:t> </w:t>
      </w:r>
      <w:r>
        <w:rPr/>
        <w:t>de</w:t>
      </w:r>
      <w:r>
        <w:rPr>
          <w:spacing w:val="-17"/>
        </w:rPr>
        <w:t> </w:t>
      </w:r>
      <w:r>
        <w:rPr/>
        <w:t>sodio;</w:t>
      </w:r>
      <w:r>
        <w:rPr>
          <w:spacing w:val="-17"/>
        </w:rPr>
        <w:t> </w:t>
      </w:r>
      <w:r>
        <w:rPr/>
        <w:t>la</w:t>
      </w:r>
      <w:r>
        <w:rPr>
          <w:spacing w:val="-17"/>
        </w:rPr>
        <w:t> </w:t>
      </w:r>
      <w:r>
        <w:rPr/>
        <w:t>prolongación</w:t>
      </w:r>
      <w:r>
        <w:rPr>
          <w:spacing w:val="-17"/>
        </w:rPr>
        <w:t> </w:t>
      </w:r>
      <w:r>
        <w:rPr/>
        <w:t>de</w:t>
      </w:r>
      <w:r>
        <w:rPr>
          <w:spacing w:val="-17"/>
        </w:rPr>
        <w:t> </w:t>
      </w:r>
      <w:r>
        <w:rPr/>
        <w:t>la</w:t>
      </w:r>
      <w:r>
        <w:rPr>
          <w:spacing w:val="-19"/>
        </w:rPr>
        <w:t> </w:t>
      </w:r>
      <w:r>
        <w:rPr/>
        <w:t>descarga</w:t>
      </w:r>
      <w:r>
        <w:rPr>
          <w:spacing w:val="-17"/>
        </w:rPr>
        <w:t> </w:t>
      </w:r>
      <w:r>
        <w:rPr/>
        <w:t>y</w:t>
      </w:r>
      <w:r>
        <w:rPr>
          <w:spacing w:val="-20"/>
        </w:rPr>
        <w:t> </w:t>
      </w:r>
      <w:r>
        <w:rPr/>
        <w:t>la</w:t>
      </w:r>
      <w:r>
        <w:rPr>
          <w:spacing w:val="-17"/>
        </w:rPr>
        <w:t> </w:t>
      </w:r>
      <w:r>
        <w:rPr/>
        <w:t>despolarización</w:t>
      </w:r>
      <w:r>
        <w:rPr>
          <w:spacing w:val="-17"/>
        </w:rPr>
        <w:t> </w:t>
      </w:r>
      <w:r>
        <w:rPr/>
        <w:t>mantenida se atribuyen a la estimulación de receptores glutamatérgicos NMDA que provocan, además de una entrada rápida de sodio, una lenta entrada de calcio; la hiperpolarización que le sigue al parecer se debe a una salida activa de potasio, que se</w:t>
      </w:r>
      <w:r>
        <w:rPr>
          <w:spacing w:val="-8"/>
        </w:rPr>
        <w:t> </w:t>
      </w:r>
      <w:r>
        <w:rPr/>
        <w:t>atribuye</w:t>
      </w:r>
      <w:r>
        <w:rPr>
          <w:spacing w:val="-8"/>
        </w:rPr>
        <w:t> </w:t>
      </w:r>
      <w:r>
        <w:rPr/>
        <w:t>a</w:t>
      </w:r>
      <w:r>
        <w:rPr>
          <w:spacing w:val="-8"/>
        </w:rPr>
        <w:t> </w:t>
      </w:r>
      <w:r>
        <w:rPr/>
        <w:t>una</w:t>
      </w:r>
      <w:r>
        <w:rPr>
          <w:spacing w:val="-8"/>
        </w:rPr>
        <w:t> </w:t>
      </w:r>
      <w:r>
        <w:rPr/>
        <w:t>reacción</w:t>
      </w:r>
      <w:r>
        <w:rPr>
          <w:spacing w:val="-8"/>
        </w:rPr>
        <w:t> </w:t>
      </w:r>
      <w:r>
        <w:rPr/>
        <w:t>inhibidora</w:t>
      </w:r>
      <w:r>
        <w:rPr>
          <w:spacing w:val="-9"/>
        </w:rPr>
        <w:t> </w:t>
      </w:r>
      <w:r>
        <w:rPr/>
        <w:t>GABAérgica</w:t>
      </w:r>
      <w:r>
        <w:rPr>
          <w:spacing w:val="-9"/>
        </w:rPr>
        <w:t> </w:t>
      </w:r>
      <w:r>
        <w:rPr/>
        <w:t>que</w:t>
      </w:r>
      <w:r>
        <w:rPr>
          <w:spacing w:val="-8"/>
        </w:rPr>
        <w:t> </w:t>
      </w:r>
      <w:r>
        <w:rPr/>
        <w:t>en</w:t>
      </w:r>
      <w:r>
        <w:rPr>
          <w:spacing w:val="-8"/>
        </w:rPr>
        <w:t> </w:t>
      </w:r>
      <w:r>
        <w:rPr/>
        <w:t>condiciones</w:t>
      </w:r>
      <w:r>
        <w:rPr>
          <w:spacing w:val="-9"/>
        </w:rPr>
        <w:t> </w:t>
      </w:r>
      <w:r>
        <w:rPr/>
        <w:t>normales,</w:t>
      </w:r>
      <w:r>
        <w:rPr>
          <w:spacing w:val="-8"/>
        </w:rPr>
        <w:t> </w:t>
      </w:r>
      <w:r>
        <w:rPr/>
        <w:t>limita la extensión de la</w:t>
      </w:r>
      <w:r>
        <w:rPr>
          <w:spacing w:val="-10"/>
        </w:rPr>
        <w:t> </w:t>
      </w:r>
      <w:r>
        <w:rPr/>
        <w:t>descarga</w:t>
      </w:r>
      <w:r>
        <w:rPr>
          <w:position w:val="8"/>
          <w:sz w:val="16"/>
        </w:rPr>
        <w:t>(18)</w:t>
      </w:r>
      <w:r>
        <w:rPr/>
        <w:t>.</w:t>
      </w:r>
    </w:p>
    <w:p>
      <w:pPr>
        <w:pStyle w:val="BodyText"/>
        <w:rPr>
          <w:sz w:val="36"/>
        </w:rPr>
      </w:pPr>
    </w:p>
    <w:p>
      <w:pPr>
        <w:pStyle w:val="ListParagraph"/>
        <w:numPr>
          <w:ilvl w:val="3"/>
          <w:numId w:val="6"/>
        </w:numPr>
        <w:tabs>
          <w:tab w:pos="920" w:val="left" w:leader="none"/>
        </w:tabs>
        <w:spacing w:line="240" w:lineRule="auto" w:before="0" w:after="0"/>
        <w:ind w:left="919" w:right="0" w:hanging="801"/>
        <w:jc w:val="both"/>
        <w:rPr>
          <w:sz w:val="24"/>
        </w:rPr>
      </w:pPr>
      <w:r>
        <w:rPr>
          <w:sz w:val="24"/>
          <w:u w:val="single"/>
        </w:rPr>
        <w:t>Sincronización de la</w:t>
      </w:r>
      <w:r>
        <w:rPr>
          <w:spacing w:val="-12"/>
          <w:sz w:val="24"/>
          <w:u w:val="single"/>
        </w:rPr>
        <w:t> </w:t>
      </w:r>
      <w:r>
        <w:rPr>
          <w:sz w:val="24"/>
          <w:u w:val="single"/>
        </w:rPr>
        <w:t>descarga.</w:t>
      </w:r>
    </w:p>
    <w:p>
      <w:pPr>
        <w:pStyle w:val="BodyText"/>
        <w:rPr>
          <w:sz w:val="20"/>
        </w:rPr>
      </w:pPr>
    </w:p>
    <w:p>
      <w:pPr>
        <w:pStyle w:val="BodyText"/>
        <w:spacing w:before="11"/>
        <w:rPr>
          <w:sz w:val="21"/>
        </w:rPr>
      </w:pPr>
    </w:p>
    <w:p>
      <w:pPr>
        <w:pStyle w:val="BodyText"/>
        <w:spacing w:line="357" w:lineRule="auto" w:before="69"/>
        <w:ind w:left="118" w:right="115"/>
        <w:jc w:val="both"/>
        <w:rPr>
          <w:sz w:val="16"/>
        </w:rPr>
      </w:pPr>
      <w:r>
        <w:rPr/>
        <w:t>La descarga paroxística de un foco epiléptico es frecuente que se auto limité y no llegue a propagarse. Para que se propague, debe haber una sincronización de la descarga, es decir, un reclutamiento de neuronas normales vecinas que descarguen simultáneamente </w:t>
      </w:r>
      <w:r>
        <w:rPr>
          <w:position w:val="8"/>
          <w:sz w:val="16"/>
        </w:rPr>
        <w:t>(17)</w:t>
      </w:r>
      <w:r>
        <w:rPr/>
        <w:t>. Esta sincronización, que origina las manifestaciones EEG intercríticas, requiere una excitación y/o una desinhibición anómalas dentro del neocórtex o del hipocampo. </w:t>
      </w:r>
      <w:r>
        <w:rPr>
          <w:position w:val="8"/>
          <w:sz w:val="16"/>
        </w:rPr>
        <w:t>(19)</w:t>
      </w:r>
    </w:p>
    <w:p>
      <w:pPr>
        <w:pStyle w:val="BodyText"/>
        <w:spacing w:before="2"/>
        <w:rPr>
          <w:sz w:val="36"/>
        </w:rPr>
      </w:pPr>
    </w:p>
    <w:p>
      <w:pPr>
        <w:pStyle w:val="BodyText"/>
        <w:spacing w:line="360" w:lineRule="auto" w:before="1"/>
        <w:ind w:left="118" w:right="125"/>
        <w:jc w:val="both"/>
      </w:pPr>
      <w:r>
        <w:rPr/>
        <w:t>En el neocórtex, la descarga puede iniciarse en las células piramidales de las capas IV y V por su mayor riqueza en receptores NMDA y su menor inhibición GABAérgica.</w:t>
      </w:r>
    </w:p>
    <w:p>
      <w:pPr>
        <w:spacing w:after="0" w:line="360" w:lineRule="auto"/>
        <w:jc w:val="both"/>
        <w:sectPr>
          <w:pgSz w:w="12240" w:h="15840"/>
          <w:pgMar w:header="749" w:footer="1003" w:top="960" w:bottom="1200" w:left="1300" w:right="1580"/>
        </w:sectPr>
      </w:pPr>
    </w:p>
    <w:p>
      <w:pPr>
        <w:pStyle w:val="BodyText"/>
        <w:rPr>
          <w:sz w:val="20"/>
        </w:rPr>
      </w:pPr>
    </w:p>
    <w:p>
      <w:pPr>
        <w:pStyle w:val="BodyText"/>
        <w:rPr>
          <w:sz w:val="20"/>
        </w:rPr>
      </w:pPr>
    </w:p>
    <w:p>
      <w:pPr>
        <w:pStyle w:val="BodyText"/>
        <w:spacing w:before="5"/>
        <w:rPr>
          <w:sz w:val="17"/>
        </w:rPr>
      </w:pPr>
    </w:p>
    <w:p>
      <w:pPr>
        <w:pStyle w:val="BodyText"/>
        <w:spacing w:line="360" w:lineRule="auto" w:before="70"/>
        <w:ind w:left="118" w:right="115"/>
        <w:jc w:val="both"/>
      </w:pPr>
      <w:r>
        <w:rPr/>
        <w:t>Esta señal se amplifica por excitación de otras células piramidales, de interneuronas glutamatérgicas excitadoras y de interneuronas GABAérgicas que al inhibir a otras neuronas inhibidoras GABAérgicas provocan excitación por desinhibición </w:t>
      </w:r>
      <w:r>
        <w:rPr>
          <w:position w:val="8"/>
          <w:sz w:val="16"/>
        </w:rPr>
        <w:t>(18)</w:t>
      </w:r>
      <w:r>
        <w:rPr/>
        <w:t>. Habitualmente, la descarga de las capas IV y V se propaga a la capa II donde suele frenarse por la fuerte acción inhibidora de las numerosas interneuronas GABAérgicas de esta capa.</w:t>
      </w:r>
    </w:p>
    <w:p>
      <w:pPr>
        <w:pStyle w:val="BodyText"/>
      </w:pPr>
    </w:p>
    <w:p>
      <w:pPr>
        <w:pStyle w:val="ListParagraph"/>
        <w:numPr>
          <w:ilvl w:val="3"/>
          <w:numId w:val="6"/>
        </w:numPr>
        <w:tabs>
          <w:tab w:pos="920" w:val="left" w:leader="none"/>
        </w:tabs>
        <w:spacing w:line="240" w:lineRule="auto" w:before="142" w:after="0"/>
        <w:ind w:left="919" w:right="0" w:hanging="801"/>
        <w:jc w:val="both"/>
        <w:rPr>
          <w:sz w:val="24"/>
        </w:rPr>
      </w:pPr>
      <w:r>
        <w:rPr>
          <w:sz w:val="24"/>
          <w:u w:val="single"/>
        </w:rPr>
        <w:t>Propagación de la</w:t>
      </w:r>
      <w:r>
        <w:rPr>
          <w:spacing w:val="-10"/>
          <w:sz w:val="24"/>
          <w:u w:val="single"/>
        </w:rPr>
        <w:t> </w:t>
      </w:r>
      <w:r>
        <w:rPr>
          <w:sz w:val="24"/>
          <w:u w:val="single"/>
        </w:rPr>
        <w:t>descarga.</w:t>
      </w:r>
    </w:p>
    <w:p>
      <w:pPr>
        <w:pStyle w:val="BodyText"/>
        <w:rPr>
          <w:sz w:val="20"/>
        </w:rPr>
      </w:pPr>
    </w:p>
    <w:p>
      <w:pPr>
        <w:pStyle w:val="BodyText"/>
        <w:rPr>
          <w:sz w:val="22"/>
        </w:rPr>
      </w:pPr>
    </w:p>
    <w:p>
      <w:pPr>
        <w:pStyle w:val="BodyText"/>
        <w:spacing w:line="357" w:lineRule="auto" w:before="69"/>
        <w:ind w:left="118" w:right="114"/>
        <w:jc w:val="both"/>
      </w:pPr>
      <w:r>
        <w:rPr/>
        <w:t>El tercer requisito para la aparición de una crisis es la propagación de la descarga a otras estructuras del SNC cuya activación provoca las manifestaciones EEG críticas</w:t>
      </w:r>
      <w:r>
        <w:rPr>
          <w:spacing w:val="-37"/>
        </w:rPr>
        <w:t> </w:t>
      </w:r>
      <w:r>
        <w:rPr/>
        <w:t>y las manifestaciones clínicas </w:t>
      </w:r>
      <w:r>
        <w:rPr>
          <w:position w:val="8"/>
          <w:sz w:val="16"/>
        </w:rPr>
        <w:t>(17)</w:t>
      </w:r>
      <w:r>
        <w:rPr/>
        <w:t>. En las crisis focales, el impulso iniciado en el neocórtex se propaga a otras áreas corticales de éste y del otro hemisferio, a los núcleos</w:t>
      </w:r>
      <w:r>
        <w:rPr>
          <w:spacing w:val="-7"/>
        </w:rPr>
        <w:t> </w:t>
      </w:r>
      <w:r>
        <w:rPr/>
        <w:t>subcorticales</w:t>
      </w:r>
      <w:r>
        <w:rPr>
          <w:spacing w:val="-6"/>
        </w:rPr>
        <w:t> </w:t>
      </w:r>
      <w:r>
        <w:rPr/>
        <w:t>(tálamo</w:t>
      </w:r>
      <w:r>
        <w:rPr>
          <w:spacing w:val="-4"/>
        </w:rPr>
        <w:t> </w:t>
      </w:r>
      <w:r>
        <w:rPr/>
        <w:t>y</w:t>
      </w:r>
      <w:r>
        <w:rPr>
          <w:spacing w:val="-7"/>
        </w:rPr>
        <w:t> </w:t>
      </w:r>
      <w:r>
        <w:rPr/>
        <w:t>ganglios</w:t>
      </w:r>
      <w:r>
        <w:rPr>
          <w:spacing w:val="-7"/>
        </w:rPr>
        <w:t> </w:t>
      </w:r>
      <w:r>
        <w:rPr/>
        <w:t>basales),</w:t>
      </w:r>
      <w:r>
        <w:rPr>
          <w:spacing w:val="-4"/>
        </w:rPr>
        <w:t> </w:t>
      </w:r>
      <w:r>
        <w:rPr/>
        <w:t>al</w:t>
      </w:r>
      <w:r>
        <w:rPr>
          <w:spacing w:val="-7"/>
        </w:rPr>
        <w:t> </w:t>
      </w:r>
      <w:r>
        <w:rPr/>
        <w:t>bulbo</w:t>
      </w:r>
      <w:r>
        <w:rPr>
          <w:spacing w:val="-4"/>
        </w:rPr>
        <w:t> </w:t>
      </w:r>
      <w:r>
        <w:rPr/>
        <w:t>y</w:t>
      </w:r>
      <w:r>
        <w:rPr>
          <w:spacing w:val="-7"/>
        </w:rPr>
        <w:t> </w:t>
      </w:r>
      <w:r>
        <w:rPr/>
        <w:t>a</w:t>
      </w:r>
      <w:r>
        <w:rPr>
          <w:spacing w:val="-4"/>
        </w:rPr>
        <w:t> </w:t>
      </w:r>
      <w:r>
        <w:rPr/>
        <w:t>la</w:t>
      </w:r>
      <w:r>
        <w:rPr>
          <w:spacing w:val="-6"/>
        </w:rPr>
        <w:t> </w:t>
      </w:r>
      <w:r>
        <w:rPr/>
        <w:t>médula.</w:t>
      </w:r>
      <w:r>
        <w:rPr>
          <w:spacing w:val="-6"/>
        </w:rPr>
        <w:t> </w:t>
      </w:r>
      <w:r>
        <w:rPr/>
        <w:t>En</w:t>
      </w:r>
      <w:r>
        <w:rPr>
          <w:spacing w:val="-6"/>
        </w:rPr>
        <w:t> </w:t>
      </w:r>
      <w:r>
        <w:rPr/>
        <w:t>las</w:t>
      </w:r>
      <w:r>
        <w:rPr>
          <w:spacing w:val="-6"/>
        </w:rPr>
        <w:t> </w:t>
      </w:r>
      <w:r>
        <w:rPr/>
        <w:t>crisis hipocámpicas, la descarga se propaga a subtálamo, tálamo y ganglios basales </w:t>
      </w:r>
      <w:r>
        <w:rPr>
          <w:position w:val="8"/>
          <w:sz w:val="16"/>
        </w:rPr>
        <w:t>(19)</w:t>
      </w:r>
      <w:r>
        <w:rPr/>
        <w:t>. El inicio y propagación de las crisis generalizadas primarias es menos conocido: en la hipótesis centroencefálica se generan en el tronco del encéfalo y en la hipótesis corticorreticular,</w:t>
      </w:r>
      <w:r>
        <w:rPr>
          <w:spacing w:val="-8"/>
        </w:rPr>
        <w:t> </w:t>
      </w:r>
      <w:r>
        <w:rPr/>
        <w:t>en</w:t>
      </w:r>
      <w:r>
        <w:rPr>
          <w:spacing w:val="-8"/>
        </w:rPr>
        <w:t> </w:t>
      </w:r>
      <w:r>
        <w:rPr/>
        <w:t>la</w:t>
      </w:r>
      <w:r>
        <w:rPr>
          <w:spacing w:val="-11"/>
        </w:rPr>
        <w:t> </w:t>
      </w:r>
      <w:r>
        <w:rPr/>
        <w:t>corteza,</w:t>
      </w:r>
      <w:r>
        <w:rPr>
          <w:spacing w:val="-11"/>
        </w:rPr>
        <w:t> </w:t>
      </w:r>
      <w:r>
        <w:rPr/>
        <w:t>pero</w:t>
      </w:r>
      <w:r>
        <w:rPr>
          <w:spacing w:val="-11"/>
        </w:rPr>
        <w:t> </w:t>
      </w:r>
      <w:r>
        <w:rPr/>
        <w:t>en</w:t>
      </w:r>
      <w:r>
        <w:rPr>
          <w:spacing w:val="-11"/>
        </w:rPr>
        <w:t> </w:t>
      </w:r>
      <w:r>
        <w:rPr/>
        <w:t>ambos</w:t>
      </w:r>
      <w:r>
        <w:rPr>
          <w:spacing w:val="-9"/>
        </w:rPr>
        <w:t> </w:t>
      </w:r>
      <w:r>
        <w:rPr/>
        <w:t>casos</w:t>
      </w:r>
      <w:r>
        <w:rPr>
          <w:spacing w:val="-9"/>
        </w:rPr>
        <w:t> </w:t>
      </w:r>
      <w:r>
        <w:rPr/>
        <w:t>parece</w:t>
      </w:r>
      <w:r>
        <w:rPr>
          <w:spacing w:val="-11"/>
        </w:rPr>
        <w:t> </w:t>
      </w:r>
      <w:r>
        <w:rPr/>
        <w:t>que</w:t>
      </w:r>
      <w:r>
        <w:rPr>
          <w:spacing w:val="-11"/>
        </w:rPr>
        <w:t> </w:t>
      </w:r>
      <w:r>
        <w:rPr/>
        <w:t>el</w:t>
      </w:r>
      <w:r>
        <w:rPr>
          <w:spacing w:val="-10"/>
        </w:rPr>
        <w:t> </w:t>
      </w:r>
      <w:r>
        <w:rPr/>
        <w:t>tálamo</w:t>
      </w:r>
      <w:r>
        <w:rPr>
          <w:spacing w:val="-8"/>
        </w:rPr>
        <w:t> </w:t>
      </w:r>
      <w:r>
        <w:rPr/>
        <w:t>desempeña un importante papel </w:t>
      </w:r>
      <w:r>
        <w:rPr>
          <w:position w:val="8"/>
          <w:sz w:val="16"/>
        </w:rPr>
        <w:t>(3,</w:t>
      </w:r>
      <w:r>
        <w:rPr>
          <w:spacing w:val="-11"/>
          <w:position w:val="8"/>
          <w:sz w:val="16"/>
        </w:rPr>
        <w:t> </w:t>
      </w:r>
      <w:r>
        <w:rPr>
          <w:position w:val="8"/>
          <w:sz w:val="16"/>
        </w:rPr>
        <w:t>17)</w:t>
      </w:r>
      <w:r>
        <w:rPr/>
        <w:t>.</w:t>
      </w:r>
    </w:p>
    <w:p>
      <w:pPr>
        <w:pStyle w:val="BodyText"/>
        <w:spacing w:before="2"/>
        <w:rPr>
          <w:sz w:val="36"/>
        </w:rPr>
      </w:pPr>
    </w:p>
    <w:p>
      <w:pPr>
        <w:pStyle w:val="BodyText"/>
        <w:spacing w:line="360" w:lineRule="auto" w:before="1"/>
        <w:ind w:left="118" w:right="116"/>
        <w:jc w:val="both"/>
      </w:pPr>
      <w:r>
        <w:rPr/>
        <w:t>Las ausencias generalizadas pueden entenderse como una epilepsia corticorreticular en la que se produce una alternancia de excitación talamocortical y de inhibición por activación de interneuronas GABAérgicas que genera la característica punta-onda y provoca la pérdida de conciencia </w:t>
      </w:r>
      <w:r>
        <w:rPr>
          <w:position w:val="8"/>
          <w:sz w:val="16"/>
        </w:rPr>
        <w:t>(17)</w:t>
      </w:r>
      <w:r>
        <w:rPr/>
        <w:t>.</w:t>
      </w:r>
    </w:p>
    <w:p>
      <w:pPr>
        <w:pStyle w:val="BodyText"/>
        <w:rPr>
          <w:sz w:val="36"/>
        </w:rPr>
      </w:pPr>
    </w:p>
    <w:p>
      <w:pPr>
        <w:pStyle w:val="BodyText"/>
        <w:spacing w:line="360" w:lineRule="auto"/>
        <w:ind w:left="118" w:right="118"/>
        <w:jc w:val="both"/>
      </w:pPr>
      <w:r>
        <w:rPr/>
        <w:t>En la propagación intracerebral de la descarga intervienen circuitos excitadores y desinhibidores que refuerzan el estímulo inicial (fig. 6). La descarga procedente del neocórtex se proyecta al cuerpo estriado y al tálamo a través de vías glutamatérgicas que activan receptores NMDA y NO-NMDA; la riqueza de inhibición GABAérgica en ambas estructuras frena, habitualmente, este estímulo cortical </w:t>
      </w:r>
      <w:r>
        <w:rPr>
          <w:position w:val="8"/>
          <w:sz w:val="16"/>
        </w:rPr>
        <w:t>(17, 18,19)</w:t>
      </w:r>
      <w:r>
        <w:rPr/>
        <w:t>.</w:t>
      </w:r>
    </w:p>
    <w:p>
      <w:pPr>
        <w:spacing w:after="0" w:line="360" w:lineRule="auto"/>
        <w:jc w:val="both"/>
        <w:sectPr>
          <w:pgSz w:w="12240" w:h="15840"/>
          <w:pgMar w:header="749" w:footer="1003" w:top="960" w:bottom="1200" w:left="1300" w:right="1580"/>
        </w:sectPr>
      </w:pPr>
    </w:p>
    <w:p>
      <w:pPr>
        <w:pStyle w:val="BodyText"/>
        <w:rPr>
          <w:sz w:val="20"/>
        </w:rPr>
      </w:pPr>
    </w:p>
    <w:p>
      <w:pPr>
        <w:pStyle w:val="BodyText"/>
        <w:rPr>
          <w:sz w:val="20"/>
        </w:rPr>
      </w:pPr>
    </w:p>
    <w:p>
      <w:pPr>
        <w:pStyle w:val="BodyText"/>
        <w:spacing w:before="7"/>
        <w:rPr>
          <w:sz w:val="23"/>
        </w:rPr>
      </w:pPr>
    </w:p>
    <w:p>
      <w:pPr>
        <w:pStyle w:val="BodyText"/>
        <w:ind w:left="1822"/>
        <w:rPr>
          <w:sz w:val="20"/>
        </w:rPr>
      </w:pPr>
      <w:r>
        <w:rPr>
          <w:sz w:val="20"/>
        </w:rPr>
        <w:drawing>
          <wp:inline distT="0" distB="0" distL="0" distR="0">
            <wp:extent cx="3661822" cy="5035962"/>
            <wp:effectExtent l="0" t="0" r="0" b="0"/>
            <wp:docPr id="15" name="image8.jpeg" descr=""/>
            <wp:cNvGraphicFramePr>
              <a:graphicFrameLocks noChangeAspect="1"/>
            </wp:cNvGraphicFramePr>
            <a:graphic>
              <a:graphicData uri="http://schemas.openxmlformats.org/drawingml/2006/picture">
                <pic:pic>
                  <pic:nvPicPr>
                    <pic:cNvPr id="16" name="image8.jpeg"/>
                    <pic:cNvPicPr/>
                  </pic:nvPicPr>
                  <pic:blipFill>
                    <a:blip r:embed="rId16" cstate="print"/>
                    <a:stretch>
                      <a:fillRect/>
                    </a:stretch>
                  </pic:blipFill>
                  <pic:spPr>
                    <a:xfrm>
                      <a:off x="0" y="0"/>
                      <a:ext cx="3661822" cy="5035962"/>
                    </a:xfrm>
                    <a:prstGeom prst="rect">
                      <a:avLst/>
                    </a:prstGeom>
                  </pic:spPr>
                </pic:pic>
              </a:graphicData>
            </a:graphic>
          </wp:inline>
        </w:drawing>
      </w:r>
      <w:r>
        <w:rPr>
          <w:sz w:val="20"/>
        </w:rPr>
      </w:r>
    </w:p>
    <w:p>
      <w:pPr>
        <w:spacing w:before="105"/>
        <w:ind w:left="2178" w:right="0" w:firstLine="0"/>
        <w:jc w:val="left"/>
        <w:rPr>
          <w:sz w:val="20"/>
        </w:rPr>
      </w:pPr>
      <w:r>
        <w:rPr>
          <w:sz w:val="20"/>
        </w:rPr>
        <w:t>Figura 6. Origen y propagación de la crisis epiléptica </w:t>
      </w:r>
      <w:r>
        <w:rPr>
          <w:position w:val="6"/>
          <w:sz w:val="13"/>
        </w:rPr>
        <w:t>(20)</w:t>
      </w:r>
      <w:r>
        <w:rPr>
          <w:sz w:val="20"/>
        </w:rPr>
        <w:t>.</w:t>
      </w:r>
    </w:p>
    <w:p>
      <w:pPr>
        <w:pStyle w:val="BodyText"/>
        <w:rPr>
          <w:sz w:val="20"/>
        </w:rPr>
      </w:pPr>
    </w:p>
    <w:p>
      <w:pPr>
        <w:pStyle w:val="BodyText"/>
        <w:spacing w:before="11"/>
        <w:rPr>
          <w:sz w:val="19"/>
        </w:rPr>
      </w:pPr>
    </w:p>
    <w:p>
      <w:pPr>
        <w:pStyle w:val="Heading2"/>
        <w:numPr>
          <w:ilvl w:val="2"/>
          <w:numId w:val="7"/>
        </w:numPr>
        <w:tabs>
          <w:tab w:pos="722" w:val="left" w:leader="none"/>
        </w:tabs>
        <w:spacing w:line="240" w:lineRule="auto" w:before="70" w:after="0"/>
        <w:ind w:left="721" w:right="0" w:hanging="603"/>
        <w:jc w:val="both"/>
      </w:pPr>
      <w:r>
        <w:rPr/>
        <w:t>Diagnóstico.</w:t>
      </w:r>
    </w:p>
    <w:p>
      <w:pPr>
        <w:pStyle w:val="BodyText"/>
        <w:spacing w:before="4"/>
        <w:rPr>
          <w:b/>
          <w:sz w:val="29"/>
        </w:rPr>
      </w:pPr>
    </w:p>
    <w:p>
      <w:pPr>
        <w:pStyle w:val="BodyText"/>
        <w:spacing w:line="360" w:lineRule="auto" w:before="1"/>
        <w:ind w:left="118" w:right="102"/>
        <w:jc w:val="both"/>
      </w:pPr>
      <w:r>
        <w:rPr/>
        <w:t>El Estudio diagnóstico adecuado, para el diagnóstico de la epilepsia implica múltiples enfoques. Dada la gran variedad de presentaciones clínicas, es necesario utilizar técnicas estandarizados para diagnosticar la epilepsia y descartar otras condiciones. Estas técnicas incluyen la electroencefalografía, resonancia magnética, análisis de sangre de rutina, punción lumbar, y electrocardiografía </w:t>
      </w:r>
      <w:r>
        <w:rPr>
          <w:position w:val="8"/>
          <w:sz w:val="16"/>
        </w:rPr>
        <w:t>(8)</w:t>
      </w:r>
      <w:r>
        <w:rPr/>
        <w:t>.</w:t>
      </w:r>
    </w:p>
    <w:p>
      <w:pPr>
        <w:pStyle w:val="BodyText"/>
        <w:spacing w:line="360" w:lineRule="auto" w:before="152"/>
        <w:ind w:left="118" w:right="110"/>
        <w:jc w:val="both"/>
      </w:pPr>
      <w:r>
        <w:rPr/>
        <w:t>El diagnóstico de la epilepsia requiere la presencia de convulsiones recurrentes, no provocados.</w:t>
      </w:r>
      <w:r>
        <w:rPr>
          <w:spacing w:val="33"/>
        </w:rPr>
        <w:t> </w:t>
      </w:r>
      <w:r>
        <w:rPr/>
        <w:t>Los</w:t>
      </w:r>
      <w:r>
        <w:rPr>
          <w:spacing w:val="-17"/>
        </w:rPr>
        <w:t> </w:t>
      </w:r>
      <w:r>
        <w:rPr/>
        <w:t>pacientes</w:t>
      </w:r>
      <w:r>
        <w:rPr>
          <w:spacing w:val="-17"/>
        </w:rPr>
        <w:t> </w:t>
      </w:r>
      <w:r>
        <w:rPr/>
        <w:t>que</w:t>
      </w:r>
      <w:r>
        <w:rPr>
          <w:spacing w:val="-15"/>
        </w:rPr>
        <w:t> </w:t>
      </w:r>
      <w:r>
        <w:rPr/>
        <w:t>presentan</w:t>
      </w:r>
      <w:r>
        <w:rPr>
          <w:spacing w:val="-16"/>
        </w:rPr>
        <w:t> </w:t>
      </w:r>
      <w:r>
        <w:rPr/>
        <w:t>convulsiones</w:t>
      </w:r>
      <w:r>
        <w:rPr>
          <w:spacing w:val="-15"/>
        </w:rPr>
        <w:t> </w:t>
      </w:r>
      <w:r>
        <w:rPr/>
        <w:t>deben</w:t>
      </w:r>
      <w:r>
        <w:rPr>
          <w:spacing w:val="-15"/>
        </w:rPr>
        <w:t> </w:t>
      </w:r>
      <w:r>
        <w:rPr/>
        <w:t>someterse</w:t>
      </w:r>
      <w:r>
        <w:rPr>
          <w:spacing w:val="-17"/>
        </w:rPr>
        <w:t> </w:t>
      </w:r>
      <w:r>
        <w:rPr/>
        <w:t>a</w:t>
      </w:r>
      <w:r>
        <w:rPr>
          <w:spacing w:val="-17"/>
        </w:rPr>
        <w:t> </w:t>
      </w:r>
      <w:r>
        <w:rPr/>
        <w:t>un</w:t>
      </w:r>
      <w:r>
        <w:rPr>
          <w:spacing w:val="-16"/>
        </w:rPr>
        <w:t> </w:t>
      </w:r>
      <w:r>
        <w:rPr/>
        <w:t>examen</w:t>
      </w:r>
    </w:p>
    <w:p>
      <w:pPr>
        <w:spacing w:after="0" w:line="360" w:lineRule="auto"/>
        <w:jc w:val="both"/>
        <w:sectPr>
          <w:pgSz w:w="12240" w:h="15840"/>
          <w:pgMar w:header="749" w:footer="1003" w:top="960" w:bottom="1200" w:left="1300" w:right="1500"/>
        </w:sectPr>
      </w:pPr>
    </w:p>
    <w:p>
      <w:pPr>
        <w:pStyle w:val="BodyText"/>
        <w:rPr>
          <w:sz w:val="20"/>
        </w:rPr>
      </w:pPr>
    </w:p>
    <w:p>
      <w:pPr>
        <w:pStyle w:val="BodyText"/>
        <w:rPr>
          <w:sz w:val="20"/>
        </w:rPr>
      </w:pPr>
    </w:p>
    <w:p>
      <w:pPr>
        <w:pStyle w:val="BodyText"/>
        <w:spacing w:before="5"/>
        <w:rPr>
          <w:sz w:val="17"/>
        </w:rPr>
      </w:pPr>
    </w:p>
    <w:p>
      <w:pPr>
        <w:pStyle w:val="BodyText"/>
        <w:spacing w:line="360" w:lineRule="auto" w:before="70"/>
        <w:ind w:left="118" w:right="110"/>
        <w:jc w:val="both"/>
      </w:pPr>
      <w:r>
        <w:rPr/>
        <w:drawing>
          <wp:anchor distT="0" distB="0" distL="0" distR="0" allowOverlap="1" layoutInCell="1" locked="0" behindDoc="0" simplePos="0" relativeHeight="1288">
            <wp:simplePos x="0" y="0"/>
            <wp:positionH relativeFrom="page">
              <wp:posOffset>1752600</wp:posOffset>
            </wp:positionH>
            <wp:positionV relativeFrom="paragraph">
              <wp:posOffset>865325</wp:posOffset>
            </wp:positionV>
            <wp:extent cx="3894662" cy="2288286"/>
            <wp:effectExtent l="0" t="0" r="0" b="0"/>
            <wp:wrapTopAndBottom/>
            <wp:docPr id="17" name="image9.png" descr=""/>
            <wp:cNvGraphicFramePr>
              <a:graphicFrameLocks noChangeAspect="1"/>
            </wp:cNvGraphicFramePr>
            <a:graphic>
              <a:graphicData uri="http://schemas.openxmlformats.org/drawingml/2006/picture">
                <pic:pic>
                  <pic:nvPicPr>
                    <pic:cNvPr id="18" name="image9.png"/>
                    <pic:cNvPicPr/>
                  </pic:nvPicPr>
                  <pic:blipFill>
                    <a:blip r:embed="rId17" cstate="print"/>
                    <a:stretch>
                      <a:fillRect/>
                    </a:stretch>
                  </pic:blipFill>
                  <pic:spPr>
                    <a:xfrm>
                      <a:off x="0" y="0"/>
                      <a:ext cx="3894662" cy="2288286"/>
                    </a:xfrm>
                    <a:prstGeom prst="rect">
                      <a:avLst/>
                    </a:prstGeom>
                  </pic:spPr>
                </pic:pic>
              </a:graphicData>
            </a:graphic>
          </wp:anchor>
        </w:drawing>
      </w:r>
      <w:r>
        <w:rPr/>
        <w:t>general y neurológico, en busca de otras causas de pérdida de la conciencia (por ejemplo, anomalías cardíacas, la evidencia de infección), factores que contribuyen o causas secundarias de la epilepsia y signos neurológicos focales. (fig.7)</w:t>
      </w:r>
    </w:p>
    <w:p>
      <w:pPr>
        <w:pStyle w:val="BodyText"/>
      </w:pPr>
    </w:p>
    <w:p>
      <w:pPr>
        <w:spacing w:before="169"/>
        <w:ind w:left="3085" w:right="0" w:firstLine="0"/>
        <w:jc w:val="left"/>
        <w:rPr>
          <w:sz w:val="20"/>
        </w:rPr>
      </w:pPr>
      <w:r>
        <w:rPr>
          <w:sz w:val="20"/>
        </w:rPr>
        <w:t>Figura 7. Diagnóstico de la epilepsia.</w:t>
      </w:r>
    </w:p>
    <w:p>
      <w:pPr>
        <w:pStyle w:val="BodyText"/>
        <w:spacing w:before="5"/>
        <w:rPr>
          <w:sz w:val="23"/>
        </w:rPr>
      </w:pPr>
    </w:p>
    <w:p>
      <w:pPr>
        <w:pStyle w:val="BodyText"/>
        <w:spacing w:line="360" w:lineRule="auto"/>
        <w:ind w:left="118" w:right="111"/>
        <w:jc w:val="both"/>
      </w:pPr>
      <w:r>
        <w:rPr/>
        <w:t>Algunos de los hallazgos clínicos importantes incluyen alteraciones en la conciencia, disminución de la sensación, habilidades motrices y reflejos.</w:t>
      </w:r>
    </w:p>
    <w:p>
      <w:pPr>
        <w:pStyle w:val="BodyText"/>
        <w:spacing w:line="360" w:lineRule="auto" w:before="159"/>
        <w:ind w:left="118" w:right="102"/>
        <w:jc w:val="both"/>
      </w:pPr>
      <w:r>
        <w:rPr/>
        <w:t>Se debe hacer un recuento detallado por el paciente o familiares de los ataques, la duración de los mismos, desde que edad se presentan, las características de las crisis convulsivas, si existen factores predisponentes, esto será de gran ayuda para establecer un diagnóstico correcto. Todos los pacientes que refieren presentan convulsiones de nueva aparición deberán realizarse exámenes de sangre para hemograma y bioquímica (urea y electrolitos, azúcar en la sangre, el calcio, y las pruebas de función hepática). También deben tener un electrocardiograma (ECG) con la finalidad de buscar anormalidades cardiacas. </w:t>
      </w:r>
      <w:r>
        <w:rPr>
          <w:spacing w:val="-3"/>
        </w:rPr>
        <w:t>EEG, </w:t>
      </w:r>
      <w:r>
        <w:rPr>
          <w:spacing w:val="-2"/>
        </w:rPr>
        <w:t>combinado </w:t>
      </w:r>
      <w:r>
        <w:rPr>
          <w:spacing w:val="-3"/>
        </w:rPr>
        <w:t>con </w:t>
      </w:r>
      <w:r>
        <w:rPr/>
        <w:t>el </w:t>
      </w:r>
      <w:r>
        <w:rPr>
          <w:spacing w:val="-3"/>
        </w:rPr>
        <w:t>cuadro clínico, </w:t>
      </w:r>
      <w:r>
        <w:rPr/>
        <w:t>es fundamental para el </w:t>
      </w:r>
      <w:r>
        <w:rPr>
          <w:spacing w:val="-3"/>
        </w:rPr>
        <w:t>diagnóstico </w:t>
      </w:r>
      <w:r>
        <w:rPr/>
        <w:t>de la </w:t>
      </w:r>
      <w:r>
        <w:rPr>
          <w:spacing w:val="-3"/>
        </w:rPr>
        <w:t>epilepsia.</w:t>
      </w:r>
    </w:p>
    <w:p>
      <w:pPr>
        <w:spacing w:after="0" w:line="360" w:lineRule="auto"/>
        <w:jc w:val="both"/>
        <w:sectPr>
          <w:pgSz w:w="12240" w:h="15840"/>
          <w:pgMar w:header="749" w:footer="1003" w:top="960" w:bottom="1200" w:left="1300" w:right="1500"/>
        </w:sectPr>
      </w:pPr>
    </w:p>
    <w:p>
      <w:pPr>
        <w:pStyle w:val="BodyText"/>
        <w:rPr>
          <w:sz w:val="20"/>
        </w:rPr>
      </w:pPr>
    </w:p>
    <w:p>
      <w:pPr>
        <w:pStyle w:val="BodyText"/>
        <w:rPr>
          <w:sz w:val="20"/>
        </w:rPr>
      </w:pPr>
    </w:p>
    <w:p>
      <w:pPr>
        <w:pStyle w:val="BodyText"/>
        <w:spacing w:before="5"/>
        <w:rPr>
          <w:sz w:val="17"/>
        </w:rPr>
      </w:pPr>
    </w:p>
    <w:p>
      <w:pPr>
        <w:pStyle w:val="Heading2"/>
        <w:numPr>
          <w:ilvl w:val="2"/>
          <w:numId w:val="7"/>
        </w:numPr>
        <w:tabs>
          <w:tab w:pos="722" w:val="left" w:leader="none"/>
        </w:tabs>
        <w:spacing w:line="240" w:lineRule="auto" w:before="70" w:after="0"/>
        <w:ind w:left="721" w:right="0" w:hanging="603"/>
        <w:jc w:val="both"/>
      </w:pPr>
      <w:r>
        <w:rPr/>
        <w:t>Tratamiento Farmacológico de la</w:t>
      </w:r>
      <w:r>
        <w:rPr>
          <w:spacing w:val="-11"/>
        </w:rPr>
        <w:t> </w:t>
      </w:r>
      <w:r>
        <w:rPr/>
        <w:t>epilepsia.</w:t>
      </w:r>
    </w:p>
    <w:p>
      <w:pPr>
        <w:pStyle w:val="BodyText"/>
        <w:spacing w:before="4"/>
        <w:rPr>
          <w:b/>
          <w:sz w:val="29"/>
        </w:rPr>
      </w:pPr>
    </w:p>
    <w:p>
      <w:pPr>
        <w:pStyle w:val="BodyText"/>
        <w:spacing w:line="360" w:lineRule="auto" w:before="1"/>
        <w:ind w:left="118" w:right="120"/>
        <w:jc w:val="both"/>
      </w:pPr>
      <w:r>
        <w:rPr/>
        <w:t>El manejo de la epilepsia incluye terapia con medicamentos, cirugía o estimulación del nervio vago. En el tratamiento de la epilepsia, el diagnóstico correcto es especialmente importante. El médico debe obtener los estudios apropiados y compararlos</w:t>
      </w:r>
      <w:r>
        <w:rPr>
          <w:spacing w:val="-7"/>
        </w:rPr>
        <w:t> </w:t>
      </w:r>
      <w:r>
        <w:rPr/>
        <w:t>con</w:t>
      </w:r>
      <w:r>
        <w:rPr>
          <w:spacing w:val="-6"/>
        </w:rPr>
        <w:t> </w:t>
      </w:r>
      <w:r>
        <w:rPr/>
        <w:t>una</w:t>
      </w:r>
      <w:r>
        <w:rPr>
          <w:spacing w:val="-6"/>
        </w:rPr>
        <w:t> </w:t>
      </w:r>
      <w:r>
        <w:rPr/>
        <w:t>historia</w:t>
      </w:r>
      <w:r>
        <w:rPr>
          <w:spacing w:val="-6"/>
        </w:rPr>
        <w:t> </w:t>
      </w:r>
      <w:r>
        <w:rPr/>
        <w:t>completa</w:t>
      </w:r>
      <w:r>
        <w:rPr>
          <w:spacing w:val="-6"/>
        </w:rPr>
        <w:t> </w:t>
      </w:r>
      <w:r>
        <w:rPr/>
        <w:t>por</w:t>
      </w:r>
      <w:r>
        <w:rPr>
          <w:spacing w:val="-7"/>
        </w:rPr>
        <w:t> </w:t>
      </w:r>
      <w:r>
        <w:rPr/>
        <w:t>lo</w:t>
      </w:r>
      <w:r>
        <w:rPr>
          <w:spacing w:val="-6"/>
        </w:rPr>
        <w:t> </w:t>
      </w:r>
      <w:r>
        <w:rPr/>
        <w:t>que</w:t>
      </w:r>
      <w:r>
        <w:rPr>
          <w:spacing w:val="-6"/>
        </w:rPr>
        <w:t> </w:t>
      </w:r>
      <w:r>
        <w:rPr/>
        <w:t>un</w:t>
      </w:r>
      <w:r>
        <w:rPr>
          <w:spacing w:val="-6"/>
        </w:rPr>
        <w:t> </w:t>
      </w:r>
      <w:r>
        <w:rPr/>
        <w:t>diagnóstico</w:t>
      </w:r>
      <w:r>
        <w:rPr>
          <w:spacing w:val="-8"/>
        </w:rPr>
        <w:t> </w:t>
      </w:r>
      <w:r>
        <w:rPr/>
        <w:t>puede</w:t>
      </w:r>
      <w:r>
        <w:rPr>
          <w:spacing w:val="-6"/>
        </w:rPr>
        <w:t> </w:t>
      </w:r>
      <w:r>
        <w:rPr/>
        <w:t>ser</w:t>
      </w:r>
      <w:r>
        <w:rPr>
          <w:spacing w:val="-7"/>
        </w:rPr>
        <w:t> </w:t>
      </w:r>
      <w:r>
        <w:rPr/>
        <w:t>alcanzado antes de iniciar cualquier tratamiento</w:t>
      </w:r>
      <w:r>
        <w:rPr>
          <w:spacing w:val="-8"/>
        </w:rPr>
        <w:t> </w:t>
      </w:r>
      <w:r>
        <w:rPr>
          <w:position w:val="8"/>
          <w:sz w:val="16"/>
        </w:rPr>
        <w:t>(8)</w:t>
      </w:r>
      <w:r>
        <w:rPr/>
        <w:t>.</w:t>
      </w:r>
    </w:p>
    <w:p>
      <w:pPr>
        <w:pStyle w:val="BodyText"/>
        <w:spacing w:line="360" w:lineRule="auto" w:before="198"/>
        <w:ind w:left="118" w:right="115"/>
        <w:jc w:val="both"/>
      </w:pPr>
      <w:r>
        <w:rPr/>
        <w:t>Desde</w:t>
      </w:r>
      <w:r>
        <w:rPr>
          <w:spacing w:val="-13"/>
        </w:rPr>
        <w:t> </w:t>
      </w:r>
      <w:r>
        <w:rPr/>
        <w:t>hace</w:t>
      </w:r>
      <w:r>
        <w:rPr>
          <w:spacing w:val="-13"/>
        </w:rPr>
        <w:t> </w:t>
      </w:r>
      <w:r>
        <w:rPr/>
        <w:t>2500</w:t>
      </w:r>
      <w:r>
        <w:rPr>
          <w:spacing w:val="-13"/>
        </w:rPr>
        <w:t> </w:t>
      </w:r>
      <w:r>
        <w:rPr/>
        <w:t>años</w:t>
      </w:r>
      <w:r>
        <w:rPr>
          <w:spacing w:val="-16"/>
        </w:rPr>
        <w:t> </w:t>
      </w:r>
      <w:r>
        <w:rPr/>
        <w:t>se</w:t>
      </w:r>
      <w:r>
        <w:rPr>
          <w:spacing w:val="-13"/>
        </w:rPr>
        <w:t> </w:t>
      </w:r>
      <w:r>
        <w:rPr/>
        <w:t>ha</w:t>
      </w:r>
      <w:r>
        <w:rPr>
          <w:spacing w:val="-13"/>
        </w:rPr>
        <w:t> </w:t>
      </w:r>
      <w:r>
        <w:rPr/>
        <w:t>tratado</w:t>
      </w:r>
      <w:r>
        <w:rPr>
          <w:spacing w:val="-13"/>
        </w:rPr>
        <w:t> </w:t>
      </w:r>
      <w:r>
        <w:rPr/>
        <w:t>de</w:t>
      </w:r>
      <w:r>
        <w:rPr>
          <w:spacing w:val="-16"/>
        </w:rPr>
        <w:t> </w:t>
      </w:r>
      <w:r>
        <w:rPr/>
        <w:t>encontrar</w:t>
      </w:r>
      <w:r>
        <w:rPr>
          <w:spacing w:val="-15"/>
        </w:rPr>
        <w:t> </w:t>
      </w:r>
      <w:r>
        <w:rPr/>
        <w:t>el</w:t>
      </w:r>
      <w:r>
        <w:rPr>
          <w:spacing w:val="-14"/>
        </w:rPr>
        <w:t> </w:t>
      </w:r>
      <w:r>
        <w:rPr/>
        <w:t>antiepiléptico</w:t>
      </w:r>
      <w:r>
        <w:rPr>
          <w:spacing w:val="-13"/>
        </w:rPr>
        <w:t> </w:t>
      </w:r>
      <w:r>
        <w:rPr/>
        <w:t>ideal,</w:t>
      </w:r>
      <w:r>
        <w:rPr>
          <w:spacing w:val="-14"/>
        </w:rPr>
        <w:t> </w:t>
      </w:r>
      <w:r>
        <w:rPr/>
        <w:t>es</w:t>
      </w:r>
      <w:r>
        <w:rPr>
          <w:spacing w:val="-14"/>
        </w:rPr>
        <w:t> </w:t>
      </w:r>
      <w:r>
        <w:rPr/>
        <w:t>decir</w:t>
      </w:r>
      <w:r>
        <w:rPr>
          <w:spacing w:val="-15"/>
        </w:rPr>
        <w:t> </w:t>
      </w:r>
      <w:r>
        <w:rPr/>
        <w:t>aquel fármaco que sea eficaz (posibilidad de obtener libertad de crisis o al menos buena respuesta es decir una disminución en un 50% en la frecuencia de crisis o de cada tipo de crisis), efectivo (óptima relación entre eficacia y tolerabilidad/seguridad; la tolerabilidad</w:t>
      </w:r>
      <w:r>
        <w:rPr>
          <w:spacing w:val="-8"/>
        </w:rPr>
        <w:t> </w:t>
      </w:r>
      <w:r>
        <w:rPr/>
        <w:t>está</w:t>
      </w:r>
      <w:r>
        <w:rPr>
          <w:spacing w:val="-8"/>
        </w:rPr>
        <w:t> </w:t>
      </w:r>
      <w:r>
        <w:rPr/>
        <w:t>relacionada</w:t>
      </w:r>
      <w:r>
        <w:rPr>
          <w:spacing w:val="-8"/>
        </w:rPr>
        <w:t> </w:t>
      </w:r>
      <w:r>
        <w:rPr/>
        <w:t>con</w:t>
      </w:r>
      <w:r>
        <w:rPr>
          <w:spacing w:val="-11"/>
        </w:rPr>
        <w:t> </w:t>
      </w:r>
      <w:r>
        <w:rPr/>
        <w:t>mínimos</w:t>
      </w:r>
      <w:r>
        <w:rPr>
          <w:spacing w:val="-9"/>
        </w:rPr>
        <w:t> </w:t>
      </w:r>
      <w:r>
        <w:rPr/>
        <w:t>efectos</w:t>
      </w:r>
      <w:r>
        <w:rPr>
          <w:spacing w:val="-9"/>
        </w:rPr>
        <w:t> </w:t>
      </w:r>
      <w:r>
        <w:rPr/>
        <w:t>colaterales</w:t>
      </w:r>
      <w:r>
        <w:rPr>
          <w:spacing w:val="-9"/>
        </w:rPr>
        <w:t> </w:t>
      </w:r>
      <w:r>
        <w:rPr/>
        <w:t>y</w:t>
      </w:r>
      <w:r>
        <w:rPr>
          <w:spacing w:val="-9"/>
        </w:rPr>
        <w:t> </w:t>
      </w:r>
      <w:r>
        <w:rPr/>
        <w:t>teratogenicidad</w:t>
      </w:r>
      <w:r>
        <w:rPr>
          <w:spacing w:val="-5"/>
        </w:rPr>
        <w:t> </w:t>
      </w:r>
      <w:r>
        <w:rPr/>
        <w:t>),</w:t>
      </w:r>
      <w:r>
        <w:rPr>
          <w:spacing w:val="-9"/>
        </w:rPr>
        <w:t> </w:t>
      </w:r>
      <w:r>
        <w:rPr/>
        <w:t>con un adecuado perfil farmacocinético (buena disponibilidad relacionada con una adecuada absorción, sin unión a proteínas plasmáticas ni metabolismo hepático, lo cual disminuye la posibilidad de interacción farmacológica), de fácil administración (1 a 2 veces al día, de liberación prolongada) y más recientemente, con efecto antiepileptogénico</w:t>
      </w:r>
      <w:r>
        <w:rPr>
          <w:spacing w:val="-6"/>
        </w:rPr>
        <w:t> </w:t>
      </w:r>
      <w:r>
        <w:rPr>
          <w:position w:val="8"/>
          <w:sz w:val="16"/>
        </w:rPr>
        <w:t>(3)</w:t>
      </w:r>
      <w:r>
        <w:rPr/>
        <w:t>.</w:t>
      </w:r>
    </w:p>
    <w:p>
      <w:pPr>
        <w:pStyle w:val="BodyText"/>
        <w:spacing w:line="360" w:lineRule="auto" w:before="201"/>
        <w:ind w:left="118" w:right="115"/>
        <w:jc w:val="both"/>
      </w:pPr>
      <w:r>
        <w:rPr>
          <w:spacing w:val="-5"/>
        </w:rPr>
        <w:t>Varios </w:t>
      </w:r>
      <w:r>
        <w:rPr>
          <w:spacing w:val="-4"/>
        </w:rPr>
        <w:t>fármacos </w:t>
      </w:r>
      <w:r>
        <w:rPr>
          <w:spacing w:val="-5"/>
        </w:rPr>
        <w:t>antiepilépticos </w:t>
      </w:r>
      <w:r>
        <w:rPr>
          <w:spacing w:val="-3"/>
        </w:rPr>
        <w:t>se </w:t>
      </w:r>
      <w:r>
        <w:rPr>
          <w:spacing w:val="-4"/>
        </w:rPr>
        <w:t>pueden utilizar como </w:t>
      </w:r>
      <w:r>
        <w:rPr/>
        <w:t>el </w:t>
      </w:r>
      <w:r>
        <w:rPr>
          <w:spacing w:val="-4"/>
        </w:rPr>
        <w:t>primer fármaco </w:t>
      </w:r>
      <w:r>
        <w:rPr/>
        <w:t>en el </w:t>
      </w:r>
      <w:r>
        <w:rPr>
          <w:spacing w:val="-5"/>
        </w:rPr>
        <w:t>tratamiento </w:t>
      </w:r>
      <w:r>
        <w:rPr/>
        <w:t>de </w:t>
      </w:r>
      <w:r>
        <w:rPr>
          <w:spacing w:val="-4"/>
        </w:rPr>
        <w:t>trastornos epilépticos. </w:t>
      </w:r>
      <w:r>
        <w:rPr>
          <w:spacing w:val="-3"/>
        </w:rPr>
        <w:t>No </w:t>
      </w:r>
      <w:r>
        <w:rPr>
          <w:spacing w:val="-2"/>
        </w:rPr>
        <w:t>hay </w:t>
      </w:r>
      <w:r>
        <w:rPr>
          <w:spacing w:val="-4"/>
        </w:rPr>
        <w:t>directrices definitivas. </w:t>
      </w:r>
      <w:r>
        <w:rPr>
          <w:spacing w:val="-3"/>
        </w:rPr>
        <w:t>Los </w:t>
      </w:r>
      <w:r>
        <w:rPr>
          <w:spacing w:val="-5"/>
        </w:rPr>
        <w:t>Fármacos Antiepilépticos </w:t>
      </w:r>
      <w:r>
        <w:rPr>
          <w:spacing w:val="-4"/>
        </w:rPr>
        <w:t>(FAE) </w:t>
      </w:r>
      <w:r>
        <w:rPr/>
        <w:t>se </w:t>
      </w:r>
      <w:r>
        <w:rPr>
          <w:spacing w:val="-5"/>
        </w:rPr>
        <w:t>seleccionan </w:t>
      </w:r>
      <w:r>
        <w:rPr>
          <w:spacing w:val="-4"/>
        </w:rPr>
        <w:t>basándose </w:t>
      </w:r>
      <w:r>
        <w:rPr/>
        <w:t>en </w:t>
      </w:r>
      <w:r>
        <w:rPr>
          <w:spacing w:val="-4"/>
        </w:rPr>
        <w:t>las </w:t>
      </w:r>
      <w:r>
        <w:rPr/>
        <w:t>características mencionadas, al tipo de crisis, síndrome, edad, medicamentos concomitantes y de acuerdo a las características individuales de los pacientes se realiza la elección del antiepiléptico más adecuado </w:t>
      </w:r>
      <w:r>
        <w:rPr>
          <w:position w:val="8"/>
          <w:sz w:val="16"/>
        </w:rPr>
        <w:t>(17)</w:t>
      </w:r>
      <w:r>
        <w:rPr/>
        <w:t>.</w:t>
      </w:r>
    </w:p>
    <w:p>
      <w:pPr>
        <w:pStyle w:val="BodyText"/>
        <w:spacing w:line="360" w:lineRule="auto" w:before="200"/>
        <w:ind w:left="118" w:right="161"/>
        <w:jc w:val="both"/>
      </w:pPr>
      <w:r>
        <w:rPr>
          <w:spacing w:val="-3"/>
        </w:rPr>
        <w:t>El </w:t>
      </w:r>
      <w:r>
        <w:rPr>
          <w:spacing w:val="-4"/>
        </w:rPr>
        <w:t>tratamiento </w:t>
      </w:r>
      <w:r>
        <w:rPr>
          <w:spacing w:val="-3"/>
        </w:rPr>
        <w:t>con </w:t>
      </w:r>
      <w:r>
        <w:rPr>
          <w:spacing w:val="-4"/>
        </w:rPr>
        <w:t>medicamentos generalmente </w:t>
      </w:r>
      <w:r>
        <w:rPr>
          <w:spacing w:val="-3"/>
        </w:rPr>
        <w:t>se </w:t>
      </w:r>
      <w:r>
        <w:rPr>
          <w:spacing w:val="-4"/>
        </w:rPr>
        <w:t>centra </w:t>
      </w:r>
      <w:r>
        <w:rPr/>
        <w:t>en el </w:t>
      </w:r>
      <w:r>
        <w:rPr>
          <w:spacing w:val="-3"/>
        </w:rPr>
        <w:t>uso </w:t>
      </w:r>
      <w:r>
        <w:rPr/>
        <w:t>de </w:t>
      </w:r>
      <w:r>
        <w:rPr>
          <w:spacing w:val="-3"/>
        </w:rPr>
        <w:t>una </w:t>
      </w:r>
      <w:r>
        <w:rPr>
          <w:spacing w:val="-4"/>
        </w:rPr>
        <w:t>dosis adecuada </w:t>
      </w:r>
      <w:r>
        <w:rPr/>
        <w:t>de un </w:t>
      </w:r>
      <w:r>
        <w:rPr>
          <w:spacing w:val="-4"/>
        </w:rPr>
        <w:t>solo medicamento </w:t>
      </w:r>
      <w:r>
        <w:rPr/>
        <w:t>en </w:t>
      </w:r>
      <w:r>
        <w:rPr>
          <w:spacing w:val="-4"/>
        </w:rPr>
        <w:t>lugar </w:t>
      </w:r>
      <w:r>
        <w:rPr/>
        <w:t>de </w:t>
      </w:r>
      <w:r>
        <w:rPr>
          <w:spacing w:val="-4"/>
        </w:rPr>
        <w:t>dosis </w:t>
      </w:r>
      <w:r>
        <w:rPr>
          <w:spacing w:val="-3"/>
        </w:rPr>
        <w:t>más </w:t>
      </w:r>
      <w:r>
        <w:rPr>
          <w:spacing w:val="-4"/>
        </w:rPr>
        <w:t>pequeñas </w:t>
      </w:r>
      <w:r>
        <w:rPr/>
        <w:t>de </w:t>
      </w:r>
      <w:r>
        <w:rPr>
          <w:spacing w:val="-4"/>
        </w:rPr>
        <w:t>varios </w:t>
      </w:r>
      <w:r>
        <w:rPr>
          <w:spacing w:val="-5"/>
        </w:rPr>
        <w:t>medicamentos.</w:t>
      </w:r>
      <w:r>
        <w:rPr>
          <w:spacing w:val="-11"/>
        </w:rPr>
        <w:t> </w:t>
      </w:r>
      <w:r>
        <w:rPr/>
        <w:t>La</w:t>
      </w:r>
      <w:r>
        <w:rPr>
          <w:spacing w:val="-12"/>
        </w:rPr>
        <w:t> </w:t>
      </w:r>
      <w:r>
        <w:rPr>
          <w:spacing w:val="-3"/>
        </w:rPr>
        <w:t>mono</w:t>
      </w:r>
      <w:r>
        <w:rPr>
          <w:spacing w:val="-12"/>
        </w:rPr>
        <w:t> </w:t>
      </w:r>
      <w:r>
        <w:rPr>
          <w:spacing w:val="-5"/>
        </w:rPr>
        <w:t>terapia</w:t>
      </w:r>
      <w:r>
        <w:rPr>
          <w:spacing w:val="-12"/>
        </w:rPr>
        <w:t> </w:t>
      </w:r>
      <w:r>
        <w:rPr/>
        <w:t>es</w:t>
      </w:r>
      <w:r>
        <w:rPr>
          <w:spacing w:val="-13"/>
        </w:rPr>
        <w:t> </w:t>
      </w:r>
      <w:r>
        <w:rPr>
          <w:spacing w:val="-3"/>
        </w:rPr>
        <w:t>la</w:t>
      </w:r>
      <w:r>
        <w:rPr>
          <w:spacing w:val="-12"/>
        </w:rPr>
        <w:t> </w:t>
      </w:r>
      <w:r>
        <w:rPr>
          <w:spacing w:val="-4"/>
        </w:rPr>
        <w:t>meta</w:t>
      </w:r>
      <w:r>
        <w:rPr>
          <w:spacing w:val="-12"/>
        </w:rPr>
        <w:t> </w:t>
      </w:r>
      <w:r>
        <w:rPr>
          <w:spacing w:val="-3"/>
        </w:rPr>
        <w:t>para</w:t>
      </w:r>
      <w:r>
        <w:rPr>
          <w:spacing w:val="-12"/>
        </w:rPr>
        <w:t> </w:t>
      </w:r>
      <w:r>
        <w:rPr>
          <w:spacing w:val="-3"/>
        </w:rPr>
        <w:t>la</w:t>
      </w:r>
      <w:r>
        <w:rPr>
          <w:spacing w:val="-12"/>
        </w:rPr>
        <w:t> </w:t>
      </w:r>
      <w:r>
        <w:rPr>
          <w:spacing w:val="-5"/>
        </w:rPr>
        <w:t>mayoría</w:t>
      </w:r>
      <w:r>
        <w:rPr>
          <w:spacing w:val="-12"/>
        </w:rPr>
        <w:t> </w:t>
      </w:r>
      <w:r>
        <w:rPr/>
        <w:t>de</w:t>
      </w:r>
      <w:r>
        <w:rPr>
          <w:spacing w:val="-12"/>
        </w:rPr>
        <w:t> </w:t>
      </w:r>
      <w:r>
        <w:rPr>
          <w:spacing w:val="-4"/>
        </w:rPr>
        <w:t>los</w:t>
      </w:r>
      <w:r>
        <w:rPr>
          <w:spacing w:val="-13"/>
        </w:rPr>
        <w:t> </w:t>
      </w:r>
      <w:r>
        <w:rPr>
          <w:spacing w:val="-4"/>
        </w:rPr>
        <w:t>pacientes</w:t>
      </w:r>
      <w:r>
        <w:rPr>
          <w:spacing w:val="-13"/>
        </w:rPr>
        <w:t> </w:t>
      </w:r>
      <w:r>
        <w:rPr>
          <w:spacing w:val="-4"/>
        </w:rPr>
        <w:t>debido</w:t>
      </w:r>
      <w:r>
        <w:rPr>
          <w:spacing w:val="-12"/>
        </w:rPr>
        <w:t> </w:t>
      </w:r>
      <w:r>
        <w:rPr/>
        <w:t>a</w:t>
      </w:r>
      <w:r>
        <w:rPr>
          <w:spacing w:val="-12"/>
        </w:rPr>
        <w:t> </w:t>
      </w:r>
      <w:r>
        <w:rPr>
          <w:spacing w:val="-4"/>
        </w:rPr>
        <w:t>los beneficios </w:t>
      </w:r>
      <w:r>
        <w:rPr/>
        <w:t>de un </w:t>
      </w:r>
      <w:r>
        <w:rPr>
          <w:spacing w:val="-3"/>
        </w:rPr>
        <w:t>mejor </w:t>
      </w:r>
      <w:r>
        <w:rPr>
          <w:spacing w:val="-5"/>
        </w:rPr>
        <w:t>cumplimiento </w:t>
      </w:r>
      <w:r>
        <w:rPr/>
        <w:t>de </w:t>
      </w:r>
      <w:r>
        <w:rPr>
          <w:spacing w:val="-4"/>
        </w:rPr>
        <w:t>drogas, reducción </w:t>
      </w:r>
      <w:r>
        <w:rPr/>
        <w:t>de </w:t>
      </w:r>
      <w:r>
        <w:rPr>
          <w:spacing w:val="-4"/>
        </w:rPr>
        <w:t>costo </w:t>
      </w:r>
      <w:r>
        <w:rPr/>
        <w:t>de </w:t>
      </w:r>
      <w:r>
        <w:rPr>
          <w:spacing w:val="-3"/>
        </w:rPr>
        <w:t>las </w:t>
      </w:r>
      <w:r>
        <w:rPr>
          <w:spacing w:val="-4"/>
        </w:rPr>
        <w:t>evaluaciones </w:t>
      </w:r>
      <w:r>
        <w:rPr/>
        <w:t>de </w:t>
      </w:r>
      <w:r>
        <w:rPr>
          <w:spacing w:val="-3"/>
        </w:rPr>
        <w:t>la </w:t>
      </w:r>
      <w:r>
        <w:rPr>
          <w:spacing w:val="-5"/>
        </w:rPr>
        <w:t>medicación </w:t>
      </w:r>
      <w:r>
        <w:rPr/>
        <w:t>y de </w:t>
      </w:r>
      <w:r>
        <w:rPr>
          <w:spacing w:val="-4"/>
        </w:rPr>
        <w:t>laboratorio, menor riesgo </w:t>
      </w:r>
      <w:r>
        <w:rPr/>
        <w:t>de </w:t>
      </w:r>
      <w:r>
        <w:rPr>
          <w:spacing w:val="-4"/>
        </w:rPr>
        <w:t>efectos </w:t>
      </w:r>
      <w:r>
        <w:rPr>
          <w:spacing w:val="-5"/>
        </w:rPr>
        <w:t>adversos, </w:t>
      </w:r>
      <w:r>
        <w:rPr/>
        <w:t>y </w:t>
      </w:r>
      <w:r>
        <w:rPr>
          <w:spacing w:val="-3"/>
        </w:rPr>
        <w:t>la </w:t>
      </w:r>
      <w:r>
        <w:rPr>
          <w:spacing w:val="-4"/>
        </w:rPr>
        <w:t>reducción de las </w:t>
      </w:r>
      <w:r>
        <w:rPr>
          <w:spacing w:val="-5"/>
        </w:rPr>
        <w:t>interacciones </w:t>
      </w:r>
      <w:r>
        <w:rPr>
          <w:spacing w:val="-4"/>
        </w:rPr>
        <w:t>entre medicamentos</w:t>
      </w:r>
      <w:r>
        <w:rPr/>
        <w:t> </w:t>
      </w:r>
      <w:r>
        <w:rPr>
          <w:spacing w:val="-5"/>
          <w:position w:val="8"/>
          <w:sz w:val="16"/>
        </w:rPr>
        <w:t>(21)</w:t>
      </w:r>
      <w:r>
        <w:rPr>
          <w:spacing w:val="-5"/>
        </w:rPr>
        <w:t>.</w:t>
      </w:r>
    </w:p>
    <w:p>
      <w:pPr>
        <w:spacing w:after="0" w:line="360" w:lineRule="auto"/>
        <w:jc w:val="both"/>
        <w:sectPr>
          <w:pgSz w:w="12240" w:h="15840"/>
          <w:pgMar w:header="749" w:footer="1003" w:top="960" w:bottom="1200" w:left="1300" w:right="1580"/>
        </w:sectPr>
      </w:pPr>
    </w:p>
    <w:p>
      <w:pPr>
        <w:pStyle w:val="BodyText"/>
        <w:rPr>
          <w:sz w:val="20"/>
        </w:rPr>
      </w:pPr>
    </w:p>
    <w:p>
      <w:pPr>
        <w:pStyle w:val="BodyText"/>
        <w:rPr>
          <w:sz w:val="20"/>
        </w:rPr>
      </w:pPr>
    </w:p>
    <w:p>
      <w:pPr>
        <w:pStyle w:val="BodyText"/>
        <w:spacing w:before="5"/>
        <w:rPr>
          <w:sz w:val="17"/>
        </w:rPr>
      </w:pPr>
    </w:p>
    <w:p>
      <w:pPr>
        <w:pStyle w:val="BodyText"/>
        <w:spacing w:line="360" w:lineRule="auto" w:before="70"/>
        <w:ind w:left="118" w:right="269"/>
        <w:jc w:val="both"/>
      </w:pPr>
      <w:r>
        <w:rPr/>
        <w:t>Típicamente, se utiliza un esquema con una terapia farmacológica con seis opciones de antiepilépticos. Estos medicamentos son el fenobarbital, fenitoína, benzodiazepinas, carbamazepina, etosuximida, y ácido valproico. Sin embargo, el número de nuevos medicamentos disponibles ha aumentado constantemente en los últimos años </w:t>
      </w:r>
      <w:r>
        <w:rPr>
          <w:position w:val="8"/>
          <w:sz w:val="16"/>
        </w:rPr>
        <w:t>(8)</w:t>
      </w:r>
      <w:r>
        <w:rPr/>
        <w:t>.</w:t>
      </w:r>
    </w:p>
    <w:p>
      <w:pPr>
        <w:pStyle w:val="BodyText"/>
        <w:spacing w:line="360" w:lineRule="auto" w:before="200"/>
        <w:ind w:left="118" w:right="117"/>
        <w:jc w:val="both"/>
      </w:pPr>
      <w:r>
        <w:rPr>
          <w:spacing w:val="-3"/>
        </w:rPr>
        <w:t>En</w:t>
      </w:r>
      <w:r>
        <w:rPr>
          <w:spacing w:val="-17"/>
        </w:rPr>
        <w:t> </w:t>
      </w:r>
      <w:r>
        <w:rPr>
          <w:spacing w:val="-3"/>
        </w:rPr>
        <w:t>la</w:t>
      </w:r>
      <w:r>
        <w:rPr>
          <w:spacing w:val="-17"/>
        </w:rPr>
        <w:t> </w:t>
      </w:r>
      <w:r>
        <w:rPr>
          <w:spacing w:val="-4"/>
        </w:rPr>
        <w:t>actualidad,</w:t>
      </w:r>
      <w:r>
        <w:rPr>
          <w:spacing w:val="-15"/>
        </w:rPr>
        <w:t> </w:t>
      </w:r>
      <w:r>
        <w:rPr/>
        <w:t>19</w:t>
      </w:r>
      <w:r>
        <w:rPr>
          <w:spacing w:val="-17"/>
        </w:rPr>
        <w:t> </w:t>
      </w:r>
      <w:r>
        <w:rPr>
          <w:spacing w:val="-4"/>
        </w:rPr>
        <w:t>medicamentos</w:t>
      </w:r>
      <w:r>
        <w:rPr>
          <w:spacing w:val="-18"/>
        </w:rPr>
        <w:t> </w:t>
      </w:r>
      <w:r>
        <w:rPr>
          <w:spacing w:val="-3"/>
        </w:rPr>
        <w:t>han</w:t>
      </w:r>
      <w:r>
        <w:rPr>
          <w:spacing w:val="-14"/>
        </w:rPr>
        <w:t> </w:t>
      </w:r>
      <w:r>
        <w:rPr>
          <w:spacing w:val="-4"/>
        </w:rPr>
        <w:t>sido</w:t>
      </w:r>
      <w:r>
        <w:rPr>
          <w:spacing w:val="-17"/>
        </w:rPr>
        <w:t> </w:t>
      </w:r>
      <w:r>
        <w:rPr>
          <w:spacing w:val="-4"/>
        </w:rPr>
        <w:t>aprobados</w:t>
      </w:r>
      <w:r>
        <w:rPr>
          <w:spacing w:val="-18"/>
        </w:rPr>
        <w:t> </w:t>
      </w:r>
      <w:r>
        <w:rPr>
          <w:spacing w:val="-2"/>
        </w:rPr>
        <w:t>por</w:t>
      </w:r>
      <w:r>
        <w:rPr>
          <w:spacing w:val="-20"/>
        </w:rPr>
        <w:t> </w:t>
      </w:r>
      <w:r>
        <w:rPr>
          <w:spacing w:val="-3"/>
        </w:rPr>
        <w:t>la</w:t>
      </w:r>
      <w:r>
        <w:rPr>
          <w:spacing w:val="-15"/>
        </w:rPr>
        <w:t> </w:t>
      </w:r>
      <w:r>
        <w:rPr>
          <w:spacing w:val="-5"/>
        </w:rPr>
        <w:t>Administración</w:t>
      </w:r>
      <w:r>
        <w:rPr>
          <w:spacing w:val="-15"/>
        </w:rPr>
        <w:t> </w:t>
      </w:r>
      <w:r>
        <w:rPr/>
        <w:t>de</w:t>
      </w:r>
      <w:r>
        <w:rPr>
          <w:spacing w:val="-17"/>
        </w:rPr>
        <w:t> </w:t>
      </w:r>
      <w:r>
        <w:rPr>
          <w:spacing w:val="-4"/>
        </w:rPr>
        <w:t>Alimentos </w:t>
      </w:r>
      <w:r>
        <w:rPr/>
        <w:t>y</w:t>
      </w:r>
      <w:r>
        <w:rPr>
          <w:spacing w:val="-25"/>
        </w:rPr>
        <w:t> </w:t>
      </w:r>
      <w:r>
        <w:rPr>
          <w:spacing w:val="-4"/>
        </w:rPr>
        <w:t>Medicamentos</w:t>
      </w:r>
      <w:r>
        <w:rPr>
          <w:spacing w:val="-23"/>
        </w:rPr>
        <w:t> </w:t>
      </w:r>
      <w:r>
        <w:rPr>
          <w:spacing w:val="-4"/>
        </w:rPr>
        <w:t>(FDA)</w:t>
      </w:r>
      <w:r>
        <w:rPr>
          <w:spacing w:val="-21"/>
        </w:rPr>
        <w:t> </w:t>
      </w:r>
      <w:r>
        <w:rPr>
          <w:spacing w:val="-4"/>
        </w:rPr>
        <w:t>para</w:t>
      </w:r>
      <w:r>
        <w:rPr>
          <w:spacing w:val="-24"/>
        </w:rPr>
        <w:t> </w:t>
      </w:r>
      <w:r>
        <w:rPr>
          <w:spacing w:val="-3"/>
        </w:rPr>
        <w:t>su</w:t>
      </w:r>
      <w:r>
        <w:rPr>
          <w:spacing w:val="-24"/>
        </w:rPr>
        <w:t> </w:t>
      </w:r>
      <w:r>
        <w:rPr>
          <w:spacing w:val="-3"/>
        </w:rPr>
        <w:t>uso</w:t>
      </w:r>
      <w:r>
        <w:rPr>
          <w:spacing w:val="-22"/>
        </w:rPr>
        <w:t> </w:t>
      </w:r>
      <w:r>
        <w:rPr/>
        <w:t>en</w:t>
      </w:r>
      <w:r>
        <w:rPr>
          <w:spacing w:val="-24"/>
        </w:rPr>
        <w:t> </w:t>
      </w:r>
      <w:r>
        <w:rPr/>
        <w:t>el</w:t>
      </w:r>
      <w:r>
        <w:rPr>
          <w:spacing w:val="-23"/>
        </w:rPr>
        <w:t> </w:t>
      </w:r>
      <w:r>
        <w:rPr>
          <w:spacing w:val="-4"/>
        </w:rPr>
        <w:t>tratamiento</w:t>
      </w:r>
      <w:r>
        <w:rPr>
          <w:spacing w:val="-24"/>
        </w:rPr>
        <w:t> </w:t>
      </w:r>
      <w:r>
        <w:rPr/>
        <w:t>de</w:t>
      </w:r>
      <w:r>
        <w:rPr>
          <w:spacing w:val="-24"/>
        </w:rPr>
        <w:t> </w:t>
      </w:r>
      <w:r>
        <w:rPr>
          <w:spacing w:val="-3"/>
        </w:rPr>
        <w:t>las</w:t>
      </w:r>
      <w:r>
        <w:rPr>
          <w:spacing w:val="-25"/>
        </w:rPr>
        <w:t> </w:t>
      </w:r>
      <w:r>
        <w:rPr>
          <w:spacing w:val="-4"/>
        </w:rPr>
        <w:t>crisis</w:t>
      </w:r>
      <w:r>
        <w:rPr>
          <w:spacing w:val="-25"/>
        </w:rPr>
        <w:t> </w:t>
      </w:r>
      <w:r>
        <w:rPr>
          <w:spacing w:val="-4"/>
        </w:rPr>
        <w:t>epilépticas</w:t>
      </w:r>
      <w:r>
        <w:rPr>
          <w:spacing w:val="-25"/>
        </w:rPr>
        <w:t> </w:t>
      </w:r>
      <w:r>
        <w:rPr/>
        <w:t>en</w:t>
      </w:r>
      <w:r>
        <w:rPr>
          <w:spacing w:val="-22"/>
        </w:rPr>
        <w:t> </w:t>
      </w:r>
      <w:r>
        <w:rPr>
          <w:spacing w:val="-4"/>
        </w:rPr>
        <w:t>los</w:t>
      </w:r>
      <w:r>
        <w:rPr>
          <w:spacing w:val="-23"/>
        </w:rPr>
        <w:t> </w:t>
      </w:r>
      <w:r>
        <w:rPr>
          <w:spacing w:val="-4"/>
        </w:rPr>
        <w:t>Estados </w:t>
      </w:r>
      <w:r>
        <w:rPr>
          <w:spacing w:val="-5"/>
        </w:rPr>
        <w:t>Unidos: </w:t>
      </w:r>
      <w:r>
        <w:rPr>
          <w:spacing w:val="-4"/>
        </w:rPr>
        <w:t>carbamazepina, </w:t>
      </w:r>
      <w:r>
        <w:rPr>
          <w:spacing w:val="-5"/>
        </w:rPr>
        <w:t>clorazepato, </w:t>
      </w:r>
      <w:r>
        <w:rPr>
          <w:spacing w:val="-4"/>
        </w:rPr>
        <w:t>clonazepam, </w:t>
      </w:r>
      <w:r>
        <w:rPr>
          <w:spacing w:val="-5"/>
        </w:rPr>
        <w:t>etosuximida, </w:t>
      </w:r>
      <w:r>
        <w:rPr>
          <w:spacing w:val="-4"/>
        </w:rPr>
        <w:t>felbamato, fos-fenitoína,</w:t>
      </w:r>
      <w:r>
        <w:rPr>
          <w:spacing w:val="58"/>
        </w:rPr>
        <w:t> </w:t>
      </w:r>
      <w:r>
        <w:rPr>
          <w:spacing w:val="-4"/>
        </w:rPr>
        <w:t>gabapentina,</w:t>
      </w:r>
      <w:r>
        <w:rPr>
          <w:spacing w:val="58"/>
        </w:rPr>
        <w:t> </w:t>
      </w:r>
      <w:r>
        <w:rPr>
          <w:spacing w:val="-4"/>
        </w:rPr>
        <w:t>lamotrigina,</w:t>
      </w:r>
      <w:r>
        <w:rPr>
          <w:spacing w:val="58"/>
        </w:rPr>
        <w:t> </w:t>
      </w:r>
      <w:r>
        <w:rPr>
          <w:spacing w:val="-5"/>
        </w:rPr>
        <w:t>levetiracetam, oxcarbazepina, </w:t>
      </w:r>
      <w:r>
        <w:rPr>
          <w:spacing w:val="-4"/>
        </w:rPr>
        <w:t>fenobarbital,</w:t>
      </w:r>
      <w:r>
        <w:rPr>
          <w:spacing w:val="58"/>
        </w:rPr>
        <w:t> </w:t>
      </w:r>
      <w:r>
        <w:rPr>
          <w:spacing w:val="-4"/>
        </w:rPr>
        <w:t>fenitoína</w:t>
      </w:r>
      <w:r>
        <w:rPr>
          <w:spacing w:val="58"/>
        </w:rPr>
        <w:t> </w:t>
      </w:r>
      <w:r>
        <w:rPr/>
        <w:t>, </w:t>
      </w:r>
      <w:r>
        <w:rPr>
          <w:spacing w:val="-5"/>
        </w:rPr>
        <w:t>pregabalina, </w:t>
      </w:r>
      <w:r>
        <w:rPr>
          <w:spacing w:val="-4"/>
        </w:rPr>
        <w:t>primidona, </w:t>
      </w:r>
      <w:r>
        <w:rPr>
          <w:spacing w:val="-5"/>
        </w:rPr>
        <w:t>tiagabin, </w:t>
      </w:r>
      <w:r>
        <w:rPr>
          <w:spacing w:val="-4"/>
        </w:rPr>
        <w:t>topiramato, </w:t>
      </w:r>
      <w:r>
        <w:rPr>
          <w:spacing w:val="-5"/>
        </w:rPr>
        <w:t>valproato </w:t>
      </w:r>
      <w:r>
        <w:rPr>
          <w:spacing w:val="-4"/>
        </w:rPr>
        <w:t>semisódico, ácido </w:t>
      </w:r>
      <w:r>
        <w:rPr>
          <w:spacing w:val="-5"/>
        </w:rPr>
        <w:t>valproico, </w:t>
      </w:r>
      <w:r>
        <w:rPr/>
        <w:t>y </w:t>
      </w:r>
      <w:r>
        <w:rPr>
          <w:spacing w:val="-5"/>
        </w:rPr>
        <w:t>zonisamida. </w:t>
      </w:r>
      <w:r>
        <w:rPr/>
        <w:t>La mayoría de éstos aparecieron después de 1990</w:t>
      </w:r>
      <w:r>
        <w:rPr>
          <w:spacing w:val="-8"/>
        </w:rPr>
        <w:t> </w:t>
      </w:r>
      <w:r>
        <w:rPr>
          <w:position w:val="8"/>
          <w:sz w:val="16"/>
        </w:rPr>
        <w:t>(22)</w:t>
      </w:r>
      <w:r>
        <w:rPr/>
        <w:t>.</w:t>
      </w:r>
    </w:p>
    <w:p>
      <w:pPr>
        <w:pStyle w:val="BodyText"/>
        <w:rPr>
          <w:sz w:val="36"/>
        </w:rPr>
      </w:pPr>
    </w:p>
    <w:p>
      <w:pPr>
        <w:pStyle w:val="BodyText"/>
        <w:spacing w:line="360" w:lineRule="auto"/>
        <w:ind w:left="118" w:right="125"/>
        <w:jc w:val="both"/>
      </w:pPr>
      <w:r>
        <w:rPr/>
        <w:t>El objetivo de la terapia farmacológica es, obviamente, para controlar la actividad convulsiva y reducir al mínimo los efectos adversos de los medicamentos antiepilépticos.</w:t>
      </w:r>
      <w:r>
        <w:rPr>
          <w:spacing w:val="-13"/>
        </w:rPr>
        <w:t> </w:t>
      </w:r>
      <w:r>
        <w:rPr/>
        <w:t>Este</w:t>
      </w:r>
      <w:r>
        <w:rPr>
          <w:spacing w:val="-12"/>
        </w:rPr>
        <w:t> </w:t>
      </w:r>
      <w:r>
        <w:rPr/>
        <w:t>objetivo</w:t>
      </w:r>
      <w:r>
        <w:rPr>
          <w:spacing w:val="-12"/>
        </w:rPr>
        <w:t> </w:t>
      </w:r>
      <w:r>
        <w:rPr/>
        <w:t>se</w:t>
      </w:r>
      <w:r>
        <w:rPr>
          <w:spacing w:val="-12"/>
        </w:rPr>
        <w:t> </w:t>
      </w:r>
      <w:r>
        <w:rPr/>
        <w:t>puede</w:t>
      </w:r>
      <w:r>
        <w:rPr>
          <w:spacing w:val="-12"/>
        </w:rPr>
        <w:t> </w:t>
      </w:r>
      <w:r>
        <w:rPr/>
        <w:t>lograr</w:t>
      </w:r>
      <w:r>
        <w:rPr>
          <w:spacing w:val="-15"/>
        </w:rPr>
        <w:t> </w:t>
      </w:r>
      <w:r>
        <w:rPr/>
        <w:t>en</w:t>
      </w:r>
      <w:r>
        <w:rPr>
          <w:spacing w:val="-12"/>
        </w:rPr>
        <w:t> </w:t>
      </w:r>
      <w:r>
        <w:rPr/>
        <w:t>aproximadamente</w:t>
      </w:r>
      <w:r>
        <w:rPr>
          <w:spacing w:val="-14"/>
        </w:rPr>
        <w:t> </w:t>
      </w:r>
      <w:r>
        <w:rPr/>
        <w:t>el</w:t>
      </w:r>
      <w:r>
        <w:rPr>
          <w:spacing w:val="-13"/>
        </w:rPr>
        <w:t> </w:t>
      </w:r>
      <w:r>
        <w:rPr/>
        <w:t>70%</w:t>
      </w:r>
      <w:r>
        <w:rPr>
          <w:spacing w:val="-12"/>
        </w:rPr>
        <w:t> </w:t>
      </w:r>
      <w:r>
        <w:rPr/>
        <w:t>a</w:t>
      </w:r>
      <w:r>
        <w:rPr>
          <w:spacing w:val="-14"/>
        </w:rPr>
        <w:t> </w:t>
      </w:r>
      <w:r>
        <w:rPr/>
        <w:t>75%</w:t>
      </w:r>
      <w:r>
        <w:rPr>
          <w:spacing w:val="-12"/>
        </w:rPr>
        <w:t> </w:t>
      </w:r>
      <w:r>
        <w:rPr/>
        <w:t>de</w:t>
      </w:r>
      <w:r>
        <w:rPr>
          <w:spacing w:val="-12"/>
        </w:rPr>
        <w:t> </w:t>
      </w:r>
      <w:r>
        <w:rPr/>
        <w:t>los pacientes con epilepsia. La mayoría de los pacientes se controlan con eficacia con un solo medicamento antiepiléptico. Un pequeño porcentaje de los pacientes requerirán una segunda medicación antiepiléptica añadido al régimen</w:t>
      </w:r>
      <w:r>
        <w:rPr>
          <w:spacing w:val="-21"/>
        </w:rPr>
        <w:t> </w:t>
      </w:r>
      <w:r>
        <w:rPr>
          <w:position w:val="8"/>
          <w:sz w:val="16"/>
        </w:rPr>
        <w:t>(8)</w:t>
      </w:r>
      <w:r>
        <w:rPr/>
        <w:t>.</w:t>
      </w:r>
    </w:p>
    <w:p>
      <w:pPr>
        <w:pStyle w:val="BodyText"/>
        <w:rPr>
          <w:sz w:val="36"/>
        </w:rPr>
      </w:pPr>
    </w:p>
    <w:p>
      <w:pPr>
        <w:pStyle w:val="BodyText"/>
        <w:spacing w:line="360" w:lineRule="auto"/>
        <w:ind w:left="118" w:right="218"/>
        <w:jc w:val="both"/>
      </w:pPr>
      <w:r>
        <w:rPr/>
        <w:t>La acción de los antiepilépticos es en general inespecífica: tienen un efecto estabilizador</w:t>
      </w:r>
      <w:r>
        <w:rPr>
          <w:spacing w:val="-10"/>
        </w:rPr>
        <w:t> </w:t>
      </w:r>
      <w:r>
        <w:rPr/>
        <w:t>de</w:t>
      </w:r>
      <w:r>
        <w:rPr>
          <w:spacing w:val="-9"/>
        </w:rPr>
        <w:t> </w:t>
      </w:r>
      <w:r>
        <w:rPr/>
        <w:t>la</w:t>
      </w:r>
      <w:r>
        <w:rPr>
          <w:spacing w:val="-11"/>
        </w:rPr>
        <w:t> </w:t>
      </w:r>
      <w:r>
        <w:rPr/>
        <w:t>membrana</w:t>
      </w:r>
      <w:r>
        <w:rPr>
          <w:spacing w:val="-9"/>
        </w:rPr>
        <w:t> </w:t>
      </w:r>
      <w:r>
        <w:rPr/>
        <w:t>y</w:t>
      </w:r>
      <w:r>
        <w:rPr>
          <w:spacing w:val="-12"/>
        </w:rPr>
        <w:t> </w:t>
      </w:r>
      <w:r>
        <w:rPr/>
        <w:t>modificador</w:t>
      </w:r>
      <w:r>
        <w:rPr>
          <w:spacing w:val="-12"/>
        </w:rPr>
        <w:t> </w:t>
      </w:r>
      <w:r>
        <w:rPr/>
        <w:t>del</w:t>
      </w:r>
      <w:r>
        <w:rPr>
          <w:spacing w:val="-10"/>
        </w:rPr>
        <w:t> </w:t>
      </w:r>
      <w:r>
        <w:rPr/>
        <w:t>tono</w:t>
      </w:r>
      <w:r>
        <w:rPr>
          <w:spacing w:val="-11"/>
        </w:rPr>
        <w:t> </w:t>
      </w:r>
      <w:r>
        <w:rPr/>
        <w:t>neurotransmisor</w:t>
      </w:r>
      <w:r>
        <w:rPr>
          <w:spacing w:val="47"/>
        </w:rPr>
        <w:t> </w:t>
      </w:r>
      <w:r>
        <w:rPr/>
        <w:t>que</w:t>
      </w:r>
      <w:r>
        <w:rPr>
          <w:spacing w:val="-9"/>
        </w:rPr>
        <w:t> </w:t>
      </w:r>
      <w:r>
        <w:rPr/>
        <w:t>va</w:t>
      </w:r>
      <w:r>
        <w:rPr>
          <w:spacing w:val="-9"/>
        </w:rPr>
        <w:t> </w:t>
      </w:r>
      <w:r>
        <w:rPr/>
        <w:t>a</w:t>
      </w:r>
      <w:r>
        <w:rPr>
          <w:spacing w:val="-11"/>
        </w:rPr>
        <w:t> </w:t>
      </w:r>
      <w:r>
        <w:rPr/>
        <w:t>ejercer un efecto protector independientemente de la causa específica, y muchas veces desconocida, que provoca las crisis. De hecho, la mayor parte de los fármacos antiepilépticos tienen poco efecto sobre el foco epiléptico; más bien impiden la propagación de la descarga a estructuras normales vecinas</w:t>
      </w:r>
      <w:r>
        <w:rPr>
          <w:spacing w:val="-14"/>
        </w:rPr>
        <w:t> </w:t>
      </w:r>
      <w:r>
        <w:rPr>
          <w:position w:val="8"/>
          <w:sz w:val="16"/>
        </w:rPr>
        <w:t>(22)</w:t>
      </w:r>
      <w:r>
        <w:rPr/>
        <w:t>.</w:t>
      </w:r>
    </w:p>
    <w:p>
      <w:pPr>
        <w:pStyle w:val="BodyText"/>
        <w:spacing w:line="360" w:lineRule="auto" w:before="201"/>
        <w:ind w:left="118" w:right="215"/>
        <w:jc w:val="both"/>
      </w:pPr>
      <w:r>
        <w:rPr/>
        <w:t>Aunque no se tiene la seguridad de que sean los únicos ni los más importantes, los efectos de los antiepilépticos que se observan a concentraciones terapéuticas que al parecer</w:t>
      </w:r>
      <w:r>
        <w:rPr>
          <w:spacing w:val="-17"/>
        </w:rPr>
        <w:t> </w:t>
      </w:r>
      <w:r>
        <w:rPr/>
        <w:t>tienen</w:t>
      </w:r>
      <w:r>
        <w:rPr>
          <w:spacing w:val="-18"/>
        </w:rPr>
        <w:t> </w:t>
      </w:r>
      <w:r>
        <w:rPr/>
        <w:t>mayor</w:t>
      </w:r>
      <w:r>
        <w:rPr>
          <w:spacing w:val="-17"/>
        </w:rPr>
        <w:t> </w:t>
      </w:r>
      <w:r>
        <w:rPr/>
        <w:t>influencia</w:t>
      </w:r>
      <w:r>
        <w:rPr>
          <w:spacing w:val="-16"/>
        </w:rPr>
        <w:t> </w:t>
      </w:r>
      <w:r>
        <w:rPr/>
        <w:t>sobre</w:t>
      </w:r>
      <w:r>
        <w:rPr>
          <w:spacing w:val="-16"/>
        </w:rPr>
        <w:t> </w:t>
      </w:r>
      <w:r>
        <w:rPr/>
        <w:t>la</w:t>
      </w:r>
      <w:r>
        <w:rPr>
          <w:spacing w:val="-18"/>
        </w:rPr>
        <w:t> </w:t>
      </w:r>
      <w:r>
        <w:rPr/>
        <w:t>génesis</w:t>
      </w:r>
      <w:r>
        <w:rPr>
          <w:spacing w:val="-17"/>
        </w:rPr>
        <w:t> </w:t>
      </w:r>
      <w:r>
        <w:rPr/>
        <w:t>y</w:t>
      </w:r>
      <w:r>
        <w:rPr>
          <w:spacing w:val="-14"/>
        </w:rPr>
        <w:t> </w:t>
      </w:r>
      <w:r>
        <w:rPr/>
        <w:t>la</w:t>
      </w:r>
      <w:r>
        <w:rPr>
          <w:spacing w:val="-16"/>
        </w:rPr>
        <w:t> </w:t>
      </w:r>
      <w:r>
        <w:rPr/>
        <w:t>propagación</w:t>
      </w:r>
      <w:r>
        <w:rPr>
          <w:spacing w:val="-17"/>
        </w:rPr>
        <w:t> </w:t>
      </w:r>
      <w:r>
        <w:rPr/>
        <w:t>de</w:t>
      </w:r>
      <w:r>
        <w:rPr>
          <w:spacing w:val="-18"/>
        </w:rPr>
        <w:t> </w:t>
      </w:r>
      <w:r>
        <w:rPr/>
        <w:t>las</w:t>
      </w:r>
      <w:r>
        <w:rPr>
          <w:spacing w:val="-16"/>
        </w:rPr>
        <w:t> </w:t>
      </w:r>
      <w:r>
        <w:rPr/>
        <w:t>crisis.</w:t>
      </w:r>
      <w:r>
        <w:rPr>
          <w:spacing w:val="-16"/>
        </w:rPr>
        <w:t> </w:t>
      </w:r>
      <w:r>
        <w:rPr/>
        <w:t>Algunos de ellos</w:t>
      </w:r>
      <w:r>
        <w:rPr>
          <w:spacing w:val="-1"/>
        </w:rPr>
        <w:t> </w:t>
      </w:r>
      <w:r>
        <w:rPr/>
        <w:t>son:</w:t>
      </w:r>
    </w:p>
    <w:p>
      <w:pPr>
        <w:spacing w:after="0" w:line="360" w:lineRule="auto"/>
        <w:jc w:val="both"/>
        <w:sectPr>
          <w:footerReference w:type="default" r:id="rId18"/>
          <w:pgSz w:w="12240" w:h="15840"/>
          <w:pgMar w:footer="1003" w:header="749" w:top="960" w:bottom="1200" w:left="1300" w:right="1480"/>
        </w:sectPr>
      </w:pPr>
    </w:p>
    <w:p>
      <w:pPr>
        <w:pStyle w:val="BodyText"/>
        <w:rPr>
          <w:sz w:val="20"/>
        </w:rPr>
      </w:pPr>
    </w:p>
    <w:p>
      <w:pPr>
        <w:pStyle w:val="BodyText"/>
        <w:rPr>
          <w:sz w:val="20"/>
        </w:rPr>
      </w:pPr>
    </w:p>
    <w:p>
      <w:pPr>
        <w:pStyle w:val="BodyText"/>
        <w:spacing w:before="8"/>
        <w:rPr>
          <w:sz w:val="18"/>
        </w:rPr>
      </w:pPr>
    </w:p>
    <w:p>
      <w:pPr>
        <w:pStyle w:val="ListParagraph"/>
        <w:numPr>
          <w:ilvl w:val="3"/>
          <w:numId w:val="7"/>
        </w:numPr>
        <w:tabs>
          <w:tab w:pos="858" w:val="left" w:leader="none"/>
          <w:tab w:pos="859" w:val="left" w:leader="none"/>
        </w:tabs>
        <w:spacing w:line="240" w:lineRule="auto" w:before="56" w:after="0"/>
        <w:ind w:left="858" w:right="0" w:hanging="360"/>
        <w:jc w:val="left"/>
        <w:rPr>
          <w:sz w:val="24"/>
        </w:rPr>
      </w:pPr>
      <w:r>
        <w:rPr>
          <w:sz w:val="24"/>
        </w:rPr>
        <w:t>Inhibición de los canales de</w:t>
      </w:r>
      <w:r>
        <w:rPr>
          <w:spacing w:val="-8"/>
          <w:sz w:val="24"/>
        </w:rPr>
        <w:t> </w:t>
      </w:r>
      <w:r>
        <w:rPr>
          <w:sz w:val="24"/>
        </w:rPr>
        <w:t>sodio.</w:t>
      </w:r>
    </w:p>
    <w:p>
      <w:pPr>
        <w:pStyle w:val="ListParagraph"/>
        <w:numPr>
          <w:ilvl w:val="3"/>
          <w:numId w:val="7"/>
        </w:numPr>
        <w:tabs>
          <w:tab w:pos="858" w:val="left" w:leader="none"/>
          <w:tab w:pos="859" w:val="left" w:leader="none"/>
        </w:tabs>
        <w:spacing w:line="240" w:lineRule="auto" w:before="135" w:after="0"/>
        <w:ind w:left="858" w:right="0" w:hanging="360"/>
        <w:jc w:val="left"/>
        <w:rPr>
          <w:sz w:val="24"/>
        </w:rPr>
      </w:pPr>
      <w:r>
        <w:rPr>
          <w:sz w:val="24"/>
        </w:rPr>
        <w:t>La  facilitación de la inhibición</w:t>
      </w:r>
      <w:r>
        <w:rPr>
          <w:spacing w:val="-11"/>
          <w:sz w:val="24"/>
        </w:rPr>
        <w:t> </w:t>
      </w:r>
      <w:r>
        <w:rPr>
          <w:sz w:val="24"/>
        </w:rPr>
        <w:t>GABAérgica.</w:t>
      </w:r>
    </w:p>
    <w:p>
      <w:pPr>
        <w:pStyle w:val="ListParagraph"/>
        <w:numPr>
          <w:ilvl w:val="3"/>
          <w:numId w:val="7"/>
        </w:numPr>
        <w:tabs>
          <w:tab w:pos="858" w:val="left" w:leader="none"/>
          <w:tab w:pos="859" w:val="left" w:leader="none"/>
        </w:tabs>
        <w:spacing w:line="240" w:lineRule="auto" w:before="135" w:after="0"/>
        <w:ind w:left="858" w:right="0" w:hanging="360"/>
        <w:jc w:val="left"/>
        <w:rPr>
          <w:sz w:val="24"/>
        </w:rPr>
      </w:pPr>
      <w:r>
        <w:rPr>
          <w:sz w:val="24"/>
        </w:rPr>
        <w:t>La  inhibición de la excitación glutamatérgica</w:t>
      </w:r>
      <w:r>
        <w:rPr>
          <w:spacing w:val="-9"/>
          <w:sz w:val="24"/>
        </w:rPr>
        <w:t> </w:t>
      </w:r>
      <w:r>
        <w:rPr>
          <w:sz w:val="24"/>
        </w:rPr>
        <w:t>.</w:t>
      </w:r>
    </w:p>
    <w:p>
      <w:pPr>
        <w:pStyle w:val="ListParagraph"/>
        <w:numPr>
          <w:ilvl w:val="3"/>
          <w:numId w:val="7"/>
        </w:numPr>
        <w:tabs>
          <w:tab w:pos="858" w:val="left" w:leader="none"/>
          <w:tab w:pos="859" w:val="left" w:leader="none"/>
        </w:tabs>
        <w:spacing w:line="240" w:lineRule="auto" w:before="135" w:after="0"/>
        <w:ind w:left="858" w:right="0" w:hanging="360"/>
        <w:jc w:val="left"/>
        <w:rPr>
          <w:sz w:val="24"/>
        </w:rPr>
      </w:pPr>
      <w:r>
        <w:rPr>
          <w:sz w:val="24"/>
        </w:rPr>
        <w:t>La inhibición de los canales T de calcio</w:t>
      </w:r>
      <w:r>
        <w:rPr>
          <w:spacing w:val="-17"/>
          <w:sz w:val="24"/>
        </w:rPr>
        <w:t> </w:t>
      </w:r>
      <w:r>
        <w:rPr>
          <w:sz w:val="24"/>
        </w:rPr>
        <w:t>talámicos.</w:t>
      </w:r>
    </w:p>
    <w:p>
      <w:pPr>
        <w:pStyle w:val="BodyText"/>
      </w:pPr>
    </w:p>
    <w:p>
      <w:pPr>
        <w:pStyle w:val="BodyText"/>
      </w:pPr>
    </w:p>
    <w:p>
      <w:pPr>
        <w:pStyle w:val="BodyText"/>
        <w:spacing w:before="192"/>
        <w:ind w:left="138"/>
      </w:pPr>
      <w:r>
        <w:rPr/>
        <w:t>Las drogas antiepilépticas se pueden clasificar  de la siguiente manera </w:t>
      </w:r>
      <w:r>
        <w:rPr>
          <w:position w:val="8"/>
          <w:sz w:val="16"/>
        </w:rPr>
        <w:t>(8) </w:t>
      </w:r>
      <w:r>
        <w:rPr/>
        <w:t>:( tabla 2):</w:t>
      </w:r>
    </w:p>
    <w:p>
      <w:pPr>
        <w:pStyle w:val="BodyText"/>
        <w:rPr>
          <w:sz w:val="20"/>
        </w:rPr>
      </w:pPr>
    </w:p>
    <w:p>
      <w:pPr>
        <w:pStyle w:val="BodyText"/>
        <w:rPr>
          <w:sz w:val="20"/>
        </w:rPr>
      </w:pPr>
    </w:p>
    <w:p>
      <w:pPr>
        <w:pStyle w:val="BodyText"/>
        <w:rPr>
          <w:sz w:val="20"/>
        </w:rPr>
      </w:pPr>
    </w:p>
    <w:p>
      <w:pPr>
        <w:pStyle w:val="BodyText"/>
        <w:spacing w:before="7"/>
        <w:rPr>
          <w:sz w:val="19"/>
        </w:rPr>
      </w:pPr>
      <w:r>
        <w:rPr/>
        <w:pict>
          <v:group style="position:absolute;margin-left:70.444pt;margin-top:13.249942pt;width:450pt;height:1pt;mso-position-horizontal-relative:page;mso-position-vertical-relative:paragraph;z-index:1312;mso-wrap-distance-left:0;mso-wrap-distance-right:0" coordorigin="1409,265" coordsize="9000,20">
            <v:line style="position:absolute" from="1419,275" to="5908,275" stroked="true" strokeweight=".95999pt" strokecolor="#4aacc5"/>
            <v:line style="position:absolute" from="5908,275" to="5927,275" stroked="true" strokeweight=".95999pt" strokecolor="#4aacc5"/>
            <v:line style="position:absolute" from="5927,275" to="10399,275" stroked="true" strokeweight=".95999pt" strokecolor="#4aacc5"/>
            <w10:wrap type="topAndBottom"/>
          </v:group>
        </w:pict>
      </w:r>
    </w:p>
    <w:p>
      <w:pPr>
        <w:pStyle w:val="Heading2"/>
        <w:tabs>
          <w:tab w:pos="6370" w:val="left" w:leader="none"/>
        </w:tabs>
        <w:ind w:left="1641"/>
        <w:jc w:val="left"/>
      </w:pPr>
      <w:r>
        <w:rPr/>
        <w:t>Clasificación</w:t>
        <w:tab/>
        <w:t>Farmaco</w:t>
      </w:r>
    </w:p>
    <w:p>
      <w:pPr>
        <w:pStyle w:val="BodyText"/>
        <w:spacing w:before="2"/>
        <w:rPr>
          <w:b/>
          <w:sz w:val="12"/>
        </w:rPr>
      </w:pPr>
    </w:p>
    <w:p>
      <w:pPr>
        <w:pStyle w:val="BodyText"/>
        <w:ind w:left="128"/>
        <w:rPr>
          <w:sz w:val="20"/>
        </w:rPr>
      </w:pPr>
      <w:r>
        <w:rPr>
          <w:sz w:val="20"/>
        </w:rPr>
        <w:pict>
          <v:group style="width:450pt;height:63.15pt;mso-position-horizontal-relative:char;mso-position-vertical-relative:line" coordorigin="0,0" coordsize="9000,1263">
            <v:rect style="position:absolute;left:10;top:20;width:108;height:1243" filled="true" fillcolor="#d2eaf0" stroked="false">
              <v:fill type="solid"/>
            </v:rect>
            <v:rect style="position:absolute;left:4391;top:20;width:108;height:1243" filled="true" fillcolor="#d2eaf0" stroked="false">
              <v:fill type="solid"/>
            </v:rect>
            <v:rect style="position:absolute;left:118;top:296;width:4272;height:139" filled="true" fillcolor="#d2eaf0" stroked="false">
              <v:fill type="solid"/>
            </v:rect>
            <v:rect style="position:absolute;left:118;top:435;width:4272;height:413" filled="true" fillcolor="#d2eaf0" stroked="false">
              <v:fill type="solid"/>
            </v:rect>
            <v:rect style="position:absolute;left:118;top:848;width:4272;height:415" filled="true" fillcolor="#d2eaf0" stroked="false">
              <v:fill type="solid"/>
            </v:rect>
            <v:rect style="position:absolute;left:4499;top:20;width:108;height:828" filled="true" fillcolor="#d2eaf0" stroked="false">
              <v:fill type="solid"/>
            </v:rect>
            <v:rect style="position:absolute;left:8882;top:20;width:108;height:828" filled="true" fillcolor="#d2eaf0" stroked="false">
              <v:fill type="solid"/>
            </v:rect>
            <v:rect style="position:absolute;left:4499;top:848;width:4491;height:415" filled="true" fillcolor="#d2eaf0" stroked="false">
              <v:fill type="solid"/>
            </v:rect>
            <v:rect style="position:absolute;left:4607;top:296;width:4275;height:139" filled="true" fillcolor="#d2eaf0" stroked="false">
              <v:fill type="solid"/>
            </v:rect>
            <v:rect style="position:absolute;left:4607;top:435;width:4275;height:413" filled="true" fillcolor="#d2eaf0" stroked="false">
              <v:fill type="solid"/>
            </v:rect>
            <v:line style="position:absolute" from="10,10" to="4499,10" stroked="true" strokeweight=".95999pt" strokecolor="#4aacc5"/>
            <v:line style="position:absolute" from="4499,10" to="4518,10" stroked="true" strokeweight=".95999pt" strokecolor="#4aacc5"/>
            <v:line style="position:absolute" from="4518,10" to="8990,10" stroked="true" strokeweight=".95999pt" strokecolor="#4aacc5"/>
            <v:shape style="position:absolute;left:118;top:48;width:8763;height:240" type="#_x0000_t202" filled="false" stroked="false">
              <v:textbox inset="0,0,0,0">
                <w:txbxContent>
                  <w:p>
                    <w:pPr>
                      <w:tabs>
                        <w:tab w:pos="4488" w:val="left" w:leader="none"/>
                      </w:tabs>
                      <w:spacing w:line="240" w:lineRule="exact" w:before="0"/>
                      <w:ind w:left="0" w:right="0" w:firstLine="0"/>
                      <w:jc w:val="left"/>
                      <w:rPr>
                        <w:sz w:val="24"/>
                      </w:rPr>
                    </w:pPr>
                    <w:r>
                      <w:rPr>
                        <w:b/>
                        <w:sz w:val="24"/>
                      </w:rPr>
                      <w:t>Antiepilépticos  clásicos </w:t>
                    </w:r>
                    <w:r>
                      <w:rPr>
                        <w:b/>
                        <w:spacing w:val="23"/>
                        <w:sz w:val="24"/>
                      </w:rPr>
                      <w:t> </w:t>
                    </w:r>
                    <w:r>
                      <w:rPr>
                        <w:b/>
                        <w:sz w:val="24"/>
                      </w:rPr>
                      <w:t>de </w:t>
                    </w:r>
                    <w:r>
                      <w:rPr>
                        <w:b/>
                        <w:spacing w:val="11"/>
                        <w:sz w:val="24"/>
                      </w:rPr>
                      <w:t> </w:t>
                    </w:r>
                    <w:r>
                      <w:rPr>
                        <w:b/>
                        <w:sz w:val="24"/>
                      </w:rPr>
                      <w:t>primera</w:t>
                      <w:tab/>
                    </w:r>
                    <w:r>
                      <w:rPr>
                        <w:sz w:val="24"/>
                      </w:rPr>
                      <w:t>Fenobarbital,  fenitoína,  etosuximida  </w:t>
                    </w:r>
                    <w:r>
                      <w:rPr>
                        <w:spacing w:val="5"/>
                        <w:sz w:val="24"/>
                      </w:rPr>
                      <w:t> </w:t>
                    </w:r>
                    <w:r>
                      <w:rPr>
                        <w:sz w:val="24"/>
                      </w:rPr>
                      <w:t>y</w:t>
                    </w:r>
                  </w:p>
                </w:txbxContent>
              </v:textbox>
              <w10:wrap type="none"/>
            </v:shape>
            <v:shape style="position:absolute;left:118;top:464;width:1281;height:240" type="#_x0000_t202" filled="false" stroked="false">
              <v:textbox inset="0,0,0,0">
                <w:txbxContent>
                  <w:p>
                    <w:pPr>
                      <w:spacing w:line="240" w:lineRule="exact" w:before="0"/>
                      <w:ind w:left="0" w:right="-20" w:firstLine="0"/>
                      <w:jc w:val="left"/>
                      <w:rPr>
                        <w:b/>
                        <w:sz w:val="24"/>
                      </w:rPr>
                    </w:pPr>
                    <w:r>
                      <w:rPr>
                        <w:b/>
                        <w:sz w:val="24"/>
                        <w:shd w:fill="FFFFFF" w:color="auto" w:val="clear"/>
                      </w:rPr>
                      <w:t>generación</w:t>
                    </w:r>
                  </w:p>
                </w:txbxContent>
              </v:textbox>
              <w10:wrap type="none"/>
            </v:shape>
            <v:shape style="position:absolute;left:4607;top:464;width:1122;height:240" type="#_x0000_t202" filled="false" stroked="false">
              <v:textbox inset="0,0,0,0">
                <w:txbxContent>
                  <w:p>
                    <w:pPr>
                      <w:spacing w:line="240" w:lineRule="exact" w:before="0"/>
                      <w:ind w:left="0" w:right="-19" w:firstLine="0"/>
                      <w:jc w:val="left"/>
                      <w:rPr>
                        <w:sz w:val="24"/>
                      </w:rPr>
                    </w:pPr>
                    <w:r>
                      <w:rPr>
                        <w:sz w:val="24"/>
                        <w:shd w:fill="FFFFFF" w:color="auto" w:val="clear"/>
                      </w:rPr>
                      <w:t>primidona.</w:t>
                    </w:r>
                  </w:p>
                </w:txbxContent>
              </v:textbox>
              <w10:wrap type="none"/>
            </v:shape>
          </v:group>
        </w:pict>
      </w:r>
      <w:r>
        <w:rPr>
          <w:sz w:val="20"/>
        </w:rPr>
      </w:r>
    </w:p>
    <w:p>
      <w:pPr>
        <w:spacing w:after="0"/>
        <w:rPr>
          <w:sz w:val="20"/>
        </w:rPr>
        <w:sectPr>
          <w:footerReference w:type="default" r:id="rId19"/>
          <w:pgSz w:w="12240" w:h="15840"/>
          <w:pgMar w:footer="1003" w:header="749" w:top="960" w:bottom="1200" w:left="1280" w:right="1580"/>
          <w:pgNumType w:start="21"/>
        </w:sectPr>
      </w:pPr>
    </w:p>
    <w:p>
      <w:pPr>
        <w:spacing w:line="246" w:lineRule="exact" w:before="0"/>
        <w:ind w:left="246" w:right="-17" w:firstLine="0"/>
        <w:jc w:val="left"/>
        <w:rPr>
          <w:b/>
          <w:sz w:val="24"/>
        </w:rPr>
      </w:pPr>
      <w:r>
        <w:rPr>
          <w:b/>
          <w:sz w:val="24"/>
        </w:rPr>
        <w:t>Antiepilépticos  clásicos  de segunda</w:t>
      </w:r>
    </w:p>
    <w:p>
      <w:pPr>
        <w:spacing w:before="137"/>
        <w:ind w:left="246" w:right="-17" w:firstLine="0"/>
        <w:jc w:val="left"/>
        <w:rPr>
          <w:b/>
          <w:sz w:val="24"/>
        </w:rPr>
      </w:pPr>
      <w:r>
        <w:rPr>
          <w:b/>
          <w:sz w:val="24"/>
        </w:rPr>
        <w:t>generación</w:t>
      </w:r>
    </w:p>
    <w:p>
      <w:pPr>
        <w:pStyle w:val="BodyText"/>
        <w:tabs>
          <w:tab w:pos="2641" w:val="left" w:leader="none"/>
          <w:tab w:pos="4330" w:val="left" w:leader="none"/>
        </w:tabs>
        <w:spacing w:line="246" w:lineRule="exact"/>
        <w:ind w:left="178"/>
      </w:pPr>
      <w:r>
        <w:rPr/>
        <w:br w:type="column"/>
      </w:r>
      <w:r>
        <w:rPr/>
        <w:t>Carbamazepina,</w:t>
        <w:tab/>
        <w:t>valproato</w:t>
        <w:tab/>
        <w:t>y</w:t>
      </w:r>
    </w:p>
    <w:p>
      <w:pPr>
        <w:pStyle w:val="BodyText"/>
        <w:spacing w:before="137"/>
        <w:ind w:left="178"/>
      </w:pPr>
      <w:r>
        <w:rPr/>
        <w:t>benzodiazepinas.</w:t>
      </w:r>
    </w:p>
    <w:p>
      <w:pPr>
        <w:spacing w:after="0"/>
        <w:sectPr>
          <w:type w:val="continuous"/>
          <w:pgSz w:w="12240" w:h="15840"/>
          <w:pgMar w:top="920" w:bottom="280" w:left="1280" w:right="1580"/>
          <w:cols w:num="2" w:equalWidth="0">
            <w:col w:w="4517" w:space="40"/>
            <w:col w:w="4823"/>
          </w:cols>
        </w:sectPr>
      </w:pPr>
    </w:p>
    <w:p>
      <w:pPr>
        <w:pStyle w:val="BodyText"/>
        <w:spacing w:before="3"/>
        <w:rPr>
          <w:sz w:val="12"/>
        </w:rPr>
      </w:pPr>
    </w:p>
    <w:tbl>
      <w:tblPr>
        <w:tblW w:w="0" w:type="auto"/>
        <w:jc w:val="left"/>
        <w:tblInd w:w="138"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4597"/>
        <w:gridCol w:w="4275"/>
        <w:gridCol w:w="108"/>
      </w:tblGrid>
      <w:tr>
        <w:trPr>
          <w:trHeight w:val="276" w:hRule="exact"/>
        </w:trPr>
        <w:tc>
          <w:tcPr>
            <w:tcW w:w="4597" w:type="dxa"/>
            <w:vMerge w:val="restart"/>
            <w:shd w:val="clear" w:color="auto" w:fill="D2EAF0"/>
          </w:tcPr>
          <w:p>
            <w:pPr>
              <w:pStyle w:val="TableParagraph"/>
              <w:spacing w:line="274" w:lineRule="exact"/>
              <w:ind w:left="107"/>
              <w:rPr>
                <w:b/>
                <w:sz w:val="24"/>
              </w:rPr>
            </w:pPr>
            <w:r>
              <w:rPr>
                <w:b/>
                <w:sz w:val="24"/>
                <w:shd w:fill="FFFFFF" w:color="auto" w:val="clear"/>
              </w:rPr>
              <w:t>Nuevos antiepilépticos</w:t>
            </w:r>
          </w:p>
        </w:tc>
        <w:tc>
          <w:tcPr>
            <w:tcW w:w="4275" w:type="dxa"/>
            <w:tcBorders>
              <w:left w:val="single" w:sz="43" w:space="0" w:color="D2EAF0"/>
              <w:right w:val="single" w:sz="43" w:space="0" w:color="D2EAF0"/>
            </w:tcBorders>
          </w:tcPr>
          <w:p>
            <w:pPr>
              <w:pStyle w:val="TableParagraph"/>
              <w:spacing w:line="274" w:lineRule="exact"/>
              <w:ind w:left="-54" w:right="-55"/>
              <w:rPr>
                <w:sz w:val="24"/>
              </w:rPr>
            </w:pPr>
            <w:r>
              <w:rPr>
                <w:sz w:val="24"/>
              </w:rPr>
              <w:t>Felbamato,  gabapentina,  lamotrigina</w:t>
            </w:r>
            <w:r>
              <w:rPr>
                <w:spacing w:val="40"/>
                <w:sz w:val="24"/>
              </w:rPr>
              <w:t> </w:t>
            </w:r>
            <w:r>
              <w:rPr>
                <w:sz w:val="24"/>
              </w:rPr>
              <w:t>y</w:t>
            </w:r>
          </w:p>
        </w:tc>
        <w:tc>
          <w:tcPr>
            <w:tcW w:w="108" w:type="dxa"/>
            <w:tcBorders>
              <w:top w:val="single" w:sz="6" w:space="0" w:color="auto"/>
              <w:left w:val="single" w:sz="6" w:space="0" w:color="auto"/>
              <w:bottom w:val="single" w:sz="6" w:space="0" w:color="auto"/>
              <w:right w:val="single" w:sz="6" w:space="0" w:color="auto"/>
            </w:tcBorders>
          </w:tcPr>
          <w:p>
            <w:pPr/>
          </w:p>
        </w:tc>
      </w:tr>
      <w:tr>
        <w:trPr>
          <w:trHeight w:val="552" w:hRule="exact"/>
        </w:trPr>
        <w:tc>
          <w:tcPr>
            <w:tcW w:w="4597" w:type="dxa"/>
            <w:vMerge/>
            <w:shd w:val="clear" w:color="auto" w:fill="D2EAF0"/>
          </w:tcPr>
          <w:p>
            <w:pPr/>
          </w:p>
        </w:tc>
        <w:tc>
          <w:tcPr>
            <w:tcW w:w="4275" w:type="dxa"/>
            <w:shd w:val="clear" w:color="auto" w:fill="D2EAF0"/>
          </w:tcPr>
          <w:p>
            <w:pPr>
              <w:pStyle w:val="TableParagraph"/>
              <w:spacing w:before="135"/>
              <w:ind w:left="0"/>
              <w:rPr>
                <w:sz w:val="24"/>
              </w:rPr>
            </w:pPr>
            <w:r>
              <w:rPr>
                <w:sz w:val="24"/>
                <w:shd w:fill="FFFFFF" w:color="auto" w:val="clear"/>
              </w:rPr>
              <w:t>vigabatrina</w:t>
            </w:r>
          </w:p>
        </w:tc>
        <w:tc>
          <w:tcPr>
            <w:tcW w:w="108" w:type="dxa"/>
            <w:shd w:val="clear" w:color="auto" w:fill="D2EAF0"/>
          </w:tcPr>
          <w:p>
            <w:pPr/>
          </w:p>
        </w:tc>
      </w:tr>
    </w:tbl>
    <w:p>
      <w:pPr>
        <w:pStyle w:val="BodyText"/>
        <w:tabs>
          <w:tab w:pos="4735" w:val="left" w:leader="none"/>
        </w:tabs>
        <w:spacing w:line="360" w:lineRule="auto" w:after="7"/>
        <w:ind w:left="4735" w:right="371" w:hanging="4489"/>
        <w:jc w:val="both"/>
      </w:pPr>
      <w:r>
        <w:rPr>
          <w:b/>
        </w:rPr>
        <w:t>Otros</w:t>
      </w:r>
      <w:r>
        <w:rPr>
          <w:b/>
          <w:spacing w:val="-1"/>
        </w:rPr>
        <w:t> </w:t>
      </w:r>
      <w:r>
        <w:rPr>
          <w:b/>
        </w:rPr>
        <w:t>antiepilépticos</w:t>
        <w:tab/>
      </w:r>
      <w:r>
        <w:rPr/>
        <w:t>Acetazolamida,   ACTH  </w:t>
      </w:r>
      <w:r>
        <w:rPr>
          <w:spacing w:val="23"/>
        </w:rPr>
        <w:t> </w:t>
      </w:r>
      <w:r>
        <w:rPr/>
        <w:t>y  </w:t>
      </w:r>
      <w:r>
        <w:rPr>
          <w:spacing w:val="10"/>
        </w:rPr>
        <w:t> </w:t>
      </w:r>
      <w:r>
        <w:rPr/>
        <w:t>corticoides,</w:t>
      </w:r>
      <w:r>
        <w:rPr>
          <w:w w:val="100"/>
        </w:rPr>
        <w:t> </w:t>
      </w:r>
      <w:r>
        <w:rPr/>
        <w:t>estiripentol, eterobarbo, fosfenitoína, oxcarbazepina, tiagabina, topiramato, remacemida y</w:t>
      </w:r>
      <w:r>
        <w:rPr>
          <w:spacing w:val="-6"/>
        </w:rPr>
        <w:t> </w:t>
      </w:r>
      <w:r>
        <w:rPr/>
        <w:t>zonisamida</w:t>
      </w:r>
    </w:p>
    <w:p>
      <w:pPr>
        <w:pStyle w:val="BodyText"/>
        <w:spacing w:line="20" w:lineRule="exact"/>
        <w:ind w:left="114"/>
        <w:rPr>
          <w:sz w:val="2"/>
        </w:rPr>
      </w:pPr>
      <w:r>
        <w:rPr>
          <w:sz w:val="2"/>
        </w:rPr>
        <w:pict>
          <v:group style="width:450.75pt;height:1pt;mso-position-horizontal-relative:char;mso-position-vertical-relative:line" coordorigin="0,0" coordsize="9015,20">
            <v:line style="position:absolute" from="10,10" to="4513,10" stroked="true" strokeweight=".96002pt" strokecolor="#4aacc5"/>
            <v:line style="position:absolute" from="4499,10" to="4518,10" stroked="true" strokeweight=".96002pt" strokecolor="#4aacc5"/>
            <v:line style="position:absolute" from="4518,10" to="9004,10" stroked="true" strokeweight=".96002pt" strokecolor="#4aacc5"/>
          </v:group>
        </w:pict>
      </w:r>
      <w:r>
        <w:rPr>
          <w:sz w:val="2"/>
        </w:rPr>
      </w:r>
    </w:p>
    <w:p>
      <w:pPr>
        <w:spacing w:before="0"/>
        <w:ind w:left="2436" w:right="0" w:firstLine="0"/>
        <w:jc w:val="left"/>
        <w:rPr>
          <w:sz w:val="20"/>
        </w:rPr>
      </w:pPr>
      <w:r>
        <w:rPr>
          <w:sz w:val="20"/>
        </w:rPr>
        <w:t>Fuente Manejo dental del paciente epiléptico 2006.</w:t>
      </w:r>
    </w:p>
    <w:p>
      <w:pPr>
        <w:spacing w:after="0"/>
        <w:jc w:val="left"/>
        <w:rPr>
          <w:sz w:val="20"/>
        </w:rPr>
        <w:sectPr>
          <w:type w:val="continuous"/>
          <w:pgSz w:w="12240" w:h="15840"/>
          <w:pgMar w:top="920" w:bottom="280" w:left="1280" w:right="1580"/>
        </w:sectPr>
      </w:pPr>
    </w:p>
    <w:p>
      <w:pPr>
        <w:pStyle w:val="BodyText"/>
        <w:rPr>
          <w:sz w:val="20"/>
        </w:rPr>
      </w:pPr>
    </w:p>
    <w:p>
      <w:pPr>
        <w:pStyle w:val="BodyText"/>
        <w:rPr>
          <w:sz w:val="20"/>
        </w:rPr>
      </w:pPr>
    </w:p>
    <w:p>
      <w:pPr>
        <w:pStyle w:val="BodyText"/>
        <w:spacing w:before="5"/>
        <w:rPr>
          <w:sz w:val="17"/>
        </w:rPr>
      </w:pPr>
    </w:p>
    <w:p>
      <w:pPr>
        <w:pStyle w:val="Heading2"/>
        <w:numPr>
          <w:ilvl w:val="1"/>
          <w:numId w:val="8"/>
        </w:numPr>
        <w:tabs>
          <w:tab w:pos="522" w:val="left" w:leader="none"/>
        </w:tabs>
        <w:spacing w:line="240" w:lineRule="auto" w:before="70" w:after="0"/>
        <w:ind w:left="521" w:right="0" w:hanging="403"/>
        <w:jc w:val="both"/>
      </w:pPr>
      <w:r>
        <w:rPr/>
        <w:t>Relación Endodóntica con la</w:t>
      </w:r>
      <w:r>
        <w:rPr>
          <w:spacing w:val="-9"/>
        </w:rPr>
        <w:t> </w:t>
      </w:r>
      <w:r>
        <w:rPr/>
        <w:t>Epilepsia.</w:t>
      </w:r>
    </w:p>
    <w:p>
      <w:pPr>
        <w:pStyle w:val="BodyText"/>
        <w:rPr>
          <w:b/>
        </w:rPr>
      </w:pPr>
    </w:p>
    <w:p>
      <w:pPr>
        <w:pStyle w:val="BodyText"/>
        <w:rPr>
          <w:b/>
        </w:rPr>
      </w:pPr>
    </w:p>
    <w:p>
      <w:pPr>
        <w:pStyle w:val="BodyText"/>
        <w:spacing w:before="7"/>
        <w:rPr>
          <w:b/>
          <w:sz w:val="34"/>
        </w:rPr>
      </w:pPr>
    </w:p>
    <w:p>
      <w:pPr>
        <w:pStyle w:val="ListParagraph"/>
        <w:numPr>
          <w:ilvl w:val="2"/>
          <w:numId w:val="8"/>
        </w:numPr>
        <w:tabs>
          <w:tab w:pos="722" w:val="left" w:leader="none"/>
        </w:tabs>
        <w:spacing w:line="240" w:lineRule="auto" w:before="0" w:after="0"/>
        <w:ind w:left="721" w:right="0" w:hanging="603"/>
        <w:jc w:val="both"/>
        <w:rPr>
          <w:b/>
          <w:sz w:val="24"/>
        </w:rPr>
      </w:pPr>
      <w:r>
        <w:rPr>
          <w:b/>
          <w:sz w:val="24"/>
        </w:rPr>
        <w:t>Endodoncia</w:t>
      </w:r>
    </w:p>
    <w:p>
      <w:pPr>
        <w:pStyle w:val="BodyText"/>
        <w:spacing w:before="4"/>
        <w:rPr>
          <w:b/>
          <w:sz w:val="29"/>
        </w:rPr>
      </w:pPr>
    </w:p>
    <w:p>
      <w:pPr>
        <w:pStyle w:val="BodyText"/>
        <w:spacing w:line="360" w:lineRule="auto" w:before="1"/>
        <w:ind w:left="118" w:right="118"/>
        <w:jc w:val="both"/>
      </w:pPr>
      <w:r>
        <w:rPr/>
        <w:t>La Endodoncia es la rama de la odontología que trata de la morfología, fisiología, y patología</w:t>
      </w:r>
      <w:r>
        <w:rPr>
          <w:spacing w:val="-13"/>
        </w:rPr>
        <w:t> </w:t>
      </w:r>
      <w:r>
        <w:rPr/>
        <w:t>de</w:t>
      </w:r>
      <w:r>
        <w:rPr>
          <w:spacing w:val="-11"/>
        </w:rPr>
        <w:t> </w:t>
      </w:r>
      <w:r>
        <w:rPr/>
        <w:t>la</w:t>
      </w:r>
      <w:r>
        <w:rPr>
          <w:spacing w:val="-11"/>
        </w:rPr>
        <w:t> </w:t>
      </w:r>
      <w:r>
        <w:rPr/>
        <w:t>pulpa</w:t>
      </w:r>
      <w:r>
        <w:rPr>
          <w:spacing w:val="-10"/>
        </w:rPr>
        <w:t> </w:t>
      </w:r>
      <w:r>
        <w:rPr/>
        <w:t>dental</w:t>
      </w:r>
      <w:r>
        <w:rPr>
          <w:spacing w:val="-12"/>
        </w:rPr>
        <w:t> </w:t>
      </w:r>
      <w:r>
        <w:rPr/>
        <w:t>y</w:t>
      </w:r>
      <w:r>
        <w:rPr>
          <w:spacing w:val="-14"/>
        </w:rPr>
        <w:t> </w:t>
      </w:r>
      <w:r>
        <w:rPr/>
        <w:t>los</w:t>
      </w:r>
      <w:r>
        <w:rPr>
          <w:spacing w:val="-11"/>
        </w:rPr>
        <w:t> </w:t>
      </w:r>
      <w:r>
        <w:rPr/>
        <w:t>tejidos</w:t>
      </w:r>
      <w:r>
        <w:rPr>
          <w:spacing w:val="-12"/>
        </w:rPr>
        <w:t> </w:t>
      </w:r>
      <w:r>
        <w:rPr/>
        <w:t>perirradiculares,</w:t>
      </w:r>
      <w:r>
        <w:rPr>
          <w:spacing w:val="-11"/>
        </w:rPr>
        <w:t> </w:t>
      </w:r>
      <w:r>
        <w:rPr/>
        <w:t>su</w:t>
      </w:r>
      <w:r>
        <w:rPr>
          <w:spacing w:val="-11"/>
        </w:rPr>
        <w:t> </w:t>
      </w:r>
      <w:r>
        <w:rPr/>
        <w:t>estudio</w:t>
      </w:r>
      <w:r>
        <w:rPr>
          <w:spacing w:val="-13"/>
        </w:rPr>
        <w:t> </w:t>
      </w:r>
      <w:r>
        <w:rPr/>
        <w:t>y</w:t>
      </w:r>
      <w:r>
        <w:rPr>
          <w:spacing w:val="-14"/>
        </w:rPr>
        <w:t> </w:t>
      </w:r>
      <w:r>
        <w:rPr/>
        <w:t>práctica</w:t>
      </w:r>
      <w:r>
        <w:rPr>
          <w:spacing w:val="-11"/>
        </w:rPr>
        <w:t> </w:t>
      </w:r>
      <w:r>
        <w:rPr/>
        <w:t>engloba las ciencias básicas y clínicas incluyendo la biología de la pulpa normal y la etiología, diagnóstico, prevención y tratamiento de las patologías y lesiones de la pulpa y alteraciones perirradiculares asociadas</w:t>
      </w:r>
      <w:r>
        <w:rPr>
          <w:spacing w:val="-12"/>
        </w:rPr>
        <w:t> </w:t>
      </w:r>
      <w:r>
        <w:rPr>
          <w:position w:val="8"/>
          <w:sz w:val="16"/>
        </w:rPr>
        <w:t>(23)</w:t>
      </w:r>
      <w:r>
        <w:rPr/>
        <w:t>.</w:t>
      </w:r>
    </w:p>
    <w:p>
      <w:pPr>
        <w:pStyle w:val="BodyText"/>
        <w:spacing w:line="360" w:lineRule="auto" w:before="200"/>
        <w:ind w:left="118" w:right="117"/>
        <w:jc w:val="both"/>
      </w:pPr>
      <w:r>
        <w:rPr/>
        <w:t>Los</w:t>
      </w:r>
      <w:r>
        <w:rPr>
          <w:spacing w:val="-8"/>
        </w:rPr>
        <w:t> </w:t>
      </w:r>
      <w:r>
        <w:rPr/>
        <w:t>pacientes</w:t>
      </w:r>
      <w:r>
        <w:rPr>
          <w:spacing w:val="-8"/>
        </w:rPr>
        <w:t> </w:t>
      </w:r>
      <w:r>
        <w:rPr/>
        <w:t>epilépticos</w:t>
      </w:r>
      <w:r>
        <w:rPr>
          <w:spacing w:val="-5"/>
        </w:rPr>
        <w:t> </w:t>
      </w:r>
      <w:r>
        <w:rPr/>
        <w:t>son</w:t>
      </w:r>
      <w:r>
        <w:rPr>
          <w:spacing w:val="-5"/>
        </w:rPr>
        <w:t> </w:t>
      </w:r>
      <w:r>
        <w:rPr/>
        <w:t>altamente</w:t>
      </w:r>
      <w:r>
        <w:rPr>
          <w:spacing w:val="-7"/>
        </w:rPr>
        <w:t> </w:t>
      </w:r>
      <w:r>
        <w:rPr/>
        <w:t>propensos</w:t>
      </w:r>
      <w:r>
        <w:rPr>
          <w:spacing w:val="-8"/>
        </w:rPr>
        <w:t> </w:t>
      </w:r>
      <w:r>
        <w:rPr/>
        <w:t>a</w:t>
      </w:r>
      <w:r>
        <w:rPr>
          <w:spacing w:val="-7"/>
        </w:rPr>
        <w:t> </w:t>
      </w:r>
      <w:r>
        <w:rPr/>
        <w:t>presentar</w:t>
      </w:r>
      <w:r>
        <w:rPr>
          <w:spacing w:val="-6"/>
        </w:rPr>
        <w:t> </w:t>
      </w:r>
      <w:r>
        <w:rPr/>
        <w:t>lesiones</w:t>
      </w:r>
      <w:r>
        <w:rPr>
          <w:spacing w:val="-8"/>
        </w:rPr>
        <w:t> </w:t>
      </w:r>
      <w:r>
        <w:rPr/>
        <w:t>en</w:t>
      </w:r>
      <w:r>
        <w:rPr>
          <w:spacing w:val="-7"/>
        </w:rPr>
        <w:t> </w:t>
      </w:r>
      <w:r>
        <w:rPr/>
        <w:t>la</w:t>
      </w:r>
      <w:r>
        <w:rPr>
          <w:spacing w:val="-5"/>
        </w:rPr>
        <w:t> </w:t>
      </w:r>
      <w:r>
        <w:rPr/>
        <w:t>cavidad bucal, en comparación con los pacientes no epilépticos, producto de mala higiene bucal e inadecuada condición dental. Esto se explica por el hecho de que estos pacientes reciben insuficiente cuidado dental, ya que no acuden con el odontólogo debido al riesgo de presentar crisis convulsivas durante la realización de algún tratamiento dental</w:t>
      </w:r>
      <w:r>
        <w:rPr>
          <w:spacing w:val="-5"/>
        </w:rPr>
        <w:t> </w:t>
      </w:r>
      <w:r>
        <w:rPr>
          <w:position w:val="8"/>
          <w:sz w:val="16"/>
        </w:rPr>
        <w:t>(24)</w:t>
      </w:r>
      <w:r>
        <w:rPr/>
        <w:t>.</w:t>
      </w:r>
    </w:p>
    <w:p>
      <w:pPr>
        <w:pStyle w:val="BodyText"/>
        <w:spacing w:line="360" w:lineRule="auto" w:before="200"/>
        <w:ind w:left="118" w:right="115"/>
        <w:jc w:val="both"/>
      </w:pPr>
      <w:r>
        <w:rPr/>
        <w:t>La relación entre epilepsia y salud bucal es múltiple, aunque los diversos estudios encontrados en la literatura se enfocan principalmente a las patologías periodontales asociadas a los medicamentos antiepilépticos (Tabla 3), como el agrandamiento gingival, periodontitis y por ende lesiones endoperiodontales; (tópicos de odontología integral) y también asociadas como se menciona al inicio a una deficiente higiene</w:t>
      </w:r>
      <w:r>
        <w:rPr>
          <w:spacing w:val="-39"/>
        </w:rPr>
        <w:t> </w:t>
      </w:r>
      <w:r>
        <w:rPr/>
        <w:t>oral</w:t>
      </w:r>
    </w:p>
    <w:p>
      <w:pPr>
        <w:spacing w:before="1"/>
        <w:ind w:left="118" w:right="0" w:firstLine="0"/>
        <w:jc w:val="both"/>
        <w:rPr>
          <w:sz w:val="24"/>
        </w:rPr>
      </w:pPr>
      <w:r>
        <w:rPr>
          <w:sz w:val="16"/>
        </w:rPr>
        <w:t>(24)</w:t>
      </w:r>
      <w:r>
        <w:rPr>
          <w:position w:val="-7"/>
          <w:sz w:val="24"/>
        </w:rPr>
        <w:t>.</w:t>
      </w:r>
    </w:p>
    <w:p>
      <w:pPr>
        <w:pStyle w:val="BodyText"/>
        <w:spacing w:before="1"/>
        <w:rPr>
          <w:sz w:val="29"/>
        </w:rPr>
      </w:pPr>
    </w:p>
    <w:p>
      <w:pPr>
        <w:pStyle w:val="BodyText"/>
        <w:spacing w:line="360" w:lineRule="auto"/>
        <w:ind w:left="118" w:right="114"/>
        <w:jc w:val="both"/>
      </w:pPr>
      <w:r>
        <w:rPr/>
        <w:t>Además algunos efectos  secundarios  provocados  por  los  fármacos  antiepilépticos. Estos efectos adversos incluyen, - aunque no se limitan solo a esto- somnolencia, mareos, náuseas, cambios visuales y fatiga. Los síntomas intraorales pueden incluir xerostomía, dolor en la lengua, las encías inflamadas o sangrantes, e hinchazón de la cara, los labios y la lengua. Algunos efectos adversos están relacionados</w:t>
      </w:r>
      <w:r>
        <w:rPr>
          <w:spacing w:val="-17"/>
        </w:rPr>
        <w:t> </w:t>
      </w:r>
      <w:r>
        <w:rPr/>
        <w:t>con</w:t>
      </w:r>
      <w:r>
        <w:rPr>
          <w:spacing w:val="-16"/>
        </w:rPr>
        <w:t> </w:t>
      </w:r>
      <w:r>
        <w:rPr/>
        <w:t>la</w:t>
      </w:r>
      <w:r>
        <w:rPr>
          <w:spacing w:val="-16"/>
        </w:rPr>
        <w:t> </w:t>
      </w:r>
      <w:r>
        <w:rPr/>
        <w:t>dosis</w:t>
      </w:r>
      <w:r>
        <w:rPr>
          <w:spacing w:val="-17"/>
        </w:rPr>
        <w:t> </w:t>
      </w:r>
      <w:r>
        <w:rPr/>
        <w:t>de</w:t>
      </w:r>
      <w:r>
        <w:rPr>
          <w:spacing w:val="-16"/>
        </w:rPr>
        <w:t> </w:t>
      </w:r>
      <w:r>
        <w:rPr/>
        <w:t>los</w:t>
      </w:r>
      <w:r>
        <w:rPr>
          <w:spacing w:val="-17"/>
        </w:rPr>
        <w:t> </w:t>
      </w:r>
      <w:r>
        <w:rPr/>
        <w:t>medicamentos,</w:t>
      </w:r>
      <w:r>
        <w:rPr>
          <w:spacing w:val="-16"/>
        </w:rPr>
        <w:t> </w:t>
      </w:r>
      <w:r>
        <w:rPr/>
        <w:t>mientras</w:t>
      </w:r>
      <w:r>
        <w:rPr>
          <w:spacing w:val="-17"/>
        </w:rPr>
        <w:t> </w:t>
      </w:r>
      <w:r>
        <w:rPr/>
        <w:t>que</w:t>
      </w:r>
      <w:r>
        <w:rPr>
          <w:spacing w:val="-16"/>
        </w:rPr>
        <w:t> </w:t>
      </w:r>
      <w:r>
        <w:rPr/>
        <w:t>otros</w:t>
      </w:r>
      <w:r>
        <w:rPr>
          <w:spacing w:val="-17"/>
        </w:rPr>
        <w:t> </w:t>
      </w:r>
      <w:r>
        <w:rPr/>
        <w:t>efectos,</w:t>
      </w:r>
      <w:r>
        <w:rPr>
          <w:spacing w:val="-16"/>
        </w:rPr>
        <w:t> </w:t>
      </w:r>
      <w:r>
        <w:rPr/>
        <w:t>tales</w:t>
      </w:r>
      <w:r>
        <w:rPr>
          <w:spacing w:val="-17"/>
        </w:rPr>
        <w:t> </w:t>
      </w:r>
      <w:r>
        <w:rPr/>
        <w:t>como reacciones</w:t>
      </w:r>
      <w:r>
        <w:rPr>
          <w:spacing w:val="-10"/>
        </w:rPr>
        <w:t> </w:t>
      </w:r>
      <w:r>
        <w:rPr/>
        <w:t>de</w:t>
      </w:r>
      <w:r>
        <w:rPr>
          <w:spacing w:val="-10"/>
        </w:rPr>
        <w:t> </w:t>
      </w:r>
      <w:r>
        <w:rPr/>
        <w:t>tipo</w:t>
      </w:r>
      <w:r>
        <w:rPr>
          <w:spacing w:val="-10"/>
        </w:rPr>
        <w:t> </w:t>
      </w:r>
      <w:r>
        <w:rPr/>
        <w:t>alérgico,</w:t>
      </w:r>
      <w:r>
        <w:rPr>
          <w:spacing w:val="-10"/>
        </w:rPr>
        <w:t> </w:t>
      </w:r>
      <w:r>
        <w:rPr/>
        <w:t>se</w:t>
      </w:r>
      <w:r>
        <w:rPr>
          <w:spacing w:val="-10"/>
        </w:rPr>
        <w:t> </w:t>
      </w:r>
      <w:r>
        <w:rPr/>
        <w:t>producen</w:t>
      </w:r>
      <w:r>
        <w:rPr>
          <w:spacing w:val="-9"/>
        </w:rPr>
        <w:t> </w:t>
      </w:r>
      <w:r>
        <w:rPr/>
        <w:t>independientemente</w:t>
      </w:r>
      <w:r>
        <w:rPr>
          <w:spacing w:val="-10"/>
        </w:rPr>
        <w:t> </w:t>
      </w:r>
      <w:r>
        <w:rPr/>
        <w:t>de</w:t>
      </w:r>
      <w:r>
        <w:rPr>
          <w:spacing w:val="-10"/>
        </w:rPr>
        <w:t> </w:t>
      </w:r>
      <w:r>
        <w:rPr/>
        <w:t>la</w:t>
      </w:r>
      <w:r>
        <w:rPr>
          <w:spacing w:val="-12"/>
        </w:rPr>
        <w:t> </w:t>
      </w:r>
      <w:r>
        <w:rPr/>
        <w:t>dosis</w:t>
      </w:r>
      <w:r>
        <w:rPr>
          <w:spacing w:val="-4"/>
        </w:rPr>
        <w:t> </w:t>
      </w:r>
      <w:r>
        <w:rPr>
          <w:spacing w:val="-3"/>
          <w:position w:val="8"/>
          <w:sz w:val="16"/>
        </w:rPr>
        <w:t>(8)</w:t>
      </w:r>
      <w:r>
        <w:rPr>
          <w:spacing w:val="-3"/>
        </w:rPr>
        <w:t>.</w:t>
      </w:r>
    </w:p>
    <w:p>
      <w:pPr>
        <w:spacing w:after="0" w:line="360" w:lineRule="auto"/>
        <w:jc w:val="both"/>
        <w:sectPr>
          <w:pgSz w:w="12240" w:h="15840"/>
          <w:pgMar w:header="749" w:footer="1003" w:top="960" w:bottom="1200" w:left="1300" w:right="1580"/>
        </w:sectPr>
      </w:pPr>
    </w:p>
    <w:p>
      <w:pPr>
        <w:pStyle w:val="BodyText"/>
        <w:rPr>
          <w:sz w:val="20"/>
        </w:rPr>
      </w:pPr>
    </w:p>
    <w:p>
      <w:pPr>
        <w:pStyle w:val="BodyText"/>
        <w:rPr>
          <w:sz w:val="20"/>
        </w:rPr>
      </w:pPr>
    </w:p>
    <w:p>
      <w:pPr>
        <w:pStyle w:val="BodyText"/>
        <w:spacing w:before="5"/>
        <w:rPr>
          <w:sz w:val="17"/>
        </w:rPr>
      </w:pPr>
    </w:p>
    <w:p>
      <w:pPr>
        <w:pStyle w:val="BodyText"/>
        <w:spacing w:line="360" w:lineRule="auto" w:before="70"/>
        <w:ind w:left="118" w:right="115"/>
        <w:jc w:val="both"/>
      </w:pPr>
      <w:r>
        <w:rPr/>
        <w:t>En este tipo de pacientes el tratamiento endodóntico juega un papel muy importante, ya que en caso de presentarse una crisis epiléptica puede deglutir algún instrumento o provocase más fácilmente traumas dentales, siempre debemos preferir un tratamiento endodóntico que nos permita la conservación dental; para que la cavidad oral se encuentre en adecuadas condiciones y cumpla con la función masticatoria en lugar de optar por realiza exodoncias y la posterior colocación de una prótesis removible </w:t>
      </w:r>
      <w:r>
        <w:rPr>
          <w:position w:val="8"/>
          <w:sz w:val="16"/>
        </w:rPr>
        <w:t>(25)</w:t>
      </w:r>
      <w:r>
        <w:rPr/>
        <w:t>.</w:t>
      </w:r>
    </w:p>
    <w:p>
      <w:pPr>
        <w:pStyle w:val="Heading2"/>
        <w:numPr>
          <w:ilvl w:val="2"/>
          <w:numId w:val="8"/>
        </w:numPr>
        <w:tabs>
          <w:tab w:pos="723" w:val="left" w:leader="none"/>
        </w:tabs>
        <w:spacing w:line="240" w:lineRule="auto" w:before="198" w:after="0"/>
        <w:ind w:left="722" w:right="0" w:hanging="604"/>
        <w:jc w:val="both"/>
      </w:pPr>
      <w:r>
        <w:rPr/>
        <w:t>Afecciones Bucales del Paciente</w:t>
      </w:r>
      <w:r>
        <w:rPr>
          <w:spacing w:val="-14"/>
        </w:rPr>
        <w:t> </w:t>
      </w:r>
      <w:r>
        <w:rPr/>
        <w:t>Epiléptico.</w:t>
      </w:r>
    </w:p>
    <w:p>
      <w:pPr>
        <w:pStyle w:val="BodyText"/>
        <w:spacing w:before="5"/>
        <w:rPr>
          <w:b/>
          <w:sz w:val="29"/>
        </w:rPr>
      </w:pPr>
    </w:p>
    <w:p>
      <w:pPr>
        <w:pStyle w:val="BodyText"/>
        <w:spacing w:line="360" w:lineRule="auto"/>
        <w:ind w:left="118" w:right="118"/>
        <w:jc w:val="both"/>
      </w:pPr>
      <w:r>
        <w:rPr/>
        <w:t>Dentro de las afecciones más frecuentes en la cavidad bucal se encuentran: caries dental, enfermedad periodontal (gingivitis, periodontitis, lesiones endoperiodontales), hiperplasia gingival </w:t>
      </w:r>
      <w:r>
        <w:rPr>
          <w:position w:val="8"/>
          <w:sz w:val="16"/>
        </w:rPr>
        <w:t>(13)</w:t>
      </w:r>
      <w:r>
        <w:rPr/>
        <w:t>. Además, su condición dental se ve agravada por las lesiones y daños causados a tejidos duros y blandos en la región maxilofacial durante las convulsiones, y producto de las reacciones adversas de los fármacos antiepilépticos consumidos.</w:t>
      </w:r>
    </w:p>
    <w:p>
      <w:pPr>
        <w:pStyle w:val="BodyText"/>
      </w:pPr>
    </w:p>
    <w:p>
      <w:pPr>
        <w:pStyle w:val="Heading2"/>
        <w:numPr>
          <w:ilvl w:val="2"/>
          <w:numId w:val="8"/>
        </w:numPr>
        <w:tabs>
          <w:tab w:pos="722" w:val="left" w:leader="none"/>
        </w:tabs>
        <w:spacing w:line="240" w:lineRule="auto" w:before="142" w:after="0"/>
        <w:ind w:left="721" w:right="0" w:hanging="603"/>
        <w:jc w:val="both"/>
      </w:pPr>
      <w:r>
        <w:rPr/>
        <w:t>Caries Dental y efectos sobre la</w:t>
      </w:r>
      <w:r>
        <w:rPr>
          <w:spacing w:val="-15"/>
        </w:rPr>
        <w:t> </w:t>
      </w:r>
      <w:r>
        <w:rPr/>
        <w:t>pulpa.</w:t>
      </w:r>
    </w:p>
    <w:p>
      <w:pPr>
        <w:pStyle w:val="BodyText"/>
        <w:rPr>
          <w:b/>
        </w:rPr>
      </w:pPr>
    </w:p>
    <w:p>
      <w:pPr>
        <w:pStyle w:val="BodyText"/>
        <w:rPr>
          <w:b/>
        </w:rPr>
      </w:pPr>
    </w:p>
    <w:p>
      <w:pPr>
        <w:pStyle w:val="BodyText"/>
        <w:spacing w:line="360" w:lineRule="auto"/>
        <w:ind w:left="118" w:right="116"/>
        <w:jc w:val="both"/>
      </w:pPr>
      <w:r>
        <w:rPr/>
        <w:t>La pulpa dental es un tejido conectivo que está situado en un ambiente único ya que se encuentra encerrada en una cámara rígida de dentina mineralizada (reacción de</w:t>
      </w:r>
      <w:r>
        <w:rPr>
          <w:spacing w:val="-28"/>
        </w:rPr>
        <w:t> </w:t>
      </w:r>
      <w:r>
        <w:rPr/>
        <w:t>la pulpa). El complejo pulpo-dentinario es un concepto importante para entender la patobiología de la dentina y de la pulpa. Durante el desarrollo, las células pulpares producen dentina, nervios, vasos sanguíneos, aunque la dentina y la pulpa tienen diferentes estructuras y composiciones, una vez formadas reaccionan frente al estímulo</w:t>
      </w:r>
      <w:r>
        <w:rPr>
          <w:spacing w:val="-16"/>
        </w:rPr>
        <w:t> </w:t>
      </w:r>
      <w:r>
        <w:rPr/>
        <w:t>como</w:t>
      </w:r>
      <w:r>
        <w:rPr>
          <w:spacing w:val="-15"/>
        </w:rPr>
        <w:t> </w:t>
      </w:r>
      <w:r>
        <w:rPr/>
        <w:t>una</w:t>
      </w:r>
      <w:r>
        <w:rPr>
          <w:spacing w:val="-16"/>
        </w:rPr>
        <w:t> </w:t>
      </w:r>
      <w:r>
        <w:rPr/>
        <w:t>unidad</w:t>
      </w:r>
      <w:r>
        <w:rPr>
          <w:spacing w:val="-18"/>
        </w:rPr>
        <w:t> </w:t>
      </w:r>
      <w:r>
        <w:rPr/>
        <w:t>funcional.</w:t>
      </w:r>
      <w:r>
        <w:rPr>
          <w:spacing w:val="-14"/>
        </w:rPr>
        <w:t> </w:t>
      </w:r>
      <w:r>
        <w:rPr/>
        <w:t>La</w:t>
      </w:r>
      <w:r>
        <w:rPr>
          <w:spacing w:val="-16"/>
        </w:rPr>
        <w:t> </w:t>
      </w:r>
      <w:r>
        <w:rPr/>
        <w:t>exposición</w:t>
      </w:r>
      <w:r>
        <w:rPr>
          <w:spacing w:val="-13"/>
        </w:rPr>
        <w:t> </w:t>
      </w:r>
      <w:r>
        <w:rPr/>
        <w:t>de</w:t>
      </w:r>
      <w:r>
        <w:rPr>
          <w:spacing w:val="-13"/>
        </w:rPr>
        <w:t> </w:t>
      </w:r>
      <w:r>
        <w:rPr/>
        <w:t>la</w:t>
      </w:r>
      <w:r>
        <w:rPr>
          <w:spacing w:val="-16"/>
        </w:rPr>
        <w:t> </w:t>
      </w:r>
      <w:r>
        <w:rPr/>
        <w:t>dentina</w:t>
      </w:r>
      <w:r>
        <w:rPr>
          <w:spacing w:val="-16"/>
        </w:rPr>
        <w:t> </w:t>
      </w:r>
      <w:r>
        <w:rPr/>
        <w:t>a</w:t>
      </w:r>
      <w:r>
        <w:rPr>
          <w:spacing w:val="-13"/>
        </w:rPr>
        <w:t> </w:t>
      </w:r>
      <w:r>
        <w:rPr/>
        <w:t>través</w:t>
      </w:r>
      <w:r>
        <w:rPr>
          <w:spacing w:val="-14"/>
        </w:rPr>
        <w:t> </w:t>
      </w:r>
      <w:r>
        <w:rPr/>
        <w:t>de</w:t>
      </w:r>
      <w:r>
        <w:rPr>
          <w:spacing w:val="-15"/>
        </w:rPr>
        <w:t> </w:t>
      </w:r>
      <w:r>
        <w:rPr/>
        <w:t>la</w:t>
      </w:r>
      <w:r>
        <w:rPr>
          <w:spacing w:val="-16"/>
        </w:rPr>
        <w:t> </w:t>
      </w:r>
      <w:r>
        <w:rPr/>
        <w:t>atrición, el trauma o la caries, produce reacciones pulpares profundas que tienden a reducir la permeabilidad dentinal y a estimular la formación de dentina adicional</w:t>
      </w:r>
      <w:r>
        <w:rPr>
          <w:spacing w:val="-22"/>
        </w:rPr>
        <w:t> </w:t>
      </w:r>
      <w:r>
        <w:rPr>
          <w:position w:val="8"/>
          <w:sz w:val="16"/>
        </w:rPr>
        <w:t>(23)</w:t>
      </w:r>
      <w:r>
        <w:rPr/>
        <w:t>.</w:t>
      </w:r>
    </w:p>
    <w:p>
      <w:pPr>
        <w:pStyle w:val="BodyText"/>
        <w:rPr>
          <w:sz w:val="36"/>
        </w:rPr>
      </w:pPr>
    </w:p>
    <w:p>
      <w:pPr>
        <w:pStyle w:val="BodyText"/>
        <w:spacing w:line="360" w:lineRule="auto"/>
        <w:ind w:left="118" w:right="123"/>
        <w:jc w:val="both"/>
      </w:pPr>
      <w:r>
        <w:rPr/>
        <w:t>La comprensión del proceso de la caries y su efecto en la pulpa se presenta en el contexto</w:t>
      </w:r>
      <w:r>
        <w:rPr>
          <w:spacing w:val="-4"/>
        </w:rPr>
        <w:t> </w:t>
      </w:r>
      <w:r>
        <w:rPr/>
        <w:t>de</w:t>
      </w:r>
      <w:r>
        <w:rPr>
          <w:spacing w:val="-5"/>
        </w:rPr>
        <w:t> </w:t>
      </w:r>
      <w:r>
        <w:rPr/>
        <w:t>que</w:t>
      </w:r>
      <w:r>
        <w:rPr>
          <w:spacing w:val="-5"/>
        </w:rPr>
        <w:t> </w:t>
      </w:r>
      <w:r>
        <w:rPr/>
        <w:t>la</w:t>
      </w:r>
      <w:r>
        <w:rPr>
          <w:spacing w:val="-7"/>
        </w:rPr>
        <w:t> </w:t>
      </w:r>
      <w:r>
        <w:rPr/>
        <w:t>caries</w:t>
      </w:r>
      <w:r>
        <w:rPr>
          <w:spacing w:val="-5"/>
        </w:rPr>
        <w:t> </w:t>
      </w:r>
      <w:r>
        <w:rPr/>
        <w:t>se</w:t>
      </w:r>
      <w:r>
        <w:rPr>
          <w:spacing w:val="-5"/>
        </w:rPr>
        <w:t> </w:t>
      </w:r>
      <w:r>
        <w:rPr/>
        <w:t>desarrolla</w:t>
      </w:r>
      <w:r>
        <w:rPr>
          <w:spacing w:val="-5"/>
        </w:rPr>
        <w:t> </w:t>
      </w:r>
      <w:r>
        <w:rPr/>
        <w:t>en</w:t>
      </w:r>
      <w:r>
        <w:rPr>
          <w:spacing w:val="-5"/>
        </w:rPr>
        <w:t> </w:t>
      </w:r>
      <w:r>
        <w:rPr/>
        <w:t>varias</w:t>
      </w:r>
      <w:r>
        <w:rPr>
          <w:spacing w:val="-5"/>
        </w:rPr>
        <w:t> </w:t>
      </w:r>
      <w:r>
        <w:rPr/>
        <w:t>tasas</w:t>
      </w:r>
      <w:r>
        <w:rPr>
          <w:spacing w:val="-8"/>
        </w:rPr>
        <w:t> </w:t>
      </w:r>
      <w:r>
        <w:rPr/>
        <w:t>de</w:t>
      </w:r>
      <w:r>
        <w:rPr>
          <w:spacing w:val="-7"/>
        </w:rPr>
        <w:t> </w:t>
      </w:r>
      <w:r>
        <w:rPr/>
        <w:t>progresión.</w:t>
      </w:r>
      <w:r>
        <w:rPr>
          <w:spacing w:val="-5"/>
        </w:rPr>
        <w:t> </w:t>
      </w:r>
      <w:r>
        <w:rPr/>
        <w:t>La</w:t>
      </w:r>
      <w:r>
        <w:rPr>
          <w:spacing w:val="-7"/>
        </w:rPr>
        <w:t> </w:t>
      </w:r>
      <w:r>
        <w:rPr/>
        <w:t>caries</w:t>
      </w:r>
      <w:r>
        <w:rPr>
          <w:spacing w:val="-5"/>
        </w:rPr>
        <w:t> </w:t>
      </w:r>
      <w:r>
        <w:rPr/>
        <w:t>dental es una  infección localizada, destructiva  y progresiva  de  la dentina;  si se deja   </w:t>
      </w:r>
      <w:r>
        <w:rPr>
          <w:spacing w:val="63"/>
        </w:rPr>
        <w:t> </w:t>
      </w:r>
      <w:r>
        <w:rPr/>
        <w:t>sin</w:t>
      </w:r>
    </w:p>
    <w:p>
      <w:pPr>
        <w:spacing w:after="0" w:line="360" w:lineRule="auto"/>
        <w:jc w:val="both"/>
        <w:sectPr>
          <w:pgSz w:w="12240" w:h="15840"/>
          <w:pgMar w:header="749" w:footer="1003" w:top="960" w:bottom="1200" w:left="1300" w:right="1580"/>
        </w:sectPr>
      </w:pPr>
    </w:p>
    <w:p>
      <w:pPr>
        <w:pStyle w:val="BodyText"/>
        <w:rPr>
          <w:sz w:val="20"/>
        </w:rPr>
      </w:pPr>
    </w:p>
    <w:p>
      <w:pPr>
        <w:pStyle w:val="BodyText"/>
        <w:rPr>
          <w:sz w:val="20"/>
        </w:rPr>
      </w:pPr>
    </w:p>
    <w:p>
      <w:pPr>
        <w:pStyle w:val="BodyText"/>
        <w:spacing w:before="2"/>
        <w:rPr>
          <w:sz w:val="16"/>
        </w:rPr>
      </w:pPr>
    </w:p>
    <w:p>
      <w:pPr>
        <w:pStyle w:val="BodyText"/>
        <w:spacing w:line="360" w:lineRule="auto" w:before="79"/>
        <w:ind w:left="118" w:right="114"/>
        <w:jc w:val="both"/>
      </w:pPr>
      <w:r>
        <w:rPr/>
        <w:t>tratamiento, puede ocasionar necrosis pulpar y la potencial pérdida del diente </w:t>
      </w:r>
      <w:r>
        <w:rPr>
          <w:position w:val="8"/>
          <w:sz w:val="16"/>
        </w:rPr>
        <w:t>(23)</w:t>
      </w:r>
      <w:r>
        <w:rPr/>
        <w:t>. Al principio</w:t>
      </w:r>
      <w:r>
        <w:rPr>
          <w:spacing w:val="-6"/>
        </w:rPr>
        <w:t> </w:t>
      </w:r>
      <w:r>
        <w:rPr/>
        <w:t>del</w:t>
      </w:r>
      <w:r>
        <w:rPr>
          <w:spacing w:val="-10"/>
        </w:rPr>
        <w:t> </w:t>
      </w:r>
      <w:r>
        <w:rPr/>
        <w:t>proceso</w:t>
      </w:r>
      <w:r>
        <w:rPr>
          <w:spacing w:val="-8"/>
        </w:rPr>
        <w:t> </w:t>
      </w:r>
      <w:r>
        <w:rPr/>
        <w:t>de</w:t>
      </w:r>
      <w:r>
        <w:rPr>
          <w:spacing w:val="-6"/>
        </w:rPr>
        <w:t> </w:t>
      </w:r>
      <w:r>
        <w:rPr/>
        <w:t>caries,</w:t>
      </w:r>
      <w:r>
        <w:rPr>
          <w:spacing w:val="-9"/>
        </w:rPr>
        <w:t> </w:t>
      </w:r>
      <w:r>
        <w:rPr/>
        <w:t>la</w:t>
      </w:r>
      <w:r>
        <w:rPr>
          <w:spacing w:val="-9"/>
        </w:rPr>
        <w:t> </w:t>
      </w:r>
      <w:r>
        <w:rPr/>
        <w:t>pulpa</w:t>
      </w:r>
      <w:r>
        <w:rPr>
          <w:spacing w:val="-8"/>
        </w:rPr>
        <w:t> </w:t>
      </w:r>
      <w:r>
        <w:rPr/>
        <w:t>refleja</w:t>
      </w:r>
      <w:r>
        <w:rPr>
          <w:spacing w:val="-6"/>
        </w:rPr>
        <w:t> </w:t>
      </w:r>
      <w:r>
        <w:rPr/>
        <w:t>los</w:t>
      </w:r>
      <w:r>
        <w:rPr>
          <w:spacing w:val="-9"/>
        </w:rPr>
        <w:t> </w:t>
      </w:r>
      <w:r>
        <w:rPr/>
        <w:t>cambios</w:t>
      </w:r>
      <w:r>
        <w:rPr>
          <w:spacing w:val="-9"/>
        </w:rPr>
        <w:t> </w:t>
      </w:r>
      <w:r>
        <w:rPr/>
        <w:t>dentro</w:t>
      </w:r>
      <w:r>
        <w:rPr>
          <w:spacing w:val="-8"/>
        </w:rPr>
        <w:t> </w:t>
      </w:r>
      <w:r>
        <w:rPr/>
        <w:t>de</w:t>
      </w:r>
      <w:r>
        <w:rPr>
          <w:spacing w:val="-6"/>
        </w:rPr>
        <w:t> </w:t>
      </w:r>
      <w:r>
        <w:rPr/>
        <w:t>la</w:t>
      </w:r>
      <w:r>
        <w:rPr>
          <w:spacing w:val="-9"/>
        </w:rPr>
        <w:t> </w:t>
      </w:r>
      <w:r>
        <w:rPr/>
        <w:t>actividad</w:t>
      </w:r>
      <w:r>
        <w:rPr>
          <w:spacing w:val="-8"/>
        </w:rPr>
        <w:t> </w:t>
      </w:r>
      <w:r>
        <w:rPr/>
        <w:t>de</w:t>
      </w:r>
      <w:r>
        <w:rPr>
          <w:spacing w:val="-8"/>
        </w:rPr>
        <w:t> </w:t>
      </w:r>
      <w:r>
        <w:rPr/>
        <w:t>la lesión.</w:t>
      </w:r>
    </w:p>
    <w:p>
      <w:pPr>
        <w:pStyle w:val="BodyText"/>
      </w:pPr>
    </w:p>
    <w:p>
      <w:pPr>
        <w:pStyle w:val="BodyText"/>
        <w:spacing w:line="357" w:lineRule="auto" w:before="142"/>
        <w:ind w:left="118" w:right="124"/>
        <w:jc w:val="both"/>
      </w:pPr>
      <w:r>
        <w:rPr/>
        <w:t>Tres</w:t>
      </w:r>
      <w:r>
        <w:rPr>
          <w:spacing w:val="-16"/>
        </w:rPr>
        <w:t> </w:t>
      </w:r>
      <w:r>
        <w:rPr/>
        <w:t>reacciones</w:t>
      </w:r>
      <w:r>
        <w:rPr>
          <w:spacing w:val="-19"/>
        </w:rPr>
        <w:t> </w:t>
      </w:r>
      <w:r>
        <w:rPr/>
        <w:t>básicas</w:t>
      </w:r>
      <w:r>
        <w:rPr>
          <w:spacing w:val="-16"/>
        </w:rPr>
        <w:t> </w:t>
      </w:r>
      <w:r>
        <w:rPr/>
        <w:t>tienden</w:t>
      </w:r>
      <w:r>
        <w:rPr>
          <w:spacing w:val="-16"/>
        </w:rPr>
        <w:t> </w:t>
      </w:r>
      <w:r>
        <w:rPr/>
        <w:t>a</w:t>
      </w:r>
      <w:r>
        <w:rPr>
          <w:spacing w:val="-16"/>
        </w:rPr>
        <w:t> </w:t>
      </w:r>
      <w:r>
        <w:rPr/>
        <w:t>proteger</w:t>
      </w:r>
      <w:r>
        <w:rPr>
          <w:spacing w:val="-17"/>
        </w:rPr>
        <w:t> </w:t>
      </w:r>
      <w:r>
        <w:rPr/>
        <w:t>a</w:t>
      </w:r>
      <w:r>
        <w:rPr>
          <w:spacing w:val="-16"/>
        </w:rPr>
        <w:t> </w:t>
      </w:r>
      <w:r>
        <w:rPr/>
        <w:t>la</w:t>
      </w:r>
      <w:r>
        <w:rPr>
          <w:spacing w:val="-16"/>
        </w:rPr>
        <w:t> </w:t>
      </w:r>
      <w:r>
        <w:rPr/>
        <w:t>pulpa</w:t>
      </w:r>
      <w:r>
        <w:rPr>
          <w:spacing w:val="-18"/>
        </w:rPr>
        <w:t> </w:t>
      </w:r>
      <w:r>
        <w:rPr/>
        <w:t>frente</w:t>
      </w:r>
      <w:r>
        <w:rPr>
          <w:spacing w:val="-16"/>
        </w:rPr>
        <w:t> </w:t>
      </w:r>
      <w:r>
        <w:rPr/>
        <w:t>a</w:t>
      </w:r>
      <w:r>
        <w:rPr>
          <w:spacing w:val="-16"/>
        </w:rPr>
        <w:t> </w:t>
      </w:r>
      <w:r>
        <w:rPr/>
        <w:t>la</w:t>
      </w:r>
      <w:r>
        <w:rPr>
          <w:spacing w:val="-16"/>
        </w:rPr>
        <w:t> </w:t>
      </w:r>
      <w:r>
        <w:rPr/>
        <w:t>caries:</w:t>
      </w:r>
      <w:r>
        <w:rPr>
          <w:spacing w:val="-16"/>
        </w:rPr>
        <w:t> </w:t>
      </w:r>
      <w:r>
        <w:rPr/>
        <w:t>a)</w:t>
      </w:r>
      <w:r>
        <w:rPr>
          <w:spacing w:val="-17"/>
        </w:rPr>
        <w:t> </w:t>
      </w:r>
      <w:r>
        <w:rPr/>
        <w:t>un</w:t>
      </w:r>
      <w:r>
        <w:rPr>
          <w:spacing w:val="-16"/>
        </w:rPr>
        <w:t> </w:t>
      </w:r>
      <w:r>
        <w:rPr/>
        <w:t>descenso en la permeabilidad dentinaria, b) la formación de dentina terciaria y c) las reacciones inflamatorias e inmunológicas</w:t>
      </w:r>
      <w:r>
        <w:rPr>
          <w:spacing w:val="-9"/>
        </w:rPr>
        <w:t> </w:t>
      </w:r>
      <w:r>
        <w:rPr>
          <w:position w:val="8"/>
          <w:sz w:val="16"/>
        </w:rPr>
        <w:t>(26)</w:t>
      </w:r>
      <w:r>
        <w:rPr/>
        <w:t>.</w:t>
      </w:r>
    </w:p>
    <w:p>
      <w:pPr>
        <w:pStyle w:val="BodyText"/>
        <w:spacing w:before="3"/>
        <w:rPr>
          <w:sz w:val="36"/>
        </w:rPr>
      </w:pPr>
    </w:p>
    <w:p>
      <w:pPr>
        <w:pStyle w:val="BodyText"/>
        <w:spacing w:line="357" w:lineRule="auto"/>
        <w:ind w:left="118" w:right="118"/>
        <w:jc w:val="both"/>
      </w:pPr>
      <w:r>
        <w:rPr/>
        <w:t>Los metabolitos bacterianos tales como los ácidos se consideran el inicio de las reacciones pulpares, a pesar de que la capacidad tampón del fluido dentinario probablemente neutralice el pH antes de que produzca directamente una respuesta perjudicial.</w:t>
      </w:r>
      <w:r>
        <w:rPr>
          <w:spacing w:val="-8"/>
        </w:rPr>
        <w:t> </w:t>
      </w:r>
      <w:r>
        <w:rPr/>
        <w:t>La</w:t>
      </w:r>
      <w:r>
        <w:rPr>
          <w:spacing w:val="-7"/>
        </w:rPr>
        <w:t> </w:t>
      </w:r>
      <w:r>
        <w:rPr/>
        <w:t>respuesta</w:t>
      </w:r>
      <w:r>
        <w:rPr>
          <w:spacing w:val="-7"/>
        </w:rPr>
        <w:t> </w:t>
      </w:r>
      <w:r>
        <w:rPr/>
        <w:t>inflamatoria</w:t>
      </w:r>
      <w:r>
        <w:rPr>
          <w:spacing w:val="-7"/>
        </w:rPr>
        <w:t> </w:t>
      </w:r>
      <w:r>
        <w:rPr/>
        <w:t>a</w:t>
      </w:r>
      <w:r>
        <w:rPr>
          <w:spacing w:val="-7"/>
        </w:rPr>
        <w:t> </w:t>
      </w:r>
      <w:r>
        <w:rPr/>
        <w:t>la</w:t>
      </w:r>
      <w:r>
        <w:rPr>
          <w:spacing w:val="-7"/>
        </w:rPr>
        <w:t> </w:t>
      </w:r>
      <w:r>
        <w:rPr/>
        <w:t>caries</w:t>
      </w:r>
      <w:r>
        <w:rPr>
          <w:spacing w:val="-8"/>
        </w:rPr>
        <w:t> </w:t>
      </w:r>
      <w:r>
        <w:rPr/>
        <w:t>se</w:t>
      </w:r>
      <w:r>
        <w:rPr>
          <w:spacing w:val="-7"/>
        </w:rPr>
        <w:t> </w:t>
      </w:r>
      <w:r>
        <w:rPr/>
        <w:t>caracteriza</w:t>
      </w:r>
      <w:r>
        <w:rPr>
          <w:spacing w:val="-7"/>
        </w:rPr>
        <w:t> </w:t>
      </w:r>
      <w:r>
        <w:rPr/>
        <w:t>por</w:t>
      </w:r>
      <w:r>
        <w:rPr>
          <w:spacing w:val="-8"/>
        </w:rPr>
        <w:t> </w:t>
      </w:r>
      <w:r>
        <w:rPr/>
        <w:t>el</w:t>
      </w:r>
      <w:r>
        <w:rPr>
          <w:spacing w:val="-8"/>
        </w:rPr>
        <w:t> </w:t>
      </w:r>
      <w:r>
        <w:rPr/>
        <w:t>acúmulo</w:t>
      </w:r>
      <w:r>
        <w:rPr>
          <w:spacing w:val="-10"/>
        </w:rPr>
        <w:t> </w:t>
      </w:r>
      <w:r>
        <w:rPr/>
        <w:t>focal</w:t>
      </w:r>
      <w:r>
        <w:rPr>
          <w:spacing w:val="-8"/>
        </w:rPr>
        <w:t> </w:t>
      </w:r>
      <w:r>
        <w:rPr/>
        <w:t>de células inflamatorias crónicas </w:t>
      </w:r>
      <w:r>
        <w:rPr>
          <w:position w:val="8"/>
          <w:sz w:val="16"/>
        </w:rPr>
        <w:t>(26)</w:t>
      </w:r>
      <w:r>
        <w:rPr/>
        <w:t>. Este proceso está probablemente mediado, en un estadío inicial, por los odontoblastos y, posteriormente, por las células dendríticas; estas últimas son responsables de la presentación del antígeno y de la estimulación de los linfocitos T</w:t>
      </w:r>
      <w:r>
        <w:rPr>
          <w:spacing w:val="-4"/>
        </w:rPr>
        <w:t> </w:t>
      </w:r>
      <w:r>
        <w:rPr>
          <w:position w:val="8"/>
          <w:sz w:val="16"/>
        </w:rPr>
        <w:t>(23)</w:t>
      </w:r>
      <w:r>
        <w:rPr/>
        <w:t>.</w:t>
      </w:r>
    </w:p>
    <w:p>
      <w:pPr>
        <w:pStyle w:val="BodyText"/>
        <w:spacing w:before="3"/>
        <w:rPr>
          <w:sz w:val="36"/>
        </w:rPr>
      </w:pPr>
    </w:p>
    <w:p>
      <w:pPr>
        <w:pStyle w:val="BodyText"/>
        <w:spacing w:line="357" w:lineRule="auto"/>
        <w:ind w:left="118" w:right="116"/>
        <w:jc w:val="both"/>
      </w:pPr>
      <w:r>
        <w:rPr/>
        <w:t>En la lesión incipiente, los anticuerpos se acumulan en la capa odontoblástica; con el avance de la lesión, pueden verse en los túbulos dentinarios. Los mediadores neurogénicos</w:t>
      </w:r>
      <w:r>
        <w:rPr>
          <w:spacing w:val="-4"/>
        </w:rPr>
        <w:t> </w:t>
      </w:r>
      <w:r>
        <w:rPr/>
        <w:t>están</w:t>
      </w:r>
      <w:r>
        <w:rPr>
          <w:spacing w:val="-4"/>
        </w:rPr>
        <w:t> </w:t>
      </w:r>
      <w:r>
        <w:rPr/>
        <w:t>implicados</w:t>
      </w:r>
      <w:r>
        <w:rPr>
          <w:spacing w:val="-7"/>
        </w:rPr>
        <w:t> </w:t>
      </w:r>
      <w:r>
        <w:rPr/>
        <w:t>en</w:t>
      </w:r>
      <w:r>
        <w:rPr>
          <w:spacing w:val="-4"/>
        </w:rPr>
        <w:t> </w:t>
      </w:r>
      <w:r>
        <w:rPr/>
        <w:t>la</w:t>
      </w:r>
      <w:r>
        <w:rPr>
          <w:spacing w:val="-4"/>
        </w:rPr>
        <w:t> </w:t>
      </w:r>
      <w:r>
        <w:rPr/>
        <w:t>respuesta</w:t>
      </w:r>
      <w:r>
        <w:rPr>
          <w:spacing w:val="-4"/>
        </w:rPr>
        <w:t> </w:t>
      </w:r>
      <w:r>
        <w:rPr/>
        <w:t>pulpar</w:t>
      </w:r>
      <w:r>
        <w:rPr>
          <w:spacing w:val="-5"/>
        </w:rPr>
        <w:t> </w:t>
      </w:r>
      <w:r>
        <w:rPr/>
        <w:t>a</w:t>
      </w:r>
      <w:r>
        <w:rPr>
          <w:spacing w:val="-4"/>
        </w:rPr>
        <w:t> </w:t>
      </w:r>
      <w:r>
        <w:rPr/>
        <w:t>los</w:t>
      </w:r>
      <w:r>
        <w:rPr>
          <w:spacing w:val="-4"/>
        </w:rPr>
        <w:t> </w:t>
      </w:r>
      <w:r>
        <w:rPr/>
        <w:t>irritantes</w:t>
      </w:r>
      <w:r>
        <w:rPr>
          <w:spacing w:val="-7"/>
        </w:rPr>
        <w:t> </w:t>
      </w:r>
      <w:r>
        <w:rPr/>
        <w:t>y</w:t>
      </w:r>
      <w:r>
        <w:rPr>
          <w:spacing w:val="-4"/>
        </w:rPr>
        <w:t> </w:t>
      </w:r>
      <w:r>
        <w:rPr/>
        <w:t>al</w:t>
      </w:r>
      <w:r>
        <w:rPr>
          <w:spacing w:val="-5"/>
        </w:rPr>
        <w:t> </w:t>
      </w:r>
      <w:r>
        <w:rPr/>
        <w:t>igual</w:t>
      </w:r>
      <w:r>
        <w:rPr>
          <w:spacing w:val="-5"/>
        </w:rPr>
        <w:t> </w:t>
      </w:r>
      <w:r>
        <w:rPr/>
        <w:t>que</w:t>
      </w:r>
      <w:r>
        <w:rPr>
          <w:spacing w:val="-4"/>
        </w:rPr>
        <w:t> </w:t>
      </w:r>
      <w:r>
        <w:rPr/>
        <w:t>los componentes del sistema inmune, pueden mediar en el proceso patológico</w:t>
      </w:r>
      <w:r>
        <w:rPr>
          <w:spacing w:val="-22"/>
        </w:rPr>
        <w:t> </w:t>
      </w:r>
      <w:r>
        <w:rPr>
          <w:position w:val="8"/>
          <w:sz w:val="16"/>
        </w:rPr>
        <w:t>(27)</w:t>
      </w:r>
      <w:r>
        <w:rPr/>
        <w:t>.</w:t>
      </w:r>
    </w:p>
    <w:p>
      <w:pPr>
        <w:pStyle w:val="BodyText"/>
        <w:spacing w:before="2"/>
        <w:rPr>
          <w:sz w:val="36"/>
        </w:rPr>
      </w:pPr>
    </w:p>
    <w:p>
      <w:pPr>
        <w:pStyle w:val="BodyText"/>
        <w:spacing w:line="360" w:lineRule="auto" w:before="1"/>
        <w:ind w:left="118" w:right="113"/>
        <w:jc w:val="both"/>
      </w:pPr>
      <w:r>
        <w:rPr/>
        <w:t>La estimulación externa de la dentina provoca la liberación de neuropéptidos proinflamatorios desde los nervios aferentes pulpares. Se liberan sustancia P (SP) y péptido relacionado con el gen de la calcitonina (CGRP, calcitonin gene related peptide), los cuales producen respuestas vasculares tales como la vasodilatación y aumento de la permeabilidad vascular, lo que provoca un proceso inflamatorio con edema, calor y dolor. Esto se traduce en un aumento neto de la presión tisular que puede progresar a necrosis en circunstancias extremas y persistentes </w:t>
      </w:r>
      <w:r>
        <w:rPr>
          <w:position w:val="8"/>
          <w:sz w:val="16"/>
        </w:rPr>
        <w:t>(23)</w:t>
      </w:r>
      <w:r>
        <w:rPr/>
        <w:t>.</w:t>
      </w:r>
    </w:p>
    <w:p>
      <w:pPr>
        <w:spacing w:after="0" w:line="360" w:lineRule="auto"/>
        <w:jc w:val="both"/>
        <w:sectPr>
          <w:pgSz w:w="12240" w:h="15840"/>
          <w:pgMar w:header="749" w:footer="1003" w:top="960" w:bottom="1200" w:left="1300" w:right="1580"/>
        </w:sectPr>
      </w:pPr>
    </w:p>
    <w:p>
      <w:pPr>
        <w:pStyle w:val="BodyText"/>
        <w:rPr>
          <w:sz w:val="20"/>
        </w:rPr>
      </w:pPr>
    </w:p>
    <w:p>
      <w:pPr>
        <w:pStyle w:val="BodyText"/>
        <w:rPr>
          <w:sz w:val="20"/>
        </w:rPr>
      </w:pPr>
    </w:p>
    <w:p>
      <w:pPr>
        <w:pStyle w:val="BodyText"/>
        <w:spacing w:before="5"/>
        <w:rPr>
          <w:sz w:val="17"/>
        </w:rPr>
      </w:pPr>
    </w:p>
    <w:p>
      <w:pPr>
        <w:pStyle w:val="BodyText"/>
        <w:spacing w:line="360" w:lineRule="auto" w:before="70"/>
        <w:ind w:left="118" w:right="116"/>
        <w:jc w:val="both"/>
      </w:pPr>
      <w:r>
        <w:rPr/>
        <w:t>Las investigaciones histofisiológicas demuestran que la vitalidad dentaria depende en mayor</w:t>
      </w:r>
      <w:r>
        <w:rPr>
          <w:spacing w:val="-10"/>
        </w:rPr>
        <w:t> </w:t>
      </w:r>
      <w:r>
        <w:rPr/>
        <w:t>grado</w:t>
      </w:r>
      <w:r>
        <w:rPr>
          <w:spacing w:val="-11"/>
        </w:rPr>
        <w:t> </w:t>
      </w:r>
      <w:r>
        <w:rPr/>
        <w:t>de</w:t>
      </w:r>
      <w:r>
        <w:rPr>
          <w:spacing w:val="-8"/>
        </w:rPr>
        <w:t> </w:t>
      </w:r>
      <w:r>
        <w:rPr/>
        <w:t>su</w:t>
      </w:r>
      <w:r>
        <w:rPr>
          <w:spacing w:val="-11"/>
        </w:rPr>
        <w:t> </w:t>
      </w:r>
      <w:r>
        <w:rPr/>
        <w:t>microcirculación</w:t>
      </w:r>
      <w:r>
        <w:rPr>
          <w:spacing w:val="-8"/>
        </w:rPr>
        <w:t> </w:t>
      </w:r>
      <w:r>
        <w:rPr/>
        <w:t>que</w:t>
      </w:r>
      <w:r>
        <w:rPr>
          <w:spacing w:val="-8"/>
        </w:rPr>
        <w:t> </w:t>
      </w:r>
      <w:r>
        <w:rPr/>
        <w:t>de</w:t>
      </w:r>
      <w:r>
        <w:rPr>
          <w:spacing w:val="-8"/>
        </w:rPr>
        <w:t> </w:t>
      </w:r>
      <w:r>
        <w:rPr/>
        <w:t>su</w:t>
      </w:r>
      <w:r>
        <w:rPr>
          <w:spacing w:val="-11"/>
        </w:rPr>
        <w:t> </w:t>
      </w:r>
      <w:r>
        <w:rPr/>
        <w:t>mecanismo</w:t>
      </w:r>
      <w:r>
        <w:rPr>
          <w:spacing w:val="-8"/>
        </w:rPr>
        <w:t> </w:t>
      </w:r>
      <w:r>
        <w:rPr/>
        <w:t>sensitivo.</w:t>
      </w:r>
      <w:r>
        <w:rPr>
          <w:spacing w:val="-9"/>
        </w:rPr>
        <w:t> </w:t>
      </w:r>
      <w:r>
        <w:rPr/>
        <w:t>Se</w:t>
      </w:r>
      <w:r>
        <w:rPr>
          <w:spacing w:val="-8"/>
        </w:rPr>
        <w:t> </w:t>
      </w:r>
      <w:r>
        <w:rPr/>
        <w:t>considera</w:t>
      </w:r>
      <w:r>
        <w:rPr>
          <w:spacing w:val="-11"/>
        </w:rPr>
        <w:t> </w:t>
      </w:r>
      <w:r>
        <w:rPr/>
        <w:t>que el flujo sanguíneo pulpar es el más rápido del organismo, alcanzando una velocidad de 0,3 mm/seg en las arteriolas, de 0,15 mm en las vénulas, y de 0,08 mm en los capilares,</w:t>
      </w:r>
      <w:r>
        <w:rPr>
          <w:spacing w:val="-18"/>
        </w:rPr>
        <w:t> </w:t>
      </w:r>
      <w:r>
        <w:rPr/>
        <w:t>lo</w:t>
      </w:r>
      <w:r>
        <w:rPr>
          <w:spacing w:val="-18"/>
        </w:rPr>
        <w:t> </w:t>
      </w:r>
      <w:r>
        <w:rPr/>
        <w:t>que</w:t>
      </w:r>
      <w:r>
        <w:rPr>
          <w:spacing w:val="-18"/>
        </w:rPr>
        <w:t> </w:t>
      </w:r>
      <w:r>
        <w:rPr/>
        <w:t>provoca</w:t>
      </w:r>
      <w:r>
        <w:rPr>
          <w:spacing w:val="-18"/>
        </w:rPr>
        <w:t> </w:t>
      </w:r>
      <w:r>
        <w:rPr/>
        <w:t>que</w:t>
      </w:r>
      <w:r>
        <w:rPr>
          <w:spacing w:val="-18"/>
        </w:rPr>
        <w:t> </w:t>
      </w:r>
      <w:r>
        <w:rPr/>
        <w:t>la</w:t>
      </w:r>
      <w:r>
        <w:rPr>
          <w:spacing w:val="-18"/>
        </w:rPr>
        <w:t> </w:t>
      </w:r>
      <w:r>
        <w:rPr/>
        <w:t>presión</w:t>
      </w:r>
      <w:r>
        <w:rPr>
          <w:spacing w:val="-18"/>
        </w:rPr>
        <w:t> </w:t>
      </w:r>
      <w:r>
        <w:rPr/>
        <w:t>sanguínea</w:t>
      </w:r>
      <w:r>
        <w:rPr>
          <w:spacing w:val="-18"/>
        </w:rPr>
        <w:t> </w:t>
      </w:r>
      <w:r>
        <w:rPr/>
        <w:t>pulpar</w:t>
      </w:r>
      <w:r>
        <w:rPr>
          <w:spacing w:val="-19"/>
        </w:rPr>
        <w:t> </w:t>
      </w:r>
      <w:r>
        <w:rPr/>
        <w:t>sea</w:t>
      </w:r>
      <w:r>
        <w:rPr>
          <w:spacing w:val="-18"/>
        </w:rPr>
        <w:t> </w:t>
      </w:r>
      <w:r>
        <w:rPr/>
        <w:t>una</w:t>
      </w:r>
      <w:r>
        <w:rPr>
          <w:spacing w:val="-18"/>
        </w:rPr>
        <w:t> </w:t>
      </w:r>
      <w:r>
        <w:rPr/>
        <w:t>de</w:t>
      </w:r>
      <w:r>
        <w:rPr>
          <w:spacing w:val="-18"/>
        </w:rPr>
        <w:t> </w:t>
      </w:r>
      <w:r>
        <w:rPr/>
        <w:t>las</w:t>
      </w:r>
      <w:r>
        <w:rPr>
          <w:spacing w:val="-18"/>
        </w:rPr>
        <w:t> </w:t>
      </w:r>
      <w:r>
        <w:rPr/>
        <w:t>más</w:t>
      </w:r>
      <w:r>
        <w:rPr>
          <w:spacing w:val="-19"/>
        </w:rPr>
        <w:t> </w:t>
      </w:r>
      <w:r>
        <w:rPr/>
        <w:t>elevadas en comparación con otros tejidos</w:t>
      </w:r>
      <w:r>
        <w:rPr>
          <w:spacing w:val="-10"/>
        </w:rPr>
        <w:t> </w:t>
      </w:r>
      <w:r>
        <w:rPr/>
        <w:t>orgánicos</w:t>
      </w:r>
      <w:r>
        <w:rPr>
          <w:position w:val="8"/>
          <w:sz w:val="16"/>
        </w:rPr>
        <w:t>(23)</w:t>
      </w:r>
      <w:r>
        <w:rPr/>
        <w:t>.</w:t>
      </w:r>
    </w:p>
    <w:p>
      <w:pPr>
        <w:pStyle w:val="BodyText"/>
        <w:rPr>
          <w:sz w:val="36"/>
        </w:rPr>
      </w:pPr>
    </w:p>
    <w:p>
      <w:pPr>
        <w:pStyle w:val="BodyText"/>
        <w:spacing w:line="360" w:lineRule="auto"/>
        <w:ind w:left="118" w:right="117"/>
        <w:jc w:val="both"/>
      </w:pPr>
      <w:r>
        <w:rPr/>
        <w:t>El acumulo de células inflamatorias comienza a ser marcado cuando la lesión cariosa se aproxima a la pulpa y la infección alcanza la dentina terciaria. La exposición</w:t>
      </w:r>
      <w:r>
        <w:rPr>
          <w:spacing w:val="-36"/>
        </w:rPr>
        <w:t> </w:t>
      </w:r>
      <w:r>
        <w:rPr/>
        <w:t>pulpar en los dientes deciduos e inmaduros puede provocar una respuesta proliferativa o hiperplásica</w:t>
      </w:r>
      <w:r>
        <w:rPr>
          <w:spacing w:val="-6"/>
        </w:rPr>
        <w:t> </w:t>
      </w:r>
      <w:r>
        <w:rPr/>
        <w:t>o</w:t>
      </w:r>
      <w:r>
        <w:rPr>
          <w:spacing w:val="-8"/>
        </w:rPr>
        <w:t> </w:t>
      </w:r>
      <w:r>
        <w:rPr/>
        <w:t>formación</w:t>
      </w:r>
      <w:r>
        <w:rPr>
          <w:spacing w:val="-6"/>
        </w:rPr>
        <w:t> </w:t>
      </w:r>
      <w:r>
        <w:rPr/>
        <w:t>de</w:t>
      </w:r>
      <w:r>
        <w:rPr>
          <w:spacing w:val="-6"/>
        </w:rPr>
        <w:t> </w:t>
      </w:r>
      <w:r>
        <w:rPr/>
        <w:t>un</w:t>
      </w:r>
      <w:r>
        <w:rPr>
          <w:spacing w:val="-6"/>
        </w:rPr>
        <w:t> </w:t>
      </w:r>
      <w:r>
        <w:rPr/>
        <w:t>pólipo</w:t>
      </w:r>
      <w:r>
        <w:rPr>
          <w:spacing w:val="-6"/>
        </w:rPr>
        <w:t> </w:t>
      </w:r>
      <w:r>
        <w:rPr/>
        <w:t>pulpar</w:t>
      </w:r>
      <w:r>
        <w:rPr>
          <w:spacing w:val="-10"/>
        </w:rPr>
        <w:t> </w:t>
      </w:r>
      <w:r>
        <w:rPr/>
        <w:t>por</w:t>
      </w:r>
      <w:r>
        <w:rPr>
          <w:spacing w:val="-5"/>
        </w:rPr>
        <w:t> </w:t>
      </w:r>
      <w:r>
        <w:rPr/>
        <w:t>la</w:t>
      </w:r>
      <w:r>
        <w:rPr>
          <w:spacing w:val="-6"/>
        </w:rPr>
        <w:t> </w:t>
      </w:r>
      <w:r>
        <w:rPr/>
        <w:t>rica</w:t>
      </w:r>
      <w:r>
        <w:rPr>
          <w:spacing w:val="-4"/>
        </w:rPr>
        <w:t> </w:t>
      </w:r>
      <w:r>
        <w:rPr/>
        <w:t>irrigación</w:t>
      </w:r>
      <w:r>
        <w:rPr>
          <w:spacing w:val="-4"/>
        </w:rPr>
        <w:t> </w:t>
      </w:r>
      <w:r>
        <w:rPr/>
        <w:t>sanguínea,</w:t>
      </w:r>
      <w:r>
        <w:rPr>
          <w:spacing w:val="-4"/>
        </w:rPr>
        <w:t> </w:t>
      </w:r>
      <w:r>
        <w:rPr/>
        <w:t>junto</w:t>
      </w:r>
      <w:r>
        <w:rPr>
          <w:spacing w:val="-5"/>
        </w:rPr>
        <w:t> </w:t>
      </w:r>
      <w:r>
        <w:rPr/>
        <w:t>con el abundante drenaje linfático y oral</w:t>
      </w:r>
      <w:r>
        <w:rPr>
          <w:spacing w:val="-15"/>
        </w:rPr>
        <w:t> </w:t>
      </w:r>
      <w:r>
        <w:rPr>
          <w:position w:val="8"/>
          <w:sz w:val="16"/>
        </w:rPr>
        <w:t>(25)</w:t>
      </w:r>
      <w:r>
        <w:rPr/>
        <w:t>.</w:t>
      </w:r>
    </w:p>
    <w:p>
      <w:pPr>
        <w:pStyle w:val="BodyText"/>
        <w:rPr>
          <w:sz w:val="36"/>
        </w:rPr>
      </w:pPr>
    </w:p>
    <w:p>
      <w:pPr>
        <w:pStyle w:val="Heading2"/>
        <w:numPr>
          <w:ilvl w:val="2"/>
          <w:numId w:val="8"/>
        </w:numPr>
        <w:tabs>
          <w:tab w:pos="722" w:val="left" w:leader="none"/>
        </w:tabs>
        <w:spacing w:line="240" w:lineRule="auto" w:before="0" w:after="0"/>
        <w:ind w:left="721" w:right="0" w:hanging="603"/>
        <w:jc w:val="both"/>
      </w:pPr>
      <w:r>
        <w:rPr/>
        <w:t>Lesiones</w:t>
      </w:r>
      <w:r>
        <w:rPr>
          <w:spacing w:val="-6"/>
        </w:rPr>
        <w:t> </w:t>
      </w:r>
      <w:r>
        <w:rPr/>
        <w:t>endoperiodontales.</w:t>
      </w:r>
    </w:p>
    <w:p>
      <w:pPr>
        <w:pStyle w:val="BodyText"/>
        <w:rPr>
          <w:b/>
        </w:rPr>
      </w:pPr>
    </w:p>
    <w:p>
      <w:pPr>
        <w:pStyle w:val="BodyText"/>
        <w:rPr>
          <w:b/>
        </w:rPr>
      </w:pPr>
    </w:p>
    <w:p>
      <w:pPr>
        <w:pStyle w:val="BodyText"/>
        <w:spacing w:line="360" w:lineRule="auto"/>
        <w:ind w:left="118" w:right="118"/>
        <w:jc w:val="both"/>
      </w:pPr>
      <w:r>
        <w:rPr/>
        <w:t>Desde</w:t>
      </w:r>
      <w:r>
        <w:rPr>
          <w:spacing w:val="-12"/>
        </w:rPr>
        <w:t> </w:t>
      </w:r>
      <w:r>
        <w:rPr/>
        <w:t>1964,</w:t>
      </w:r>
      <w:r>
        <w:rPr>
          <w:spacing w:val="-12"/>
        </w:rPr>
        <w:t> </w:t>
      </w:r>
      <w:r>
        <w:rPr/>
        <w:t>cuando</w:t>
      </w:r>
      <w:r>
        <w:rPr>
          <w:spacing w:val="-12"/>
        </w:rPr>
        <w:t> </w:t>
      </w:r>
      <w:r>
        <w:rPr/>
        <w:t>Simring</w:t>
      </w:r>
      <w:r>
        <w:rPr>
          <w:spacing w:val="-9"/>
        </w:rPr>
        <w:t> </w:t>
      </w:r>
      <w:r>
        <w:rPr/>
        <w:t>y</w:t>
      </w:r>
      <w:r>
        <w:rPr>
          <w:spacing w:val="-13"/>
        </w:rPr>
        <w:t> </w:t>
      </w:r>
      <w:r>
        <w:rPr/>
        <w:t>Goldberg</w:t>
      </w:r>
      <w:r>
        <w:rPr>
          <w:spacing w:val="-12"/>
        </w:rPr>
        <w:t> </w:t>
      </w:r>
      <w:r>
        <w:rPr/>
        <w:t>describieron</w:t>
      </w:r>
      <w:r>
        <w:rPr>
          <w:spacing w:val="-9"/>
        </w:rPr>
        <w:t> </w:t>
      </w:r>
      <w:r>
        <w:rPr/>
        <w:t>por</w:t>
      </w:r>
      <w:r>
        <w:rPr>
          <w:spacing w:val="-11"/>
        </w:rPr>
        <w:t> </w:t>
      </w:r>
      <w:r>
        <w:rPr/>
        <w:t>primera</w:t>
      </w:r>
      <w:r>
        <w:rPr>
          <w:spacing w:val="-12"/>
        </w:rPr>
        <w:t> </w:t>
      </w:r>
      <w:r>
        <w:rPr/>
        <w:t>vez</w:t>
      </w:r>
      <w:r>
        <w:rPr>
          <w:spacing w:val="-10"/>
        </w:rPr>
        <w:t> </w:t>
      </w:r>
      <w:r>
        <w:rPr/>
        <w:t>la</w:t>
      </w:r>
      <w:r>
        <w:rPr>
          <w:spacing w:val="-10"/>
        </w:rPr>
        <w:t> </w:t>
      </w:r>
      <w:r>
        <w:rPr/>
        <w:t>relación</w:t>
      </w:r>
      <w:r>
        <w:rPr>
          <w:spacing w:val="-11"/>
        </w:rPr>
        <w:t> </w:t>
      </w:r>
      <w:r>
        <w:rPr/>
        <w:t>entre la enfermedad pulpar y periodontal, las relaciones entre las enfermedades pulpares y periodontales</w:t>
      </w:r>
      <w:r>
        <w:rPr>
          <w:spacing w:val="-13"/>
        </w:rPr>
        <w:t> </w:t>
      </w:r>
      <w:r>
        <w:rPr/>
        <w:t>ocurren</w:t>
      </w:r>
      <w:r>
        <w:rPr>
          <w:spacing w:val="-14"/>
        </w:rPr>
        <w:t> </w:t>
      </w:r>
      <w:r>
        <w:rPr/>
        <w:t>a</w:t>
      </w:r>
      <w:r>
        <w:rPr>
          <w:spacing w:val="-12"/>
        </w:rPr>
        <w:t> </w:t>
      </w:r>
      <w:r>
        <w:rPr/>
        <w:t>través</w:t>
      </w:r>
      <w:r>
        <w:rPr>
          <w:spacing w:val="-13"/>
        </w:rPr>
        <w:t> </w:t>
      </w:r>
      <w:r>
        <w:rPr/>
        <w:t>de</w:t>
      </w:r>
      <w:r>
        <w:rPr>
          <w:spacing w:val="-12"/>
        </w:rPr>
        <w:t> </w:t>
      </w:r>
      <w:r>
        <w:rPr/>
        <w:t>las</w:t>
      </w:r>
      <w:r>
        <w:rPr>
          <w:spacing w:val="-14"/>
        </w:rPr>
        <w:t> </w:t>
      </w:r>
      <w:r>
        <w:rPr/>
        <w:t>íntimas</w:t>
      </w:r>
      <w:r>
        <w:rPr>
          <w:spacing w:val="-17"/>
        </w:rPr>
        <w:t> </w:t>
      </w:r>
      <w:r>
        <w:rPr/>
        <w:t>conexiones</w:t>
      </w:r>
      <w:r>
        <w:rPr>
          <w:spacing w:val="-15"/>
        </w:rPr>
        <w:t> </w:t>
      </w:r>
      <w:r>
        <w:rPr/>
        <w:t>anatómicas</w:t>
      </w:r>
      <w:r>
        <w:rPr>
          <w:spacing w:val="-13"/>
        </w:rPr>
        <w:t> </w:t>
      </w:r>
      <w:r>
        <w:rPr/>
        <w:t>y</w:t>
      </w:r>
      <w:r>
        <w:rPr>
          <w:spacing w:val="-15"/>
        </w:rPr>
        <w:t> </w:t>
      </w:r>
      <w:r>
        <w:rPr/>
        <w:t>vasculares</w:t>
      </w:r>
      <w:r>
        <w:rPr>
          <w:spacing w:val="-13"/>
        </w:rPr>
        <w:t> </w:t>
      </w:r>
      <w:r>
        <w:rPr/>
        <w:t>que existen entre la pulpa y el periodonto; tradicionalmente, estas interrelaciones se han demostrado mediante el empleo de criterios radiológicos, histopatológicos y clínicos. Los</w:t>
      </w:r>
      <w:r>
        <w:rPr>
          <w:spacing w:val="-9"/>
        </w:rPr>
        <w:t> </w:t>
      </w:r>
      <w:r>
        <w:rPr/>
        <w:t>trastornos</w:t>
      </w:r>
      <w:r>
        <w:rPr>
          <w:spacing w:val="-12"/>
        </w:rPr>
        <w:t> </w:t>
      </w:r>
      <w:r>
        <w:rPr/>
        <w:t>de</w:t>
      </w:r>
      <w:r>
        <w:rPr>
          <w:spacing w:val="-8"/>
        </w:rPr>
        <w:t> </w:t>
      </w:r>
      <w:r>
        <w:rPr/>
        <w:t>la</w:t>
      </w:r>
      <w:r>
        <w:rPr>
          <w:spacing w:val="-11"/>
        </w:rPr>
        <w:t> </w:t>
      </w:r>
      <w:r>
        <w:rPr/>
        <w:t>pulpa</w:t>
      </w:r>
      <w:r>
        <w:rPr>
          <w:spacing w:val="-8"/>
        </w:rPr>
        <w:t> </w:t>
      </w:r>
      <w:r>
        <w:rPr/>
        <w:t>dental</w:t>
      </w:r>
      <w:r>
        <w:rPr>
          <w:spacing w:val="-10"/>
        </w:rPr>
        <w:t> </w:t>
      </w:r>
      <w:r>
        <w:rPr/>
        <w:t>y</w:t>
      </w:r>
      <w:r>
        <w:rPr>
          <w:spacing w:val="-12"/>
        </w:rPr>
        <w:t> </w:t>
      </w:r>
      <w:r>
        <w:rPr/>
        <w:t>el</w:t>
      </w:r>
      <w:r>
        <w:rPr>
          <w:spacing w:val="-10"/>
        </w:rPr>
        <w:t> </w:t>
      </w:r>
      <w:r>
        <w:rPr/>
        <w:t>periodonto</w:t>
      </w:r>
      <w:r>
        <w:rPr>
          <w:spacing w:val="-8"/>
        </w:rPr>
        <w:t> </w:t>
      </w:r>
      <w:r>
        <w:rPr/>
        <w:t>son</w:t>
      </w:r>
      <w:r>
        <w:rPr>
          <w:spacing w:val="-11"/>
        </w:rPr>
        <w:t> </w:t>
      </w:r>
      <w:r>
        <w:rPr/>
        <w:t>los</w:t>
      </w:r>
      <w:r>
        <w:rPr>
          <w:spacing w:val="-9"/>
        </w:rPr>
        <w:t> </w:t>
      </w:r>
      <w:r>
        <w:rPr/>
        <w:t>causantes</w:t>
      </w:r>
      <w:r>
        <w:rPr>
          <w:spacing w:val="-9"/>
        </w:rPr>
        <w:t> </w:t>
      </w:r>
      <w:r>
        <w:rPr/>
        <w:t>de</w:t>
      </w:r>
      <w:r>
        <w:rPr>
          <w:spacing w:val="-8"/>
        </w:rPr>
        <w:t> </w:t>
      </w:r>
      <w:r>
        <w:rPr/>
        <w:t>más</w:t>
      </w:r>
      <w:r>
        <w:rPr>
          <w:spacing w:val="-9"/>
        </w:rPr>
        <w:t> </w:t>
      </w:r>
      <w:r>
        <w:rPr/>
        <w:t>del</w:t>
      </w:r>
      <w:r>
        <w:rPr>
          <w:spacing w:val="-12"/>
        </w:rPr>
        <w:t> </w:t>
      </w:r>
      <w:r>
        <w:rPr/>
        <w:t>50%</w:t>
      </w:r>
      <w:r>
        <w:rPr>
          <w:spacing w:val="-14"/>
        </w:rPr>
        <w:t> </w:t>
      </w:r>
      <w:r>
        <w:rPr/>
        <w:t>de la mortalidad del diente</w:t>
      </w:r>
      <w:r>
        <w:rPr>
          <w:spacing w:val="-10"/>
        </w:rPr>
        <w:t> </w:t>
      </w:r>
      <w:r>
        <w:rPr>
          <w:position w:val="8"/>
          <w:sz w:val="16"/>
        </w:rPr>
        <w:t>(23)</w:t>
      </w:r>
      <w:r>
        <w:rPr/>
        <w:t>.</w:t>
      </w:r>
    </w:p>
    <w:p>
      <w:pPr>
        <w:pStyle w:val="BodyText"/>
        <w:rPr>
          <w:sz w:val="36"/>
        </w:rPr>
      </w:pPr>
    </w:p>
    <w:p>
      <w:pPr>
        <w:pStyle w:val="BodyText"/>
        <w:spacing w:line="360" w:lineRule="auto"/>
        <w:ind w:left="118" w:right="127"/>
        <w:jc w:val="both"/>
      </w:pPr>
      <w:r>
        <w:rPr/>
        <w:t>Existen 5 tipos de lesiones endoperiodontales, las que se encuentran en el siguiente esquema (fig. 8):</w:t>
      </w:r>
    </w:p>
    <w:p>
      <w:pPr>
        <w:spacing w:after="0" w:line="360" w:lineRule="auto"/>
        <w:jc w:val="both"/>
        <w:sectPr>
          <w:pgSz w:w="12240" w:h="15840"/>
          <w:pgMar w:header="749" w:footer="1003" w:top="960" w:bottom="1200" w:left="1300" w:right="1580"/>
        </w:sectPr>
      </w:pPr>
    </w:p>
    <w:p>
      <w:pPr>
        <w:pStyle w:val="BodyText"/>
        <w:rPr>
          <w:sz w:val="20"/>
        </w:rPr>
      </w:pPr>
    </w:p>
    <w:p>
      <w:pPr>
        <w:pStyle w:val="BodyText"/>
        <w:rPr>
          <w:sz w:val="20"/>
        </w:rPr>
      </w:pPr>
    </w:p>
    <w:p>
      <w:pPr>
        <w:pStyle w:val="BodyText"/>
        <w:spacing w:before="7"/>
        <w:rPr>
          <w:sz w:val="23"/>
        </w:rPr>
      </w:pPr>
    </w:p>
    <w:p>
      <w:pPr>
        <w:pStyle w:val="BodyText"/>
        <w:ind w:left="1942"/>
        <w:rPr>
          <w:sz w:val="20"/>
        </w:rPr>
      </w:pPr>
      <w:r>
        <w:rPr>
          <w:sz w:val="20"/>
        </w:rPr>
        <w:drawing>
          <wp:inline distT="0" distB="0" distL="0" distR="0">
            <wp:extent cx="3500585" cy="2486025"/>
            <wp:effectExtent l="0" t="0" r="0" b="0"/>
            <wp:docPr id="19" name="image10.png" descr=""/>
            <wp:cNvGraphicFramePr>
              <a:graphicFrameLocks noChangeAspect="1"/>
            </wp:cNvGraphicFramePr>
            <a:graphic>
              <a:graphicData uri="http://schemas.openxmlformats.org/drawingml/2006/picture">
                <pic:pic>
                  <pic:nvPicPr>
                    <pic:cNvPr id="20" name="image10.png"/>
                    <pic:cNvPicPr/>
                  </pic:nvPicPr>
                  <pic:blipFill>
                    <a:blip r:embed="rId20" cstate="print"/>
                    <a:stretch>
                      <a:fillRect/>
                    </a:stretch>
                  </pic:blipFill>
                  <pic:spPr>
                    <a:xfrm>
                      <a:off x="0" y="0"/>
                      <a:ext cx="3500585" cy="2486025"/>
                    </a:xfrm>
                    <a:prstGeom prst="rect">
                      <a:avLst/>
                    </a:prstGeom>
                  </pic:spPr>
                </pic:pic>
              </a:graphicData>
            </a:graphic>
          </wp:inline>
        </w:drawing>
      </w:r>
      <w:r>
        <w:rPr>
          <w:sz w:val="20"/>
        </w:rPr>
      </w:r>
    </w:p>
    <w:p>
      <w:pPr>
        <w:spacing w:line="360" w:lineRule="auto" w:before="120"/>
        <w:ind w:left="3961" w:right="194" w:hanging="2358"/>
        <w:jc w:val="left"/>
        <w:rPr>
          <w:sz w:val="20"/>
        </w:rPr>
      </w:pPr>
      <w:r>
        <w:rPr>
          <w:sz w:val="20"/>
        </w:rPr>
        <w:t>Figura 8. Esquema de las lesiones endodónticas, periodontales y sus Combinaciones.</w:t>
      </w:r>
    </w:p>
    <w:p>
      <w:pPr>
        <w:pStyle w:val="BodyText"/>
        <w:rPr>
          <w:sz w:val="20"/>
        </w:rPr>
      </w:pPr>
    </w:p>
    <w:p>
      <w:pPr>
        <w:pStyle w:val="BodyText"/>
        <w:rPr>
          <w:sz w:val="20"/>
        </w:rPr>
      </w:pPr>
    </w:p>
    <w:p>
      <w:pPr>
        <w:pStyle w:val="BodyText"/>
        <w:rPr>
          <w:sz w:val="20"/>
        </w:rPr>
      </w:pPr>
    </w:p>
    <w:p>
      <w:pPr>
        <w:pStyle w:val="ListParagraph"/>
        <w:numPr>
          <w:ilvl w:val="3"/>
          <w:numId w:val="8"/>
        </w:numPr>
        <w:tabs>
          <w:tab w:pos="921" w:val="left" w:leader="none"/>
        </w:tabs>
        <w:spacing w:line="240" w:lineRule="auto" w:before="140" w:after="0"/>
        <w:ind w:left="920" w:right="0" w:hanging="802"/>
        <w:jc w:val="left"/>
        <w:rPr>
          <w:sz w:val="24"/>
        </w:rPr>
      </w:pPr>
      <w:r>
        <w:rPr>
          <w:sz w:val="24"/>
          <w:u w:val="single"/>
        </w:rPr>
        <w:t>Lesiones</w:t>
      </w:r>
      <w:r>
        <w:rPr>
          <w:spacing w:val="-12"/>
          <w:sz w:val="24"/>
          <w:u w:val="single"/>
        </w:rPr>
        <w:t> </w:t>
      </w:r>
      <w:r>
        <w:rPr>
          <w:sz w:val="24"/>
          <w:u w:val="single"/>
        </w:rPr>
        <w:t>endodónticas.</w:t>
      </w:r>
    </w:p>
    <w:p>
      <w:pPr>
        <w:pStyle w:val="BodyText"/>
        <w:rPr>
          <w:sz w:val="20"/>
        </w:rPr>
      </w:pPr>
    </w:p>
    <w:p>
      <w:pPr>
        <w:pStyle w:val="BodyText"/>
        <w:spacing w:before="11"/>
        <w:rPr>
          <w:sz w:val="21"/>
        </w:rPr>
      </w:pPr>
    </w:p>
    <w:p>
      <w:pPr>
        <w:pStyle w:val="BodyText"/>
        <w:spacing w:line="360" w:lineRule="auto" w:before="69"/>
        <w:ind w:left="118" w:right="122"/>
        <w:jc w:val="both"/>
      </w:pPr>
      <w:r>
        <w:rPr/>
        <w:t>Clínicamente, estas lesiones pueden aparecer al mismo tiempo con drenaje del área del surco gingival o inflamación de la encía bucal. Aunque el paciente pueda tener mínimas</w:t>
      </w:r>
      <w:r>
        <w:rPr>
          <w:spacing w:val="-12"/>
        </w:rPr>
        <w:t> </w:t>
      </w:r>
      <w:r>
        <w:rPr/>
        <w:t>molestias,</w:t>
      </w:r>
      <w:r>
        <w:rPr>
          <w:spacing w:val="-11"/>
        </w:rPr>
        <w:t> </w:t>
      </w:r>
      <w:r>
        <w:rPr/>
        <w:t>el</w:t>
      </w:r>
      <w:r>
        <w:rPr>
          <w:spacing w:val="-12"/>
        </w:rPr>
        <w:t> </w:t>
      </w:r>
      <w:r>
        <w:rPr/>
        <w:t>dolor</w:t>
      </w:r>
      <w:r>
        <w:rPr>
          <w:spacing w:val="-9"/>
        </w:rPr>
        <w:t> </w:t>
      </w:r>
      <w:r>
        <w:rPr/>
        <w:t>no</w:t>
      </w:r>
      <w:r>
        <w:rPr>
          <w:spacing w:val="-8"/>
        </w:rPr>
        <w:t> </w:t>
      </w:r>
      <w:r>
        <w:rPr/>
        <w:t>suele</w:t>
      </w:r>
      <w:r>
        <w:rPr>
          <w:spacing w:val="-11"/>
        </w:rPr>
        <w:t> </w:t>
      </w:r>
      <w:r>
        <w:rPr/>
        <w:t>estar</w:t>
      </w:r>
      <w:r>
        <w:rPr>
          <w:spacing w:val="-12"/>
        </w:rPr>
        <w:t> </w:t>
      </w:r>
      <w:r>
        <w:rPr/>
        <w:t>presente.</w:t>
      </w:r>
      <w:r>
        <w:rPr>
          <w:spacing w:val="-11"/>
        </w:rPr>
        <w:t> </w:t>
      </w:r>
      <w:r>
        <w:rPr/>
        <w:t>En</w:t>
      </w:r>
      <w:r>
        <w:rPr>
          <w:spacing w:val="-11"/>
        </w:rPr>
        <w:t> </w:t>
      </w:r>
      <w:r>
        <w:rPr/>
        <w:t>una</w:t>
      </w:r>
      <w:r>
        <w:rPr>
          <w:spacing w:val="-11"/>
        </w:rPr>
        <w:t> </w:t>
      </w:r>
      <w:r>
        <w:rPr/>
        <w:t>impresión</w:t>
      </w:r>
      <w:r>
        <w:rPr>
          <w:spacing w:val="-8"/>
        </w:rPr>
        <w:t> </w:t>
      </w:r>
      <w:r>
        <w:rPr/>
        <w:t>clínica</w:t>
      </w:r>
      <w:r>
        <w:rPr>
          <w:spacing w:val="-8"/>
        </w:rPr>
        <w:t> </w:t>
      </w:r>
      <w:r>
        <w:rPr/>
        <w:t>inicial</w:t>
      </w:r>
      <w:r>
        <w:rPr>
          <w:spacing w:val="-12"/>
        </w:rPr>
        <w:t> </w:t>
      </w:r>
      <w:r>
        <w:rPr/>
        <w:t>es que es de origen periodontal. Sin embargo, son periodontales en el caso que pase a través de ligamento periodontal. En la realidad, son fistulas derivadas de la enfermedad pulpar</w:t>
      </w:r>
      <w:r>
        <w:rPr>
          <w:spacing w:val="-10"/>
        </w:rPr>
        <w:t> </w:t>
      </w:r>
      <w:r>
        <w:rPr>
          <w:position w:val="8"/>
          <w:sz w:val="16"/>
        </w:rPr>
        <w:t>(26)</w:t>
      </w:r>
      <w:r>
        <w:rPr/>
        <w:t>.</w:t>
      </w:r>
    </w:p>
    <w:p>
      <w:pPr>
        <w:pStyle w:val="BodyText"/>
        <w:rPr>
          <w:sz w:val="36"/>
        </w:rPr>
      </w:pPr>
    </w:p>
    <w:p>
      <w:pPr>
        <w:pStyle w:val="BodyText"/>
        <w:spacing w:line="360" w:lineRule="auto"/>
        <w:ind w:left="118" w:right="116"/>
        <w:jc w:val="both"/>
      </w:pPr>
      <w:r>
        <w:rPr/>
        <w:t>Radiográficamente,</w:t>
      </w:r>
      <w:r>
        <w:rPr>
          <w:spacing w:val="-4"/>
        </w:rPr>
        <w:t> </w:t>
      </w:r>
      <w:r>
        <w:rPr/>
        <w:t>pueden</w:t>
      </w:r>
      <w:r>
        <w:rPr>
          <w:spacing w:val="-6"/>
        </w:rPr>
        <w:t> </w:t>
      </w:r>
      <w:r>
        <w:rPr/>
        <w:t>aparecer</w:t>
      </w:r>
      <w:r>
        <w:rPr>
          <w:spacing w:val="-8"/>
        </w:rPr>
        <w:t> </w:t>
      </w:r>
      <w:r>
        <w:rPr/>
        <w:t>diferentes</w:t>
      </w:r>
      <w:r>
        <w:rPr>
          <w:spacing w:val="-6"/>
        </w:rPr>
        <w:t> </w:t>
      </w:r>
      <w:r>
        <w:rPr/>
        <w:t>niveles</w:t>
      </w:r>
      <w:r>
        <w:rPr>
          <w:spacing w:val="-6"/>
        </w:rPr>
        <w:t> </w:t>
      </w:r>
      <w:r>
        <w:rPr/>
        <w:t>de</w:t>
      </w:r>
      <w:r>
        <w:rPr>
          <w:spacing w:val="-8"/>
        </w:rPr>
        <w:t> </w:t>
      </w:r>
      <w:r>
        <w:rPr/>
        <w:t>pérdida</w:t>
      </w:r>
      <w:r>
        <w:rPr>
          <w:spacing w:val="-8"/>
        </w:rPr>
        <w:t> </w:t>
      </w:r>
      <w:r>
        <w:rPr/>
        <w:t>ósea</w:t>
      </w:r>
      <w:r>
        <w:rPr>
          <w:spacing w:val="-8"/>
        </w:rPr>
        <w:t> </w:t>
      </w:r>
      <w:r>
        <w:rPr/>
        <w:t>dependiendo de la vía de fistulización. La pulpa necrótica puede causar un tracto sinusal desde el ápice pasando a lo largo del periodonto a través de la superficie radicular mesial o distal, para salir a nivel de la línea cervical. Esto aparece como una radiolucidez a lo largo de toda la longitud de la raíz</w:t>
      </w:r>
      <w:r>
        <w:rPr>
          <w:spacing w:val="-12"/>
        </w:rPr>
        <w:t> </w:t>
      </w:r>
      <w:r>
        <w:rPr>
          <w:position w:val="8"/>
          <w:sz w:val="16"/>
        </w:rPr>
        <w:t>(28)</w:t>
      </w:r>
      <w:r>
        <w:rPr/>
        <w:t>.</w:t>
      </w:r>
    </w:p>
    <w:p>
      <w:pPr>
        <w:spacing w:after="0" w:line="360" w:lineRule="auto"/>
        <w:jc w:val="both"/>
        <w:sectPr>
          <w:pgSz w:w="12240" w:h="15840"/>
          <w:pgMar w:header="749" w:footer="1003" w:top="960" w:bottom="1200" w:left="1300" w:right="1580"/>
        </w:sectPr>
      </w:pPr>
    </w:p>
    <w:p>
      <w:pPr>
        <w:pStyle w:val="BodyText"/>
        <w:rPr>
          <w:sz w:val="20"/>
        </w:rPr>
      </w:pPr>
    </w:p>
    <w:p>
      <w:pPr>
        <w:pStyle w:val="BodyText"/>
        <w:rPr>
          <w:sz w:val="20"/>
        </w:rPr>
      </w:pPr>
    </w:p>
    <w:p>
      <w:pPr>
        <w:pStyle w:val="BodyText"/>
        <w:spacing w:before="5"/>
        <w:rPr>
          <w:sz w:val="17"/>
        </w:rPr>
      </w:pPr>
    </w:p>
    <w:p>
      <w:pPr>
        <w:pStyle w:val="BodyText"/>
        <w:spacing w:line="357" w:lineRule="auto" w:before="70"/>
        <w:ind w:left="118" w:right="116"/>
        <w:jc w:val="both"/>
      </w:pPr>
      <w:r>
        <w:rPr/>
        <w:t>Estas</w:t>
      </w:r>
      <w:r>
        <w:rPr>
          <w:spacing w:val="-10"/>
        </w:rPr>
        <w:t> </w:t>
      </w:r>
      <w:r>
        <w:rPr/>
        <w:t>lesiones</w:t>
      </w:r>
      <w:r>
        <w:rPr>
          <w:spacing w:val="-13"/>
        </w:rPr>
        <w:t> </w:t>
      </w:r>
      <w:r>
        <w:rPr/>
        <w:t>ocurren</w:t>
      </w:r>
      <w:r>
        <w:rPr>
          <w:spacing w:val="-12"/>
        </w:rPr>
        <w:t> </w:t>
      </w:r>
      <w:r>
        <w:rPr/>
        <w:t>en</w:t>
      </w:r>
      <w:r>
        <w:rPr>
          <w:spacing w:val="-12"/>
        </w:rPr>
        <w:t> </w:t>
      </w:r>
      <w:r>
        <w:rPr/>
        <w:t>cualquier</w:t>
      </w:r>
      <w:r>
        <w:rPr>
          <w:spacing w:val="-13"/>
        </w:rPr>
        <w:t> </w:t>
      </w:r>
      <w:r>
        <w:rPr/>
        <w:t>diente</w:t>
      </w:r>
      <w:r>
        <w:rPr>
          <w:spacing w:val="-11"/>
        </w:rPr>
        <w:t> </w:t>
      </w:r>
      <w:r>
        <w:rPr/>
        <w:t>del</w:t>
      </w:r>
      <w:r>
        <w:rPr>
          <w:spacing w:val="-11"/>
        </w:rPr>
        <w:t> </w:t>
      </w:r>
      <w:r>
        <w:rPr/>
        <w:t>maxilar</w:t>
      </w:r>
      <w:r>
        <w:rPr>
          <w:spacing w:val="-11"/>
        </w:rPr>
        <w:t> </w:t>
      </w:r>
      <w:r>
        <w:rPr/>
        <w:t>superior</w:t>
      </w:r>
      <w:r>
        <w:rPr>
          <w:spacing w:val="-13"/>
        </w:rPr>
        <w:t> </w:t>
      </w:r>
      <w:r>
        <w:rPr/>
        <w:t>e</w:t>
      </w:r>
      <w:r>
        <w:rPr>
          <w:spacing w:val="-9"/>
        </w:rPr>
        <w:t> </w:t>
      </w:r>
      <w:r>
        <w:rPr/>
        <w:t>inferior.</w:t>
      </w:r>
      <w:r>
        <w:rPr>
          <w:spacing w:val="-10"/>
        </w:rPr>
        <w:t> </w:t>
      </w:r>
      <w:r>
        <w:rPr/>
        <w:t>La</w:t>
      </w:r>
      <w:r>
        <w:rPr>
          <w:spacing w:val="-13"/>
        </w:rPr>
        <w:t> </w:t>
      </w:r>
      <w:r>
        <w:rPr/>
        <w:t>fistulación también puede ocurrir desde el ápice hasta el área de bifurcación (Fig. 9) que, radiográficamente, genera una apariencia de enfermedad periodontal</w:t>
      </w:r>
      <w:r>
        <w:rPr>
          <w:spacing w:val="-27"/>
        </w:rPr>
        <w:t> </w:t>
      </w:r>
      <w:r>
        <w:rPr>
          <w:position w:val="8"/>
          <w:sz w:val="16"/>
        </w:rPr>
        <w:t>(26)</w:t>
      </w:r>
      <w:r>
        <w:rPr/>
        <w:t>.</w:t>
      </w:r>
    </w:p>
    <w:p>
      <w:pPr>
        <w:pStyle w:val="BodyText"/>
        <w:spacing w:before="2"/>
        <w:rPr>
          <w:sz w:val="36"/>
        </w:rPr>
      </w:pPr>
    </w:p>
    <w:p>
      <w:pPr>
        <w:pStyle w:val="BodyText"/>
        <w:spacing w:line="360" w:lineRule="auto" w:before="1"/>
        <w:ind w:left="118" w:right="114"/>
        <w:jc w:val="both"/>
      </w:pPr>
      <w:r>
        <w:rPr/>
        <w:t>Una imagen radiográfica similar puede resultar de una irritación pulpar; continúa pasando</w:t>
      </w:r>
      <w:r>
        <w:rPr>
          <w:spacing w:val="-8"/>
        </w:rPr>
        <w:t> </w:t>
      </w:r>
      <w:r>
        <w:rPr/>
        <w:t>por</w:t>
      </w:r>
      <w:r>
        <w:rPr>
          <w:spacing w:val="-7"/>
        </w:rPr>
        <w:t> </w:t>
      </w:r>
      <w:r>
        <w:rPr/>
        <w:t>un</w:t>
      </w:r>
      <w:r>
        <w:rPr>
          <w:spacing w:val="-6"/>
        </w:rPr>
        <w:t> </w:t>
      </w:r>
      <w:r>
        <w:rPr/>
        <w:t>conducto</w:t>
      </w:r>
      <w:r>
        <w:rPr>
          <w:spacing w:val="-6"/>
        </w:rPr>
        <w:t> </w:t>
      </w:r>
      <w:r>
        <w:rPr/>
        <w:t>accesorio,</w:t>
      </w:r>
      <w:r>
        <w:rPr>
          <w:spacing w:val="-6"/>
        </w:rPr>
        <w:t> </w:t>
      </w:r>
      <w:r>
        <w:rPr/>
        <w:t>que</w:t>
      </w:r>
      <w:r>
        <w:rPr>
          <w:spacing w:val="-6"/>
        </w:rPr>
        <w:t> </w:t>
      </w:r>
      <w:r>
        <w:rPr/>
        <w:t>termina</w:t>
      </w:r>
      <w:r>
        <w:rPr>
          <w:spacing w:val="-8"/>
        </w:rPr>
        <w:t> </w:t>
      </w:r>
      <w:r>
        <w:rPr/>
        <w:t>en</w:t>
      </w:r>
      <w:r>
        <w:rPr>
          <w:spacing w:val="-6"/>
        </w:rPr>
        <w:t> </w:t>
      </w:r>
      <w:r>
        <w:rPr/>
        <w:t>el</w:t>
      </w:r>
      <w:r>
        <w:rPr>
          <w:spacing w:val="-7"/>
        </w:rPr>
        <w:t> </w:t>
      </w:r>
      <w:r>
        <w:rPr/>
        <w:t>área</w:t>
      </w:r>
      <w:r>
        <w:rPr>
          <w:spacing w:val="-6"/>
        </w:rPr>
        <w:t> </w:t>
      </w:r>
      <w:r>
        <w:rPr/>
        <w:t>de</w:t>
      </w:r>
      <w:r>
        <w:rPr>
          <w:spacing w:val="-8"/>
        </w:rPr>
        <w:t> </w:t>
      </w:r>
      <w:r>
        <w:rPr/>
        <w:t>furcación.</w:t>
      </w:r>
      <w:r>
        <w:rPr>
          <w:spacing w:val="-6"/>
        </w:rPr>
        <w:t> </w:t>
      </w:r>
      <w:r>
        <w:rPr/>
        <w:t>En</w:t>
      </w:r>
      <w:r>
        <w:rPr>
          <w:spacing w:val="-6"/>
        </w:rPr>
        <w:t> </w:t>
      </w:r>
      <w:r>
        <w:rPr/>
        <w:t>cuanto</w:t>
      </w:r>
      <w:r>
        <w:rPr>
          <w:spacing w:val="-8"/>
        </w:rPr>
        <w:t> </w:t>
      </w:r>
      <w:r>
        <w:rPr/>
        <w:t>al diagnóstico, uno debe sospechar que es una lesión de origen pulpar cuando el nivel de la cresta ósea mesial y distal se ve aparentemente normal y solo hay un área de radio lucidez a nivel de la</w:t>
      </w:r>
      <w:r>
        <w:rPr>
          <w:spacing w:val="-10"/>
        </w:rPr>
        <w:t> </w:t>
      </w:r>
      <w:r>
        <w:rPr/>
        <w:t>furca</w:t>
      </w:r>
      <w:r>
        <w:rPr>
          <w:position w:val="8"/>
          <w:sz w:val="16"/>
        </w:rPr>
        <w:t>(23)</w:t>
      </w:r>
      <w:r>
        <w:rPr/>
        <w:t>.</w:t>
      </w:r>
    </w:p>
    <w:p>
      <w:pPr>
        <w:pStyle w:val="BodyText"/>
        <w:rPr>
          <w:sz w:val="36"/>
        </w:rPr>
      </w:pPr>
    </w:p>
    <w:p>
      <w:pPr>
        <w:pStyle w:val="BodyText"/>
        <w:spacing w:line="360" w:lineRule="auto"/>
        <w:ind w:left="118" w:right="116"/>
        <w:jc w:val="both"/>
      </w:pPr>
      <w:r>
        <w:rPr/>
        <w:t>Otra</w:t>
      </w:r>
      <w:r>
        <w:rPr>
          <w:spacing w:val="-9"/>
        </w:rPr>
        <w:t> </w:t>
      </w:r>
      <w:r>
        <w:rPr/>
        <w:t>posibilidad</w:t>
      </w:r>
      <w:r>
        <w:rPr>
          <w:spacing w:val="-8"/>
        </w:rPr>
        <w:t> </w:t>
      </w:r>
      <w:r>
        <w:rPr/>
        <w:t>de</w:t>
      </w:r>
      <w:r>
        <w:rPr>
          <w:spacing w:val="-8"/>
        </w:rPr>
        <w:t> </w:t>
      </w:r>
      <w:r>
        <w:rPr/>
        <w:t>resultado</w:t>
      </w:r>
      <w:r>
        <w:rPr>
          <w:spacing w:val="-8"/>
        </w:rPr>
        <w:t> </w:t>
      </w:r>
      <w:r>
        <w:rPr/>
        <w:t>de</w:t>
      </w:r>
      <w:r>
        <w:rPr>
          <w:spacing w:val="-11"/>
        </w:rPr>
        <w:t> </w:t>
      </w:r>
      <w:r>
        <w:rPr/>
        <w:t>fistulación</w:t>
      </w:r>
      <w:r>
        <w:rPr>
          <w:spacing w:val="-8"/>
        </w:rPr>
        <w:t> </w:t>
      </w:r>
      <w:r>
        <w:rPr/>
        <w:t>de</w:t>
      </w:r>
      <w:r>
        <w:rPr>
          <w:spacing w:val="-8"/>
        </w:rPr>
        <w:t> </w:t>
      </w:r>
      <w:r>
        <w:rPr/>
        <w:t>un</w:t>
      </w:r>
      <w:r>
        <w:rPr>
          <w:spacing w:val="-8"/>
        </w:rPr>
        <w:t> </w:t>
      </w:r>
      <w:r>
        <w:rPr/>
        <w:t>conducto</w:t>
      </w:r>
      <w:r>
        <w:rPr>
          <w:spacing w:val="-8"/>
        </w:rPr>
        <w:t> </w:t>
      </w:r>
      <w:r>
        <w:rPr/>
        <w:t>accesorio</w:t>
      </w:r>
      <w:r>
        <w:rPr>
          <w:spacing w:val="-8"/>
        </w:rPr>
        <w:t> </w:t>
      </w:r>
      <w:r>
        <w:rPr/>
        <w:t>a</w:t>
      </w:r>
      <w:r>
        <w:rPr>
          <w:spacing w:val="-8"/>
        </w:rPr>
        <w:t> </w:t>
      </w:r>
      <w:r>
        <w:rPr/>
        <w:t>cierta</w:t>
      </w:r>
      <w:r>
        <w:rPr>
          <w:spacing w:val="-8"/>
        </w:rPr>
        <w:t> </w:t>
      </w:r>
      <w:r>
        <w:rPr/>
        <w:t>distancia del</w:t>
      </w:r>
      <w:r>
        <w:rPr>
          <w:spacing w:val="-12"/>
        </w:rPr>
        <w:t> </w:t>
      </w:r>
      <w:r>
        <w:rPr/>
        <w:t>ápice</w:t>
      </w:r>
      <w:r>
        <w:rPr>
          <w:spacing w:val="-11"/>
        </w:rPr>
        <w:t> </w:t>
      </w:r>
      <w:r>
        <w:rPr/>
        <w:t>por</w:t>
      </w:r>
      <w:r>
        <w:rPr>
          <w:spacing w:val="-12"/>
        </w:rPr>
        <w:t> </w:t>
      </w:r>
      <w:r>
        <w:rPr/>
        <w:t>mesial</w:t>
      </w:r>
      <w:r>
        <w:rPr>
          <w:spacing w:val="-12"/>
        </w:rPr>
        <w:t> </w:t>
      </w:r>
      <w:r>
        <w:rPr/>
        <w:t>o</w:t>
      </w:r>
      <w:r>
        <w:rPr>
          <w:spacing w:val="-13"/>
        </w:rPr>
        <w:t> </w:t>
      </w:r>
      <w:r>
        <w:rPr/>
        <w:t>distal</w:t>
      </w:r>
      <w:r>
        <w:rPr>
          <w:spacing w:val="-12"/>
        </w:rPr>
        <w:t> </w:t>
      </w:r>
      <w:r>
        <w:rPr/>
        <w:t>es</w:t>
      </w:r>
      <w:r>
        <w:rPr>
          <w:spacing w:val="-14"/>
        </w:rPr>
        <w:t> </w:t>
      </w:r>
      <w:r>
        <w:rPr/>
        <w:t>que</w:t>
      </w:r>
      <w:r>
        <w:rPr>
          <w:spacing w:val="-13"/>
        </w:rPr>
        <w:t> </w:t>
      </w:r>
      <w:r>
        <w:rPr/>
        <w:t>se</w:t>
      </w:r>
      <w:r>
        <w:rPr>
          <w:spacing w:val="-6"/>
        </w:rPr>
        <w:t> </w:t>
      </w:r>
      <w:r>
        <w:rPr/>
        <w:t>puede</w:t>
      </w:r>
      <w:r>
        <w:rPr>
          <w:spacing w:val="-13"/>
        </w:rPr>
        <w:t> </w:t>
      </w:r>
      <w:r>
        <w:rPr/>
        <w:t>asemejar</w:t>
      </w:r>
      <w:r>
        <w:rPr>
          <w:spacing w:val="-12"/>
        </w:rPr>
        <w:t> </w:t>
      </w:r>
      <w:r>
        <w:rPr/>
        <w:t>a</w:t>
      </w:r>
      <w:r>
        <w:rPr>
          <w:spacing w:val="-13"/>
        </w:rPr>
        <w:t> </w:t>
      </w:r>
      <w:r>
        <w:rPr/>
        <w:t>un</w:t>
      </w:r>
      <w:r>
        <w:rPr>
          <w:spacing w:val="-13"/>
        </w:rPr>
        <w:t> </w:t>
      </w:r>
      <w:r>
        <w:rPr/>
        <w:t>bolsillo</w:t>
      </w:r>
      <w:r>
        <w:rPr>
          <w:spacing w:val="-11"/>
        </w:rPr>
        <w:t> </w:t>
      </w:r>
      <w:r>
        <w:rPr/>
        <w:t>infraoseo.</w:t>
      </w:r>
      <w:r>
        <w:rPr>
          <w:spacing w:val="-8"/>
        </w:rPr>
        <w:t> </w:t>
      </w:r>
      <w:r>
        <w:rPr/>
        <w:t>Se</w:t>
      </w:r>
      <w:r>
        <w:rPr>
          <w:spacing w:val="-11"/>
        </w:rPr>
        <w:t> </w:t>
      </w:r>
      <w:r>
        <w:rPr/>
        <w:t>debe señalar</w:t>
      </w:r>
      <w:r>
        <w:rPr>
          <w:spacing w:val="-12"/>
        </w:rPr>
        <w:t> </w:t>
      </w:r>
      <w:r>
        <w:rPr/>
        <w:t>que</w:t>
      </w:r>
      <w:r>
        <w:rPr>
          <w:spacing w:val="-11"/>
        </w:rPr>
        <w:t> </w:t>
      </w:r>
      <w:r>
        <w:rPr/>
        <w:t>si</w:t>
      </w:r>
      <w:r>
        <w:rPr>
          <w:spacing w:val="-12"/>
        </w:rPr>
        <w:t> </w:t>
      </w:r>
      <w:r>
        <w:rPr/>
        <w:t>se</w:t>
      </w:r>
      <w:r>
        <w:rPr>
          <w:spacing w:val="-11"/>
        </w:rPr>
        <w:t> </w:t>
      </w:r>
      <w:r>
        <w:rPr/>
        <w:t>produce</w:t>
      </w:r>
      <w:r>
        <w:rPr>
          <w:spacing w:val="-11"/>
        </w:rPr>
        <w:t> </w:t>
      </w:r>
      <w:r>
        <w:rPr/>
        <w:t>la</w:t>
      </w:r>
      <w:r>
        <w:rPr>
          <w:spacing w:val="-13"/>
        </w:rPr>
        <w:t> </w:t>
      </w:r>
      <w:r>
        <w:rPr/>
        <w:t>fistulización</w:t>
      </w:r>
      <w:r>
        <w:rPr>
          <w:spacing w:val="-11"/>
        </w:rPr>
        <w:t> </w:t>
      </w:r>
      <w:r>
        <w:rPr/>
        <w:t>hacia</w:t>
      </w:r>
      <w:r>
        <w:rPr>
          <w:spacing w:val="-11"/>
        </w:rPr>
        <w:t> </w:t>
      </w:r>
      <w:r>
        <w:rPr/>
        <w:t>bucal</w:t>
      </w:r>
      <w:r>
        <w:rPr>
          <w:spacing w:val="-14"/>
        </w:rPr>
        <w:t> </w:t>
      </w:r>
      <w:r>
        <w:rPr/>
        <w:t>o</w:t>
      </w:r>
      <w:r>
        <w:rPr>
          <w:spacing w:val="-11"/>
        </w:rPr>
        <w:t> </w:t>
      </w:r>
      <w:r>
        <w:rPr/>
        <w:t>lingual,</w:t>
      </w:r>
      <w:r>
        <w:rPr>
          <w:spacing w:val="-12"/>
        </w:rPr>
        <w:t> </w:t>
      </w:r>
      <w:r>
        <w:rPr/>
        <w:t>la</w:t>
      </w:r>
      <w:r>
        <w:rPr>
          <w:spacing w:val="-11"/>
        </w:rPr>
        <w:t> </w:t>
      </w:r>
      <w:r>
        <w:rPr/>
        <w:t>imagen</w:t>
      </w:r>
      <w:r>
        <w:rPr>
          <w:spacing w:val="-11"/>
        </w:rPr>
        <w:t> </w:t>
      </w:r>
      <w:r>
        <w:rPr/>
        <w:t>se</w:t>
      </w:r>
      <w:r>
        <w:rPr>
          <w:spacing w:val="-11"/>
        </w:rPr>
        <w:t> </w:t>
      </w:r>
      <w:r>
        <w:rPr/>
        <w:t>superpone sobre</w:t>
      </w:r>
      <w:r>
        <w:rPr>
          <w:spacing w:val="-11"/>
        </w:rPr>
        <w:t> </w:t>
      </w:r>
      <w:r>
        <w:rPr/>
        <w:t>la</w:t>
      </w:r>
      <w:r>
        <w:rPr>
          <w:spacing w:val="-11"/>
        </w:rPr>
        <w:t> </w:t>
      </w:r>
      <w:r>
        <w:rPr/>
        <w:t>raíz</w:t>
      </w:r>
      <w:r>
        <w:rPr>
          <w:spacing w:val="-13"/>
        </w:rPr>
        <w:t> </w:t>
      </w:r>
      <w:r>
        <w:rPr/>
        <w:t>del</w:t>
      </w:r>
      <w:r>
        <w:rPr>
          <w:spacing w:val="-12"/>
        </w:rPr>
        <w:t> </w:t>
      </w:r>
      <w:r>
        <w:rPr/>
        <w:t>diente</w:t>
      </w:r>
      <w:r>
        <w:rPr>
          <w:spacing w:val="-13"/>
        </w:rPr>
        <w:t> </w:t>
      </w:r>
      <w:r>
        <w:rPr/>
        <w:t>y</w:t>
      </w:r>
      <w:r>
        <w:rPr>
          <w:spacing w:val="-14"/>
        </w:rPr>
        <w:t> </w:t>
      </w:r>
      <w:r>
        <w:rPr/>
        <w:t>puede</w:t>
      </w:r>
      <w:r>
        <w:rPr>
          <w:spacing w:val="-13"/>
        </w:rPr>
        <w:t> </w:t>
      </w:r>
      <w:r>
        <w:rPr/>
        <w:t>que</w:t>
      </w:r>
      <w:r>
        <w:rPr>
          <w:spacing w:val="-13"/>
        </w:rPr>
        <w:t> </w:t>
      </w:r>
      <w:r>
        <w:rPr/>
        <w:t>la</w:t>
      </w:r>
      <w:r>
        <w:rPr>
          <w:spacing w:val="-10"/>
        </w:rPr>
        <w:t> </w:t>
      </w:r>
      <w:r>
        <w:rPr/>
        <w:t>radio</w:t>
      </w:r>
      <w:r>
        <w:rPr>
          <w:spacing w:val="-11"/>
        </w:rPr>
        <w:t> </w:t>
      </w:r>
      <w:r>
        <w:rPr/>
        <w:t>lucidez</w:t>
      </w:r>
      <w:r>
        <w:rPr>
          <w:spacing w:val="-11"/>
        </w:rPr>
        <w:t> </w:t>
      </w:r>
      <w:r>
        <w:rPr/>
        <w:t>no</w:t>
      </w:r>
      <w:r>
        <w:rPr>
          <w:spacing w:val="-13"/>
        </w:rPr>
        <w:t> </w:t>
      </w:r>
      <w:r>
        <w:rPr/>
        <w:t>aparezca</w:t>
      </w:r>
      <w:r>
        <w:rPr>
          <w:spacing w:val="-13"/>
        </w:rPr>
        <w:t> </w:t>
      </w:r>
      <w:r>
        <w:rPr/>
        <w:t>en</w:t>
      </w:r>
      <w:r>
        <w:rPr>
          <w:spacing w:val="-13"/>
        </w:rPr>
        <w:t> </w:t>
      </w:r>
      <w:r>
        <w:rPr/>
        <w:t>la</w:t>
      </w:r>
      <w:r>
        <w:rPr>
          <w:spacing w:val="-11"/>
        </w:rPr>
        <w:t> </w:t>
      </w:r>
      <w:r>
        <w:rPr/>
        <w:t>radiografía.</w:t>
      </w:r>
      <w:r>
        <w:rPr>
          <w:spacing w:val="-13"/>
        </w:rPr>
        <w:t> </w:t>
      </w:r>
      <w:r>
        <w:rPr/>
        <w:t>Esto también</w:t>
      </w:r>
      <w:r>
        <w:rPr>
          <w:spacing w:val="-5"/>
        </w:rPr>
        <w:t> </w:t>
      </w:r>
      <w:r>
        <w:rPr/>
        <w:t>puede</w:t>
      </w:r>
      <w:r>
        <w:rPr>
          <w:spacing w:val="-6"/>
        </w:rPr>
        <w:t> </w:t>
      </w:r>
      <w:r>
        <w:rPr/>
        <w:t>pasar</w:t>
      </w:r>
      <w:r>
        <w:rPr>
          <w:spacing w:val="-7"/>
        </w:rPr>
        <w:t> </w:t>
      </w:r>
      <w:r>
        <w:rPr/>
        <w:t>en</w:t>
      </w:r>
      <w:r>
        <w:rPr>
          <w:spacing w:val="-4"/>
        </w:rPr>
        <w:t> </w:t>
      </w:r>
      <w:r>
        <w:rPr/>
        <w:t>los</w:t>
      </w:r>
      <w:r>
        <w:rPr>
          <w:spacing w:val="-6"/>
        </w:rPr>
        <w:t> </w:t>
      </w:r>
      <w:r>
        <w:rPr/>
        <w:t>molares</w:t>
      </w:r>
      <w:r>
        <w:rPr>
          <w:spacing w:val="-4"/>
        </w:rPr>
        <w:t> </w:t>
      </w:r>
      <w:r>
        <w:rPr/>
        <w:t>superiores,</w:t>
      </w:r>
      <w:r>
        <w:rPr>
          <w:spacing w:val="-6"/>
        </w:rPr>
        <w:t> </w:t>
      </w:r>
      <w:r>
        <w:rPr/>
        <w:t>donde</w:t>
      </w:r>
      <w:r>
        <w:rPr>
          <w:spacing w:val="-6"/>
        </w:rPr>
        <w:t> </w:t>
      </w:r>
      <w:r>
        <w:rPr/>
        <w:t>la</w:t>
      </w:r>
      <w:r>
        <w:rPr>
          <w:spacing w:val="-4"/>
        </w:rPr>
        <w:t> </w:t>
      </w:r>
      <w:r>
        <w:rPr/>
        <w:t>raíz</w:t>
      </w:r>
      <w:r>
        <w:rPr>
          <w:spacing w:val="-6"/>
        </w:rPr>
        <w:t> </w:t>
      </w:r>
      <w:r>
        <w:rPr/>
        <w:t>palatina</w:t>
      </w:r>
      <w:r>
        <w:rPr>
          <w:spacing w:val="-6"/>
        </w:rPr>
        <w:t> </w:t>
      </w:r>
      <w:r>
        <w:rPr/>
        <w:t>tapa</w:t>
      </w:r>
      <w:r>
        <w:rPr>
          <w:spacing w:val="-6"/>
        </w:rPr>
        <w:t> </w:t>
      </w:r>
      <w:r>
        <w:rPr/>
        <w:t>el</w:t>
      </w:r>
      <w:r>
        <w:rPr>
          <w:spacing w:val="-5"/>
        </w:rPr>
        <w:t> </w:t>
      </w:r>
      <w:r>
        <w:rPr/>
        <w:t>área</w:t>
      </w:r>
      <w:r>
        <w:rPr>
          <w:spacing w:val="-6"/>
        </w:rPr>
        <w:t> </w:t>
      </w:r>
      <w:r>
        <w:rPr/>
        <w:t>de trifurcación</w:t>
      </w:r>
      <w:r>
        <w:rPr>
          <w:spacing w:val="-3"/>
        </w:rPr>
        <w:t> </w:t>
      </w:r>
      <w:r>
        <w:rPr>
          <w:position w:val="8"/>
          <w:sz w:val="16"/>
        </w:rPr>
        <w:t>(26)</w:t>
      </w:r>
      <w:r>
        <w:rPr/>
        <w:t>.</w:t>
      </w:r>
    </w:p>
    <w:p>
      <w:pPr>
        <w:pStyle w:val="BodyText"/>
        <w:rPr>
          <w:sz w:val="36"/>
        </w:rPr>
      </w:pPr>
    </w:p>
    <w:p>
      <w:pPr>
        <w:pStyle w:val="BodyText"/>
        <w:spacing w:line="360" w:lineRule="auto"/>
        <w:ind w:left="118" w:right="112"/>
        <w:jc w:val="both"/>
      </w:pPr>
      <w:r>
        <w:rPr/>
        <w:t>Por lo tanto, es imperativo introducir un cono de gutapercha en el tracto sinusal y tomar una radiografía, para determinar el origen de la lesión. Sin embargo, cuando la pulpa no responde al vitalometro eléctrico o a las pruebas de sesibilidad pulpar, es evidente que una pulpa necrótica puede ser la causante. Además, al sondaje se encuentra mínima cantidad de cálculo o biofilm. Por lo tanto, en realidad no son enfermedades periodontales, si no fistulas de origen endodóntico. Estas sanarán únicamente con la realización de una terapia endodóntica </w:t>
      </w:r>
      <w:r>
        <w:rPr>
          <w:position w:val="8"/>
          <w:sz w:val="16"/>
        </w:rPr>
        <w:t>(28)</w:t>
      </w:r>
      <w:r>
        <w:rPr/>
        <w:t>.</w:t>
      </w:r>
    </w:p>
    <w:p>
      <w:pPr>
        <w:spacing w:after="0" w:line="360" w:lineRule="auto"/>
        <w:jc w:val="both"/>
        <w:sectPr>
          <w:pgSz w:w="12240" w:h="15840"/>
          <w:pgMar w:header="749" w:footer="1003" w:top="960" w:bottom="1200" w:left="1300" w:right="1580"/>
        </w:sectPr>
      </w:pPr>
    </w:p>
    <w:p>
      <w:pPr>
        <w:pStyle w:val="BodyText"/>
        <w:rPr>
          <w:sz w:val="20"/>
        </w:rPr>
      </w:pPr>
    </w:p>
    <w:p>
      <w:pPr>
        <w:pStyle w:val="BodyText"/>
        <w:rPr>
          <w:sz w:val="20"/>
        </w:rPr>
      </w:pPr>
    </w:p>
    <w:p>
      <w:pPr>
        <w:pStyle w:val="BodyText"/>
        <w:spacing w:before="7"/>
        <w:rPr>
          <w:sz w:val="23"/>
        </w:rPr>
      </w:pPr>
    </w:p>
    <w:p>
      <w:pPr>
        <w:pStyle w:val="BodyText"/>
        <w:ind w:left="1109"/>
        <w:rPr>
          <w:sz w:val="20"/>
        </w:rPr>
      </w:pPr>
      <w:r>
        <w:rPr>
          <w:sz w:val="20"/>
        </w:rPr>
        <w:drawing>
          <wp:inline distT="0" distB="0" distL="0" distR="0">
            <wp:extent cx="4555820" cy="2546032"/>
            <wp:effectExtent l="0" t="0" r="0" b="0"/>
            <wp:docPr id="21" name="image11.jpeg" descr=""/>
            <wp:cNvGraphicFramePr>
              <a:graphicFrameLocks noChangeAspect="1"/>
            </wp:cNvGraphicFramePr>
            <a:graphic>
              <a:graphicData uri="http://schemas.openxmlformats.org/drawingml/2006/picture">
                <pic:pic>
                  <pic:nvPicPr>
                    <pic:cNvPr id="22" name="image11.jpeg"/>
                    <pic:cNvPicPr/>
                  </pic:nvPicPr>
                  <pic:blipFill>
                    <a:blip r:embed="rId21" cstate="print"/>
                    <a:stretch>
                      <a:fillRect/>
                    </a:stretch>
                  </pic:blipFill>
                  <pic:spPr>
                    <a:xfrm>
                      <a:off x="0" y="0"/>
                      <a:ext cx="4555820" cy="2546032"/>
                    </a:xfrm>
                    <a:prstGeom prst="rect">
                      <a:avLst/>
                    </a:prstGeom>
                  </pic:spPr>
                </pic:pic>
              </a:graphicData>
            </a:graphic>
          </wp:inline>
        </w:drawing>
      </w:r>
      <w:r>
        <w:rPr>
          <w:sz w:val="20"/>
        </w:rPr>
      </w:r>
    </w:p>
    <w:p>
      <w:pPr>
        <w:spacing w:line="360" w:lineRule="auto" w:before="123"/>
        <w:ind w:left="118" w:right="123" w:firstLine="0"/>
        <w:jc w:val="both"/>
        <w:rPr>
          <w:sz w:val="20"/>
        </w:rPr>
      </w:pPr>
      <w:r>
        <w:rPr>
          <w:sz w:val="20"/>
        </w:rPr>
        <w:t>Fig 9: (a) Las lesiones endodónticas. La vía de fistulización es evidente a través del ligamento periodontal desde el ápice o un canal lateral. b) la fistulización a través del ápice o conducto lateral puede involucrar la bifurcación.</w:t>
      </w:r>
    </w:p>
    <w:p>
      <w:pPr>
        <w:pStyle w:val="BodyText"/>
        <w:rPr>
          <w:sz w:val="20"/>
        </w:rPr>
      </w:pPr>
    </w:p>
    <w:p>
      <w:pPr>
        <w:pStyle w:val="BodyText"/>
        <w:spacing w:before="3"/>
        <w:rPr>
          <w:sz w:val="16"/>
        </w:rPr>
      </w:pPr>
    </w:p>
    <w:p>
      <w:pPr>
        <w:pStyle w:val="BodyText"/>
        <w:spacing w:line="360" w:lineRule="auto"/>
        <w:ind w:left="118" w:right="116"/>
        <w:jc w:val="both"/>
      </w:pPr>
      <w:r>
        <w:rPr/>
        <w:drawing>
          <wp:anchor distT="0" distB="0" distL="0" distR="0" allowOverlap="1" layoutInCell="1" locked="0" behindDoc="0" simplePos="0" relativeHeight="1456">
            <wp:simplePos x="0" y="0"/>
            <wp:positionH relativeFrom="page">
              <wp:posOffset>2337815</wp:posOffset>
            </wp:positionH>
            <wp:positionV relativeFrom="paragraph">
              <wp:posOffset>1635966</wp:posOffset>
            </wp:positionV>
            <wp:extent cx="3276885" cy="2975800"/>
            <wp:effectExtent l="0" t="0" r="0" b="0"/>
            <wp:wrapTopAndBottom/>
            <wp:docPr id="23" name="image12.jpeg" descr=""/>
            <wp:cNvGraphicFramePr>
              <a:graphicFrameLocks noChangeAspect="1"/>
            </wp:cNvGraphicFramePr>
            <a:graphic>
              <a:graphicData uri="http://schemas.openxmlformats.org/drawingml/2006/picture">
                <pic:pic>
                  <pic:nvPicPr>
                    <pic:cNvPr id="24" name="image12.jpeg"/>
                    <pic:cNvPicPr/>
                  </pic:nvPicPr>
                  <pic:blipFill>
                    <a:blip r:embed="rId22" cstate="print"/>
                    <a:stretch>
                      <a:fillRect/>
                    </a:stretch>
                  </pic:blipFill>
                  <pic:spPr>
                    <a:xfrm>
                      <a:off x="0" y="0"/>
                      <a:ext cx="3276885" cy="2975800"/>
                    </a:xfrm>
                    <a:prstGeom prst="rect">
                      <a:avLst/>
                    </a:prstGeom>
                  </pic:spPr>
                </pic:pic>
              </a:graphicData>
            </a:graphic>
          </wp:anchor>
        </w:drawing>
      </w:r>
      <w:r>
        <w:rPr/>
        <w:t>Las enfermedades endodónticas primarias suelen remitir tras el tratamiento de los conductos radiculares. El trayecto de la fístula hacia el surco gingival o el área de furcación desaparece pronto, una vez que se ha eliminado pulpa necrótica y se han sellado bien los conductos radiculares (fig.10). Es importante saber que cualquier tratamiento periodontal fallará si no se ha realizado un adecuado diagnóstico pulpar y por ende un tratamiento endodóntico </w:t>
      </w:r>
      <w:r>
        <w:rPr>
          <w:position w:val="8"/>
          <w:sz w:val="16"/>
        </w:rPr>
        <w:t>(28)</w:t>
      </w:r>
      <w:r>
        <w:rPr/>
        <w:t>.</w:t>
      </w:r>
    </w:p>
    <w:p>
      <w:pPr>
        <w:spacing w:after="0" w:line="360" w:lineRule="auto"/>
        <w:jc w:val="both"/>
        <w:sectPr>
          <w:pgSz w:w="12240" w:h="15840"/>
          <w:pgMar w:header="749" w:footer="1003" w:top="960" w:bottom="1200" w:left="1300" w:right="1580"/>
        </w:sectPr>
      </w:pPr>
    </w:p>
    <w:p>
      <w:pPr>
        <w:pStyle w:val="BodyText"/>
        <w:rPr>
          <w:sz w:val="20"/>
        </w:rPr>
      </w:pPr>
    </w:p>
    <w:p>
      <w:pPr>
        <w:pStyle w:val="BodyText"/>
        <w:rPr>
          <w:sz w:val="20"/>
        </w:rPr>
      </w:pPr>
    </w:p>
    <w:p>
      <w:pPr>
        <w:pStyle w:val="BodyText"/>
        <w:rPr>
          <w:sz w:val="17"/>
        </w:rPr>
      </w:pPr>
    </w:p>
    <w:p>
      <w:pPr>
        <w:spacing w:line="360" w:lineRule="auto" w:before="74"/>
        <w:ind w:left="118" w:right="118" w:firstLine="0"/>
        <w:jc w:val="both"/>
        <w:rPr>
          <w:sz w:val="20"/>
        </w:rPr>
      </w:pPr>
      <w:r>
        <w:rPr>
          <w:sz w:val="20"/>
        </w:rPr>
        <w:t>Figura.7 Enfermedad endodóntica primaria en un primer molar inferior con pulpa necrótica. A) Radiografía preoperatoria que muestra una gran radiotransparencia perirradicular, asociada con una transparencia en la raíz distal y la furca. B) Clínicamente se podía sondar por vestibular un defecto periodontal estrecho. Obsérvese la inflamación gingival. C) Radiografía al año de seguimiento que muestra</w:t>
      </w:r>
      <w:r>
        <w:rPr>
          <w:spacing w:val="-13"/>
          <w:sz w:val="20"/>
        </w:rPr>
        <w:t> </w:t>
      </w:r>
      <w:r>
        <w:rPr>
          <w:sz w:val="20"/>
        </w:rPr>
        <w:t>la</w:t>
      </w:r>
      <w:r>
        <w:rPr>
          <w:spacing w:val="-13"/>
          <w:sz w:val="20"/>
        </w:rPr>
        <w:t> </w:t>
      </w:r>
      <w:r>
        <w:rPr>
          <w:sz w:val="20"/>
        </w:rPr>
        <w:t>resolución</w:t>
      </w:r>
      <w:r>
        <w:rPr>
          <w:spacing w:val="-13"/>
          <w:sz w:val="20"/>
        </w:rPr>
        <w:t> </w:t>
      </w:r>
      <w:r>
        <w:rPr>
          <w:sz w:val="20"/>
        </w:rPr>
        <w:t>de</w:t>
      </w:r>
      <w:r>
        <w:rPr>
          <w:spacing w:val="-13"/>
          <w:sz w:val="20"/>
        </w:rPr>
        <w:t> </w:t>
      </w:r>
      <w:r>
        <w:rPr>
          <w:sz w:val="20"/>
        </w:rPr>
        <w:t>la</w:t>
      </w:r>
      <w:r>
        <w:rPr>
          <w:spacing w:val="-8"/>
          <w:sz w:val="20"/>
        </w:rPr>
        <w:t> </w:t>
      </w:r>
      <w:r>
        <w:rPr>
          <w:sz w:val="20"/>
        </w:rPr>
        <w:t>radiotransparencia</w:t>
      </w:r>
      <w:r>
        <w:rPr>
          <w:spacing w:val="-10"/>
          <w:sz w:val="20"/>
        </w:rPr>
        <w:t> </w:t>
      </w:r>
      <w:r>
        <w:rPr>
          <w:sz w:val="20"/>
        </w:rPr>
        <w:t>ósea.</w:t>
      </w:r>
      <w:r>
        <w:rPr>
          <w:spacing w:val="-13"/>
          <w:sz w:val="20"/>
        </w:rPr>
        <w:t> </w:t>
      </w:r>
      <w:r>
        <w:rPr>
          <w:sz w:val="20"/>
        </w:rPr>
        <w:t>D)</w:t>
      </w:r>
      <w:r>
        <w:rPr>
          <w:spacing w:val="-9"/>
          <w:sz w:val="20"/>
        </w:rPr>
        <w:t> </w:t>
      </w:r>
      <w:r>
        <w:rPr>
          <w:sz w:val="20"/>
        </w:rPr>
        <w:t>Clínicamente,</w:t>
      </w:r>
      <w:r>
        <w:rPr>
          <w:spacing w:val="-13"/>
          <w:sz w:val="20"/>
        </w:rPr>
        <w:t> </w:t>
      </w:r>
      <w:r>
        <w:rPr>
          <w:sz w:val="20"/>
        </w:rPr>
        <w:t>el</w:t>
      </w:r>
      <w:r>
        <w:rPr>
          <w:spacing w:val="-11"/>
          <w:sz w:val="20"/>
        </w:rPr>
        <w:t> </w:t>
      </w:r>
      <w:r>
        <w:rPr>
          <w:sz w:val="20"/>
        </w:rPr>
        <w:t>defecto</w:t>
      </w:r>
      <w:r>
        <w:rPr>
          <w:spacing w:val="-11"/>
          <w:sz w:val="20"/>
        </w:rPr>
        <w:t> </w:t>
      </w:r>
      <w:r>
        <w:rPr>
          <w:sz w:val="20"/>
        </w:rPr>
        <w:t>vestibular</w:t>
      </w:r>
      <w:r>
        <w:rPr>
          <w:spacing w:val="-12"/>
          <w:sz w:val="20"/>
        </w:rPr>
        <w:t> </w:t>
      </w:r>
      <w:r>
        <w:rPr>
          <w:sz w:val="20"/>
        </w:rPr>
        <w:t>había</w:t>
      </w:r>
      <w:r>
        <w:rPr>
          <w:spacing w:val="-13"/>
          <w:sz w:val="20"/>
        </w:rPr>
        <w:t> </w:t>
      </w:r>
      <w:r>
        <w:rPr>
          <w:sz w:val="20"/>
        </w:rPr>
        <w:t>curado y el sondaje era</w:t>
      </w:r>
      <w:r>
        <w:rPr>
          <w:spacing w:val="-11"/>
          <w:sz w:val="20"/>
        </w:rPr>
        <w:t> </w:t>
      </w:r>
      <w:r>
        <w:rPr>
          <w:sz w:val="20"/>
        </w:rPr>
        <w:t>normal.</w:t>
      </w:r>
    </w:p>
    <w:p>
      <w:pPr>
        <w:pStyle w:val="BodyText"/>
        <w:rPr>
          <w:sz w:val="20"/>
        </w:rPr>
      </w:pPr>
    </w:p>
    <w:p>
      <w:pPr>
        <w:pStyle w:val="BodyText"/>
        <w:spacing w:before="6"/>
        <w:rPr>
          <w:sz w:val="16"/>
        </w:rPr>
      </w:pPr>
    </w:p>
    <w:p>
      <w:pPr>
        <w:pStyle w:val="ListParagraph"/>
        <w:numPr>
          <w:ilvl w:val="3"/>
          <w:numId w:val="8"/>
        </w:numPr>
        <w:tabs>
          <w:tab w:pos="921" w:val="left" w:leader="none"/>
        </w:tabs>
        <w:spacing w:line="240" w:lineRule="auto" w:before="0" w:after="0"/>
        <w:ind w:left="920" w:right="0" w:hanging="802"/>
        <w:jc w:val="both"/>
        <w:rPr>
          <w:sz w:val="24"/>
        </w:rPr>
      </w:pPr>
      <w:r>
        <w:rPr>
          <w:sz w:val="24"/>
          <w:u w:val="single"/>
        </w:rPr>
        <w:t>Lesión endodóntica primaria y lesión periodontal</w:t>
      </w:r>
      <w:r>
        <w:rPr>
          <w:spacing w:val="-21"/>
          <w:sz w:val="24"/>
          <w:u w:val="single"/>
        </w:rPr>
        <w:t> </w:t>
      </w:r>
      <w:r>
        <w:rPr>
          <w:sz w:val="24"/>
          <w:u w:val="single"/>
        </w:rPr>
        <w:t>secundaria.</w:t>
      </w:r>
    </w:p>
    <w:p>
      <w:pPr>
        <w:pStyle w:val="BodyText"/>
        <w:rPr>
          <w:sz w:val="20"/>
        </w:rPr>
      </w:pPr>
    </w:p>
    <w:p>
      <w:pPr>
        <w:pStyle w:val="BodyText"/>
        <w:rPr>
          <w:sz w:val="22"/>
        </w:rPr>
      </w:pPr>
    </w:p>
    <w:p>
      <w:pPr>
        <w:pStyle w:val="BodyText"/>
        <w:spacing w:line="357" w:lineRule="auto" w:before="69"/>
        <w:ind w:left="118" w:right="117"/>
        <w:jc w:val="both"/>
      </w:pPr>
      <w:r>
        <w:rPr/>
        <w:t>Después de un periodo de tiempo, si la lesión endodóntica primaria no se trata, se puede convertir secundariamente en una destrucción periodontal (Fig. 11). El biofilm se puede empezar a formar en el margen gingival, que podría dar lugar a una periodontitis </w:t>
      </w:r>
      <w:r>
        <w:rPr>
          <w:position w:val="8"/>
          <w:sz w:val="16"/>
        </w:rPr>
        <w:t>(26)</w:t>
      </w:r>
      <w:r>
        <w:rPr/>
        <w:t>.</w:t>
      </w:r>
    </w:p>
    <w:p>
      <w:pPr>
        <w:pStyle w:val="BodyText"/>
        <w:spacing w:before="2"/>
        <w:rPr>
          <w:sz w:val="36"/>
        </w:rPr>
      </w:pPr>
    </w:p>
    <w:p>
      <w:pPr>
        <w:pStyle w:val="BodyText"/>
        <w:spacing w:line="357" w:lineRule="auto" w:before="1"/>
        <w:ind w:left="118" w:right="120" w:firstLine="67"/>
        <w:jc w:val="both"/>
      </w:pPr>
      <w:r>
        <w:rPr/>
        <w:t>El pronóstico depende de la terapia periodontal, asumiendo que la endodoncia es adecuada. Únicamente Con la terapia de conductos, solo una parte de la lesión va a remitir, lo que indica afección periodontal secundaria </w:t>
      </w:r>
      <w:r>
        <w:rPr>
          <w:position w:val="8"/>
          <w:sz w:val="16"/>
        </w:rPr>
        <w:t>(13)</w:t>
      </w:r>
      <w:r>
        <w:rPr/>
        <w:t>.</w:t>
      </w:r>
    </w:p>
    <w:p>
      <w:pPr>
        <w:pStyle w:val="BodyText"/>
        <w:spacing w:before="3"/>
        <w:rPr>
          <w:sz w:val="36"/>
        </w:rPr>
      </w:pPr>
    </w:p>
    <w:p>
      <w:pPr>
        <w:pStyle w:val="BodyText"/>
        <w:spacing w:line="360" w:lineRule="auto"/>
        <w:ind w:left="118" w:right="119"/>
        <w:jc w:val="both"/>
      </w:pPr>
      <w:r>
        <w:rPr/>
        <w:t>En general, las áreas de curación inducidas endodonticamente se pueden anticipar o prever (Fig, 9). Las lesiones endodónticas primarias con afectación periodontal secundaria pueden producirse también como resultado de la perforación de la raíz durante el tratamiento de conductos, o de la colocación incorrecta de postes o pins durante una restauración de corona </w:t>
      </w:r>
      <w:r>
        <w:rPr>
          <w:position w:val="8"/>
          <w:sz w:val="16"/>
        </w:rPr>
        <w:t>(28)</w:t>
      </w:r>
      <w:r>
        <w:rPr/>
        <w:t>.</w:t>
      </w:r>
    </w:p>
    <w:p>
      <w:pPr>
        <w:pStyle w:val="BodyText"/>
        <w:rPr>
          <w:sz w:val="36"/>
        </w:rPr>
      </w:pPr>
    </w:p>
    <w:p>
      <w:pPr>
        <w:pStyle w:val="BodyText"/>
        <w:spacing w:line="360" w:lineRule="auto"/>
        <w:ind w:left="118" w:right="116"/>
        <w:jc w:val="both"/>
      </w:pPr>
      <w:r>
        <w:rPr/>
        <w:t>Los</w:t>
      </w:r>
      <w:r>
        <w:rPr>
          <w:spacing w:val="-18"/>
        </w:rPr>
        <w:t> </w:t>
      </w:r>
      <w:r>
        <w:rPr/>
        <w:t>síntomas</w:t>
      </w:r>
      <w:r>
        <w:rPr>
          <w:spacing w:val="-18"/>
        </w:rPr>
        <w:t> </w:t>
      </w:r>
      <w:r>
        <w:rPr/>
        <w:t>pueden</w:t>
      </w:r>
      <w:r>
        <w:rPr>
          <w:spacing w:val="-18"/>
        </w:rPr>
        <w:t> </w:t>
      </w:r>
      <w:r>
        <w:rPr/>
        <w:t>ser</w:t>
      </w:r>
      <w:r>
        <w:rPr>
          <w:spacing w:val="-19"/>
        </w:rPr>
        <w:t> </w:t>
      </w:r>
      <w:r>
        <w:rPr/>
        <w:t>agudos,</w:t>
      </w:r>
      <w:r>
        <w:rPr>
          <w:spacing w:val="-18"/>
        </w:rPr>
        <w:t> </w:t>
      </w:r>
      <w:r>
        <w:rPr/>
        <w:t>con</w:t>
      </w:r>
      <w:r>
        <w:rPr>
          <w:spacing w:val="-20"/>
        </w:rPr>
        <w:t> </w:t>
      </w:r>
      <w:r>
        <w:rPr/>
        <w:t>formación</w:t>
      </w:r>
      <w:r>
        <w:rPr>
          <w:spacing w:val="-18"/>
        </w:rPr>
        <w:t> </w:t>
      </w:r>
      <w:r>
        <w:rPr/>
        <w:t>de</w:t>
      </w:r>
      <w:r>
        <w:rPr>
          <w:spacing w:val="-20"/>
        </w:rPr>
        <w:t> </w:t>
      </w:r>
      <w:r>
        <w:rPr/>
        <w:t>abscesos</w:t>
      </w:r>
      <w:r>
        <w:rPr>
          <w:spacing w:val="-18"/>
        </w:rPr>
        <w:t> </w:t>
      </w:r>
      <w:r>
        <w:rPr/>
        <w:t>periodontales</w:t>
      </w:r>
      <w:r>
        <w:rPr>
          <w:spacing w:val="-18"/>
        </w:rPr>
        <w:t> </w:t>
      </w:r>
      <w:r>
        <w:rPr/>
        <w:t>asociados a dolor, inflamación, pus o exudado, formación de bolsas y movilidad del diente. A veces puede presentarse una forma más crónica sin dolor, que produce la aparición súbita de una bolsa con sangrado en el sondaje o exudado de pus. Cuando la perforación de la raíz está situada cerca de la cresta alveolar, puede levantarse un colgajo y reparar el defecto con un material de obturación apropiado </w:t>
      </w:r>
      <w:r>
        <w:rPr>
          <w:position w:val="8"/>
          <w:sz w:val="16"/>
        </w:rPr>
        <w:t>(29)</w:t>
      </w:r>
      <w:r>
        <w:rPr/>
        <w:t>. En perforaciones más profundas, o en </w:t>
      </w:r>
      <w:r>
        <w:rPr>
          <w:spacing w:val="2"/>
        </w:rPr>
        <w:t>el </w:t>
      </w:r>
      <w:r>
        <w:rPr/>
        <w:t>techo de una furca, la reparación inmediata de la</w:t>
      </w:r>
      <w:r>
        <w:rPr>
          <w:spacing w:val="-6"/>
        </w:rPr>
        <w:t> </w:t>
      </w:r>
      <w:r>
        <w:rPr/>
        <w:t>perforación</w:t>
      </w:r>
      <w:r>
        <w:rPr>
          <w:spacing w:val="-6"/>
        </w:rPr>
        <w:t> </w:t>
      </w:r>
      <w:r>
        <w:rPr/>
        <w:t>tiene</w:t>
      </w:r>
      <w:r>
        <w:rPr>
          <w:spacing w:val="-6"/>
        </w:rPr>
        <w:t> </w:t>
      </w:r>
      <w:r>
        <w:rPr/>
        <w:t>un</w:t>
      </w:r>
      <w:r>
        <w:rPr>
          <w:spacing w:val="-6"/>
        </w:rPr>
        <w:t> </w:t>
      </w:r>
      <w:r>
        <w:rPr/>
        <w:t>mejor</w:t>
      </w:r>
      <w:r>
        <w:rPr>
          <w:spacing w:val="-7"/>
        </w:rPr>
        <w:t> </w:t>
      </w:r>
      <w:r>
        <w:rPr/>
        <w:t>pronóstico</w:t>
      </w:r>
      <w:r>
        <w:rPr>
          <w:spacing w:val="-8"/>
        </w:rPr>
        <w:t> </w:t>
      </w:r>
      <w:r>
        <w:rPr/>
        <w:t>que</w:t>
      </w:r>
      <w:r>
        <w:rPr>
          <w:spacing w:val="-6"/>
        </w:rPr>
        <w:t> </w:t>
      </w:r>
      <w:r>
        <w:rPr/>
        <w:t>el</w:t>
      </w:r>
      <w:r>
        <w:rPr>
          <w:spacing w:val="-7"/>
        </w:rPr>
        <w:t> </w:t>
      </w:r>
      <w:r>
        <w:rPr/>
        <w:t>tratamiento</w:t>
      </w:r>
      <w:r>
        <w:rPr>
          <w:spacing w:val="-8"/>
        </w:rPr>
        <w:t> </w:t>
      </w:r>
      <w:r>
        <w:rPr/>
        <w:t>de</w:t>
      </w:r>
      <w:r>
        <w:rPr>
          <w:spacing w:val="-6"/>
        </w:rPr>
        <w:t> </w:t>
      </w:r>
      <w:r>
        <w:rPr/>
        <w:t>una</w:t>
      </w:r>
      <w:r>
        <w:rPr>
          <w:spacing w:val="-6"/>
        </w:rPr>
        <w:t> </w:t>
      </w:r>
      <w:r>
        <w:rPr/>
        <w:t>infectada.</w:t>
      </w:r>
      <w:r>
        <w:rPr>
          <w:spacing w:val="-6"/>
        </w:rPr>
        <w:t> </w:t>
      </w:r>
      <w:r>
        <w:rPr/>
        <w:t>El</w:t>
      </w:r>
      <w:r>
        <w:rPr>
          <w:spacing w:val="-7"/>
        </w:rPr>
        <w:t> </w:t>
      </w:r>
      <w:r>
        <w:rPr/>
        <w:t>uso</w:t>
      </w:r>
      <w:r>
        <w:rPr>
          <w:spacing w:val="-6"/>
        </w:rPr>
        <w:t> </w:t>
      </w:r>
      <w:r>
        <w:rPr/>
        <w:t>de</w:t>
      </w:r>
    </w:p>
    <w:p>
      <w:pPr>
        <w:spacing w:after="0" w:line="360" w:lineRule="auto"/>
        <w:jc w:val="both"/>
        <w:sectPr>
          <w:pgSz w:w="12240" w:h="15840"/>
          <w:pgMar w:header="749" w:footer="1003" w:top="960" w:bottom="1200" w:left="1300" w:right="1580"/>
        </w:sectPr>
      </w:pPr>
    </w:p>
    <w:p>
      <w:pPr>
        <w:pStyle w:val="BodyText"/>
        <w:rPr>
          <w:sz w:val="20"/>
        </w:rPr>
      </w:pPr>
    </w:p>
    <w:p>
      <w:pPr>
        <w:pStyle w:val="BodyText"/>
        <w:rPr>
          <w:sz w:val="20"/>
        </w:rPr>
      </w:pPr>
    </w:p>
    <w:p>
      <w:pPr>
        <w:pStyle w:val="BodyText"/>
        <w:spacing w:before="5"/>
        <w:rPr>
          <w:sz w:val="17"/>
        </w:rPr>
      </w:pPr>
    </w:p>
    <w:p>
      <w:pPr>
        <w:pStyle w:val="BodyText"/>
        <w:spacing w:line="355" w:lineRule="auto" w:before="70"/>
        <w:ind w:left="118" w:right="194"/>
      </w:pPr>
      <w:r>
        <w:rPr/>
        <w:drawing>
          <wp:anchor distT="0" distB="0" distL="0" distR="0" allowOverlap="1" layoutInCell="1" locked="0" behindDoc="0" simplePos="0" relativeHeight="1480">
            <wp:simplePos x="0" y="0"/>
            <wp:positionH relativeFrom="page">
              <wp:posOffset>2383535</wp:posOffset>
            </wp:positionH>
            <wp:positionV relativeFrom="paragraph">
              <wp:posOffset>647401</wp:posOffset>
            </wp:positionV>
            <wp:extent cx="2507975" cy="2451735"/>
            <wp:effectExtent l="0" t="0" r="0" b="0"/>
            <wp:wrapTopAndBottom/>
            <wp:docPr id="25" name="image13.jpeg" descr=""/>
            <wp:cNvGraphicFramePr>
              <a:graphicFrameLocks noChangeAspect="1"/>
            </wp:cNvGraphicFramePr>
            <a:graphic>
              <a:graphicData uri="http://schemas.openxmlformats.org/drawingml/2006/picture">
                <pic:pic>
                  <pic:nvPicPr>
                    <pic:cNvPr id="26" name="image13.jpeg"/>
                    <pic:cNvPicPr/>
                  </pic:nvPicPr>
                  <pic:blipFill>
                    <a:blip r:embed="rId24" cstate="print"/>
                    <a:stretch>
                      <a:fillRect/>
                    </a:stretch>
                  </pic:blipFill>
                  <pic:spPr>
                    <a:xfrm>
                      <a:off x="0" y="0"/>
                      <a:ext cx="2507975" cy="2451735"/>
                    </a:xfrm>
                    <a:prstGeom prst="rect">
                      <a:avLst/>
                    </a:prstGeom>
                  </pic:spPr>
                </pic:pic>
              </a:graphicData>
            </a:graphic>
          </wp:anchor>
        </w:drawing>
      </w:r>
      <w:r>
        <w:rPr/>
        <w:t>agregado mineral trióxido permite la curación del cemento siguiendo la reparación inmediata </w:t>
      </w:r>
      <w:r>
        <w:rPr>
          <w:position w:val="8"/>
          <w:sz w:val="16"/>
        </w:rPr>
        <w:t>(28)</w:t>
      </w:r>
      <w:r>
        <w:rPr/>
        <w:t>.</w:t>
      </w:r>
    </w:p>
    <w:p>
      <w:pPr>
        <w:spacing w:before="128"/>
        <w:ind w:left="1942" w:right="194" w:firstLine="0"/>
        <w:jc w:val="left"/>
        <w:rPr>
          <w:sz w:val="20"/>
        </w:rPr>
      </w:pPr>
      <w:r>
        <w:rPr>
          <w:sz w:val="20"/>
        </w:rPr>
        <w:t>Fig.11: Lesión endodóntica primaria y periodontal secundaria.</w:t>
      </w:r>
    </w:p>
    <w:p>
      <w:pPr>
        <w:pStyle w:val="BodyText"/>
        <w:spacing w:before="2"/>
        <w:rPr>
          <w:sz w:val="11"/>
        </w:rPr>
      </w:pPr>
      <w:r>
        <w:rPr/>
        <w:drawing>
          <wp:anchor distT="0" distB="0" distL="0" distR="0" allowOverlap="1" layoutInCell="1" locked="0" behindDoc="0" simplePos="0" relativeHeight="1504">
            <wp:simplePos x="0" y="0"/>
            <wp:positionH relativeFrom="page">
              <wp:posOffset>2090927</wp:posOffset>
            </wp:positionH>
            <wp:positionV relativeFrom="paragraph">
              <wp:posOffset>106655</wp:posOffset>
            </wp:positionV>
            <wp:extent cx="2793418" cy="2596324"/>
            <wp:effectExtent l="0" t="0" r="0" b="0"/>
            <wp:wrapTopAndBottom/>
            <wp:docPr id="27" name="image14.jpeg" descr=""/>
            <wp:cNvGraphicFramePr>
              <a:graphicFrameLocks noChangeAspect="1"/>
            </wp:cNvGraphicFramePr>
            <a:graphic>
              <a:graphicData uri="http://schemas.openxmlformats.org/drawingml/2006/picture">
                <pic:pic>
                  <pic:nvPicPr>
                    <pic:cNvPr id="28" name="image14.jpeg"/>
                    <pic:cNvPicPr/>
                  </pic:nvPicPr>
                  <pic:blipFill>
                    <a:blip r:embed="rId25" cstate="print"/>
                    <a:stretch>
                      <a:fillRect/>
                    </a:stretch>
                  </pic:blipFill>
                  <pic:spPr>
                    <a:xfrm>
                      <a:off x="0" y="0"/>
                      <a:ext cx="2793418" cy="2596324"/>
                    </a:xfrm>
                    <a:prstGeom prst="rect">
                      <a:avLst/>
                    </a:prstGeom>
                  </pic:spPr>
                </pic:pic>
              </a:graphicData>
            </a:graphic>
          </wp:anchor>
        </w:drawing>
      </w:r>
    </w:p>
    <w:p>
      <w:pPr>
        <w:spacing w:line="360" w:lineRule="auto" w:before="0"/>
        <w:ind w:left="118" w:right="118" w:firstLine="0"/>
        <w:jc w:val="left"/>
        <w:rPr>
          <w:sz w:val="20"/>
        </w:rPr>
      </w:pPr>
      <w:r>
        <w:rPr>
          <w:sz w:val="20"/>
        </w:rPr>
        <w:t>Fig</w:t>
      </w:r>
      <w:r>
        <w:rPr>
          <w:spacing w:val="-10"/>
          <w:sz w:val="20"/>
        </w:rPr>
        <w:t> </w:t>
      </w:r>
      <w:r>
        <w:rPr>
          <w:sz w:val="20"/>
        </w:rPr>
        <w:t>12:</w:t>
      </w:r>
      <w:r>
        <w:rPr>
          <w:spacing w:val="-8"/>
          <w:sz w:val="20"/>
        </w:rPr>
        <w:t> </w:t>
      </w:r>
      <w:r>
        <w:rPr>
          <w:sz w:val="20"/>
        </w:rPr>
        <w:t>Lesión</w:t>
      </w:r>
      <w:r>
        <w:rPr>
          <w:spacing w:val="-8"/>
          <w:sz w:val="20"/>
        </w:rPr>
        <w:t> </w:t>
      </w:r>
      <w:r>
        <w:rPr>
          <w:sz w:val="20"/>
        </w:rPr>
        <w:t>endodóntica</w:t>
      </w:r>
      <w:r>
        <w:rPr>
          <w:spacing w:val="-6"/>
          <w:sz w:val="20"/>
        </w:rPr>
        <w:t> </w:t>
      </w:r>
      <w:r>
        <w:rPr>
          <w:sz w:val="20"/>
        </w:rPr>
        <w:t>primaria</w:t>
      </w:r>
      <w:r>
        <w:rPr>
          <w:spacing w:val="-11"/>
          <w:sz w:val="20"/>
        </w:rPr>
        <w:t> </w:t>
      </w:r>
      <w:r>
        <w:rPr>
          <w:sz w:val="20"/>
        </w:rPr>
        <w:t>con</w:t>
      </w:r>
      <w:r>
        <w:rPr>
          <w:spacing w:val="-11"/>
          <w:sz w:val="20"/>
        </w:rPr>
        <w:t> </w:t>
      </w:r>
      <w:r>
        <w:rPr>
          <w:sz w:val="20"/>
        </w:rPr>
        <w:t>afección</w:t>
      </w:r>
      <w:r>
        <w:rPr>
          <w:spacing w:val="-9"/>
          <w:sz w:val="20"/>
        </w:rPr>
        <w:t> </w:t>
      </w:r>
      <w:r>
        <w:rPr>
          <w:sz w:val="20"/>
        </w:rPr>
        <w:t>periodontal</w:t>
      </w:r>
      <w:r>
        <w:rPr>
          <w:spacing w:val="-11"/>
          <w:sz w:val="20"/>
        </w:rPr>
        <w:t> </w:t>
      </w:r>
      <w:r>
        <w:rPr>
          <w:sz w:val="20"/>
        </w:rPr>
        <w:t>secundaria</w:t>
      </w:r>
      <w:r>
        <w:rPr>
          <w:spacing w:val="-8"/>
          <w:sz w:val="20"/>
        </w:rPr>
        <w:t> </w:t>
      </w:r>
      <w:r>
        <w:rPr>
          <w:sz w:val="20"/>
        </w:rPr>
        <w:t>en</w:t>
      </w:r>
      <w:r>
        <w:rPr>
          <w:spacing w:val="-8"/>
          <w:sz w:val="20"/>
        </w:rPr>
        <w:t> </w:t>
      </w:r>
      <w:r>
        <w:rPr>
          <w:sz w:val="20"/>
        </w:rPr>
        <w:t>un</w:t>
      </w:r>
      <w:r>
        <w:rPr>
          <w:spacing w:val="-8"/>
          <w:sz w:val="20"/>
        </w:rPr>
        <w:t> </w:t>
      </w:r>
      <w:r>
        <w:rPr>
          <w:sz w:val="20"/>
        </w:rPr>
        <w:t>primer</w:t>
      </w:r>
      <w:r>
        <w:rPr>
          <w:spacing w:val="-12"/>
          <w:sz w:val="20"/>
        </w:rPr>
        <w:t> </w:t>
      </w:r>
      <w:r>
        <w:rPr>
          <w:sz w:val="20"/>
        </w:rPr>
        <w:t>molar</w:t>
      </w:r>
      <w:r>
        <w:rPr>
          <w:spacing w:val="-9"/>
          <w:sz w:val="20"/>
        </w:rPr>
        <w:t> </w:t>
      </w:r>
      <w:r>
        <w:rPr>
          <w:sz w:val="20"/>
        </w:rPr>
        <w:t>inferior</w:t>
      </w:r>
      <w:r>
        <w:rPr>
          <w:spacing w:val="-9"/>
          <w:sz w:val="20"/>
        </w:rPr>
        <w:t> </w:t>
      </w:r>
      <w:r>
        <w:rPr>
          <w:sz w:val="20"/>
        </w:rPr>
        <w:t>con pulpa</w:t>
      </w:r>
      <w:r>
        <w:rPr>
          <w:spacing w:val="-7"/>
          <w:sz w:val="20"/>
        </w:rPr>
        <w:t> </w:t>
      </w:r>
      <w:r>
        <w:rPr>
          <w:sz w:val="20"/>
        </w:rPr>
        <w:t>necrótica.</w:t>
      </w:r>
    </w:p>
    <w:p>
      <w:pPr>
        <w:pStyle w:val="BodyText"/>
        <w:rPr>
          <w:sz w:val="20"/>
        </w:rPr>
      </w:pPr>
    </w:p>
    <w:p>
      <w:pPr>
        <w:pStyle w:val="BodyText"/>
        <w:spacing w:before="4"/>
        <w:rPr>
          <w:sz w:val="16"/>
        </w:rPr>
      </w:pPr>
    </w:p>
    <w:p>
      <w:pPr>
        <w:pStyle w:val="ListParagraph"/>
        <w:numPr>
          <w:ilvl w:val="3"/>
          <w:numId w:val="8"/>
        </w:numPr>
        <w:tabs>
          <w:tab w:pos="921" w:val="left" w:leader="none"/>
        </w:tabs>
        <w:spacing w:line="240" w:lineRule="auto" w:before="0" w:after="0"/>
        <w:ind w:left="920" w:right="0" w:hanging="802"/>
        <w:jc w:val="left"/>
        <w:rPr>
          <w:sz w:val="24"/>
        </w:rPr>
      </w:pPr>
      <w:r>
        <w:rPr>
          <w:sz w:val="24"/>
          <w:u w:val="single"/>
        </w:rPr>
        <w:t>Lesión periodontal</w:t>
      </w:r>
      <w:r>
        <w:rPr>
          <w:spacing w:val="-8"/>
          <w:sz w:val="24"/>
          <w:u w:val="single"/>
        </w:rPr>
        <w:t> </w:t>
      </w:r>
      <w:r>
        <w:rPr>
          <w:sz w:val="24"/>
          <w:u w:val="single"/>
        </w:rPr>
        <w:t>primaria.</w:t>
      </w:r>
    </w:p>
    <w:p>
      <w:pPr>
        <w:pStyle w:val="BodyText"/>
        <w:rPr>
          <w:sz w:val="20"/>
        </w:rPr>
      </w:pPr>
    </w:p>
    <w:p>
      <w:pPr>
        <w:pStyle w:val="BodyText"/>
        <w:spacing w:before="11"/>
        <w:rPr>
          <w:sz w:val="21"/>
        </w:rPr>
      </w:pPr>
    </w:p>
    <w:p>
      <w:pPr>
        <w:pStyle w:val="BodyText"/>
        <w:spacing w:line="357" w:lineRule="auto" w:before="69"/>
        <w:ind w:left="118" w:right="122"/>
        <w:jc w:val="both"/>
      </w:pPr>
      <w:r>
        <w:rPr/>
        <w:t>Estas lesiones son causadas por enfermedad periodontal. La periodontitis progresa poco a poco sin control a lo largo de la superficie de la raíz hasta que alcanza región apical </w:t>
      </w:r>
      <w:r>
        <w:rPr>
          <w:position w:val="8"/>
          <w:sz w:val="16"/>
        </w:rPr>
        <w:t>(23) </w:t>
      </w:r>
      <w:r>
        <w:rPr/>
        <w:t>(Fig. 13).</w:t>
      </w:r>
    </w:p>
    <w:p>
      <w:pPr>
        <w:spacing w:after="0" w:line="357" w:lineRule="auto"/>
        <w:jc w:val="both"/>
        <w:sectPr>
          <w:footerReference w:type="default" r:id="rId23"/>
          <w:pgSz w:w="12240" w:h="15840"/>
          <w:pgMar w:footer="1003" w:header="749" w:top="960" w:bottom="1200" w:left="1300" w:right="1580"/>
        </w:sectPr>
      </w:pPr>
    </w:p>
    <w:p>
      <w:pPr>
        <w:pStyle w:val="BodyText"/>
        <w:rPr>
          <w:sz w:val="20"/>
        </w:rPr>
      </w:pPr>
    </w:p>
    <w:p>
      <w:pPr>
        <w:pStyle w:val="BodyText"/>
        <w:rPr>
          <w:sz w:val="20"/>
        </w:rPr>
      </w:pPr>
    </w:p>
    <w:p>
      <w:pPr>
        <w:pStyle w:val="BodyText"/>
        <w:spacing w:before="5"/>
        <w:rPr>
          <w:sz w:val="17"/>
        </w:rPr>
      </w:pPr>
    </w:p>
    <w:p>
      <w:pPr>
        <w:pStyle w:val="BodyText"/>
        <w:spacing w:line="360" w:lineRule="auto" w:before="70"/>
        <w:ind w:left="118" w:right="116"/>
        <w:jc w:val="both"/>
      </w:pPr>
      <w:r>
        <w:rPr/>
        <w:t>El trauma oclusal puede o no puede estar superpuesta con estas lesiones. El diagnóstico</w:t>
      </w:r>
      <w:r>
        <w:rPr>
          <w:spacing w:val="-12"/>
        </w:rPr>
        <w:t> </w:t>
      </w:r>
      <w:r>
        <w:rPr/>
        <w:t>está</w:t>
      </w:r>
      <w:r>
        <w:rPr>
          <w:spacing w:val="-11"/>
        </w:rPr>
        <w:t> </w:t>
      </w:r>
      <w:r>
        <w:rPr/>
        <w:t>basado</w:t>
      </w:r>
      <w:r>
        <w:rPr>
          <w:spacing w:val="-10"/>
        </w:rPr>
        <w:t> </w:t>
      </w:r>
      <w:r>
        <w:rPr/>
        <w:t>en</w:t>
      </w:r>
      <w:r>
        <w:rPr>
          <w:spacing w:val="-12"/>
        </w:rPr>
        <w:t> </w:t>
      </w:r>
      <w:r>
        <w:rPr/>
        <w:t>las</w:t>
      </w:r>
      <w:r>
        <w:rPr>
          <w:spacing w:val="-10"/>
        </w:rPr>
        <w:t> </w:t>
      </w:r>
      <w:r>
        <w:rPr/>
        <w:t>pruebas</w:t>
      </w:r>
      <w:r>
        <w:rPr>
          <w:spacing w:val="-10"/>
        </w:rPr>
        <w:t> </w:t>
      </w:r>
      <w:r>
        <w:rPr/>
        <w:t>periodontales</w:t>
      </w:r>
      <w:r>
        <w:rPr>
          <w:spacing w:val="-10"/>
        </w:rPr>
        <w:t> </w:t>
      </w:r>
      <w:r>
        <w:rPr/>
        <w:t>usuales.</w:t>
      </w:r>
      <w:r>
        <w:rPr>
          <w:spacing w:val="-10"/>
        </w:rPr>
        <w:t> </w:t>
      </w:r>
      <w:r>
        <w:rPr/>
        <w:t>El</w:t>
      </w:r>
      <w:r>
        <w:rPr>
          <w:spacing w:val="-11"/>
        </w:rPr>
        <w:t> </w:t>
      </w:r>
      <w:r>
        <w:rPr/>
        <w:t>sondaje</w:t>
      </w:r>
      <w:r>
        <w:rPr>
          <w:spacing w:val="-7"/>
        </w:rPr>
        <w:t> </w:t>
      </w:r>
      <w:r>
        <w:rPr/>
        <w:t>usualmente revela</w:t>
      </w:r>
      <w:r>
        <w:rPr>
          <w:spacing w:val="-11"/>
        </w:rPr>
        <w:t> </w:t>
      </w:r>
      <w:r>
        <w:rPr/>
        <w:t>cálculo</w:t>
      </w:r>
      <w:r>
        <w:rPr>
          <w:spacing w:val="-13"/>
        </w:rPr>
        <w:t> </w:t>
      </w:r>
      <w:r>
        <w:rPr/>
        <w:t>a</w:t>
      </w:r>
      <w:r>
        <w:rPr>
          <w:spacing w:val="-11"/>
        </w:rPr>
        <w:t> </w:t>
      </w:r>
      <w:r>
        <w:rPr/>
        <w:t>lo</w:t>
      </w:r>
      <w:r>
        <w:rPr>
          <w:spacing w:val="-13"/>
        </w:rPr>
        <w:t> </w:t>
      </w:r>
      <w:r>
        <w:rPr/>
        <w:t>largo</w:t>
      </w:r>
      <w:r>
        <w:rPr>
          <w:spacing w:val="-11"/>
        </w:rPr>
        <w:t> </w:t>
      </w:r>
      <w:r>
        <w:rPr/>
        <w:t>de</w:t>
      </w:r>
      <w:r>
        <w:rPr>
          <w:spacing w:val="-11"/>
        </w:rPr>
        <w:t> </w:t>
      </w:r>
      <w:r>
        <w:rPr/>
        <w:t>la</w:t>
      </w:r>
      <w:r>
        <w:rPr>
          <w:spacing w:val="-13"/>
        </w:rPr>
        <w:t> </w:t>
      </w:r>
      <w:r>
        <w:rPr/>
        <w:t>raíz</w:t>
      </w:r>
      <w:r>
        <w:rPr>
          <w:spacing w:val="-13"/>
        </w:rPr>
        <w:t> </w:t>
      </w:r>
      <w:r>
        <w:rPr/>
        <w:t>en</w:t>
      </w:r>
      <w:r>
        <w:rPr>
          <w:spacing w:val="-13"/>
        </w:rPr>
        <w:t> </w:t>
      </w:r>
      <w:r>
        <w:rPr/>
        <w:t>diferentes</w:t>
      </w:r>
      <w:r>
        <w:rPr>
          <w:spacing w:val="-12"/>
        </w:rPr>
        <w:t> </w:t>
      </w:r>
      <w:r>
        <w:rPr/>
        <w:t>profundidades</w:t>
      </w:r>
      <w:r>
        <w:rPr>
          <w:spacing w:val="-12"/>
        </w:rPr>
        <w:t> </w:t>
      </w:r>
      <w:r>
        <w:rPr/>
        <w:t>y</w:t>
      </w:r>
      <w:r>
        <w:rPr>
          <w:spacing w:val="-14"/>
        </w:rPr>
        <w:t> </w:t>
      </w:r>
      <w:r>
        <w:rPr/>
        <w:t>la</w:t>
      </w:r>
      <w:r>
        <w:rPr>
          <w:spacing w:val="-13"/>
        </w:rPr>
        <w:t> </w:t>
      </w:r>
      <w:r>
        <w:rPr/>
        <w:t>pulpa</w:t>
      </w:r>
      <w:r>
        <w:rPr>
          <w:spacing w:val="-10"/>
        </w:rPr>
        <w:t> </w:t>
      </w:r>
      <w:r>
        <w:rPr/>
        <w:t>responde</w:t>
      </w:r>
      <w:r>
        <w:rPr>
          <w:spacing w:val="-8"/>
        </w:rPr>
        <w:t> </w:t>
      </w:r>
      <w:r>
        <w:rPr/>
        <w:t>vital a las diferentes pruebas de sensibilidad pulpar. El pronóstico de esta situación depende totalmente de la eficacia de la terapia periodontal</w:t>
      </w:r>
      <w:r>
        <w:rPr>
          <w:spacing w:val="-22"/>
        </w:rPr>
        <w:t> </w:t>
      </w:r>
      <w:r>
        <w:rPr>
          <w:position w:val="8"/>
          <w:sz w:val="16"/>
        </w:rPr>
        <w:t>(26)</w:t>
      </w:r>
      <w:r>
        <w:rPr/>
        <w:t>.</w:t>
      </w:r>
    </w:p>
    <w:p>
      <w:pPr>
        <w:pStyle w:val="BodyText"/>
        <w:spacing w:before="6"/>
        <w:rPr>
          <w:sz w:val="9"/>
        </w:rPr>
      </w:pPr>
      <w:r>
        <w:rPr/>
        <w:drawing>
          <wp:anchor distT="0" distB="0" distL="0" distR="0" allowOverlap="1" layoutInCell="1" locked="0" behindDoc="0" simplePos="0" relativeHeight="1528">
            <wp:simplePos x="0" y="0"/>
            <wp:positionH relativeFrom="page">
              <wp:posOffset>2503931</wp:posOffset>
            </wp:positionH>
            <wp:positionV relativeFrom="paragraph">
              <wp:posOffset>94848</wp:posOffset>
            </wp:positionV>
            <wp:extent cx="2612000" cy="3051048"/>
            <wp:effectExtent l="0" t="0" r="0" b="0"/>
            <wp:wrapTopAndBottom/>
            <wp:docPr id="29" name="image15.jpeg" descr=""/>
            <wp:cNvGraphicFramePr>
              <a:graphicFrameLocks noChangeAspect="1"/>
            </wp:cNvGraphicFramePr>
            <a:graphic>
              <a:graphicData uri="http://schemas.openxmlformats.org/drawingml/2006/picture">
                <pic:pic>
                  <pic:nvPicPr>
                    <pic:cNvPr id="30" name="image15.jpeg"/>
                    <pic:cNvPicPr/>
                  </pic:nvPicPr>
                  <pic:blipFill>
                    <a:blip r:embed="rId27" cstate="print"/>
                    <a:stretch>
                      <a:fillRect/>
                    </a:stretch>
                  </pic:blipFill>
                  <pic:spPr>
                    <a:xfrm>
                      <a:off x="0" y="0"/>
                      <a:ext cx="2612000" cy="3051048"/>
                    </a:xfrm>
                    <a:prstGeom prst="rect">
                      <a:avLst/>
                    </a:prstGeom>
                  </pic:spPr>
                </pic:pic>
              </a:graphicData>
            </a:graphic>
          </wp:anchor>
        </w:drawing>
      </w:r>
    </w:p>
    <w:p>
      <w:pPr>
        <w:spacing w:before="0"/>
        <w:ind w:left="174" w:right="0" w:firstLine="0"/>
        <w:jc w:val="both"/>
        <w:rPr>
          <w:sz w:val="20"/>
        </w:rPr>
      </w:pPr>
      <w:r>
        <w:rPr>
          <w:sz w:val="20"/>
        </w:rPr>
        <w:t>Fig. 10: Lesiones periodontales. Esta es una progresión de la periodontitis hasta compromiso apical.</w:t>
      </w:r>
    </w:p>
    <w:p>
      <w:pPr>
        <w:pStyle w:val="BodyText"/>
        <w:rPr>
          <w:sz w:val="20"/>
        </w:rPr>
      </w:pPr>
    </w:p>
    <w:p>
      <w:pPr>
        <w:pStyle w:val="BodyText"/>
        <w:rPr>
          <w:sz w:val="26"/>
        </w:rPr>
      </w:pPr>
    </w:p>
    <w:p>
      <w:pPr>
        <w:pStyle w:val="ListParagraph"/>
        <w:numPr>
          <w:ilvl w:val="3"/>
          <w:numId w:val="8"/>
        </w:numPr>
        <w:tabs>
          <w:tab w:pos="921" w:val="left" w:leader="none"/>
        </w:tabs>
        <w:spacing w:line="240" w:lineRule="auto" w:before="0" w:after="0"/>
        <w:ind w:left="920" w:right="0" w:hanging="802"/>
        <w:jc w:val="both"/>
        <w:rPr>
          <w:sz w:val="24"/>
        </w:rPr>
      </w:pPr>
      <w:r>
        <w:rPr>
          <w:sz w:val="24"/>
          <w:u w:val="single"/>
        </w:rPr>
        <w:t>Lesión periodontal primaria y lesión endodóntica</w:t>
      </w:r>
      <w:r>
        <w:rPr>
          <w:spacing w:val="-26"/>
          <w:sz w:val="24"/>
          <w:u w:val="single"/>
        </w:rPr>
        <w:t> </w:t>
      </w:r>
      <w:r>
        <w:rPr>
          <w:sz w:val="24"/>
          <w:u w:val="single"/>
        </w:rPr>
        <w:t>secundaria</w:t>
      </w:r>
    </w:p>
    <w:p>
      <w:pPr>
        <w:pStyle w:val="BodyText"/>
        <w:rPr>
          <w:sz w:val="20"/>
        </w:rPr>
      </w:pPr>
    </w:p>
    <w:p>
      <w:pPr>
        <w:pStyle w:val="BodyText"/>
        <w:spacing w:before="11"/>
        <w:rPr>
          <w:sz w:val="21"/>
        </w:rPr>
      </w:pPr>
    </w:p>
    <w:p>
      <w:pPr>
        <w:pStyle w:val="BodyText"/>
        <w:spacing w:line="360" w:lineRule="auto" w:before="69"/>
        <w:ind w:left="118" w:right="120"/>
        <w:jc w:val="both"/>
      </w:pPr>
      <w:r>
        <w:rPr/>
        <w:t>A medida que las lesiones periodontales progresan hacia apical, los conductos laterales o accesorios se pueden exponer al ambiente oral, lo que puede conducir a una necrosis pulpar. Además, la necrosis pulpar puede ser resultado de los procedimientos</w:t>
      </w:r>
      <w:r>
        <w:rPr>
          <w:spacing w:val="-20"/>
        </w:rPr>
        <w:t> </w:t>
      </w:r>
      <w:r>
        <w:rPr/>
        <w:t>periodontales,</w:t>
      </w:r>
      <w:r>
        <w:rPr>
          <w:spacing w:val="-19"/>
        </w:rPr>
        <w:t> </w:t>
      </w:r>
      <w:r>
        <w:rPr/>
        <w:t>donde</w:t>
      </w:r>
      <w:r>
        <w:rPr>
          <w:spacing w:val="-19"/>
        </w:rPr>
        <w:t> </w:t>
      </w:r>
      <w:r>
        <w:rPr/>
        <w:t>el</w:t>
      </w:r>
      <w:r>
        <w:rPr>
          <w:spacing w:val="-18"/>
        </w:rPr>
        <w:t> </w:t>
      </w:r>
      <w:r>
        <w:rPr/>
        <w:t>suministro</w:t>
      </w:r>
      <w:r>
        <w:rPr>
          <w:spacing w:val="-17"/>
        </w:rPr>
        <w:t> </w:t>
      </w:r>
      <w:r>
        <w:rPr/>
        <w:t>de</w:t>
      </w:r>
      <w:r>
        <w:rPr>
          <w:spacing w:val="-17"/>
        </w:rPr>
        <w:t> </w:t>
      </w:r>
      <w:r>
        <w:rPr/>
        <w:t>sangre</w:t>
      </w:r>
      <w:r>
        <w:rPr>
          <w:spacing w:val="-20"/>
        </w:rPr>
        <w:t> </w:t>
      </w:r>
      <w:r>
        <w:rPr/>
        <w:t>es</w:t>
      </w:r>
      <w:r>
        <w:rPr>
          <w:spacing w:val="-20"/>
        </w:rPr>
        <w:t> </w:t>
      </w:r>
      <w:r>
        <w:rPr/>
        <w:t>cortado</w:t>
      </w:r>
      <w:r>
        <w:rPr>
          <w:spacing w:val="-19"/>
        </w:rPr>
        <w:t> </w:t>
      </w:r>
      <w:r>
        <w:rPr/>
        <w:t>por</w:t>
      </w:r>
      <w:r>
        <w:rPr>
          <w:spacing w:val="-20"/>
        </w:rPr>
        <w:t> </w:t>
      </w:r>
      <w:r>
        <w:rPr/>
        <w:t>una</w:t>
      </w:r>
      <w:r>
        <w:rPr>
          <w:spacing w:val="-17"/>
        </w:rPr>
        <w:t> </w:t>
      </w:r>
      <w:r>
        <w:rPr/>
        <w:t>cureta para los conductos accesorios y el ápice. </w:t>
      </w:r>
      <w:r>
        <w:rPr>
          <w:position w:val="8"/>
          <w:sz w:val="16"/>
        </w:rPr>
        <w:t>(28)</w:t>
      </w:r>
      <w:r>
        <w:rPr>
          <w:spacing w:val="10"/>
          <w:position w:val="8"/>
          <w:sz w:val="16"/>
        </w:rPr>
        <w:t> </w:t>
      </w:r>
      <w:r>
        <w:rPr/>
        <w:t>(Fig.14)</w:t>
      </w:r>
    </w:p>
    <w:p>
      <w:pPr>
        <w:spacing w:after="0" w:line="360" w:lineRule="auto"/>
        <w:jc w:val="both"/>
        <w:sectPr>
          <w:footerReference w:type="default" r:id="rId26"/>
          <w:pgSz w:w="12240" w:h="15840"/>
          <w:pgMar w:footer="1003" w:header="749" w:top="960" w:bottom="1200" w:left="1300" w:right="1580"/>
          <w:pgNumType w:start="31"/>
        </w:sectPr>
      </w:pPr>
    </w:p>
    <w:p>
      <w:pPr>
        <w:pStyle w:val="BodyText"/>
        <w:rPr>
          <w:sz w:val="20"/>
        </w:rPr>
      </w:pPr>
    </w:p>
    <w:p>
      <w:pPr>
        <w:pStyle w:val="BodyText"/>
        <w:rPr>
          <w:sz w:val="20"/>
        </w:rPr>
      </w:pPr>
    </w:p>
    <w:p>
      <w:pPr>
        <w:pStyle w:val="BodyText"/>
        <w:rPr>
          <w:sz w:val="20"/>
        </w:rPr>
      </w:pPr>
    </w:p>
    <w:p>
      <w:pPr>
        <w:pStyle w:val="BodyText"/>
        <w:rPr>
          <w:sz w:val="17"/>
        </w:rPr>
      </w:pPr>
    </w:p>
    <w:p>
      <w:pPr>
        <w:pStyle w:val="BodyText"/>
        <w:ind w:left="2590"/>
        <w:rPr>
          <w:sz w:val="20"/>
        </w:rPr>
      </w:pPr>
      <w:r>
        <w:rPr>
          <w:sz w:val="20"/>
        </w:rPr>
        <w:drawing>
          <wp:inline distT="0" distB="0" distL="0" distR="0">
            <wp:extent cx="2462908" cy="3792474"/>
            <wp:effectExtent l="0" t="0" r="0" b="0"/>
            <wp:docPr id="31" name="image16.jpeg" descr=""/>
            <wp:cNvGraphicFramePr>
              <a:graphicFrameLocks noChangeAspect="1"/>
            </wp:cNvGraphicFramePr>
            <a:graphic>
              <a:graphicData uri="http://schemas.openxmlformats.org/drawingml/2006/picture">
                <pic:pic>
                  <pic:nvPicPr>
                    <pic:cNvPr id="32" name="image16.jpeg"/>
                    <pic:cNvPicPr/>
                  </pic:nvPicPr>
                  <pic:blipFill>
                    <a:blip r:embed="rId28" cstate="print"/>
                    <a:stretch>
                      <a:fillRect/>
                    </a:stretch>
                  </pic:blipFill>
                  <pic:spPr>
                    <a:xfrm>
                      <a:off x="0" y="0"/>
                      <a:ext cx="2462908" cy="3792474"/>
                    </a:xfrm>
                    <a:prstGeom prst="rect">
                      <a:avLst/>
                    </a:prstGeom>
                  </pic:spPr>
                </pic:pic>
              </a:graphicData>
            </a:graphic>
          </wp:inline>
        </w:drawing>
      </w:r>
      <w:r>
        <w:rPr>
          <w:sz w:val="20"/>
        </w:rPr>
      </w:r>
    </w:p>
    <w:p>
      <w:pPr>
        <w:pStyle w:val="BodyText"/>
        <w:rPr>
          <w:sz w:val="20"/>
        </w:rPr>
      </w:pPr>
    </w:p>
    <w:p>
      <w:pPr>
        <w:pStyle w:val="BodyText"/>
        <w:spacing w:before="7"/>
        <w:rPr>
          <w:sz w:val="16"/>
        </w:rPr>
      </w:pPr>
    </w:p>
    <w:p>
      <w:pPr>
        <w:spacing w:line="360" w:lineRule="auto" w:before="74"/>
        <w:ind w:left="118" w:right="116" w:firstLine="0"/>
        <w:jc w:val="both"/>
        <w:rPr>
          <w:sz w:val="20"/>
        </w:rPr>
      </w:pPr>
      <w:r>
        <w:rPr>
          <w:sz w:val="20"/>
        </w:rPr>
        <w:t>Fig. 14: Enfermedad periodontal primaria con afectación secundaria endodóntica en un premolar superior. A) Radiografía en la que se observa la pérdida de hueso en un tercio de la raíz y la radiotransparencia periapical separada. La corona estaba intacta, pero la 22 sensibilidad pulpar era negativa.</w:t>
      </w:r>
      <w:r>
        <w:rPr>
          <w:spacing w:val="-15"/>
          <w:sz w:val="20"/>
        </w:rPr>
        <w:t> </w:t>
      </w:r>
      <w:r>
        <w:rPr>
          <w:sz w:val="20"/>
        </w:rPr>
        <w:t>B)</w:t>
      </w:r>
      <w:r>
        <w:rPr>
          <w:spacing w:val="-14"/>
          <w:sz w:val="20"/>
        </w:rPr>
        <w:t> </w:t>
      </w:r>
      <w:r>
        <w:rPr>
          <w:sz w:val="20"/>
        </w:rPr>
        <w:t>Radiografía</w:t>
      </w:r>
      <w:r>
        <w:rPr>
          <w:spacing w:val="-15"/>
          <w:sz w:val="20"/>
        </w:rPr>
        <w:t> </w:t>
      </w:r>
      <w:r>
        <w:rPr>
          <w:sz w:val="20"/>
        </w:rPr>
        <w:t>tomada</w:t>
      </w:r>
      <w:r>
        <w:rPr>
          <w:spacing w:val="-15"/>
          <w:sz w:val="20"/>
        </w:rPr>
        <w:t> </w:t>
      </w:r>
      <w:r>
        <w:rPr>
          <w:sz w:val="20"/>
        </w:rPr>
        <w:t>al</w:t>
      </w:r>
      <w:r>
        <w:rPr>
          <w:spacing w:val="-16"/>
          <w:sz w:val="20"/>
        </w:rPr>
        <w:t> </w:t>
      </w:r>
      <w:r>
        <w:rPr>
          <w:sz w:val="20"/>
        </w:rPr>
        <w:t>término</w:t>
      </w:r>
      <w:r>
        <w:rPr>
          <w:spacing w:val="-16"/>
          <w:sz w:val="20"/>
        </w:rPr>
        <w:t> </w:t>
      </w:r>
      <w:r>
        <w:rPr>
          <w:sz w:val="20"/>
        </w:rPr>
        <w:t>del</w:t>
      </w:r>
      <w:r>
        <w:rPr>
          <w:spacing w:val="-16"/>
          <w:sz w:val="20"/>
        </w:rPr>
        <w:t> </w:t>
      </w:r>
      <w:r>
        <w:rPr>
          <w:sz w:val="20"/>
        </w:rPr>
        <w:t>tratamiento</w:t>
      </w:r>
      <w:r>
        <w:rPr>
          <w:spacing w:val="-15"/>
          <w:sz w:val="20"/>
        </w:rPr>
        <w:t> </w:t>
      </w:r>
      <w:r>
        <w:rPr>
          <w:sz w:val="20"/>
        </w:rPr>
        <w:t>endodóntico.</w:t>
      </w:r>
      <w:r>
        <w:rPr>
          <w:spacing w:val="-15"/>
          <w:sz w:val="20"/>
        </w:rPr>
        <w:t> </w:t>
      </w:r>
      <w:r>
        <w:rPr>
          <w:sz w:val="20"/>
        </w:rPr>
        <w:t>Se</w:t>
      </w:r>
      <w:r>
        <w:rPr>
          <w:spacing w:val="-15"/>
          <w:sz w:val="20"/>
        </w:rPr>
        <w:t> </w:t>
      </w:r>
      <w:r>
        <w:rPr>
          <w:sz w:val="20"/>
        </w:rPr>
        <w:t>observan</w:t>
      </w:r>
      <w:r>
        <w:rPr>
          <w:spacing w:val="-16"/>
          <w:sz w:val="20"/>
        </w:rPr>
        <w:t> </w:t>
      </w:r>
      <w:r>
        <w:rPr>
          <w:sz w:val="20"/>
        </w:rPr>
        <w:t>que</w:t>
      </w:r>
      <w:r>
        <w:rPr>
          <w:spacing w:val="-16"/>
          <w:sz w:val="20"/>
        </w:rPr>
        <w:t> </w:t>
      </w:r>
      <w:r>
        <w:rPr>
          <w:sz w:val="20"/>
        </w:rPr>
        <w:t>el</w:t>
      </w:r>
      <w:r>
        <w:rPr>
          <w:spacing w:val="-16"/>
          <w:sz w:val="20"/>
        </w:rPr>
        <w:t> </w:t>
      </w:r>
      <w:r>
        <w:rPr>
          <w:sz w:val="20"/>
        </w:rPr>
        <w:t>canal</w:t>
      </w:r>
      <w:r>
        <w:rPr>
          <w:spacing w:val="-14"/>
          <w:sz w:val="20"/>
        </w:rPr>
        <w:t> </w:t>
      </w:r>
      <w:r>
        <w:rPr>
          <w:sz w:val="20"/>
        </w:rPr>
        <w:t>lateral estaba expuesto al medio oral debido a la pérdida de hueso. El canal lateral expuesto es una de las posibles vías de infección del conducto</w:t>
      </w:r>
      <w:r>
        <w:rPr>
          <w:spacing w:val="-17"/>
          <w:sz w:val="20"/>
        </w:rPr>
        <w:t> </w:t>
      </w:r>
      <w:r>
        <w:rPr>
          <w:sz w:val="20"/>
        </w:rPr>
        <w:t>radicular.</w:t>
      </w:r>
    </w:p>
    <w:p>
      <w:pPr>
        <w:pStyle w:val="BodyText"/>
        <w:rPr>
          <w:sz w:val="20"/>
        </w:rPr>
      </w:pPr>
    </w:p>
    <w:p>
      <w:pPr>
        <w:pStyle w:val="BodyText"/>
        <w:spacing w:before="3"/>
        <w:rPr>
          <w:sz w:val="16"/>
        </w:rPr>
      </w:pPr>
    </w:p>
    <w:p>
      <w:pPr>
        <w:pStyle w:val="ListParagraph"/>
        <w:numPr>
          <w:ilvl w:val="3"/>
          <w:numId w:val="8"/>
        </w:numPr>
        <w:tabs>
          <w:tab w:pos="921" w:val="left" w:leader="none"/>
        </w:tabs>
        <w:spacing w:line="240" w:lineRule="auto" w:before="0" w:after="0"/>
        <w:ind w:left="920" w:right="0" w:hanging="802"/>
        <w:jc w:val="both"/>
        <w:rPr>
          <w:sz w:val="24"/>
        </w:rPr>
      </w:pPr>
      <w:r>
        <w:rPr>
          <w:sz w:val="24"/>
          <w:u w:val="single"/>
        </w:rPr>
        <w:t>Lesiones combinadas</w:t>
      </w:r>
      <w:r>
        <w:rPr>
          <w:spacing w:val="-12"/>
          <w:sz w:val="24"/>
          <w:u w:val="single"/>
        </w:rPr>
        <w:t> </w:t>
      </w:r>
      <w:r>
        <w:rPr>
          <w:sz w:val="24"/>
          <w:u w:val="single"/>
        </w:rPr>
        <w:t>verdaderas.</w:t>
      </w:r>
    </w:p>
    <w:p>
      <w:pPr>
        <w:pStyle w:val="BodyText"/>
        <w:rPr>
          <w:sz w:val="20"/>
        </w:rPr>
      </w:pPr>
    </w:p>
    <w:p>
      <w:pPr>
        <w:pStyle w:val="BodyText"/>
        <w:spacing w:before="11"/>
        <w:rPr>
          <w:sz w:val="21"/>
        </w:rPr>
      </w:pPr>
    </w:p>
    <w:p>
      <w:pPr>
        <w:pStyle w:val="BodyText"/>
        <w:spacing w:line="360" w:lineRule="auto" w:before="69"/>
        <w:ind w:left="118" w:right="115"/>
        <w:jc w:val="both"/>
      </w:pPr>
      <w:r>
        <w:rPr/>
        <w:t>Estas lesiones se producen cuando existe una lesión periapical inducidas por inducción endodóntica y periodontal (Fig. 15). El defecto infraóseo radiográficamente es creada cuando estas dos entidades se encuentran y convergen en algún lugar a lo largo de la superficie radicular. En última instancia, clínica y radiográficamente es indistinguible de las otras lesiones que son secundariamente involucradas </w:t>
      </w:r>
      <w:r>
        <w:rPr>
          <w:position w:val="8"/>
          <w:sz w:val="16"/>
        </w:rPr>
        <w:t>(29)</w:t>
      </w:r>
      <w:r>
        <w:rPr/>
        <w:t>.</w:t>
      </w:r>
    </w:p>
    <w:p>
      <w:pPr>
        <w:spacing w:after="0" w:line="360" w:lineRule="auto"/>
        <w:jc w:val="both"/>
        <w:sectPr>
          <w:pgSz w:w="12240" w:h="15840"/>
          <w:pgMar w:header="749" w:footer="1003" w:top="960" w:bottom="1200" w:left="1300" w:right="1580"/>
        </w:sectPr>
      </w:pPr>
    </w:p>
    <w:p>
      <w:pPr>
        <w:pStyle w:val="BodyText"/>
        <w:ind w:left="2794"/>
        <w:rPr>
          <w:sz w:val="20"/>
        </w:rPr>
      </w:pPr>
      <w:r>
        <w:rPr>
          <w:sz w:val="20"/>
        </w:rPr>
        <w:drawing>
          <wp:inline distT="0" distB="0" distL="0" distR="0">
            <wp:extent cx="2693351" cy="3304603"/>
            <wp:effectExtent l="0" t="0" r="0" b="0"/>
            <wp:docPr id="33" name="image17.jpeg" descr=""/>
            <wp:cNvGraphicFramePr>
              <a:graphicFrameLocks noChangeAspect="1"/>
            </wp:cNvGraphicFramePr>
            <a:graphic>
              <a:graphicData uri="http://schemas.openxmlformats.org/drawingml/2006/picture">
                <pic:pic>
                  <pic:nvPicPr>
                    <pic:cNvPr id="34" name="image17.jpeg"/>
                    <pic:cNvPicPr/>
                  </pic:nvPicPr>
                  <pic:blipFill>
                    <a:blip r:embed="rId29" cstate="print"/>
                    <a:stretch>
                      <a:fillRect/>
                    </a:stretch>
                  </pic:blipFill>
                  <pic:spPr>
                    <a:xfrm>
                      <a:off x="0" y="0"/>
                      <a:ext cx="2693351" cy="3304603"/>
                    </a:xfrm>
                    <a:prstGeom prst="rect">
                      <a:avLst/>
                    </a:prstGeom>
                  </pic:spPr>
                </pic:pic>
              </a:graphicData>
            </a:graphic>
          </wp:inline>
        </w:drawing>
      </w:r>
      <w:r>
        <w:rPr>
          <w:sz w:val="20"/>
        </w:rPr>
      </w:r>
    </w:p>
    <w:p>
      <w:pPr>
        <w:pStyle w:val="BodyText"/>
        <w:rPr>
          <w:sz w:val="20"/>
        </w:rPr>
      </w:pPr>
    </w:p>
    <w:p>
      <w:pPr>
        <w:pStyle w:val="BodyText"/>
        <w:spacing w:before="4"/>
        <w:rPr>
          <w:sz w:val="19"/>
        </w:rPr>
      </w:pPr>
    </w:p>
    <w:p>
      <w:pPr>
        <w:spacing w:line="357" w:lineRule="auto" w:before="74"/>
        <w:ind w:left="118" w:right="125" w:firstLine="0"/>
        <w:jc w:val="both"/>
        <w:rPr>
          <w:sz w:val="20"/>
        </w:rPr>
      </w:pPr>
      <w:r>
        <w:rPr>
          <w:sz w:val="20"/>
        </w:rPr>
        <w:t>Fig. 15: Lesión combinada verdadera. Las dos lesiones separadas se dirigen a una fusión que forma</w:t>
      </w:r>
      <w:r>
        <w:rPr>
          <w:spacing w:val="-35"/>
          <w:sz w:val="20"/>
        </w:rPr>
        <w:t> </w:t>
      </w:r>
      <w:r>
        <w:rPr>
          <w:sz w:val="20"/>
        </w:rPr>
        <w:t>la lesión combinada</w:t>
      </w:r>
      <w:r>
        <w:rPr>
          <w:spacing w:val="-8"/>
          <w:sz w:val="20"/>
        </w:rPr>
        <w:t> </w:t>
      </w:r>
      <w:r>
        <w:rPr>
          <w:sz w:val="20"/>
        </w:rPr>
        <w:t>verdadera.</w:t>
      </w:r>
    </w:p>
    <w:p>
      <w:pPr>
        <w:pStyle w:val="BodyText"/>
        <w:rPr>
          <w:sz w:val="20"/>
        </w:rPr>
      </w:pPr>
    </w:p>
    <w:p>
      <w:pPr>
        <w:pStyle w:val="Heading2"/>
        <w:spacing w:before="122"/>
        <w:ind w:left="118"/>
      </w:pPr>
      <w:r>
        <w:rPr/>
        <w:t>2.2.5 Trauma dental.</w:t>
      </w:r>
    </w:p>
    <w:p>
      <w:pPr>
        <w:pStyle w:val="BodyText"/>
        <w:rPr>
          <w:b/>
        </w:rPr>
      </w:pPr>
    </w:p>
    <w:p>
      <w:pPr>
        <w:pStyle w:val="BodyText"/>
        <w:rPr>
          <w:b/>
        </w:rPr>
      </w:pPr>
    </w:p>
    <w:p>
      <w:pPr>
        <w:pStyle w:val="BodyText"/>
        <w:spacing w:line="360" w:lineRule="auto"/>
        <w:ind w:left="118" w:right="115"/>
        <w:jc w:val="both"/>
      </w:pPr>
      <w:r>
        <w:rPr/>
        <w:t>Las lesiones traumáticas de los dientes ocasionan daños en muchas estructuras dentales y perirradiculares, haciendo que el tratamiento y las consecuencias de estas lesiones sean multifactoriales. En muchos casos, después de un traumatismo dental, se debe realizar un tratamiento endodóntico en un diente permanente, joven, unirradicular y sin caries. </w:t>
      </w:r>
      <w:r>
        <w:rPr>
          <w:position w:val="8"/>
          <w:sz w:val="16"/>
        </w:rPr>
        <w:t>(23)</w:t>
      </w:r>
      <w:r>
        <w:rPr/>
        <w:t>.</w:t>
      </w:r>
    </w:p>
    <w:p>
      <w:pPr>
        <w:pStyle w:val="BodyText"/>
        <w:rPr>
          <w:sz w:val="36"/>
        </w:rPr>
      </w:pPr>
    </w:p>
    <w:p>
      <w:pPr>
        <w:pStyle w:val="BodyText"/>
        <w:spacing w:line="360" w:lineRule="auto"/>
        <w:ind w:left="118" w:right="118"/>
        <w:jc w:val="both"/>
      </w:pPr>
      <w:r>
        <w:rPr/>
        <w:t>Las consideraciones para los pacientes epilépticos incluyen el tratamiento de efectos colaterales de los medicamentos en los tejidos blandos, y corregir los daños en las estructuras</w:t>
      </w:r>
      <w:r>
        <w:rPr>
          <w:spacing w:val="-11"/>
        </w:rPr>
        <w:t> </w:t>
      </w:r>
      <w:r>
        <w:rPr/>
        <w:t>dentarias</w:t>
      </w:r>
      <w:r>
        <w:rPr>
          <w:spacing w:val="-12"/>
        </w:rPr>
        <w:t> </w:t>
      </w:r>
      <w:r>
        <w:rPr/>
        <w:t>que</w:t>
      </w:r>
      <w:r>
        <w:rPr>
          <w:spacing w:val="-11"/>
        </w:rPr>
        <w:t> </w:t>
      </w:r>
      <w:r>
        <w:rPr/>
        <w:t>ocurren</w:t>
      </w:r>
      <w:r>
        <w:rPr>
          <w:spacing w:val="-11"/>
        </w:rPr>
        <w:t> </w:t>
      </w:r>
      <w:r>
        <w:rPr/>
        <w:t>debido</w:t>
      </w:r>
      <w:r>
        <w:rPr>
          <w:spacing w:val="-10"/>
        </w:rPr>
        <w:t> </w:t>
      </w:r>
      <w:r>
        <w:rPr/>
        <w:t>a</w:t>
      </w:r>
      <w:r>
        <w:rPr>
          <w:spacing w:val="-8"/>
        </w:rPr>
        <w:t> </w:t>
      </w:r>
      <w:r>
        <w:rPr/>
        <w:t>traumas</w:t>
      </w:r>
      <w:r>
        <w:rPr>
          <w:spacing w:val="-12"/>
        </w:rPr>
        <w:t> </w:t>
      </w:r>
      <w:r>
        <w:rPr/>
        <w:t>producto</w:t>
      </w:r>
      <w:r>
        <w:rPr>
          <w:spacing w:val="-8"/>
        </w:rPr>
        <w:t> </w:t>
      </w:r>
      <w:r>
        <w:rPr/>
        <w:t>de</w:t>
      </w:r>
      <w:r>
        <w:rPr>
          <w:spacing w:val="-8"/>
        </w:rPr>
        <w:t> </w:t>
      </w:r>
      <w:r>
        <w:rPr/>
        <w:t>las</w:t>
      </w:r>
      <w:r>
        <w:rPr>
          <w:spacing w:val="-11"/>
        </w:rPr>
        <w:t> </w:t>
      </w:r>
      <w:r>
        <w:rPr/>
        <w:t>crisis</w:t>
      </w:r>
      <w:r>
        <w:rPr>
          <w:spacing w:val="-10"/>
        </w:rPr>
        <w:t> </w:t>
      </w:r>
      <w:r>
        <w:rPr/>
        <w:t>convulsivas.</w:t>
      </w:r>
    </w:p>
    <w:p>
      <w:pPr>
        <w:spacing w:after="0" w:line="360" w:lineRule="auto"/>
        <w:jc w:val="both"/>
        <w:sectPr>
          <w:pgSz w:w="12240" w:h="15840"/>
          <w:pgMar w:header="749" w:footer="1003" w:top="920" w:bottom="1200" w:left="1300" w:right="1580"/>
        </w:sectPr>
      </w:pPr>
    </w:p>
    <w:p>
      <w:pPr>
        <w:pStyle w:val="BodyText"/>
        <w:rPr>
          <w:sz w:val="20"/>
        </w:rPr>
      </w:pPr>
    </w:p>
    <w:p>
      <w:pPr>
        <w:pStyle w:val="BodyText"/>
        <w:rPr>
          <w:sz w:val="20"/>
        </w:rPr>
      </w:pPr>
    </w:p>
    <w:p>
      <w:pPr>
        <w:pStyle w:val="BodyText"/>
        <w:spacing w:before="5"/>
        <w:rPr>
          <w:sz w:val="17"/>
        </w:rPr>
      </w:pPr>
    </w:p>
    <w:p>
      <w:pPr>
        <w:pStyle w:val="BodyText"/>
        <w:spacing w:before="70"/>
        <w:ind w:left="118" w:right="194"/>
      </w:pPr>
      <w:r>
        <w:rPr>
          <w:u w:val="single"/>
        </w:rPr>
        <w:t>2.2.5.1Tipos más comunes de traumatismo dental en el paciente epiléptico.</w:t>
      </w:r>
    </w:p>
    <w:p>
      <w:pPr>
        <w:pStyle w:val="BodyText"/>
        <w:rPr>
          <w:sz w:val="20"/>
        </w:rPr>
      </w:pPr>
    </w:p>
    <w:p>
      <w:pPr>
        <w:pStyle w:val="BodyText"/>
        <w:rPr>
          <w:sz w:val="20"/>
        </w:rPr>
      </w:pPr>
    </w:p>
    <w:p>
      <w:pPr>
        <w:pStyle w:val="BodyText"/>
        <w:spacing w:before="1"/>
        <w:rPr>
          <w:sz w:val="19"/>
        </w:rPr>
      </w:pPr>
    </w:p>
    <w:p>
      <w:pPr>
        <w:pStyle w:val="BodyText"/>
        <w:spacing w:line="360" w:lineRule="auto" w:before="69"/>
        <w:ind w:left="118" w:right="115"/>
        <w:jc w:val="both"/>
      </w:pPr>
      <w:r>
        <w:rPr>
          <w:i/>
        </w:rPr>
        <w:t>Fracturas coronales</w:t>
      </w:r>
      <w:r>
        <w:rPr/>
        <w:t>: La mayoría de fracturas coronales se producen en dientes anteriores jóvenes y sin caries. Esto hace que sea esencial mantener o recuperar la vitalidad de la pulpa. Por suerte, el tratamiento de la pulpa vital tiene un buen pronóstico en estos casos, si se controla adecuadamente el tratamiento correcto y las visitas de control </w:t>
      </w:r>
      <w:r>
        <w:rPr>
          <w:position w:val="8"/>
          <w:sz w:val="16"/>
        </w:rPr>
        <w:t>(23)</w:t>
      </w:r>
      <w:r>
        <w:rPr/>
        <w:t>.</w:t>
      </w:r>
    </w:p>
    <w:p>
      <w:pPr>
        <w:pStyle w:val="BodyText"/>
        <w:spacing w:line="360" w:lineRule="auto" w:before="198"/>
        <w:ind w:left="118" w:right="119"/>
        <w:jc w:val="both"/>
      </w:pPr>
      <w:r>
        <w:rPr>
          <w:i/>
        </w:rPr>
        <w:t>Fracturas</w:t>
      </w:r>
      <w:r>
        <w:rPr>
          <w:i/>
          <w:spacing w:val="-13"/>
        </w:rPr>
        <w:t> </w:t>
      </w:r>
      <w:r>
        <w:rPr>
          <w:i/>
        </w:rPr>
        <w:t>coronorradiculares</w:t>
      </w:r>
      <w:r>
        <w:rPr/>
        <w:t>:</w:t>
      </w:r>
      <w:r>
        <w:rPr>
          <w:spacing w:val="-15"/>
        </w:rPr>
        <w:t> </w:t>
      </w:r>
      <w:r>
        <w:rPr/>
        <w:t>Las</w:t>
      </w:r>
      <w:r>
        <w:rPr>
          <w:spacing w:val="-17"/>
        </w:rPr>
        <w:t> </w:t>
      </w:r>
      <w:r>
        <w:rPr/>
        <w:t>fracturas</w:t>
      </w:r>
      <w:r>
        <w:rPr>
          <w:spacing w:val="-13"/>
        </w:rPr>
        <w:t> </w:t>
      </w:r>
      <w:r>
        <w:rPr/>
        <w:t>coronorradiculares</w:t>
      </w:r>
      <w:r>
        <w:rPr>
          <w:spacing w:val="-14"/>
        </w:rPr>
        <w:t> </w:t>
      </w:r>
      <w:r>
        <w:rPr/>
        <w:t>se</w:t>
      </w:r>
      <w:r>
        <w:rPr>
          <w:spacing w:val="-15"/>
        </w:rPr>
        <w:t> </w:t>
      </w:r>
      <w:r>
        <w:rPr/>
        <w:t>deben</w:t>
      </w:r>
      <w:r>
        <w:rPr>
          <w:spacing w:val="-13"/>
        </w:rPr>
        <w:t> </w:t>
      </w:r>
      <w:r>
        <w:rPr/>
        <w:t>tratar</w:t>
      </w:r>
      <w:r>
        <w:rPr>
          <w:spacing w:val="-17"/>
        </w:rPr>
        <w:t> </w:t>
      </w:r>
      <w:r>
        <w:rPr/>
        <w:t>primero por un periodoncista para asegurar la obtención de un buen margen para la restauración. Si desde el punto de vista periodontal se puede mantener el diente, la pulpa se trata como en las fracturas coronarias</w:t>
      </w:r>
      <w:r>
        <w:rPr>
          <w:spacing w:val="-17"/>
        </w:rPr>
        <w:t> </w:t>
      </w:r>
      <w:r>
        <w:rPr>
          <w:position w:val="8"/>
          <w:sz w:val="16"/>
        </w:rPr>
        <w:t>(23)</w:t>
      </w:r>
      <w:r>
        <w:rPr/>
        <w:t>.</w:t>
      </w:r>
    </w:p>
    <w:p>
      <w:pPr>
        <w:pStyle w:val="BodyText"/>
        <w:spacing w:line="360" w:lineRule="auto" w:before="198"/>
        <w:ind w:left="118" w:right="118"/>
        <w:jc w:val="both"/>
      </w:pPr>
      <w:r>
        <w:rPr>
          <w:i/>
        </w:rPr>
        <w:t>Fracturas radiculares</w:t>
      </w:r>
      <w:r>
        <w:rPr/>
        <w:t>: Sorprendentemente, un gran número de pulpas de dientes con fracturas radiculares sobreviven a estas lesiones a veces espectaculares. En casi todos los casos, el segmento apical permanece vital y en muchos casos, el segmento coronal permanece vital o recupera la vitalidad después de la lesión. Si el segmento coronal pierde la vitalidad de forma permanente, debe tratarse como un diente permanente</w:t>
      </w:r>
      <w:r>
        <w:rPr>
          <w:spacing w:val="-9"/>
        </w:rPr>
        <w:t> </w:t>
      </w:r>
      <w:r>
        <w:rPr/>
        <w:t>inmaduro</w:t>
      </w:r>
      <w:r>
        <w:rPr>
          <w:spacing w:val="-12"/>
        </w:rPr>
        <w:t> </w:t>
      </w:r>
      <w:r>
        <w:rPr/>
        <w:t>con</w:t>
      </w:r>
      <w:r>
        <w:rPr>
          <w:spacing w:val="-6"/>
        </w:rPr>
        <w:t> </w:t>
      </w:r>
      <w:r>
        <w:rPr/>
        <w:t>una</w:t>
      </w:r>
      <w:r>
        <w:rPr>
          <w:spacing w:val="-9"/>
        </w:rPr>
        <w:t> </w:t>
      </w:r>
      <w:r>
        <w:rPr/>
        <w:t>pulpa</w:t>
      </w:r>
      <w:r>
        <w:rPr>
          <w:spacing w:val="-9"/>
        </w:rPr>
        <w:t> </w:t>
      </w:r>
      <w:r>
        <w:rPr/>
        <w:t>no</w:t>
      </w:r>
      <w:r>
        <w:rPr>
          <w:spacing w:val="-9"/>
        </w:rPr>
        <w:t> </w:t>
      </w:r>
      <w:r>
        <w:rPr/>
        <w:t>vital.</w:t>
      </w:r>
      <w:r>
        <w:rPr>
          <w:spacing w:val="-10"/>
        </w:rPr>
        <w:t> </w:t>
      </w:r>
      <w:r>
        <w:rPr/>
        <w:t>El</w:t>
      </w:r>
      <w:r>
        <w:rPr>
          <w:spacing w:val="-11"/>
        </w:rPr>
        <w:t> </w:t>
      </w:r>
      <w:r>
        <w:rPr/>
        <w:t>segmento</w:t>
      </w:r>
      <w:r>
        <w:rPr>
          <w:spacing w:val="-9"/>
        </w:rPr>
        <w:t> </w:t>
      </w:r>
      <w:r>
        <w:rPr/>
        <w:t>apical</w:t>
      </w:r>
      <w:r>
        <w:rPr>
          <w:spacing w:val="-11"/>
        </w:rPr>
        <w:t> </w:t>
      </w:r>
      <w:r>
        <w:rPr/>
        <w:t>no</w:t>
      </w:r>
      <w:r>
        <w:rPr>
          <w:spacing w:val="-12"/>
        </w:rPr>
        <w:t> </w:t>
      </w:r>
      <w:r>
        <w:rPr/>
        <w:t>se</w:t>
      </w:r>
      <w:r>
        <w:rPr>
          <w:spacing w:val="-9"/>
        </w:rPr>
        <w:t> </w:t>
      </w:r>
      <w:r>
        <w:rPr/>
        <w:t>debe</w:t>
      </w:r>
      <w:r>
        <w:rPr>
          <w:spacing w:val="-9"/>
        </w:rPr>
        <w:t> </w:t>
      </w:r>
      <w:r>
        <w:rPr/>
        <w:t>tratar</w:t>
      </w:r>
      <w:r>
        <w:rPr>
          <w:spacing w:val="-4"/>
        </w:rPr>
        <w:t> </w:t>
      </w:r>
      <w:r>
        <w:rPr>
          <w:position w:val="8"/>
          <w:sz w:val="16"/>
        </w:rPr>
        <w:t>(23)</w:t>
      </w:r>
      <w:r>
        <w:rPr/>
        <w:t>.</w:t>
      </w:r>
    </w:p>
    <w:p>
      <w:pPr>
        <w:pStyle w:val="BodyText"/>
        <w:spacing w:line="360" w:lineRule="auto" w:before="195"/>
        <w:ind w:left="118" w:right="121"/>
        <w:jc w:val="both"/>
      </w:pPr>
      <w:r>
        <w:rPr>
          <w:i/>
        </w:rPr>
        <w:t>Luxaciones y avulsiones</w:t>
      </w:r>
      <w:r>
        <w:rPr/>
        <w:t>: Las luxaciones producen con frecuencia necrosis pulpar y una lesión de la capa protectora del cemento radicular. La posibilidad de infección pulpar en una raíz que ha perdido su capa protectora de cemento convierte estas lesiones en potencialmente peligrosas. Es fundamental realizar una evaluación correcta de urgencia y de seguimiento, que puede incluir el tratamiento endodóntico oportuno </w:t>
      </w:r>
      <w:r>
        <w:rPr>
          <w:position w:val="8"/>
          <w:sz w:val="16"/>
        </w:rPr>
        <w:t>(23)</w:t>
      </w:r>
      <w:r>
        <w:rPr/>
        <w:t>.</w:t>
      </w:r>
    </w:p>
    <w:p>
      <w:pPr>
        <w:pStyle w:val="Heading2"/>
        <w:spacing w:before="201"/>
        <w:ind w:left="118"/>
      </w:pPr>
      <w:r>
        <w:rPr/>
        <w:t>2.2.6 Efectos de los fármacos antiepilépticos en la cavidad oral.</w:t>
      </w:r>
    </w:p>
    <w:p>
      <w:pPr>
        <w:pStyle w:val="BodyText"/>
        <w:spacing w:before="2"/>
        <w:rPr>
          <w:b/>
          <w:sz w:val="29"/>
        </w:rPr>
      </w:pPr>
    </w:p>
    <w:p>
      <w:pPr>
        <w:pStyle w:val="BodyText"/>
        <w:spacing w:line="360" w:lineRule="auto"/>
        <w:ind w:left="118" w:right="119"/>
        <w:jc w:val="both"/>
      </w:pPr>
      <w:r>
        <w:rPr/>
        <w:t>Como hemos mencionado anteriormente existen diversos fármacos antiepilépticos de los cuales nuestro paciente puede estar haciendo uso, el consumo de estos provoca algunas reacciones adversas dentro de la cavidad oral en la tabla 3 se describen, los fármacos y el efecto que provocan en cavidad oral </w:t>
      </w:r>
      <w:r>
        <w:rPr>
          <w:position w:val="8"/>
          <w:sz w:val="16"/>
        </w:rPr>
        <w:t>(30)</w:t>
      </w:r>
      <w:r>
        <w:rPr/>
        <w:t>.</w:t>
      </w:r>
    </w:p>
    <w:p>
      <w:pPr>
        <w:spacing w:after="0" w:line="360" w:lineRule="auto"/>
        <w:jc w:val="both"/>
        <w:sectPr>
          <w:pgSz w:w="12240" w:h="15840"/>
          <w:pgMar w:header="749" w:footer="1003" w:top="960" w:bottom="1200" w:left="1300" w:right="1580"/>
        </w:sectPr>
      </w:pPr>
    </w:p>
    <w:p>
      <w:pPr>
        <w:pStyle w:val="BodyText"/>
        <w:rPr>
          <w:rFonts w:ascii="Times New Roman"/>
          <w:sz w:val="20"/>
        </w:rPr>
      </w:pPr>
    </w:p>
    <w:p>
      <w:pPr>
        <w:pStyle w:val="BodyText"/>
        <w:rPr>
          <w:rFonts w:ascii="Times New Roman"/>
          <w:sz w:val="20"/>
        </w:rPr>
      </w:pPr>
    </w:p>
    <w:p>
      <w:pPr>
        <w:pStyle w:val="BodyText"/>
        <w:spacing w:before="7" w:after="1"/>
        <w:rPr>
          <w:rFonts w:ascii="Times New Roman"/>
          <w:sz w:val="23"/>
        </w:rPr>
      </w:pPr>
    </w:p>
    <w:tbl>
      <w:tblPr>
        <w:tblW w:w="0" w:type="auto"/>
        <w:jc w:val="left"/>
        <w:tblInd w:w="118" w:type="dxa"/>
        <w:tblBorders>
          <w:top w:val="single" w:sz="8" w:space="0" w:color="4AACC5"/>
          <w:left w:val="single" w:sz="8" w:space="0" w:color="4AACC5"/>
          <w:bottom w:val="single" w:sz="8" w:space="0" w:color="4AACC5"/>
          <w:right w:val="single" w:sz="8" w:space="0" w:color="4AACC5"/>
          <w:insideH w:val="single" w:sz="8" w:space="0" w:color="4AACC5"/>
          <w:insideV w:val="single" w:sz="8" w:space="0" w:color="4AACC5"/>
        </w:tblBorders>
        <w:tblLayout w:type="fixed"/>
        <w:tblCellMar>
          <w:top w:w="0" w:type="dxa"/>
          <w:left w:w="0" w:type="dxa"/>
          <w:bottom w:w="0" w:type="dxa"/>
          <w:right w:w="0" w:type="dxa"/>
        </w:tblCellMar>
        <w:tblLook w:val="01E0"/>
      </w:tblPr>
      <w:tblGrid>
        <w:gridCol w:w="2708"/>
        <w:gridCol w:w="6332"/>
      </w:tblGrid>
      <w:tr>
        <w:trPr>
          <w:trHeight w:val="912" w:hRule="exact"/>
        </w:trPr>
        <w:tc>
          <w:tcPr>
            <w:tcW w:w="9040" w:type="dxa"/>
            <w:gridSpan w:val="2"/>
            <w:shd w:val="clear" w:color="auto" w:fill="D2EAF0"/>
          </w:tcPr>
          <w:p>
            <w:pPr>
              <w:pStyle w:val="TableParagraph"/>
              <w:spacing w:before="70"/>
              <w:ind w:left="242"/>
              <w:rPr>
                <w:sz w:val="24"/>
              </w:rPr>
            </w:pPr>
            <w:r>
              <w:rPr>
                <w:sz w:val="24"/>
              </w:rPr>
              <w:t>Tabla 3</w:t>
            </w:r>
          </w:p>
          <w:p>
            <w:pPr>
              <w:pStyle w:val="TableParagraph"/>
              <w:spacing w:before="168"/>
              <w:ind w:left="98"/>
              <w:rPr>
                <w:sz w:val="24"/>
              </w:rPr>
            </w:pPr>
            <w:r>
              <w:rPr>
                <w:sz w:val="24"/>
              </w:rPr>
              <w:t>Efectos adversos de los fármacos antiepilépticos</w:t>
            </w:r>
          </w:p>
        </w:tc>
      </w:tr>
      <w:tr>
        <w:trPr>
          <w:trHeight w:val="418" w:hRule="exact"/>
        </w:trPr>
        <w:tc>
          <w:tcPr>
            <w:tcW w:w="2708" w:type="dxa"/>
            <w:shd w:val="clear" w:color="auto" w:fill="D2EAF0"/>
          </w:tcPr>
          <w:p>
            <w:pPr>
              <w:pStyle w:val="TableParagraph"/>
              <w:spacing w:before="106"/>
              <w:ind w:left="242" w:right="91"/>
              <w:rPr>
                <w:sz w:val="24"/>
              </w:rPr>
            </w:pPr>
            <w:r>
              <w:rPr>
                <w:sz w:val="24"/>
              </w:rPr>
              <w:t>FARMACO</w:t>
            </w:r>
          </w:p>
        </w:tc>
        <w:tc>
          <w:tcPr>
            <w:tcW w:w="6332" w:type="dxa"/>
          </w:tcPr>
          <w:p>
            <w:pPr>
              <w:pStyle w:val="TableParagraph"/>
              <w:spacing w:before="106"/>
              <w:ind w:left="290" w:right="94"/>
              <w:rPr>
                <w:sz w:val="24"/>
              </w:rPr>
            </w:pPr>
            <w:r>
              <w:rPr>
                <w:sz w:val="24"/>
              </w:rPr>
              <w:t>EFECTOS ORALES</w:t>
            </w:r>
          </w:p>
        </w:tc>
      </w:tr>
      <w:tr>
        <w:trPr>
          <w:trHeight w:val="1133" w:hRule="exact"/>
        </w:trPr>
        <w:tc>
          <w:tcPr>
            <w:tcW w:w="2708" w:type="dxa"/>
            <w:shd w:val="clear" w:color="auto" w:fill="D2EAF0"/>
          </w:tcPr>
          <w:p>
            <w:pPr>
              <w:pStyle w:val="TableParagraph"/>
              <w:spacing w:before="51"/>
              <w:ind w:left="242" w:right="91"/>
              <w:rPr>
                <w:sz w:val="24"/>
              </w:rPr>
            </w:pPr>
            <w:r>
              <w:rPr>
                <w:sz w:val="24"/>
              </w:rPr>
              <w:t>Carbamazepina</w:t>
            </w:r>
          </w:p>
        </w:tc>
        <w:tc>
          <w:tcPr>
            <w:tcW w:w="6332" w:type="dxa"/>
            <w:shd w:val="clear" w:color="auto" w:fill="D2EAF0"/>
          </w:tcPr>
          <w:p>
            <w:pPr>
              <w:pStyle w:val="TableParagraph"/>
              <w:spacing w:before="36"/>
              <w:ind w:left="242" w:right="94"/>
              <w:rPr>
                <w:sz w:val="24"/>
              </w:rPr>
            </w:pPr>
            <w:r>
              <w:rPr>
                <w:sz w:val="24"/>
              </w:rPr>
              <w:t>Agranulocitosis, anemia aplasica, xerostomia, hygiene</w:t>
            </w:r>
          </w:p>
          <w:p>
            <w:pPr>
              <w:pStyle w:val="TableParagraph"/>
              <w:spacing w:line="410" w:lineRule="atLeast" w:before="5"/>
              <w:ind w:left="225" w:right="94"/>
              <w:rPr>
                <w:sz w:val="24"/>
              </w:rPr>
            </w:pPr>
            <w:r>
              <w:rPr>
                <w:sz w:val="24"/>
              </w:rPr>
              <w:t>oral disminuida, hiperplasia gingival (trombocitopenia), osteoporosis.</w:t>
            </w:r>
          </w:p>
        </w:tc>
      </w:tr>
      <w:tr>
        <w:trPr>
          <w:trHeight w:val="568" w:hRule="exact"/>
        </w:trPr>
        <w:tc>
          <w:tcPr>
            <w:tcW w:w="2708" w:type="dxa"/>
            <w:shd w:val="clear" w:color="auto" w:fill="D2EAF0"/>
          </w:tcPr>
          <w:p>
            <w:pPr>
              <w:pStyle w:val="TableParagraph"/>
              <w:spacing w:before="48"/>
              <w:ind w:left="242" w:right="91"/>
              <w:rPr>
                <w:sz w:val="24"/>
              </w:rPr>
            </w:pPr>
            <w:r>
              <w:rPr>
                <w:sz w:val="24"/>
              </w:rPr>
              <w:t>Clonazepam</w:t>
            </w:r>
          </w:p>
        </w:tc>
        <w:tc>
          <w:tcPr>
            <w:tcW w:w="6332" w:type="dxa"/>
          </w:tcPr>
          <w:p>
            <w:pPr>
              <w:pStyle w:val="TableParagraph"/>
              <w:spacing w:before="48"/>
              <w:ind w:left="223" w:right="94"/>
              <w:rPr>
                <w:sz w:val="24"/>
              </w:rPr>
            </w:pPr>
            <w:r>
              <w:rPr>
                <w:sz w:val="24"/>
              </w:rPr>
              <w:t>Letargo, ataxia, interacciones medicamentosas.</w:t>
            </w:r>
          </w:p>
        </w:tc>
      </w:tr>
      <w:tr>
        <w:trPr>
          <w:trHeight w:val="727" w:hRule="exact"/>
        </w:trPr>
        <w:tc>
          <w:tcPr>
            <w:tcW w:w="2708" w:type="dxa"/>
            <w:shd w:val="clear" w:color="auto" w:fill="D2EAF0"/>
          </w:tcPr>
          <w:p>
            <w:pPr>
              <w:pStyle w:val="TableParagraph"/>
              <w:spacing w:before="49"/>
              <w:ind w:left="242" w:right="91"/>
              <w:rPr>
                <w:sz w:val="24"/>
              </w:rPr>
            </w:pPr>
            <w:r>
              <w:rPr>
                <w:sz w:val="24"/>
              </w:rPr>
              <w:t>Ethosuximida</w:t>
            </w:r>
          </w:p>
          <w:p>
            <w:pPr>
              <w:pStyle w:val="TableParagraph"/>
              <w:spacing w:before="137"/>
              <w:ind w:left="242" w:right="91"/>
              <w:rPr>
                <w:sz w:val="24"/>
              </w:rPr>
            </w:pPr>
            <w:r>
              <w:rPr>
                <w:sz w:val="24"/>
              </w:rPr>
              <w:t>(Zarontin)</w:t>
            </w:r>
          </w:p>
        </w:tc>
        <w:tc>
          <w:tcPr>
            <w:tcW w:w="6332" w:type="dxa"/>
            <w:shd w:val="clear" w:color="auto" w:fill="D2EAF0"/>
          </w:tcPr>
          <w:p>
            <w:pPr>
              <w:pStyle w:val="TableParagraph"/>
              <w:tabs>
                <w:tab w:pos="1773" w:val="left" w:leader="none"/>
              </w:tabs>
              <w:spacing w:before="33"/>
              <w:ind w:left="242" w:right="94"/>
              <w:rPr>
                <w:sz w:val="24"/>
              </w:rPr>
            </w:pPr>
            <w:r>
              <w:rPr>
                <w:sz w:val="24"/>
              </w:rPr>
              <w:t>Leucopenia,</w:t>
              <w:tab/>
              <w:t>sindrome Stevens-Johnsons,</w:t>
            </w:r>
            <w:r>
              <w:rPr>
                <w:spacing w:val="-2"/>
                <w:sz w:val="24"/>
              </w:rPr>
              <w:t> </w:t>
            </w:r>
            <w:r>
              <w:rPr>
                <w:sz w:val="24"/>
              </w:rPr>
              <w:t>edema,</w:t>
            </w:r>
          </w:p>
          <w:p>
            <w:pPr>
              <w:pStyle w:val="TableParagraph"/>
              <w:spacing w:before="137"/>
              <w:ind w:left="225" w:right="94"/>
              <w:rPr>
                <w:sz w:val="24"/>
              </w:rPr>
            </w:pPr>
            <w:r>
              <w:rPr>
                <w:sz w:val="24"/>
              </w:rPr>
              <w:t>disgeusia.</w:t>
            </w:r>
          </w:p>
        </w:tc>
      </w:tr>
      <w:tr>
        <w:trPr>
          <w:trHeight w:val="877" w:hRule="exact"/>
        </w:trPr>
        <w:tc>
          <w:tcPr>
            <w:tcW w:w="2708" w:type="dxa"/>
            <w:shd w:val="clear" w:color="auto" w:fill="D2EAF0"/>
          </w:tcPr>
          <w:p>
            <w:pPr>
              <w:pStyle w:val="TableParagraph"/>
              <w:spacing w:before="58"/>
              <w:ind w:left="242" w:right="91"/>
              <w:rPr>
                <w:sz w:val="24"/>
              </w:rPr>
            </w:pPr>
            <w:r>
              <w:rPr>
                <w:sz w:val="24"/>
              </w:rPr>
              <w:t>Felbamata (Felbatol)</w:t>
            </w:r>
          </w:p>
        </w:tc>
        <w:tc>
          <w:tcPr>
            <w:tcW w:w="6332" w:type="dxa"/>
          </w:tcPr>
          <w:p>
            <w:pPr>
              <w:pStyle w:val="TableParagraph"/>
              <w:spacing w:line="360" w:lineRule="auto" w:before="43"/>
              <w:ind w:left="225" w:right="94"/>
              <w:rPr>
                <w:sz w:val="24"/>
              </w:rPr>
            </w:pPr>
            <w:r>
              <w:rPr>
                <w:sz w:val="24"/>
              </w:rPr>
              <w:t>Anemia aplasica, xerostomia, estomatitis, edema orofacial, Disgeusia.</w:t>
            </w:r>
          </w:p>
        </w:tc>
      </w:tr>
      <w:tr>
        <w:trPr>
          <w:trHeight w:val="985" w:hRule="exact"/>
        </w:trPr>
        <w:tc>
          <w:tcPr>
            <w:tcW w:w="2708" w:type="dxa"/>
            <w:shd w:val="clear" w:color="auto" w:fill="D2EAF0"/>
          </w:tcPr>
          <w:p>
            <w:pPr>
              <w:pStyle w:val="TableParagraph"/>
              <w:spacing w:line="360" w:lineRule="auto" w:before="54"/>
              <w:ind w:left="242" w:right="1052"/>
              <w:rPr>
                <w:sz w:val="24"/>
              </w:rPr>
            </w:pPr>
            <w:r>
              <w:rPr>
                <w:sz w:val="24"/>
              </w:rPr>
              <w:t>Gabapentina (Neurontin)</w:t>
            </w:r>
          </w:p>
        </w:tc>
        <w:tc>
          <w:tcPr>
            <w:tcW w:w="6332" w:type="dxa"/>
            <w:shd w:val="clear" w:color="auto" w:fill="D2EAF0"/>
          </w:tcPr>
          <w:p>
            <w:pPr>
              <w:pStyle w:val="TableParagraph"/>
              <w:spacing w:line="360" w:lineRule="auto" w:before="40"/>
              <w:ind w:left="225" w:right="94"/>
              <w:rPr>
                <w:sz w:val="24"/>
              </w:rPr>
            </w:pPr>
            <w:r>
              <w:rPr>
                <w:sz w:val="24"/>
              </w:rPr>
              <w:t>Xerostomia, estomatitis, gingivitis, glositis, edema orofacial, disgeusia.</w:t>
            </w:r>
          </w:p>
        </w:tc>
      </w:tr>
      <w:tr>
        <w:trPr>
          <w:trHeight w:val="1130" w:hRule="exact"/>
        </w:trPr>
        <w:tc>
          <w:tcPr>
            <w:tcW w:w="2708" w:type="dxa"/>
            <w:shd w:val="clear" w:color="auto" w:fill="D2EAF0"/>
          </w:tcPr>
          <w:p>
            <w:pPr>
              <w:pStyle w:val="TableParagraph"/>
              <w:spacing w:line="360" w:lineRule="auto" w:before="53"/>
              <w:ind w:left="242" w:right="1172"/>
              <w:rPr>
                <w:sz w:val="24"/>
              </w:rPr>
            </w:pPr>
            <w:r>
              <w:rPr>
                <w:sz w:val="24"/>
              </w:rPr>
              <w:t>Lamotrigine (Lamictal)</w:t>
            </w:r>
          </w:p>
        </w:tc>
        <w:tc>
          <w:tcPr>
            <w:tcW w:w="6332" w:type="dxa"/>
          </w:tcPr>
          <w:p>
            <w:pPr>
              <w:pStyle w:val="TableParagraph"/>
              <w:spacing w:line="360" w:lineRule="auto" w:before="34"/>
              <w:ind w:left="225" w:right="94" w:firstLine="16"/>
              <w:rPr>
                <w:sz w:val="24"/>
              </w:rPr>
            </w:pPr>
            <w:r>
              <w:rPr>
                <w:sz w:val="24"/>
              </w:rPr>
              <w:t>Ataxia, sindrome Stevens-Johnson, xerostomia, estomatitis, gingivitis, glositis, disgeusia.</w:t>
            </w:r>
          </w:p>
        </w:tc>
      </w:tr>
      <w:tr>
        <w:trPr>
          <w:trHeight w:val="848" w:hRule="exact"/>
        </w:trPr>
        <w:tc>
          <w:tcPr>
            <w:tcW w:w="2708" w:type="dxa"/>
            <w:shd w:val="clear" w:color="auto" w:fill="D2EAF0"/>
          </w:tcPr>
          <w:p>
            <w:pPr>
              <w:pStyle w:val="TableParagraph"/>
              <w:spacing w:line="360" w:lineRule="auto" w:before="51"/>
              <w:ind w:left="242" w:right="919"/>
              <w:rPr>
                <w:sz w:val="24"/>
              </w:rPr>
            </w:pPr>
            <w:r>
              <w:rPr>
                <w:sz w:val="24"/>
              </w:rPr>
              <w:t>Levetiracetam (Keppra)</w:t>
            </w:r>
          </w:p>
        </w:tc>
        <w:tc>
          <w:tcPr>
            <w:tcW w:w="6332" w:type="dxa"/>
            <w:shd w:val="clear" w:color="auto" w:fill="D2EAF0"/>
          </w:tcPr>
          <w:p>
            <w:pPr>
              <w:pStyle w:val="TableParagraph"/>
              <w:spacing w:line="362" w:lineRule="auto" w:before="31"/>
              <w:ind w:left="225" w:right="94" w:firstLine="16"/>
              <w:rPr>
                <w:sz w:val="24"/>
              </w:rPr>
            </w:pPr>
            <w:r>
              <w:rPr>
                <w:sz w:val="24"/>
              </w:rPr>
              <w:t>Xerostomia, estomatitis, gingivitis, edema orofacial, disgeusia.</w:t>
            </w:r>
          </w:p>
        </w:tc>
      </w:tr>
      <w:tr>
        <w:trPr>
          <w:trHeight w:val="850" w:hRule="exact"/>
        </w:trPr>
        <w:tc>
          <w:tcPr>
            <w:tcW w:w="2708" w:type="dxa"/>
            <w:shd w:val="clear" w:color="auto" w:fill="D2EAF0"/>
          </w:tcPr>
          <w:p>
            <w:pPr>
              <w:pStyle w:val="TableParagraph"/>
              <w:spacing w:line="360" w:lineRule="auto" w:before="51"/>
              <w:ind w:left="242" w:right="812"/>
              <w:rPr>
                <w:sz w:val="24"/>
              </w:rPr>
            </w:pPr>
            <w:r>
              <w:rPr>
                <w:sz w:val="24"/>
              </w:rPr>
              <w:t>Oxcarbazepine (Trileptal)</w:t>
            </w:r>
          </w:p>
        </w:tc>
        <w:tc>
          <w:tcPr>
            <w:tcW w:w="6332" w:type="dxa"/>
          </w:tcPr>
          <w:p>
            <w:pPr>
              <w:pStyle w:val="TableParagraph"/>
              <w:tabs>
                <w:tab w:pos="1142" w:val="left" w:leader="none"/>
                <w:tab w:pos="2419" w:val="left" w:leader="none"/>
                <w:tab w:pos="4013" w:val="left" w:leader="none"/>
              </w:tabs>
              <w:spacing w:line="360" w:lineRule="auto" w:before="51"/>
              <w:ind w:left="223" w:right="94"/>
              <w:rPr>
                <w:sz w:val="24"/>
              </w:rPr>
            </w:pPr>
            <w:r>
              <w:rPr>
                <w:sz w:val="24"/>
              </w:rPr>
              <w:t>Rash</w:t>
              <w:tab/>
              <w:t>cutaneo,</w:t>
              <w:tab/>
              <w:t>xerostomia,</w:t>
              <w:tab/>
              <w:t>gingivitis,estomatitis, disgeusia.</w:t>
            </w:r>
          </w:p>
        </w:tc>
      </w:tr>
      <w:tr>
        <w:trPr>
          <w:trHeight w:val="854" w:hRule="exact"/>
        </w:trPr>
        <w:tc>
          <w:tcPr>
            <w:tcW w:w="2708" w:type="dxa"/>
            <w:shd w:val="clear" w:color="auto" w:fill="D2EAF0"/>
          </w:tcPr>
          <w:p>
            <w:pPr>
              <w:pStyle w:val="TableParagraph"/>
              <w:spacing w:line="360" w:lineRule="auto" w:before="48"/>
              <w:ind w:left="242" w:right="1092"/>
              <w:rPr>
                <w:sz w:val="24"/>
              </w:rPr>
            </w:pPr>
            <w:r>
              <w:rPr>
                <w:sz w:val="24"/>
              </w:rPr>
              <w:t>Fenobarbital (Luminal)</w:t>
            </w:r>
          </w:p>
        </w:tc>
        <w:tc>
          <w:tcPr>
            <w:tcW w:w="6332" w:type="dxa"/>
            <w:shd w:val="clear" w:color="auto" w:fill="D2EAF0"/>
          </w:tcPr>
          <w:p>
            <w:pPr>
              <w:pStyle w:val="TableParagraph"/>
              <w:spacing w:line="360" w:lineRule="auto" w:before="31"/>
              <w:ind w:left="225" w:right="94" w:firstLine="16"/>
              <w:rPr>
                <w:sz w:val="24"/>
              </w:rPr>
            </w:pPr>
            <w:r>
              <w:rPr>
                <w:sz w:val="24"/>
              </w:rPr>
              <w:t>Letargo, interacciones medicamentosas xerostomia, estomatitis, osteoporosis,</w:t>
            </w:r>
          </w:p>
        </w:tc>
      </w:tr>
      <w:tr>
        <w:trPr>
          <w:trHeight w:val="982" w:hRule="exact"/>
        </w:trPr>
        <w:tc>
          <w:tcPr>
            <w:tcW w:w="2708" w:type="dxa"/>
            <w:shd w:val="clear" w:color="auto" w:fill="D2EAF0"/>
          </w:tcPr>
          <w:p>
            <w:pPr>
              <w:pStyle w:val="TableParagraph"/>
              <w:spacing w:before="53"/>
              <w:ind w:left="242" w:right="91"/>
              <w:rPr>
                <w:sz w:val="24"/>
              </w:rPr>
            </w:pPr>
            <w:r>
              <w:rPr>
                <w:sz w:val="24"/>
              </w:rPr>
              <w:t>Fenitoina (Dilantin)</w:t>
            </w:r>
          </w:p>
        </w:tc>
        <w:tc>
          <w:tcPr>
            <w:tcW w:w="6332" w:type="dxa"/>
          </w:tcPr>
          <w:p>
            <w:pPr>
              <w:pStyle w:val="TableParagraph"/>
              <w:tabs>
                <w:tab w:pos="1695" w:val="left" w:leader="none"/>
                <w:tab w:pos="2865" w:val="left" w:leader="none"/>
                <w:tab w:pos="3678" w:val="left" w:leader="none"/>
                <w:tab w:pos="4316" w:val="left" w:leader="none"/>
              </w:tabs>
              <w:spacing w:line="360" w:lineRule="auto" w:before="41"/>
              <w:ind w:left="225" w:right="778" w:firstLine="16"/>
              <w:rPr>
                <w:sz w:val="24"/>
              </w:rPr>
            </w:pPr>
            <w:r>
              <w:rPr>
                <w:sz w:val="24"/>
              </w:rPr>
              <w:t>HIperplasia</w:t>
              <w:tab/>
              <w:t>Gingival,</w:t>
              <w:tab/>
              <w:t>salud</w:t>
              <w:tab/>
              <w:t>oral</w:t>
              <w:tab/>
              <w:t>disminuida, agrandamiento gingival,</w:t>
            </w:r>
            <w:r>
              <w:rPr>
                <w:spacing w:val="-8"/>
                <w:sz w:val="24"/>
              </w:rPr>
              <w:t> </w:t>
            </w:r>
            <w:r>
              <w:rPr>
                <w:sz w:val="24"/>
              </w:rPr>
              <w:t>osteoporosis.</w:t>
            </w:r>
          </w:p>
        </w:tc>
      </w:tr>
      <w:tr>
        <w:trPr>
          <w:trHeight w:val="555" w:hRule="exact"/>
        </w:trPr>
        <w:tc>
          <w:tcPr>
            <w:tcW w:w="2708" w:type="dxa"/>
            <w:shd w:val="clear" w:color="auto" w:fill="D2EAF0"/>
          </w:tcPr>
          <w:p>
            <w:pPr>
              <w:pStyle w:val="TableParagraph"/>
              <w:spacing w:before="54"/>
              <w:ind w:left="242" w:right="91"/>
              <w:rPr>
                <w:sz w:val="24"/>
              </w:rPr>
            </w:pPr>
            <w:r>
              <w:rPr>
                <w:sz w:val="24"/>
              </w:rPr>
              <w:t>Primidone (Mysolin)</w:t>
            </w:r>
          </w:p>
        </w:tc>
        <w:tc>
          <w:tcPr>
            <w:tcW w:w="6332" w:type="dxa"/>
            <w:shd w:val="clear" w:color="auto" w:fill="D2EAF0"/>
          </w:tcPr>
          <w:p>
            <w:pPr>
              <w:pStyle w:val="TableParagraph"/>
              <w:spacing w:before="54"/>
              <w:ind w:left="223" w:right="94"/>
              <w:rPr>
                <w:sz w:val="24"/>
              </w:rPr>
            </w:pPr>
            <w:r>
              <w:rPr>
                <w:sz w:val="24"/>
              </w:rPr>
              <w:t>Ataxia, vertigo, estomatitis, osteoporosis.</w:t>
            </w:r>
          </w:p>
        </w:tc>
      </w:tr>
      <w:tr>
        <w:trPr>
          <w:trHeight w:val="707" w:hRule="exact"/>
        </w:trPr>
        <w:tc>
          <w:tcPr>
            <w:tcW w:w="2708" w:type="dxa"/>
            <w:shd w:val="clear" w:color="auto" w:fill="D2EAF0"/>
          </w:tcPr>
          <w:p>
            <w:pPr>
              <w:pStyle w:val="TableParagraph"/>
              <w:spacing w:before="55"/>
              <w:ind w:left="242" w:right="91"/>
              <w:rPr>
                <w:sz w:val="24"/>
              </w:rPr>
            </w:pPr>
            <w:r>
              <w:rPr>
                <w:sz w:val="24"/>
              </w:rPr>
              <w:t>Tiagabine (Gabitril)</w:t>
            </w:r>
          </w:p>
        </w:tc>
        <w:tc>
          <w:tcPr>
            <w:tcW w:w="6332" w:type="dxa"/>
          </w:tcPr>
          <w:p>
            <w:pPr>
              <w:pStyle w:val="TableParagraph"/>
              <w:spacing w:before="39"/>
              <w:ind w:left="242" w:right="94"/>
              <w:rPr>
                <w:sz w:val="24"/>
              </w:rPr>
            </w:pPr>
            <w:r>
              <w:rPr>
                <w:sz w:val="24"/>
              </w:rPr>
              <w:t>Nuevas crisis epilepticas.</w:t>
            </w:r>
          </w:p>
        </w:tc>
      </w:tr>
      <w:tr>
        <w:trPr>
          <w:trHeight w:val="764" w:hRule="exact"/>
        </w:trPr>
        <w:tc>
          <w:tcPr>
            <w:tcW w:w="2708" w:type="dxa"/>
            <w:shd w:val="clear" w:color="auto" w:fill="D2EAF0"/>
          </w:tcPr>
          <w:p>
            <w:pPr>
              <w:pStyle w:val="TableParagraph"/>
              <w:spacing w:before="49"/>
              <w:ind w:left="242" w:right="91"/>
              <w:rPr>
                <w:sz w:val="24"/>
              </w:rPr>
            </w:pPr>
            <w:r>
              <w:rPr>
                <w:sz w:val="24"/>
              </w:rPr>
              <w:t>Topiramate</w:t>
            </w:r>
          </w:p>
          <w:p>
            <w:pPr>
              <w:pStyle w:val="TableParagraph"/>
              <w:spacing w:before="136"/>
              <w:ind w:left="242" w:right="91"/>
              <w:rPr>
                <w:sz w:val="24"/>
              </w:rPr>
            </w:pPr>
            <w:r>
              <w:rPr>
                <w:sz w:val="24"/>
              </w:rPr>
              <w:t>(Topamax)</w:t>
            </w:r>
          </w:p>
        </w:tc>
        <w:tc>
          <w:tcPr>
            <w:tcW w:w="6332" w:type="dxa"/>
            <w:shd w:val="clear" w:color="auto" w:fill="D2EAF0"/>
          </w:tcPr>
          <w:p>
            <w:pPr>
              <w:pStyle w:val="TableParagraph"/>
              <w:spacing w:before="30"/>
              <w:ind w:left="242" w:right="94"/>
              <w:rPr>
                <w:sz w:val="24"/>
              </w:rPr>
            </w:pPr>
            <w:r>
              <w:rPr>
                <w:sz w:val="24"/>
              </w:rPr>
              <w:t>Xerostomia, Gingivitis, edema orofacial.</w:t>
            </w:r>
          </w:p>
        </w:tc>
      </w:tr>
    </w:tbl>
    <w:p>
      <w:pPr>
        <w:spacing w:after="0"/>
        <w:rPr>
          <w:sz w:val="24"/>
        </w:rPr>
        <w:sectPr>
          <w:pgSz w:w="12240" w:h="15840"/>
          <w:pgMar w:header="749" w:footer="1003" w:top="960" w:bottom="1200" w:left="1300" w:right="1580"/>
        </w:sectPr>
      </w:pPr>
    </w:p>
    <w:p>
      <w:pPr>
        <w:pStyle w:val="BodyText"/>
        <w:rPr>
          <w:rFonts w:ascii="Times New Roman"/>
          <w:sz w:val="20"/>
        </w:rPr>
      </w:pPr>
    </w:p>
    <w:p>
      <w:pPr>
        <w:pStyle w:val="BodyText"/>
        <w:rPr>
          <w:rFonts w:ascii="Times New Roman"/>
          <w:sz w:val="20"/>
        </w:rPr>
      </w:pPr>
    </w:p>
    <w:p>
      <w:pPr>
        <w:pStyle w:val="BodyText"/>
        <w:spacing w:before="7" w:after="1"/>
        <w:rPr>
          <w:rFonts w:ascii="Times New Roman"/>
          <w:sz w:val="23"/>
        </w:rPr>
      </w:pPr>
    </w:p>
    <w:tbl>
      <w:tblPr>
        <w:tblW w:w="0" w:type="auto"/>
        <w:jc w:val="left"/>
        <w:tblInd w:w="118" w:type="dxa"/>
        <w:tblBorders>
          <w:top w:val="single" w:sz="8" w:space="0" w:color="4AACC5"/>
          <w:left w:val="single" w:sz="8" w:space="0" w:color="4AACC5"/>
          <w:bottom w:val="single" w:sz="8" w:space="0" w:color="4AACC5"/>
          <w:right w:val="single" w:sz="8" w:space="0" w:color="4AACC5"/>
          <w:insideH w:val="single" w:sz="8" w:space="0" w:color="4AACC5"/>
          <w:insideV w:val="single" w:sz="8" w:space="0" w:color="4AACC5"/>
        </w:tblBorders>
        <w:tblLayout w:type="fixed"/>
        <w:tblCellMar>
          <w:top w:w="0" w:type="dxa"/>
          <w:left w:w="0" w:type="dxa"/>
          <w:bottom w:w="0" w:type="dxa"/>
          <w:right w:w="0" w:type="dxa"/>
        </w:tblCellMar>
        <w:tblLook w:val="01E0"/>
      </w:tblPr>
      <w:tblGrid>
        <w:gridCol w:w="2708"/>
        <w:gridCol w:w="6332"/>
      </w:tblGrid>
      <w:tr>
        <w:trPr>
          <w:trHeight w:val="2150" w:hRule="exact"/>
        </w:trPr>
        <w:tc>
          <w:tcPr>
            <w:tcW w:w="2708" w:type="dxa"/>
            <w:shd w:val="clear" w:color="auto" w:fill="D2EAF0"/>
          </w:tcPr>
          <w:p>
            <w:pPr>
              <w:pStyle w:val="TableParagraph"/>
              <w:spacing w:line="360" w:lineRule="auto" w:before="51"/>
              <w:ind w:left="242" w:right="91"/>
              <w:rPr>
                <w:sz w:val="24"/>
              </w:rPr>
            </w:pPr>
            <w:r>
              <w:rPr>
                <w:sz w:val="24"/>
              </w:rPr>
              <w:t>Valproato (Depakene, Depakote)</w:t>
            </w:r>
          </w:p>
        </w:tc>
        <w:tc>
          <w:tcPr>
            <w:tcW w:w="6332" w:type="dxa"/>
          </w:tcPr>
          <w:p>
            <w:pPr>
              <w:pStyle w:val="TableParagraph"/>
              <w:spacing w:line="360" w:lineRule="auto" w:before="39"/>
              <w:ind w:left="225" w:right="347" w:firstLine="16"/>
              <w:jc w:val="both"/>
              <w:rPr>
                <w:sz w:val="24"/>
              </w:rPr>
            </w:pPr>
            <w:r>
              <w:rPr>
                <w:sz w:val="24"/>
              </w:rPr>
              <w:t>Hipersalivacion, agregacion plaquearia disminuida , salud oral disminuida, osteoporosis, xerostomia, estomatitis, gingivitis, interacciones  medicamentosas ( aspirina y drogas anti inflamatorias)</w:t>
            </w:r>
          </w:p>
        </w:tc>
      </w:tr>
    </w:tbl>
    <w:p>
      <w:pPr>
        <w:spacing w:line="230" w:lineRule="exact" w:before="0"/>
        <w:ind w:left="1335" w:right="194" w:firstLine="0"/>
        <w:jc w:val="left"/>
        <w:rPr>
          <w:sz w:val="20"/>
        </w:rPr>
      </w:pPr>
      <w:r>
        <w:rPr>
          <w:sz w:val="20"/>
        </w:rPr>
        <w:t>Fuente  reporte de la ILAE y la comisión y clasificación de la epilepsia 2010</w:t>
      </w:r>
    </w:p>
    <w:p>
      <w:pPr>
        <w:spacing w:after="0" w:line="230" w:lineRule="exact"/>
        <w:jc w:val="left"/>
        <w:rPr>
          <w:sz w:val="20"/>
        </w:rPr>
        <w:sectPr>
          <w:pgSz w:w="12240" w:h="15840"/>
          <w:pgMar w:header="749" w:footer="1003" w:top="960" w:bottom="1200" w:left="1300" w:right="1580"/>
        </w:sectPr>
      </w:pPr>
    </w:p>
    <w:p>
      <w:pPr>
        <w:pStyle w:val="BodyText"/>
        <w:rPr>
          <w:sz w:val="20"/>
        </w:rPr>
      </w:pPr>
    </w:p>
    <w:p>
      <w:pPr>
        <w:pStyle w:val="BodyText"/>
        <w:rPr>
          <w:sz w:val="20"/>
        </w:rPr>
      </w:pPr>
    </w:p>
    <w:p>
      <w:pPr>
        <w:pStyle w:val="BodyText"/>
        <w:spacing w:before="5"/>
        <w:rPr>
          <w:sz w:val="17"/>
        </w:rPr>
      </w:pPr>
    </w:p>
    <w:p>
      <w:pPr>
        <w:pStyle w:val="Heading2"/>
        <w:numPr>
          <w:ilvl w:val="1"/>
          <w:numId w:val="9"/>
        </w:numPr>
        <w:tabs>
          <w:tab w:pos="523" w:val="left" w:leader="none"/>
        </w:tabs>
        <w:spacing w:line="240" w:lineRule="auto" w:before="70" w:after="0"/>
        <w:ind w:left="522" w:right="0" w:hanging="404"/>
        <w:jc w:val="both"/>
      </w:pPr>
      <w:r>
        <w:rPr/>
        <w:t>Manejo del Paciente Epiléptico en</w:t>
      </w:r>
      <w:r>
        <w:rPr>
          <w:spacing w:val="-13"/>
        </w:rPr>
        <w:t> </w:t>
      </w:r>
      <w:r>
        <w:rPr/>
        <w:t>Endodoncia.</w:t>
      </w:r>
    </w:p>
    <w:p>
      <w:pPr>
        <w:pStyle w:val="BodyText"/>
        <w:spacing w:before="4"/>
        <w:rPr>
          <w:b/>
          <w:sz w:val="29"/>
        </w:rPr>
      </w:pPr>
    </w:p>
    <w:p>
      <w:pPr>
        <w:pStyle w:val="ListParagraph"/>
        <w:numPr>
          <w:ilvl w:val="2"/>
          <w:numId w:val="9"/>
        </w:numPr>
        <w:tabs>
          <w:tab w:pos="722" w:val="left" w:leader="none"/>
        </w:tabs>
        <w:spacing w:line="240" w:lineRule="auto" w:before="1" w:after="0"/>
        <w:ind w:left="118" w:right="0" w:firstLine="0"/>
        <w:jc w:val="both"/>
        <w:rPr>
          <w:b/>
          <w:sz w:val="24"/>
        </w:rPr>
      </w:pPr>
      <w:r>
        <w:rPr>
          <w:b/>
          <w:sz w:val="24"/>
        </w:rPr>
        <w:t>Generalidades</w:t>
      </w:r>
    </w:p>
    <w:p>
      <w:pPr>
        <w:pStyle w:val="BodyText"/>
        <w:spacing w:before="2"/>
        <w:rPr>
          <w:b/>
          <w:sz w:val="29"/>
        </w:rPr>
      </w:pPr>
    </w:p>
    <w:p>
      <w:pPr>
        <w:pStyle w:val="BodyText"/>
        <w:spacing w:line="360" w:lineRule="auto"/>
        <w:ind w:left="118" w:right="116"/>
        <w:jc w:val="both"/>
      </w:pPr>
      <w:r>
        <w:rPr/>
        <w:t>Los dentistas deben estar familiarizados con trastornos convulsivos tanto como sea posible.</w:t>
      </w:r>
      <w:r>
        <w:rPr>
          <w:spacing w:val="-11"/>
        </w:rPr>
        <w:t> </w:t>
      </w:r>
      <w:r>
        <w:rPr/>
        <w:t>Tratando</w:t>
      </w:r>
      <w:r>
        <w:rPr>
          <w:spacing w:val="-9"/>
        </w:rPr>
        <w:t> </w:t>
      </w:r>
      <w:r>
        <w:rPr/>
        <w:t>de</w:t>
      </w:r>
      <w:r>
        <w:rPr>
          <w:spacing w:val="-8"/>
        </w:rPr>
        <w:t> </w:t>
      </w:r>
      <w:r>
        <w:rPr/>
        <w:t>reducir</w:t>
      </w:r>
      <w:r>
        <w:rPr>
          <w:spacing w:val="-13"/>
        </w:rPr>
        <w:t> </w:t>
      </w:r>
      <w:r>
        <w:rPr/>
        <w:t>o</w:t>
      </w:r>
      <w:r>
        <w:rPr>
          <w:spacing w:val="-11"/>
        </w:rPr>
        <w:t> </w:t>
      </w:r>
      <w:r>
        <w:rPr/>
        <w:t>eliminar</w:t>
      </w:r>
      <w:r>
        <w:rPr>
          <w:spacing w:val="-11"/>
        </w:rPr>
        <w:t> </w:t>
      </w:r>
      <w:r>
        <w:rPr/>
        <w:t>la</w:t>
      </w:r>
      <w:r>
        <w:rPr>
          <w:spacing w:val="-11"/>
        </w:rPr>
        <w:t> </w:t>
      </w:r>
      <w:r>
        <w:rPr/>
        <w:t>ansiedad</w:t>
      </w:r>
      <w:r>
        <w:rPr>
          <w:spacing w:val="-11"/>
        </w:rPr>
        <w:t> </w:t>
      </w:r>
      <w:r>
        <w:rPr/>
        <w:t>potencial</w:t>
      </w:r>
      <w:r>
        <w:rPr>
          <w:spacing w:val="49"/>
        </w:rPr>
        <w:t> </w:t>
      </w:r>
      <w:r>
        <w:rPr/>
        <w:t>durante</w:t>
      </w:r>
      <w:r>
        <w:rPr>
          <w:spacing w:val="-11"/>
        </w:rPr>
        <w:t> </w:t>
      </w:r>
      <w:r>
        <w:rPr/>
        <w:t>el</w:t>
      </w:r>
      <w:r>
        <w:rPr>
          <w:spacing w:val="-10"/>
        </w:rPr>
        <w:t> </w:t>
      </w:r>
      <w:r>
        <w:rPr/>
        <w:t>tratamiento</w:t>
      </w:r>
      <w:r>
        <w:rPr>
          <w:spacing w:val="-11"/>
        </w:rPr>
        <w:t> </w:t>
      </w:r>
      <w:r>
        <w:rPr/>
        <w:t>en este tipo de pacientes. No solamente se deben poder manejar a estos pacientes para la atención dental de rutina, sino también en una situación aguda, como un ataque en el consultorio</w:t>
      </w:r>
      <w:r>
        <w:rPr>
          <w:spacing w:val="-25"/>
        </w:rPr>
        <w:t> </w:t>
      </w:r>
      <w:r>
        <w:rPr>
          <w:position w:val="8"/>
          <w:sz w:val="16"/>
        </w:rPr>
        <w:t>(31)</w:t>
      </w:r>
      <w:r>
        <w:rPr/>
        <w:t>.</w:t>
      </w:r>
    </w:p>
    <w:p>
      <w:pPr>
        <w:pStyle w:val="BodyText"/>
        <w:spacing w:line="360" w:lineRule="auto" w:before="201"/>
        <w:ind w:left="118" w:right="116"/>
        <w:jc w:val="both"/>
      </w:pPr>
      <w:r>
        <w:rPr/>
        <w:t>Dentistas con un profundo conocimiento de los trastornos convulsivos y fármacos utilizados, pueden proporcionar una atención de la salud dental y médica necesaria para este tipo de pacientes.</w:t>
      </w:r>
    </w:p>
    <w:p>
      <w:pPr>
        <w:pStyle w:val="BodyText"/>
        <w:spacing w:line="355" w:lineRule="auto" w:before="204"/>
        <w:ind w:left="118" w:right="122"/>
        <w:jc w:val="center"/>
        <w:rPr>
          <w:sz w:val="16"/>
        </w:rPr>
      </w:pPr>
      <w:r>
        <w:rPr/>
        <w:t>Durante</w:t>
      </w:r>
      <w:r>
        <w:rPr>
          <w:spacing w:val="-10"/>
        </w:rPr>
        <w:t> </w:t>
      </w:r>
      <w:r>
        <w:rPr/>
        <w:t>la</w:t>
      </w:r>
      <w:r>
        <w:rPr>
          <w:spacing w:val="-9"/>
        </w:rPr>
        <w:t> </w:t>
      </w:r>
      <w:r>
        <w:rPr/>
        <w:t>primera</w:t>
      </w:r>
      <w:r>
        <w:rPr>
          <w:spacing w:val="-9"/>
        </w:rPr>
        <w:t> </w:t>
      </w:r>
      <w:r>
        <w:rPr/>
        <w:t>cita</w:t>
      </w:r>
      <w:r>
        <w:rPr>
          <w:spacing w:val="-11"/>
        </w:rPr>
        <w:t> </w:t>
      </w:r>
      <w:r>
        <w:rPr/>
        <w:t>con</w:t>
      </w:r>
      <w:r>
        <w:rPr>
          <w:spacing w:val="-11"/>
        </w:rPr>
        <w:t> </w:t>
      </w:r>
      <w:r>
        <w:rPr/>
        <w:t>un</w:t>
      </w:r>
      <w:r>
        <w:rPr>
          <w:spacing w:val="-11"/>
        </w:rPr>
        <w:t> </w:t>
      </w:r>
      <w:r>
        <w:rPr/>
        <w:t>paciente</w:t>
      </w:r>
      <w:r>
        <w:rPr>
          <w:spacing w:val="-10"/>
        </w:rPr>
        <w:t> </w:t>
      </w:r>
      <w:r>
        <w:rPr/>
        <w:t>epiléptico,</w:t>
      </w:r>
      <w:r>
        <w:rPr>
          <w:spacing w:val="-9"/>
        </w:rPr>
        <w:t> </w:t>
      </w:r>
      <w:r>
        <w:rPr/>
        <w:t>el</w:t>
      </w:r>
      <w:r>
        <w:rPr>
          <w:spacing w:val="-12"/>
        </w:rPr>
        <w:t> </w:t>
      </w:r>
      <w:r>
        <w:rPr/>
        <w:t>médico</w:t>
      </w:r>
      <w:r>
        <w:rPr>
          <w:spacing w:val="-11"/>
        </w:rPr>
        <w:t> </w:t>
      </w:r>
      <w:r>
        <w:rPr/>
        <w:t>debe</w:t>
      </w:r>
      <w:r>
        <w:rPr>
          <w:spacing w:val="-11"/>
        </w:rPr>
        <w:t> </w:t>
      </w:r>
      <w:r>
        <w:rPr/>
        <w:t>obtener</w:t>
      </w:r>
      <w:r>
        <w:rPr>
          <w:spacing w:val="-12"/>
        </w:rPr>
        <w:t> </w:t>
      </w:r>
      <w:r>
        <w:rPr/>
        <w:t>una</w:t>
      </w:r>
      <w:r>
        <w:rPr>
          <w:spacing w:val="-8"/>
        </w:rPr>
        <w:t> </w:t>
      </w:r>
      <w:r>
        <w:rPr/>
        <w:t>historia clínica muy completa realizando algunas preguntas que se menciona en la tabla 4.</w:t>
      </w:r>
      <w:r>
        <w:rPr>
          <w:spacing w:val="-23"/>
        </w:rPr>
        <w:t> </w:t>
      </w:r>
      <w:r>
        <w:rPr>
          <w:position w:val="8"/>
          <w:sz w:val="16"/>
        </w:rPr>
        <w:t>(6)</w:t>
      </w:r>
    </w:p>
    <w:p>
      <w:pPr>
        <w:pStyle w:val="BodyText"/>
        <w:spacing w:before="5" w:after="1"/>
        <w:rPr>
          <w:sz w:val="23"/>
        </w:rPr>
      </w:pPr>
    </w:p>
    <w:tbl>
      <w:tblPr>
        <w:tblW w:w="0" w:type="auto"/>
        <w:jc w:val="left"/>
        <w:tblInd w:w="109"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8980"/>
      </w:tblGrid>
      <w:tr>
        <w:trPr>
          <w:trHeight w:val="433" w:hRule="exact"/>
        </w:trPr>
        <w:tc>
          <w:tcPr>
            <w:tcW w:w="8980" w:type="dxa"/>
            <w:tcBorders>
              <w:top w:val="single" w:sz="8" w:space="0" w:color="4AACC5"/>
              <w:bottom w:val="single" w:sz="8" w:space="0" w:color="4AACC5"/>
            </w:tcBorders>
          </w:tcPr>
          <w:p>
            <w:pPr>
              <w:pStyle w:val="TableParagraph"/>
              <w:spacing w:line="274" w:lineRule="exact"/>
              <w:ind w:left="107" w:right="105"/>
              <w:rPr>
                <w:sz w:val="24"/>
              </w:rPr>
            </w:pPr>
            <w:r>
              <w:rPr>
                <w:sz w:val="24"/>
              </w:rPr>
              <w:t>Preguntas para un paciente epiléptico, al realizar una historia clínica.</w:t>
            </w:r>
          </w:p>
        </w:tc>
      </w:tr>
      <w:tr>
        <w:trPr>
          <w:trHeight w:val="5817" w:hRule="exact"/>
        </w:trPr>
        <w:tc>
          <w:tcPr>
            <w:tcW w:w="8980" w:type="dxa"/>
            <w:tcBorders>
              <w:top w:val="single" w:sz="8" w:space="0" w:color="4AACC5"/>
              <w:bottom w:val="single" w:sz="8" w:space="0" w:color="4AACC5"/>
            </w:tcBorders>
            <w:shd w:val="clear" w:color="auto" w:fill="D2EAF0"/>
          </w:tcPr>
          <w:p>
            <w:pPr>
              <w:pStyle w:val="TableParagraph"/>
              <w:spacing w:line="275" w:lineRule="exact"/>
              <w:ind w:left="107" w:right="105"/>
              <w:rPr>
                <w:sz w:val="24"/>
              </w:rPr>
            </w:pPr>
            <w:r>
              <w:rPr>
                <w:sz w:val="24"/>
              </w:rPr>
              <w:t>1-¿Cuándo se diagnostica la enfermedad?</w:t>
            </w:r>
          </w:p>
          <w:p>
            <w:pPr>
              <w:pStyle w:val="TableParagraph"/>
              <w:spacing w:before="137"/>
              <w:ind w:left="107" w:right="105"/>
              <w:rPr>
                <w:sz w:val="24"/>
              </w:rPr>
            </w:pPr>
            <w:r>
              <w:rPr>
                <w:sz w:val="24"/>
              </w:rPr>
              <w:t>2.- ¿Cuáles fueron los síntomas que se presentan?</w:t>
            </w:r>
          </w:p>
          <w:p>
            <w:pPr>
              <w:pStyle w:val="TableParagraph"/>
              <w:spacing w:line="360" w:lineRule="auto" w:before="139"/>
              <w:ind w:left="107" w:right="2970"/>
              <w:rPr>
                <w:sz w:val="24"/>
              </w:rPr>
            </w:pPr>
            <w:r>
              <w:rPr>
                <w:sz w:val="24"/>
              </w:rPr>
              <w:t>3.- ¿Existen circunstancias precipitantes identificables? 4.- ¿Experimenta un aura? Si es así, describa el aura.</w:t>
            </w:r>
          </w:p>
          <w:p>
            <w:pPr>
              <w:pStyle w:val="TableParagraph"/>
              <w:spacing w:line="360" w:lineRule="auto" w:before="5"/>
              <w:ind w:left="107" w:right="105"/>
              <w:rPr>
                <w:sz w:val="24"/>
              </w:rPr>
            </w:pPr>
            <w:r>
              <w:rPr>
                <w:sz w:val="24"/>
              </w:rPr>
              <w:t>5.- ¿Cuánto dura un ataque típico? (Los testigos son útiles cuando se habla de esto.)</w:t>
            </w:r>
          </w:p>
          <w:p>
            <w:pPr>
              <w:pStyle w:val="TableParagraph"/>
              <w:spacing w:line="360" w:lineRule="auto" w:before="5"/>
              <w:ind w:left="107" w:right="3529"/>
              <w:rPr>
                <w:sz w:val="24"/>
              </w:rPr>
            </w:pPr>
            <w:r>
              <w:rPr>
                <w:sz w:val="24"/>
              </w:rPr>
              <w:t>6.- ¿Se pierde el conocimiento durante el ataque? 7.- ¿Hay una fase postictal? Si es así, describirlo.</w:t>
            </w:r>
          </w:p>
          <w:p>
            <w:pPr>
              <w:pStyle w:val="TableParagraph"/>
              <w:spacing w:before="5"/>
              <w:ind w:left="107" w:right="105"/>
              <w:rPr>
                <w:sz w:val="24"/>
              </w:rPr>
            </w:pPr>
            <w:r>
              <w:rPr>
                <w:sz w:val="24"/>
              </w:rPr>
              <w:t>8.- ¿Con qué frecuencia son las convulsiones? ¿Cuándo fue el último evento?</w:t>
            </w:r>
          </w:p>
          <w:p>
            <w:pPr>
              <w:pStyle w:val="TableParagraph"/>
              <w:spacing w:line="362" w:lineRule="auto" w:before="137"/>
              <w:ind w:left="107" w:right="105"/>
              <w:rPr>
                <w:sz w:val="24"/>
              </w:rPr>
            </w:pPr>
            <w:r>
              <w:rPr>
                <w:sz w:val="24"/>
              </w:rPr>
              <w:t>9.-¿Qué medicamentos toma? ¿Usted consigue el nivel plasmático comprobado? 10¿Ha  tenido  un  electroencefalograma  y la  resonancia  magnética?  Si es  así,</w:t>
            </w:r>
          </w:p>
          <w:p>
            <w:pPr>
              <w:pStyle w:val="TableParagraph"/>
              <w:ind w:left="107" w:right="105"/>
              <w:rPr>
                <w:sz w:val="24"/>
              </w:rPr>
            </w:pPr>
            <w:r>
              <w:rPr>
                <w:sz w:val="24"/>
              </w:rPr>
              <w:t>¿cuáles fueron los resultados?</w:t>
            </w:r>
          </w:p>
          <w:p>
            <w:pPr>
              <w:pStyle w:val="TableParagraph"/>
              <w:spacing w:line="360" w:lineRule="auto" w:before="139"/>
              <w:ind w:left="107" w:right="105"/>
              <w:rPr>
                <w:sz w:val="24"/>
              </w:rPr>
            </w:pPr>
            <w:r>
              <w:rPr>
                <w:sz w:val="24"/>
              </w:rPr>
              <w:t>11¿Se ha considerado la cirugía? ¿Tiene un estimulador del nervio vago? 12¿Hay</w:t>
            </w:r>
            <w:r>
              <w:rPr>
                <w:spacing w:val="-6"/>
                <w:sz w:val="24"/>
              </w:rPr>
              <w:t> </w:t>
            </w:r>
            <w:r>
              <w:rPr>
                <w:sz w:val="24"/>
              </w:rPr>
              <w:t>una</w:t>
            </w:r>
            <w:r>
              <w:rPr>
                <w:spacing w:val="-5"/>
                <w:sz w:val="24"/>
              </w:rPr>
              <w:t> </w:t>
            </w:r>
            <w:r>
              <w:rPr>
                <w:sz w:val="24"/>
              </w:rPr>
              <w:t>historia</w:t>
            </w:r>
            <w:r>
              <w:rPr>
                <w:spacing w:val="-5"/>
                <w:sz w:val="24"/>
              </w:rPr>
              <w:t> </w:t>
            </w:r>
            <w:r>
              <w:rPr>
                <w:sz w:val="24"/>
              </w:rPr>
              <w:t>de</w:t>
            </w:r>
            <w:r>
              <w:rPr>
                <w:spacing w:val="-3"/>
                <w:sz w:val="24"/>
              </w:rPr>
              <w:t> </w:t>
            </w:r>
            <w:r>
              <w:rPr>
                <w:sz w:val="24"/>
              </w:rPr>
              <w:t>trauma</w:t>
            </w:r>
            <w:r>
              <w:rPr>
                <w:spacing w:val="-5"/>
                <w:sz w:val="24"/>
              </w:rPr>
              <w:t> </w:t>
            </w:r>
            <w:r>
              <w:rPr>
                <w:sz w:val="24"/>
              </w:rPr>
              <w:t>en</w:t>
            </w:r>
            <w:r>
              <w:rPr>
                <w:spacing w:val="-5"/>
                <w:sz w:val="24"/>
              </w:rPr>
              <w:t> </w:t>
            </w:r>
            <w:r>
              <w:rPr>
                <w:sz w:val="24"/>
              </w:rPr>
              <w:t>la</w:t>
            </w:r>
            <w:r>
              <w:rPr>
                <w:spacing w:val="-3"/>
                <w:sz w:val="24"/>
              </w:rPr>
              <w:t> </w:t>
            </w:r>
            <w:r>
              <w:rPr>
                <w:sz w:val="24"/>
              </w:rPr>
              <w:t>cabeza,</w:t>
            </w:r>
            <w:r>
              <w:rPr>
                <w:spacing w:val="-5"/>
                <w:sz w:val="24"/>
              </w:rPr>
              <w:t> </w:t>
            </w:r>
            <w:r>
              <w:rPr>
                <w:sz w:val="24"/>
              </w:rPr>
              <w:t>tumor</w:t>
            </w:r>
            <w:r>
              <w:rPr>
                <w:spacing w:val="-4"/>
                <w:sz w:val="24"/>
              </w:rPr>
              <w:t> </w:t>
            </w:r>
            <w:r>
              <w:rPr>
                <w:sz w:val="24"/>
              </w:rPr>
              <w:t>cerebral,</w:t>
            </w:r>
            <w:r>
              <w:rPr>
                <w:spacing w:val="-3"/>
                <w:sz w:val="24"/>
              </w:rPr>
              <w:t> </w:t>
            </w:r>
            <w:r>
              <w:rPr>
                <w:sz w:val="24"/>
              </w:rPr>
              <w:t>u</w:t>
            </w:r>
            <w:r>
              <w:rPr>
                <w:spacing w:val="-5"/>
                <w:sz w:val="24"/>
              </w:rPr>
              <w:t> </w:t>
            </w:r>
            <w:r>
              <w:rPr>
                <w:sz w:val="24"/>
              </w:rPr>
              <w:t>otra</w:t>
            </w:r>
            <w:r>
              <w:rPr>
                <w:spacing w:val="-5"/>
                <w:sz w:val="24"/>
              </w:rPr>
              <w:t> </w:t>
            </w:r>
            <w:r>
              <w:rPr>
                <w:sz w:val="24"/>
              </w:rPr>
              <w:t>malformación?</w:t>
            </w:r>
          </w:p>
        </w:tc>
      </w:tr>
    </w:tbl>
    <w:p>
      <w:pPr>
        <w:spacing w:before="0"/>
        <w:ind w:left="117" w:right="122" w:firstLine="0"/>
        <w:jc w:val="center"/>
        <w:rPr>
          <w:sz w:val="20"/>
        </w:rPr>
      </w:pPr>
      <w:r>
        <w:rPr>
          <w:sz w:val="20"/>
        </w:rPr>
        <w:t>Tabla 4. Cuestionario paciente epiléptico. Fuente Manejo dental del paciente epiléptico 2006.</w:t>
      </w:r>
    </w:p>
    <w:p>
      <w:pPr>
        <w:spacing w:after="0"/>
        <w:jc w:val="center"/>
        <w:rPr>
          <w:sz w:val="20"/>
        </w:rPr>
        <w:sectPr>
          <w:pgSz w:w="12240" w:h="15840"/>
          <w:pgMar w:header="749" w:footer="1003" w:top="960" w:bottom="1200" w:left="1300" w:right="158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line="360" w:lineRule="auto" w:before="195"/>
        <w:ind w:left="118" w:right="115"/>
        <w:jc w:val="both"/>
      </w:pPr>
      <w:r>
        <w:rPr/>
        <w:t>Aunque</w:t>
      </w:r>
      <w:r>
        <w:rPr>
          <w:spacing w:val="-18"/>
        </w:rPr>
        <w:t> </w:t>
      </w:r>
      <w:r>
        <w:rPr/>
        <w:t>pareciera</w:t>
      </w:r>
      <w:r>
        <w:rPr>
          <w:spacing w:val="-16"/>
        </w:rPr>
        <w:t> </w:t>
      </w:r>
      <w:r>
        <w:rPr/>
        <w:t>tedioso</w:t>
      </w:r>
      <w:r>
        <w:rPr>
          <w:spacing w:val="-16"/>
        </w:rPr>
        <w:t> </w:t>
      </w:r>
      <w:r>
        <w:rPr/>
        <w:t>realizar</w:t>
      </w:r>
      <w:r>
        <w:rPr>
          <w:spacing w:val="-19"/>
        </w:rPr>
        <w:t> </w:t>
      </w:r>
      <w:r>
        <w:rPr/>
        <w:t>todas</w:t>
      </w:r>
      <w:r>
        <w:rPr>
          <w:spacing w:val="-19"/>
        </w:rPr>
        <w:t> </w:t>
      </w:r>
      <w:r>
        <w:rPr/>
        <w:t>estas</w:t>
      </w:r>
      <w:r>
        <w:rPr>
          <w:spacing w:val="-21"/>
        </w:rPr>
        <w:t> </w:t>
      </w:r>
      <w:r>
        <w:rPr/>
        <w:t>preguntas</w:t>
      </w:r>
      <w:r>
        <w:rPr>
          <w:spacing w:val="-19"/>
        </w:rPr>
        <w:t> </w:t>
      </w:r>
      <w:r>
        <w:rPr/>
        <w:t>antes</w:t>
      </w:r>
      <w:r>
        <w:rPr>
          <w:spacing w:val="-19"/>
        </w:rPr>
        <w:t> </w:t>
      </w:r>
      <w:r>
        <w:rPr/>
        <w:t>de</w:t>
      </w:r>
      <w:r>
        <w:rPr>
          <w:spacing w:val="-18"/>
        </w:rPr>
        <w:t> </w:t>
      </w:r>
      <w:r>
        <w:rPr/>
        <w:t>iniciar</w:t>
      </w:r>
      <w:r>
        <w:rPr>
          <w:spacing w:val="-17"/>
        </w:rPr>
        <w:t> </w:t>
      </w:r>
      <w:r>
        <w:rPr/>
        <w:t>el</w:t>
      </w:r>
      <w:r>
        <w:rPr>
          <w:spacing w:val="-17"/>
        </w:rPr>
        <w:t> </w:t>
      </w:r>
      <w:r>
        <w:rPr/>
        <w:t>tratamiento, esto nos dará seguridad de estar bien informados acerca de la naturaleza de esta enfermedad. Esto permitirá que estemos mejor preparados para cualquier episodio agudo</w:t>
      </w:r>
      <w:r>
        <w:rPr>
          <w:spacing w:val="-18"/>
        </w:rPr>
        <w:t> </w:t>
      </w:r>
      <w:r>
        <w:rPr/>
        <w:t>que</w:t>
      </w:r>
      <w:r>
        <w:rPr>
          <w:spacing w:val="-17"/>
        </w:rPr>
        <w:t> </w:t>
      </w:r>
      <w:r>
        <w:rPr/>
        <w:t>se</w:t>
      </w:r>
      <w:r>
        <w:rPr>
          <w:spacing w:val="-18"/>
        </w:rPr>
        <w:t> </w:t>
      </w:r>
      <w:r>
        <w:rPr/>
        <w:t>pueda</w:t>
      </w:r>
      <w:r>
        <w:rPr>
          <w:spacing w:val="-21"/>
        </w:rPr>
        <w:t> </w:t>
      </w:r>
      <w:r>
        <w:rPr/>
        <w:t>presentar</w:t>
      </w:r>
      <w:r>
        <w:rPr>
          <w:spacing w:val="-18"/>
        </w:rPr>
        <w:t> </w:t>
      </w:r>
      <w:r>
        <w:rPr/>
        <w:t>en</w:t>
      </w:r>
      <w:r>
        <w:rPr>
          <w:spacing w:val="-19"/>
        </w:rPr>
        <w:t> </w:t>
      </w:r>
      <w:r>
        <w:rPr/>
        <w:t>el</w:t>
      </w:r>
      <w:r>
        <w:rPr>
          <w:spacing w:val="-18"/>
        </w:rPr>
        <w:t> </w:t>
      </w:r>
      <w:r>
        <w:rPr/>
        <w:t>consultorio</w:t>
      </w:r>
      <w:r>
        <w:rPr>
          <w:spacing w:val="-17"/>
        </w:rPr>
        <w:t> </w:t>
      </w:r>
      <w:r>
        <w:rPr/>
        <w:t>dental,</w:t>
      </w:r>
      <w:r>
        <w:rPr>
          <w:spacing w:val="-20"/>
        </w:rPr>
        <w:t> </w:t>
      </w:r>
      <w:r>
        <w:rPr/>
        <w:t>así</w:t>
      </w:r>
      <w:r>
        <w:rPr>
          <w:spacing w:val="-19"/>
        </w:rPr>
        <w:t> </w:t>
      </w:r>
      <w:r>
        <w:rPr/>
        <w:t>como</w:t>
      </w:r>
      <w:r>
        <w:rPr>
          <w:spacing w:val="-19"/>
        </w:rPr>
        <w:t> </w:t>
      </w:r>
      <w:r>
        <w:rPr/>
        <w:t>para</w:t>
      </w:r>
      <w:r>
        <w:rPr>
          <w:spacing w:val="-20"/>
        </w:rPr>
        <w:t> </w:t>
      </w:r>
      <w:r>
        <w:rPr/>
        <w:t>tomar</w:t>
      </w:r>
      <w:r>
        <w:rPr>
          <w:spacing w:val="-20"/>
        </w:rPr>
        <w:t> </w:t>
      </w:r>
      <w:r>
        <w:rPr/>
        <w:t>la</w:t>
      </w:r>
      <w:r>
        <w:rPr>
          <w:spacing w:val="-19"/>
        </w:rPr>
        <w:t> </w:t>
      </w:r>
      <w:r>
        <w:rPr/>
        <w:t>decisión en caso que no sea un paciente adecuadamente controlado derivarlo a un hospital para su correcta</w:t>
      </w:r>
      <w:r>
        <w:rPr>
          <w:spacing w:val="-7"/>
        </w:rPr>
        <w:t> </w:t>
      </w:r>
      <w:r>
        <w:rPr/>
        <w:t>atención</w:t>
      </w:r>
      <w:r>
        <w:rPr>
          <w:position w:val="8"/>
          <w:sz w:val="16"/>
        </w:rPr>
        <w:t>(32)</w:t>
      </w:r>
      <w:r>
        <w:rPr/>
        <w:t>.</w:t>
      </w:r>
    </w:p>
    <w:p>
      <w:pPr>
        <w:pStyle w:val="BodyText"/>
        <w:spacing w:line="360" w:lineRule="auto" w:before="201"/>
        <w:ind w:left="118" w:right="115"/>
        <w:jc w:val="both"/>
      </w:pPr>
      <w:r>
        <w:rPr/>
        <w:t>Los pacientes que tienen trastornos convulsivos estables y no hay riesgos asociados pueden</w:t>
      </w:r>
      <w:r>
        <w:rPr>
          <w:spacing w:val="-6"/>
        </w:rPr>
        <w:t> </w:t>
      </w:r>
      <w:r>
        <w:rPr/>
        <w:t>recibir</w:t>
      </w:r>
      <w:r>
        <w:rPr>
          <w:spacing w:val="-11"/>
        </w:rPr>
        <w:t> </w:t>
      </w:r>
      <w:r>
        <w:rPr/>
        <w:t>tratamiento</w:t>
      </w:r>
      <w:r>
        <w:rPr>
          <w:spacing w:val="-11"/>
        </w:rPr>
        <w:t> </w:t>
      </w:r>
      <w:r>
        <w:rPr/>
        <w:t>en</w:t>
      </w:r>
      <w:r>
        <w:rPr>
          <w:spacing w:val="-11"/>
        </w:rPr>
        <w:t> </w:t>
      </w:r>
      <w:r>
        <w:rPr/>
        <w:t>forma</w:t>
      </w:r>
      <w:r>
        <w:rPr>
          <w:spacing w:val="-11"/>
        </w:rPr>
        <w:t> </w:t>
      </w:r>
      <w:r>
        <w:rPr/>
        <w:t>ambulatoria.</w:t>
      </w:r>
      <w:r>
        <w:rPr>
          <w:spacing w:val="-6"/>
        </w:rPr>
        <w:t> </w:t>
      </w:r>
      <w:r>
        <w:rPr/>
        <w:t>Es</w:t>
      </w:r>
      <w:r>
        <w:rPr>
          <w:spacing w:val="-9"/>
        </w:rPr>
        <w:t> </w:t>
      </w:r>
      <w:r>
        <w:rPr/>
        <w:t>necesario</w:t>
      </w:r>
      <w:r>
        <w:rPr>
          <w:spacing w:val="-6"/>
        </w:rPr>
        <w:t> </w:t>
      </w:r>
      <w:r>
        <w:rPr/>
        <w:t>realizar</w:t>
      </w:r>
      <w:r>
        <w:rPr>
          <w:spacing w:val="-9"/>
        </w:rPr>
        <w:t> </w:t>
      </w:r>
      <w:r>
        <w:rPr/>
        <w:t>una</w:t>
      </w:r>
      <w:r>
        <w:rPr>
          <w:spacing w:val="-9"/>
        </w:rPr>
        <w:t> </w:t>
      </w:r>
      <w:r>
        <w:rPr/>
        <w:t>evaluación a fondo de trastorno convulsivo de un paciente antes de iniciar cualquier tratamiento dental.</w:t>
      </w:r>
      <w:r>
        <w:rPr>
          <w:spacing w:val="-19"/>
        </w:rPr>
        <w:t> </w:t>
      </w:r>
      <w:r>
        <w:rPr/>
        <w:t>Aspectos</w:t>
      </w:r>
      <w:r>
        <w:rPr>
          <w:spacing w:val="-22"/>
        </w:rPr>
        <w:t> </w:t>
      </w:r>
      <w:r>
        <w:rPr/>
        <w:t>importantes</w:t>
      </w:r>
      <w:r>
        <w:rPr>
          <w:spacing w:val="-22"/>
        </w:rPr>
        <w:t> </w:t>
      </w:r>
      <w:r>
        <w:rPr/>
        <w:t>para</w:t>
      </w:r>
      <w:r>
        <w:rPr>
          <w:spacing w:val="-22"/>
        </w:rPr>
        <w:t> </w:t>
      </w:r>
      <w:r>
        <w:rPr/>
        <w:t>evaluar</w:t>
      </w:r>
      <w:r>
        <w:rPr>
          <w:spacing w:val="-21"/>
        </w:rPr>
        <w:t> </w:t>
      </w:r>
      <w:r>
        <w:rPr/>
        <w:t>incluyen</w:t>
      </w:r>
      <w:r>
        <w:rPr>
          <w:spacing w:val="-18"/>
        </w:rPr>
        <w:t> </w:t>
      </w:r>
      <w:r>
        <w:rPr/>
        <w:t>el</w:t>
      </w:r>
      <w:r>
        <w:rPr>
          <w:spacing w:val="-23"/>
        </w:rPr>
        <w:t> </w:t>
      </w:r>
      <w:r>
        <w:rPr/>
        <w:t>tipo</w:t>
      </w:r>
      <w:r>
        <w:rPr>
          <w:spacing w:val="-22"/>
        </w:rPr>
        <w:t> </w:t>
      </w:r>
      <w:r>
        <w:rPr/>
        <w:t>de</w:t>
      </w:r>
      <w:r>
        <w:rPr>
          <w:spacing w:val="-21"/>
        </w:rPr>
        <w:t> </w:t>
      </w:r>
      <w:r>
        <w:rPr/>
        <w:t>convulsiones</w:t>
      </w:r>
      <w:r>
        <w:rPr>
          <w:spacing w:val="-20"/>
        </w:rPr>
        <w:t> </w:t>
      </w:r>
      <w:r>
        <w:rPr/>
        <w:t>para</w:t>
      </w:r>
      <w:r>
        <w:rPr>
          <w:spacing w:val="-22"/>
        </w:rPr>
        <w:t> </w:t>
      </w:r>
      <w:r>
        <w:rPr/>
        <w:t>de</w:t>
      </w:r>
      <w:r>
        <w:rPr>
          <w:spacing w:val="-21"/>
        </w:rPr>
        <w:t> </w:t>
      </w:r>
      <w:r>
        <w:rPr/>
        <w:t>esta manera</w:t>
      </w:r>
      <w:r>
        <w:rPr>
          <w:spacing w:val="-12"/>
        </w:rPr>
        <w:t> </w:t>
      </w:r>
      <w:r>
        <w:rPr/>
        <w:t>conocer</w:t>
      </w:r>
      <w:r>
        <w:rPr>
          <w:spacing w:val="-12"/>
        </w:rPr>
        <w:t> </w:t>
      </w:r>
      <w:r>
        <w:rPr/>
        <w:t>las</w:t>
      </w:r>
      <w:r>
        <w:rPr>
          <w:spacing w:val="-12"/>
        </w:rPr>
        <w:t> </w:t>
      </w:r>
      <w:r>
        <w:rPr/>
        <w:t>características</w:t>
      </w:r>
      <w:r>
        <w:rPr>
          <w:spacing w:val="-14"/>
        </w:rPr>
        <w:t> </w:t>
      </w:r>
      <w:r>
        <w:rPr/>
        <w:t>de</w:t>
      </w:r>
      <w:r>
        <w:rPr>
          <w:spacing w:val="-11"/>
        </w:rPr>
        <w:t> </w:t>
      </w:r>
      <w:r>
        <w:rPr/>
        <w:t>las</w:t>
      </w:r>
      <w:r>
        <w:rPr>
          <w:spacing w:val="-12"/>
        </w:rPr>
        <w:t> </w:t>
      </w:r>
      <w:r>
        <w:rPr/>
        <w:t>crisis</w:t>
      </w:r>
      <w:r>
        <w:rPr>
          <w:spacing w:val="-10"/>
        </w:rPr>
        <w:t> </w:t>
      </w:r>
      <w:r>
        <w:rPr/>
        <w:t>convulsivas</w:t>
      </w:r>
      <w:r>
        <w:rPr>
          <w:spacing w:val="-12"/>
        </w:rPr>
        <w:t> </w:t>
      </w:r>
      <w:r>
        <w:rPr/>
        <w:t>que</w:t>
      </w:r>
      <w:r>
        <w:rPr>
          <w:spacing w:val="-11"/>
        </w:rPr>
        <w:t> </w:t>
      </w:r>
      <w:r>
        <w:rPr/>
        <w:t>presenta</w:t>
      </w:r>
      <w:r>
        <w:rPr>
          <w:spacing w:val="-11"/>
        </w:rPr>
        <w:t> </w:t>
      </w:r>
      <w:r>
        <w:rPr/>
        <w:t>el</w:t>
      </w:r>
      <w:r>
        <w:rPr>
          <w:spacing w:val="-14"/>
        </w:rPr>
        <w:t> </w:t>
      </w:r>
      <w:r>
        <w:rPr/>
        <w:t>paciente</w:t>
      </w:r>
      <w:r>
        <w:rPr>
          <w:spacing w:val="-11"/>
        </w:rPr>
        <w:t> </w:t>
      </w:r>
      <w:r>
        <w:rPr/>
        <w:t>y sus posibles desencadenantes</w:t>
      </w:r>
      <w:r>
        <w:rPr>
          <w:spacing w:val="-46"/>
        </w:rPr>
        <w:t> </w:t>
      </w:r>
      <w:r>
        <w:rPr>
          <w:position w:val="8"/>
          <w:sz w:val="16"/>
        </w:rPr>
        <w:t>(33)</w:t>
      </w:r>
      <w:r>
        <w:rPr/>
        <w:t>.</w:t>
      </w:r>
    </w:p>
    <w:p>
      <w:pPr>
        <w:pStyle w:val="BodyText"/>
        <w:spacing w:line="360" w:lineRule="auto" w:before="200"/>
        <w:ind w:left="118" w:right="119"/>
        <w:jc w:val="both"/>
      </w:pPr>
      <w:r>
        <w:rPr/>
        <w:t>El</w:t>
      </w:r>
      <w:r>
        <w:rPr>
          <w:spacing w:val="-25"/>
        </w:rPr>
        <w:t> </w:t>
      </w:r>
      <w:r>
        <w:rPr/>
        <w:t>historial</w:t>
      </w:r>
      <w:r>
        <w:rPr>
          <w:spacing w:val="-25"/>
        </w:rPr>
        <w:t> </w:t>
      </w:r>
      <w:r>
        <w:rPr/>
        <w:t>de</w:t>
      </w:r>
      <w:r>
        <w:rPr>
          <w:spacing w:val="-24"/>
        </w:rPr>
        <w:t> </w:t>
      </w:r>
      <w:r>
        <w:rPr/>
        <w:t>fármacos</w:t>
      </w:r>
      <w:r>
        <w:rPr>
          <w:spacing w:val="-24"/>
        </w:rPr>
        <w:t> </w:t>
      </w:r>
      <w:r>
        <w:rPr/>
        <w:t>debe</w:t>
      </w:r>
      <w:r>
        <w:rPr>
          <w:spacing w:val="-24"/>
        </w:rPr>
        <w:t> </w:t>
      </w:r>
      <w:r>
        <w:rPr/>
        <w:t>ser</w:t>
      </w:r>
      <w:r>
        <w:rPr>
          <w:spacing w:val="-23"/>
        </w:rPr>
        <w:t> </w:t>
      </w:r>
      <w:r>
        <w:rPr/>
        <w:t>cuidadosamente</w:t>
      </w:r>
      <w:r>
        <w:rPr>
          <w:spacing w:val="-21"/>
        </w:rPr>
        <w:t> </w:t>
      </w:r>
      <w:r>
        <w:rPr/>
        <w:t>revisado</w:t>
      </w:r>
      <w:r>
        <w:rPr>
          <w:spacing w:val="-21"/>
        </w:rPr>
        <w:t> </w:t>
      </w:r>
      <w:r>
        <w:rPr/>
        <w:t>y</w:t>
      </w:r>
      <w:r>
        <w:rPr>
          <w:spacing w:val="-25"/>
        </w:rPr>
        <w:t> </w:t>
      </w:r>
      <w:r>
        <w:rPr/>
        <w:t>actualizado</w:t>
      </w:r>
      <w:r>
        <w:rPr>
          <w:spacing w:val="-21"/>
        </w:rPr>
        <w:t> </w:t>
      </w:r>
      <w:r>
        <w:rPr/>
        <w:t>en</w:t>
      </w:r>
      <w:r>
        <w:rPr>
          <w:spacing w:val="-24"/>
        </w:rPr>
        <w:t> </w:t>
      </w:r>
      <w:r>
        <w:rPr/>
        <w:t>cada</w:t>
      </w:r>
      <w:r>
        <w:rPr>
          <w:spacing w:val="-21"/>
        </w:rPr>
        <w:t> </w:t>
      </w:r>
      <w:r>
        <w:rPr/>
        <w:t>visita, y los efectos secundarios de los medicamentos potenciales o interacciones medicamentosas</w:t>
      </w:r>
      <w:r>
        <w:rPr>
          <w:spacing w:val="-33"/>
        </w:rPr>
        <w:t> </w:t>
      </w:r>
      <w:r>
        <w:rPr/>
        <w:t>señaladas.</w:t>
      </w:r>
    </w:p>
    <w:p>
      <w:pPr>
        <w:pStyle w:val="BodyText"/>
        <w:spacing w:line="360" w:lineRule="auto" w:before="204"/>
        <w:ind w:left="118" w:right="116"/>
        <w:jc w:val="both"/>
      </w:pPr>
      <w:r>
        <w:rPr/>
        <w:t>El paciente epiléptico puede desencadenar crisis convulsivas durante su tratamiento odontológico, existiendo varias condiciones en la consulta odontológica que las desencadenan.</w:t>
      </w:r>
    </w:p>
    <w:p>
      <w:pPr>
        <w:pStyle w:val="Heading2"/>
        <w:numPr>
          <w:ilvl w:val="2"/>
          <w:numId w:val="9"/>
        </w:numPr>
        <w:tabs>
          <w:tab w:pos="765" w:val="left" w:leader="none"/>
        </w:tabs>
        <w:spacing w:line="360" w:lineRule="auto" w:before="204" w:after="0"/>
        <w:ind w:left="118" w:right="123" w:firstLine="0"/>
        <w:jc w:val="both"/>
      </w:pPr>
      <w:r>
        <w:rPr/>
        <w:t>Factores Desencadenantes y Prevención de las Crisis Epilépticas en la Consulta</w:t>
      </w:r>
      <w:r>
        <w:rPr>
          <w:spacing w:val="64"/>
        </w:rPr>
        <w:t> </w:t>
      </w:r>
      <w:r>
        <w:rPr/>
        <w:t>Endodóntica.</w:t>
      </w:r>
    </w:p>
    <w:p>
      <w:pPr>
        <w:pStyle w:val="BodyText"/>
        <w:spacing w:line="357" w:lineRule="auto" w:before="204"/>
        <w:ind w:left="118" w:right="119"/>
        <w:jc w:val="both"/>
      </w:pPr>
      <w:r>
        <w:rPr/>
        <w:t>En la atención odontológica de una paciente con epilepsia es importante reconocer la existencia</w:t>
      </w:r>
      <w:r>
        <w:rPr>
          <w:spacing w:val="-18"/>
        </w:rPr>
        <w:t> </w:t>
      </w:r>
      <w:r>
        <w:rPr/>
        <w:t>de</w:t>
      </w:r>
      <w:r>
        <w:rPr>
          <w:spacing w:val="-18"/>
        </w:rPr>
        <w:t> </w:t>
      </w:r>
      <w:r>
        <w:rPr/>
        <w:t>posibles</w:t>
      </w:r>
      <w:r>
        <w:rPr>
          <w:spacing w:val="-21"/>
        </w:rPr>
        <w:t> </w:t>
      </w:r>
      <w:r>
        <w:rPr/>
        <w:t>factores</w:t>
      </w:r>
      <w:r>
        <w:rPr>
          <w:spacing w:val="-19"/>
        </w:rPr>
        <w:t> </w:t>
      </w:r>
      <w:r>
        <w:rPr/>
        <w:t>desencadenantes</w:t>
      </w:r>
      <w:r>
        <w:rPr>
          <w:spacing w:val="-19"/>
        </w:rPr>
        <w:t> </w:t>
      </w:r>
      <w:r>
        <w:rPr/>
        <w:t>de</w:t>
      </w:r>
      <w:r>
        <w:rPr>
          <w:spacing w:val="-18"/>
        </w:rPr>
        <w:t> </w:t>
      </w:r>
      <w:r>
        <w:rPr/>
        <w:t>crisis</w:t>
      </w:r>
      <w:r>
        <w:rPr>
          <w:spacing w:val="-19"/>
        </w:rPr>
        <w:t> </w:t>
      </w:r>
      <w:r>
        <w:rPr/>
        <w:t>epilépticas</w:t>
      </w:r>
      <w:r>
        <w:rPr>
          <w:spacing w:val="-21"/>
        </w:rPr>
        <w:t> </w:t>
      </w:r>
      <w:r>
        <w:rPr/>
        <w:t>y</w:t>
      </w:r>
      <w:r>
        <w:rPr>
          <w:spacing w:val="-21"/>
        </w:rPr>
        <w:t> </w:t>
      </w:r>
      <w:r>
        <w:rPr/>
        <w:t>se</w:t>
      </w:r>
      <w:r>
        <w:rPr>
          <w:spacing w:val="-18"/>
        </w:rPr>
        <w:t> </w:t>
      </w:r>
      <w:r>
        <w:rPr/>
        <w:t>deben</w:t>
      </w:r>
      <w:r>
        <w:rPr>
          <w:spacing w:val="-18"/>
        </w:rPr>
        <w:t> </w:t>
      </w:r>
      <w:r>
        <w:rPr/>
        <w:t>tomar todas aquellas las medidas conducentes a su manejo y prevención</w:t>
      </w:r>
      <w:r>
        <w:rPr>
          <w:spacing w:val="-21"/>
        </w:rPr>
        <w:t> </w:t>
      </w:r>
      <w:r>
        <w:rPr>
          <w:position w:val="8"/>
          <w:sz w:val="16"/>
        </w:rPr>
        <w:t>(34)</w:t>
      </w:r>
      <w:r>
        <w:rPr/>
        <w:t>.</w:t>
      </w:r>
    </w:p>
    <w:p>
      <w:pPr>
        <w:pStyle w:val="ListParagraph"/>
        <w:numPr>
          <w:ilvl w:val="3"/>
          <w:numId w:val="9"/>
        </w:numPr>
        <w:tabs>
          <w:tab w:pos="839" w:val="left" w:leader="none"/>
        </w:tabs>
        <w:spacing w:line="360" w:lineRule="auto" w:before="203" w:after="0"/>
        <w:ind w:left="838" w:right="116" w:hanging="360"/>
        <w:jc w:val="both"/>
        <w:rPr>
          <w:sz w:val="24"/>
        </w:rPr>
      </w:pPr>
      <w:r>
        <w:rPr>
          <w:sz w:val="24"/>
        </w:rPr>
        <w:t>Ansiedad y estrés: es una situación frecuente que se origina en la consulta de odontología</w:t>
      </w:r>
      <w:r>
        <w:rPr>
          <w:spacing w:val="-3"/>
          <w:sz w:val="24"/>
        </w:rPr>
        <w:t> </w:t>
      </w:r>
      <w:r>
        <w:rPr>
          <w:sz w:val="24"/>
        </w:rPr>
        <w:t>y</w:t>
      </w:r>
      <w:r>
        <w:rPr>
          <w:spacing w:val="-7"/>
          <w:sz w:val="24"/>
        </w:rPr>
        <w:t> </w:t>
      </w:r>
      <w:r>
        <w:rPr>
          <w:sz w:val="24"/>
        </w:rPr>
        <w:t>se</w:t>
      </w:r>
      <w:r>
        <w:rPr>
          <w:spacing w:val="-4"/>
          <w:sz w:val="24"/>
        </w:rPr>
        <w:t> </w:t>
      </w:r>
      <w:r>
        <w:rPr>
          <w:sz w:val="24"/>
        </w:rPr>
        <w:t>deben</w:t>
      </w:r>
      <w:r>
        <w:rPr>
          <w:spacing w:val="-4"/>
          <w:sz w:val="24"/>
        </w:rPr>
        <w:t> </w:t>
      </w:r>
      <w:r>
        <w:rPr>
          <w:sz w:val="24"/>
        </w:rPr>
        <w:t>tomar</w:t>
      </w:r>
      <w:r>
        <w:rPr>
          <w:spacing w:val="-5"/>
          <w:sz w:val="24"/>
        </w:rPr>
        <w:t> </w:t>
      </w:r>
      <w:r>
        <w:rPr>
          <w:sz w:val="24"/>
        </w:rPr>
        <w:t>todas</w:t>
      </w:r>
      <w:r>
        <w:rPr>
          <w:spacing w:val="-4"/>
          <w:sz w:val="24"/>
        </w:rPr>
        <w:t> </w:t>
      </w:r>
      <w:r>
        <w:rPr>
          <w:sz w:val="24"/>
        </w:rPr>
        <w:t>las</w:t>
      </w:r>
      <w:r>
        <w:rPr>
          <w:spacing w:val="-4"/>
          <w:sz w:val="24"/>
        </w:rPr>
        <w:t> </w:t>
      </w:r>
      <w:r>
        <w:rPr>
          <w:sz w:val="24"/>
        </w:rPr>
        <w:t>medidas</w:t>
      </w:r>
      <w:r>
        <w:rPr>
          <w:spacing w:val="-4"/>
          <w:sz w:val="24"/>
        </w:rPr>
        <w:t> </w:t>
      </w:r>
      <w:r>
        <w:rPr>
          <w:sz w:val="24"/>
        </w:rPr>
        <w:t>de</w:t>
      </w:r>
      <w:r>
        <w:rPr>
          <w:spacing w:val="-4"/>
          <w:sz w:val="24"/>
        </w:rPr>
        <w:t> </w:t>
      </w:r>
      <w:r>
        <w:rPr>
          <w:sz w:val="24"/>
        </w:rPr>
        <w:t>relajación</w:t>
      </w:r>
      <w:r>
        <w:rPr>
          <w:spacing w:val="-4"/>
          <w:sz w:val="24"/>
        </w:rPr>
        <w:t> </w:t>
      </w:r>
      <w:r>
        <w:rPr>
          <w:sz w:val="24"/>
        </w:rPr>
        <w:t>con</w:t>
      </w:r>
      <w:r>
        <w:rPr>
          <w:spacing w:val="-6"/>
          <w:sz w:val="24"/>
        </w:rPr>
        <w:t> </w:t>
      </w:r>
      <w:r>
        <w:rPr>
          <w:sz w:val="24"/>
        </w:rPr>
        <w:t>psicoterapia o farmacología para el control de la  misma. Así como   </w:t>
      </w:r>
      <w:r>
        <w:rPr>
          <w:spacing w:val="52"/>
          <w:sz w:val="24"/>
        </w:rPr>
        <w:t> </w:t>
      </w:r>
      <w:r>
        <w:rPr>
          <w:sz w:val="24"/>
        </w:rPr>
        <w:t>interrogar al  paciente</w:t>
      </w:r>
    </w:p>
    <w:p>
      <w:pPr>
        <w:spacing w:after="0" w:line="360" w:lineRule="auto"/>
        <w:jc w:val="both"/>
        <w:rPr>
          <w:sz w:val="24"/>
        </w:rPr>
        <w:sectPr>
          <w:pgSz w:w="12240" w:h="15840"/>
          <w:pgMar w:header="749" w:footer="1003" w:top="960" w:bottom="1200" w:left="1300" w:right="1580"/>
        </w:sectPr>
      </w:pPr>
    </w:p>
    <w:p>
      <w:pPr>
        <w:pStyle w:val="BodyText"/>
        <w:rPr>
          <w:sz w:val="20"/>
        </w:rPr>
      </w:pPr>
    </w:p>
    <w:p>
      <w:pPr>
        <w:pStyle w:val="BodyText"/>
        <w:rPr>
          <w:sz w:val="20"/>
        </w:rPr>
      </w:pPr>
    </w:p>
    <w:p>
      <w:pPr>
        <w:pStyle w:val="BodyText"/>
        <w:spacing w:before="5"/>
        <w:rPr>
          <w:sz w:val="17"/>
        </w:rPr>
      </w:pPr>
    </w:p>
    <w:p>
      <w:pPr>
        <w:pStyle w:val="BodyText"/>
        <w:spacing w:line="357" w:lineRule="auto" w:before="70"/>
        <w:ind w:left="838" w:right="115"/>
        <w:jc w:val="both"/>
      </w:pPr>
      <w:r>
        <w:rPr/>
        <w:t>acerca</w:t>
      </w:r>
      <w:r>
        <w:rPr>
          <w:spacing w:val="-11"/>
        </w:rPr>
        <w:t> </w:t>
      </w:r>
      <w:r>
        <w:rPr/>
        <w:t>de</w:t>
      </w:r>
      <w:r>
        <w:rPr>
          <w:spacing w:val="-11"/>
        </w:rPr>
        <w:t> </w:t>
      </w:r>
      <w:r>
        <w:rPr/>
        <w:t>lo</w:t>
      </w:r>
      <w:r>
        <w:rPr>
          <w:spacing w:val="-11"/>
        </w:rPr>
        <w:t> </w:t>
      </w:r>
      <w:r>
        <w:rPr/>
        <w:t>que</w:t>
      </w:r>
      <w:r>
        <w:rPr>
          <w:spacing w:val="-7"/>
        </w:rPr>
        <w:t> </w:t>
      </w:r>
      <w:r>
        <w:rPr/>
        <w:t>le</w:t>
      </w:r>
      <w:r>
        <w:rPr>
          <w:spacing w:val="-11"/>
        </w:rPr>
        <w:t> </w:t>
      </w:r>
      <w:r>
        <w:rPr/>
        <w:t>causa</w:t>
      </w:r>
      <w:r>
        <w:rPr>
          <w:spacing w:val="-8"/>
        </w:rPr>
        <w:t> </w:t>
      </w:r>
      <w:r>
        <w:rPr/>
        <w:t>ansiedad</w:t>
      </w:r>
      <w:r>
        <w:rPr>
          <w:spacing w:val="-11"/>
        </w:rPr>
        <w:t> </w:t>
      </w:r>
      <w:r>
        <w:rPr/>
        <w:t>durante</w:t>
      </w:r>
      <w:r>
        <w:rPr>
          <w:spacing w:val="-10"/>
        </w:rPr>
        <w:t> </w:t>
      </w:r>
      <w:r>
        <w:rPr/>
        <w:t>la</w:t>
      </w:r>
      <w:r>
        <w:rPr>
          <w:spacing w:val="-11"/>
        </w:rPr>
        <w:t> </w:t>
      </w:r>
      <w:r>
        <w:rPr/>
        <w:t>consulta</w:t>
      </w:r>
      <w:r>
        <w:rPr>
          <w:spacing w:val="-11"/>
        </w:rPr>
        <w:t> </w:t>
      </w:r>
      <w:r>
        <w:rPr/>
        <w:t>dental</w:t>
      </w:r>
      <w:r>
        <w:rPr>
          <w:spacing w:val="-8"/>
        </w:rPr>
        <w:t> </w:t>
      </w:r>
      <w:r>
        <w:rPr/>
        <w:t>ya</w:t>
      </w:r>
      <w:r>
        <w:rPr>
          <w:spacing w:val="-8"/>
        </w:rPr>
        <w:t> </w:t>
      </w:r>
      <w:r>
        <w:rPr/>
        <w:t>que</w:t>
      </w:r>
      <w:r>
        <w:rPr>
          <w:spacing w:val="-11"/>
        </w:rPr>
        <w:t> </w:t>
      </w:r>
      <w:r>
        <w:rPr/>
        <w:t>nos</w:t>
      </w:r>
      <w:r>
        <w:rPr>
          <w:spacing w:val="-11"/>
        </w:rPr>
        <w:t> </w:t>
      </w:r>
      <w:r>
        <w:rPr/>
        <w:t>podrá servir como guía para un mejor manejo y principalmente siempre mantener informado al paciente de lo que se va a realizar durante el tratamiento</w:t>
      </w:r>
      <w:r>
        <w:rPr>
          <w:spacing w:val="-20"/>
        </w:rPr>
        <w:t> </w:t>
      </w:r>
      <w:r>
        <w:rPr>
          <w:position w:val="8"/>
          <w:sz w:val="16"/>
        </w:rPr>
        <w:t>(35)</w:t>
      </w:r>
      <w:r>
        <w:rPr/>
        <w:t>.</w:t>
      </w:r>
    </w:p>
    <w:p>
      <w:pPr>
        <w:pStyle w:val="ListParagraph"/>
        <w:numPr>
          <w:ilvl w:val="3"/>
          <w:numId w:val="9"/>
        </w:numPr>
        <w:tabs>
          <w:tab w:pos="839" w:val="left" w:leader="none"/>
        </w:tabs>
        <w:spacing w:line="360" w:lineRule="auto" w:before="1" w:after="0"/>
        <w:ind w:left="838" w:right="118" w:hanging="360"/>
        <w:jc w:val="both"/>
        <w:rPr>
          <w:sz w:val="24"/>
        </w:rPr>
      </w:pPr>
      <w:r>
        <w:rPr>
          <w:sz w:val="24"/>
        </w:rPr>
        <w:t>Supresión del tratamiento antiepiléptico habitual. El hecho de ser sometido a una</w:t>
      </w:r>
      <w:r>
        <w:rPr>
          <w:spacing w:val="-16"/>
          <w:sz w:val="24"/>
        </w:rPr>
        <w:t> </w:t>
      </w:r>
      <w:r>
        <w:rPr>
          <w:sz w:val="24"/>
        </w:rPr>
        <w:t>intervención</w:t>
      </w:r>
      <w:r>
        <w:rPr>
          <w:spacing w:val="-15"/>
          <w:sz w:val="24"/>
        </w:rPr>
        <w:t> </w:t>
      </w:r>
      <w:r>
        <w:rPr>
          <w:sz w:val="24"/>
        </w:rPr>
        <w:t>dental</w:t>
      </w:r>
      <w:r>
        <w:rPr>
          <w:spacing w:val="-17"/>
          <w:sz w:val="24"/>
        </w:rPr>
        <w:t> </w:t>
      </w:r>
      <w:r>
        <w:rPr>
          <w:sz w:val="24"/>
        </w:rPr>
        <w:t>por</w:t>
      </w:r>
      <w:r>
        <w:rPr>
          <w:spacing w:val="-17"/>
          <w:sz w:val="24"/>
        </w:rPr>
        <w:t> </w:t>
      </w:r>
      <w:r>
        <w:rPr>
          <w:sz w:val="24"/>
        </w:rPr>
        <w:t>parte</w:t>
      </w:r>
      <w:r>
        <w:rPr>
          <w:spacing w:val="-18"/>
          <w:sz w:val="24"/>
        </w:rPr>
        <w:t> </w:t>
      </w:r>
      <w:r>
        <w:rPr>
          <w:sz w:val="24"/>
        </w:rPr>
        <w:t>del</w:t>
      </w:r>
      <w:r>
        <w:rPr>
          <w:spacing w:val="-17"/>
          <w:sz w:val="24"/>
        </w:rPr>
        <w:t> </w:t>
      </w:r>
      <w:r>
        <w:rPr>
          <w:sz w:val="24"/>
        </w:rPr>
        <w:t>paciente</w:t>
      </w:r>
      <w:r>
        <w:rPr>
          <w:spacing w:val="-18"/>
          <w:sz w:val="24"/>
        </w:rPr>
        <w:t> </w:t>
      </w:r>
      <w:r>
        <w:rPr>
          <w:sz w:val="24"/>
        </w:rPr>
        <w:t>puede</w:t>
      </w:r>
      <w:r>
        <w:rPr>
          <w:spacing w:val="-16"/>
          <w:sz w:val="24"/>
        </w:rPr>
        <w:t> </w:t>
      </w:r>
      <w:r>
        <w:rPr>
          <w:sz w:val="24"/>
        </w:rPr>
        <w:t>ser</w:t>
      </w:r>
      <w:r>
        <w:rPr>
          <w:spacing w:val="-17"/>
          <w:sz w:val="24"/>
        </w:rPr>
        <w:t> </w:t>
      </w:r>
      <w:r>
        <w:rPr>
          <w:sz w:val="24"/>
        </w:rPr>
        <w:t>interpretado</w:t>
      </w:r>
      <w:r>
        <w:rPr>
          <w:spacing w:val="-18"/>
          <w:sz w:val="24"/>
        </w:rPr>
        <w:t> </w:t>
      </w:r>
      <w:r>
        <w:rPr>
          <w:sz w:val="24"/>
        </w:rPr>
        <w:t>como</w:t>
      </w:r>
      <w:r>
        <w:rPr>
          <w:spacing w:val="-16"/>
          <w:sz w:val="24"/>
        </w:rPr>
        <w:t> </w:t>
      </w:r>
      <w:r>
        <w:rPr>
          <w:sz w:val="24"/>
        </w:rPr>
        <w:t>“que debe suspender el tratamiento”. El odontólogo debe asegurarse de la correcta administración</w:t>
      </w:r>
      <w:r>
        <w:rPr>
          <w:spacing w:val="-19"/>
          <w:sz w:val="24"/>
        </w:rPr>
        <w:t> </w:t>
      </w:r>
      <w:r>
        <w:rPr>
          <w:sz w:val="24"/>
        </w:rPr>
        <w:t>de</w:t>
      </w:r>
      <w:r>
        <w:rPr>
          <w:spacing w:val="-19"/>
          <w:sz w:val="24"/>
        </w:rPr>
        <w:t> </w:t>
      </w:r>
      <w:r>
        <w:rPr>
          <w:sz w:val="24"/>
        </w:rPr>
        <w:t>los</w:t>
      </w:r>
      <w:r>
        <w:rPr>
          <w:spacing w:val="-19"/>
          <w:sz w:val="24"/>
        </w:rPr>
        <w:t> </w:t>
      </w:r>
      <w:r>
        <w:rPr>
          <w:sz w:val="24"/>
        </w:rPr>
        <w:t>fármacos</w:t>
      </w:r>
      <w:r>
        <w:rPr>
          <w:spacing w:val="-14"/>
          <w:sz w:val="24"/>
        </w:rPr>
        <w:t> </w:t>
      </w:r>
      <w:r>
        <w:rPr>
          <w:sz w:val="24"/>
        </w:rPr>
        <w:t>y</w:t>
      </w:r>
      <w:r>
        <w:rPr>
          <w:spacing w:val="-20"/>
          <w:sz w:val="24"/>
        </w:rPr>
        <w:t> </w:t>
      </w:r>
      <w:r>
        <w:rPr>
          <w:sz w:val="24"/>
        </w:rPr>
        <w:t>tener</w:t>
      </w:r>
      <w:r>
        <w:rPr>
          <w:spacing w:val="-18"/>
          <w:sz w:val="24"/>
        </w:rPr>
        <w:t> </w:t>
      </w:r>
      <w:r>
        <w:rPr>
          <w:sz w:val="24"/>
        </w:rPr>
        <w:t>una</w:t>
      </w:r>
      <w:r>
        <w:rPr>
          <w:spacing w:val="-17"/>
          <w:sz w:val="24"/>
        </w:rPr>
        <w:t> </w:t>
      </w:r>
      <w:r>
        <w:rPr>
          <w:sz w:val="24"/>
        </w:rPr>
        <w:t>interconsulta</w:t>
      </w:r>
      <w:r>
        <w:rPr>
          <w:spacing w:val="-17"/>
          <w:sz w:val="24"/>
        </w:rPr>
        <w:t> </w:t>
      </w:r>
      <w:r>
        <w:rPr>
          <w:sz w:val="24"/>
        </w:rPr>
        <w:t>con</w:t>
      </w:r>
      <w:r>
        <w:rPr>
          <w:spacing w:val="-17"/>
          <w:sz w:val="24"/>
        </w:rPr>
        <w:t> </w:t>
      </w:r>
      <w:r>
        <w:rPr>
          <w:sz w:val="24"/>
        </w:rPr>
        <w:t>su</w:t>
      </w:r>
      <w:r>
        <w:rPr>
          <w:spacing w:val="-19"/>
          <w:sz w:val="24"/>
        </w:rPr>
        <w:t> </w:t>
      </w:r>
      <w:r>
        <w:rPr>
          <w:sz w:val="24"/>
        </w:rPr>
        <w:t>médico</w:t>
      </w:r>
      <w:r>
        <w:rPr>
          <w:spacing w:val="-17"/>
          <w:sz w:val="24"/>
        </w:rPr>
        <w:t> </w:t>
      </w:r>
      <w:r>
        <w:rPr>
          <w:sz w:val="24"/>
        </w:rPr>
        <w:t>tratante, además que un proceso infeccioso y la existencia de un proceso febril puede elevar el riesgo de desarrollar crisis epiléptica</w:t>
      </w:r>
      <w:r>
        <w:rPr>
          <w:spacing w:val="-15"/>
          <w:sz w:val="24"/>
        </w:rPr>
        <w:t> </w:t>
      </w:r>
      <w:r>
        <w:rPr>
          <w:position w:val="8"/>
          <w:sz w:val="16"/>
        </w:rPr>
        <w:t>(34)</w:t>
      </w:r>
      <w:r>
        <w:rPr>
          <w:sz w:val="24"/>
        </w:rPr>
        <w:t>.</w:t>
      </w:r>
    </w:p>
    <w:p>
      <w:pPr>
        <w:pStyle w:val="ListParagraph"/>
        <w:numPr>
          <w:ilvl w:val="3"/>
          <w:numId w:val="9"/>
        </w:numPr>
        <w:tabs>
          <w:tab w:pos="839" w:val="left" w:leader="none"/>
        </w:tabs>
        <w:spacing w:line="357" w:lineRule="auto" w:before="0" w:after="0"/>
        <w:ind w:left="838" w:right="115" w:hanging="360"/>
        <w:jc w:val="both"/>
        <w:rPr>
          <w:sz w:val="24"/>
        </w:rPr>
      </w:pPr>
      <w:r>
        <w:rPr>
          <w:sz w:val="24"/>
        </w:rPr>
        <w:t>Privación de sueño, constituye un factor de riesgo epiléptico importante. Se debe</w:t>
      </w:r>
      <w:r>
        <w:rPr>
          <w:spacing w:val="-9"/>
          <w:sz w:val="24"/>
        </w:rPr>
        <w:t> </w:t>
      </w:r>
      <w:r>
        <w:rPr>
          <w:sz w:val="24"/>
        </w:rPr>
        <w:t>aconsejar</w:t>
      </w:r>
      <w:r>
        <w:rPr>
          <w:spacing w:val="-10"/>
          <w:sz w:val="24"/>
        </w:rPr>
        <w:t> </w:t>
      </w:r>
      <w:r>
        <w:rPr>
          <w:sz w:val="24"/>
        </w:rPr>
        <w:t>al</w:t>
      </w:r>
      <w:r>
        <w:rPr>
          <w:spacing w:val="-8"/>
          <w:sz w:val="24"/>
        </w:rPr>
        <w:t> </w:t>
      </w:r>
      <w:r>
        <w:rPr>
          <w:sz w:val="24"/>
        </w:rPr>
        <w:t>paciente</w:t>
      </w:r>
      <w:r>
        <w:rPr>
          <w:spacing w:val="-9"/>
          <w:sz w:val="24"/>
        </w:rPr>
        <w:t> </w:t>
      </w:r>
      <w:r>
        <w:rPr>
          <w:sz w:val="24"/>
        </w:rPr>
        <w:t>para</w:t>
      </w:r>
      <w:r>
        <w:rPr>
          <w:spacing w:val="-6"/>
          <w:sz w:val="24"/>
        </w:rPr>
        <w:t> </w:t>
      </w:r>
      <w:r>
        <w:rPr>
          <w:sz w:val="24"/>
        </w:rPr>
        <w:t>evitar</w:t>
      </w:r>
      <w:r>
        <w:rPr>
          <w:spacing w:val="-8"/>
          <w:sz w:val="24"/>
        </w:rPr>
        <w:t> </w:t>
      </w:r>
      <w:r>
        <w:rPr>
          <w:sz w:val="24"/>
        </w:rPr>
        <w:t>la</w:t>
      </w:r>
      <w:r>
        <w:rPr>
          <w:spacing w:val="-10"/>
          <w:sz w:val="24"/>
        </w:rPr>
        <w:t> </w:t>
      </w:r>
      <w:r>
        <w:rPr>
          <w:sz w:val="24"/>
        </w:rPr>
        <w:t>privación</w:t>
      </w:r>
      <w:r>
        <w:rPr>
          <w:spacing w:val="-9"/>
          <w:sz w:val="24"/>
        </w:rPr>
        <w:t> </w:t>
      </w:r>
      <w:r>
        <w:rPr>
          <w:sz w:val="24"/>
        </w:rPr>
        <w:t>voluntaria</w:t>
      </w:r>
      <w:r>
        <w:rPr>
          <w:spacing w:val="-7"/>
          <w:sz w:val="24"/>
        </w:rPr>
        <w:t> </w:t>
      </w:r>
      <w:r>
        <w:rPr>
          <w:sz w:val="24"/>
        </w:rPr>
        <w:t>así</w:t>
      </w:r>
      <w:r>
        <w:rPr>
          <w:spacing w:val="-9"/>
          <w:sz w:val="24"/>
        </w:rPr>
        <w:t> </w:t>
      </w:r>
      <w:r>
        <w:rPr>
          <w:sz w:val="24"/>
        </w:rPr>
        <w:t>como</w:t>
      </w:r>
      <w:r>
        <w:rPr>
          <w:spacing w:val="-9"/>
          <w:sz w:val="24"/>
        </w:rPr>
        <w:t> </w:t>
      </w:r>
      <w:r>
        <w:rPr>
          <w:sz w:val="24"/>
        </w:rPr>
        <w:t>acudir</w:t>
      </w:r>
      <w:r>
        <w:rPr>
          <w:spacing w:val="-9"/>
          <w:sz w:val="24"/>
        </w:rPr>
        <w:t> </w:t>
      </w:r>
      <w:r>
        <w:rPr>
          <w:sz w:val="24"/>
        </w:rPr>
        <w:t>al odontólogo lo más descansado posible</w:t>
      </w:r>
      <w:r>
        <w:rPr>
          <w:spacing w:val="-12"/>
          <w:sz w:val="24"/>
        </w:rPr>
        <w:t> </w:t>
      </w:r>
      <w:r>
        <w:rPr>
          <w:position w:val="8"/>
          <w:sz w:val="16"/>
        </w:rPr>
        <w:t>(36)</w:t>
      </w:r>
      <w:r>
        <w:rPr>
          <w:sz w:val="24"/>
        </w:rPr>
        <w:t>.</w:t>
      </w:r>
    </w:p>
    <w:p>
      <w:pPr>
        <w:pStyle w:val="ListParagraph"/>
        <w:numPr>
          <w:ilvl w:val="3"/>
          <w:numId w:val="9"/>
        </w:numPr>
        <w:tabs>
          <w:tab w:pos="839" w:val="left" w:leader="none"/>
        </w:tabs>
        <w:spacing w:line="357" w:lineRule="auto" w:before="4" w:after="0"/>
        <w:ind w:left="838" w:right="122" w:hanging="360"/>
        <w:jc w:val="both"/>
        <w:rPr>
          <w:sz w:val="24"/>
        </w:rPr>
      </w:pPr>
      <w:r>
        <w:rPr>
          <w:sz w:val="24"/>
        </w:rPr>
        <w:t>Consumo de alcohol o excitantes. Pueden desencadenar crisis epilépticas e interferir negativamente con la eficacia de la medicación antiepiléptica. Recomendar al paciente no ingerir estas bebidas si es que lo hiciera durante</w:t>
      </w:r>
      <w:r>
        <w:rPr>
          <w:spacing w:val="-31"/>
          <w:sz w:val="24"/>
        </w:rPr>
        <w:t> </w:t>
      </w:r>
      <w:r>
        <w:rPr>
          <w:sz w:val="24"/>
        </w:rPr>
        <w:t>el tratamiento dental</w:t>
      </w:r>
      <w:r>
        <w:rPr>
          <w:spacing w:val="-10"/>
          <w:sz w:val="24"/>
        </w:rPr>
        <w:t> </w:t>
      </w:r>
      <w:r>
        <w:rPr>
          <w:position w:val="8"/>
          <w:sz w:val="16"/>
        </w:rPr>
        <w:t>(35,36)</w:t>
      </w:r>
      <w:r>
        <w:rPr>
          <w:sz w:val="24"/>
        </w:rPr>
        <w:t>.</w:t>
      </w:r>
    </w:p>
    <w:p>
      <w:pPr>
        <w:pStyle w:val="ListParagraph"/>
        <w:numPr>
          <w:ilvl w:val="3"/>
          <w:numId w:val="9"/>
        </w:numPr>
        <w:tabs>
          <w:tab w:pos="839" w:val="left" w:leader="none"/>
        </w:tabs>
        <w:spacing w:line="360" w:lineRule="auto" w:before="4" w:after="0"/>
        <w:ind w:left="838" w:right="120" w:hanging="360"/>
        <w:jc w:val="both"/>
        <w:rPr>
          <w:sz w:val="24"/>
        </w:rPr>
      </w:pPr>
      <w:r>
        <w:rPr>
          <w:sz w:val="24"/>
        </w:rPr>
        <w:t>Menstruación. Durante la menstruación se pueden desencadenar crisis epilépticas y de hecho hay algunas crisis que solo se presentan durante la menstruación (epilepsia</w:t>
      </w:r>
      <w:r>
        <w:rPr>
          <w:spacing w:val="-11"/>
          <w:sz w:val="24"/>
        </w:rPr>
        <w:t> </w:t>
      </w:r>
      <w:r>
        <w:rPr>
          <w:sz w:val="24"/>
        </w:rPr>
        <w:t>catamenial)</w:t>
      </w:r>
    </w:p>
    <w:p>
      <w:pPr>
        <w:pStyle w:val="ListParagraph"/>
        <w:numPr>
          <w:ilvl w:val="3"/>
          <w:numId w:val="9"/>
        </w:numPr>
        <w:tabs>
          <w:tab w:pos="839" w:val="left" w:leader="none"/>
        </w:tabs>
        <w:spacing w:line="357" w:lineRule="auto" w:before="5" w:after="0"/>
        <w:ind w:left="838" w:right="115" w:hanging="360"/>
        <w:jc w:val="both"/>
        <w:rPr>
          <w:sz w:val="16"/>
        </w:rPr>
      </w:pPr>
      <w:r>
        <w:rPr>
          <w:sz w:val="24"/>
        </w:rPr>
        <w:t>Hipoglucemia. La hipoglucemia puede ser de forma aislada un factor desencadenante</w:t>
      </w:r>
      <w:r>
        <w:rPr>
          <w:spacing w:val="-9"/>
          <w:sz w:val="24"/>
        </w:rPr>
        <w:t> </w:t>
      </w:r>
      <w:r>
        <w:rPr>
          <w:sz w:val="24"/>
        </w:rPr>
        <w:t>de</w:t>
      </w:r>
      <w:r>
        <w:rPr>
          <w:spacing w:val="-12"/>
          <w:sz w:val="24"/>
        </w:rPr>
        <w:t> </w:t>
      </w:r>
      <w:r>
        <w:rPr>
          <w:sz w:val="24"/>
        </w:rPr>
        <w:t>crisis,</w:t>
      </w:r>
      <w:r>
        <w:rPr>
          <w:spacing w:val="-10"/>
          <w:sz w:val="24"/>
        </w:rPr>
        <w:t> </w:t>
      </w:r>
      <w:r>
        <w:rPr>
          <w:sz w:val="24"/>
        </w:rPr>
        <w:t>incluso</w:t>
      </w:r>
      <w:r>
        <w:rPr>
          <w:spacing w:val="-9"/>
          <w:sz w:val="24"/>
        </w:rPr>
        <w:t> </w:t>
      </w:r>
      <w:r>
        <w:rPr>
          <w:sz w:val="24"/>
        </w:rPr>
        <w:t>en</w:t>
      </w:r>
      <w:r>
        <w:rPr>
          <w:spacing w:val="-8"/>
          <w:sz w:val="24"/>
        </w:rPr>
        <w:t> </w:t>
      </w:r>
      <w:r>
        <w:rPr>
          <w:sz w:val="24"/>
        </w:rPr>
        <w:t>un</w:t>
      </w:r>
      <w:r>
        <w:rPr>
          <w:spacing w:val="-9"/>
          <w:sz w:val="24"/>
        </w:rPr>
        <w:t> </w:t>
      </w:r>
      <w:r>
        <w:rPr>
          <w:sz w:val="24"/>
        </w:rPr>
        <w:t>paciente</w:t>
      </w:r>
      <w:r>
        <w:rPr>
          <w:spacing w:val="-11"/>
          <w:sz w:val="24"/>
        </w:rPr>
        <w:t> </w:t>
      </w:r>
      <w:r>
        <w:rPr>
          <w:sz w:val="24"/>
        </w:rPr>
        <w:t>previamente</w:t>
      </w:r>
      <w:r>
        <w:rPr>
          <w:spacing w:val="-9"/>
          <w:sz w:val="24"/>
        </w:rPr>
        <w:t> </w:t>
      </w:r>
      <w:r>
        <w:rPr>
          <w:sz w:val="24"/>
        </w:rPr>
        <w:t>no</w:t>
      </w:r>
      <w:r>
        <w:rPr>
          <w:spacing w:val="-9"/>
          <w:sz w:val="24"/>
        </w:rPr>
        <w:t> </w:t>
      </w:r>
      <w:r>
        <w:rPr>
          <w:sz w:val="24"/>
        </w:rPr>
        <w:t>epiléptico.</w:t>
      </w:r>
      <w:r>
        <w:rPr>
          <w:spacing w:val="-12"/>
          <w:sz w:val="24"/>
        </w:rPr>
        <w:t> </w:t>
      </w:r>
      <w:r>
        <w:rPr>
          <w:sz w:val="24"/>
        </w:rPr>
        <w:t>En este sentido, se debe recomendar  siempre acudir alimentado a la</w:t>
      </w:r>
      <w:r>
        <w:rPr>
          <w:spacing w:val="-24"/>
          <w:sz w:val="24"/>
        </w:rPr>
        <w:t> </w:t>
      </w:r>
      <w:r>
        <w:rPr>
          <w:sz w:val="24"/>
        </w:rPr>
        <w:t>consulta</w:t>
      </w:r>
      <w:r>
        <w:rPr>
          <w:position w:val="8"/>
          <w:sz w:val="16"/>
        </w:rPr>
        <w:t>(34)</w:t>
      </w:r>
    </w:p>
    <w:p>
      <w:pPr>
        <w:pStyle w:val="ListParagraph"/>
        <w:numPr>
          <w:ilvl w:val="3"/>
          <w:numId w:val="9"/>
        </w:numPr>
        <w:tabs>
          <w:tab w:pos="839" w:val="left" w:leader="none"/>
        </w:tabs>
        <w:spacing w:line="360" w:lineRule="auto" w:before="1" w:after="0"/>
        <w:ind w:left="838" w:right="123" w:hanging="360"/>
        <w:jc w:val="both"/>
        <w:rPr>
          <w:sz w:val="24"/>
        </w:rPr>
      </w:pPr>
      <w:r>
        <w:rPr>
          <w:sz w:val="24"/>
        </w:rPr>
        <w:t>Deshidratación. Es otro factor que puede desencadenar crisis sobre todo en niños.</w:t>
      </w:r>
      <w:r>
        <w:rPr>
          <w:spacing w:val="-16"/>
          <w:sz w:val="24"/>
        </w:rPr>
        <w:t> </w:t>
      </w:r>
      <w:r>
        <w:rPr>
          <w:sz w:val="24"/>
        </w:rPr>
        <w:t>Debido</w:t>
      </w:r>
      <w:r>
        <w:rPr>
          <w:spacing w:val="-17"/>
          <w:sz w:val="24"/>
        </w:rPr>
        <w:t> </w:t>
      </w:r>
      <w:r>
        <w:rPr>
          <w:sz w:val="24"/>
        </w:rPr>
        <w:t>a</w:t>
      </w:r>
      <w:r>
        <w:rPr>
          <w:spacing w:val="-14"/>
          <w:sz w:val="24"/>
        </w:rPr>
        <w:t> </w:t>
      </w:r>
      <w:r>
        <w:rPr>
          <w:sz w:val="24"/>
        </w:rPr>
        <w:t>un</w:t>
      </w:r>
      <w:r>
        <w:rPr>
          <w:spacing w:val="-17"/>
          <w:sz w:val="24"/>
        </w:rPr>
        <w:t> </w:t>
      </w:r>
      <w:r>
        <w:rPr>
          <w:sz w:val="24"/>
        </w:rPr>
        <w:t>adecuado</w:t>
      </w:r>
      <w:r>
        <w:rPr>
          <w:spacing w:val="-17"/>
          <w:sz w:val="24"/>
        </w:rPr>
        <w:t> </w:t>
      </w:r>
      <w:r>
        <w:rPr>
          <w:sz w:val="24"/>
        </w:rPr>
        <w:t>flujo</w:t>
      </w:r>
      <w:r>
        <w:rPr>
          <w:spacing w:val="-14"/>
          <w:sz w:val="24"/>
        </w:rPr>
        <w:t> </w:t>
      </w:r>
      <w:r>
        <w:rPr>
          <w:sz w:val="24"/>
        </w:rPr>
        <w:t>sanguíneo</w:t>
      </w:r>
      <w:r>
        <w:rPr>
          <w:spacing w:val="-17"/>
          <w:sz w:val="24"/>
        </w:rPr>
        <w:t> </w:t>
      </w:r>
      <w:r>
        <w:rPr>
          <w:sz w:val="24"/>
        </w:rPr>
        <w:t>en</w:t>
      </w:r>
      <w:r>
        <w:rPr>
          <w:spacing w:val="-17"/>
          <w:sz w:val="24"/>
        </w:rPr>
        <w:t> </w:t>
      </w:r>
      <w:r>
        <w:rPr>
          <w:sz w:val="24"/>
        </w:rPr>
        <w:t>el</w:t>
      </w:r>
      <w:r>
        <w:rPr>
          <w:spacing w:val="-15"/>
          <w:sz w:val="24"/>
        </w:rPr>
        <w:t> </w:t>
      </w:r>
      <w:r>
        <w:rPr>
          <w:sz w:val="24"/>
        </w:rPr>
        <w:t>organismo,</w:t>
      </w:r>
      <w:r>
        <w:rPr>
          <w:spacing w:val="-17"/>
          <w:sz w:val="24"/>
        </w:rPr>
        <w:t> </w:t>
      </w:r>
      <w:r>
        <w:rPr>
          <w:sz w:val="24"/>
        </w:rPr>
        <w:t>así</w:t>
      </w:r>
      <w:r>
        <w:rPr>
          <w:spacing w:val="-17"/>
          <w:sz w:val="24"/>
        </w:rPr>
        <w:t> </w:t>
      </w:r>
      <w:r>
        <w:rPr>
          <w:sz w:val="24"/>
        </w:rPr>
        <w:t>como</w:t>
      </w:r>
      <w:r>
        <w:rPr>
          <w:spacing w:val="-16"/>
          <w:sz w:val="24"/>
        </w:rPr>
        <w:t> </w:t>
      </w:r>
      <w:r>
        <w:rPr>
          <w:sz w:val="24"/>
        </w:rPr>
        <w:t>dolores de cabeza</w:t>
      </w:r>
      <w:r>
        <w:rPr>
          <w:spacing w:val="-5"/>
          <w:sz w:val="24"/>
        </w:rPr>
        <w:t> </w:t>
      </w:r>
      <w:r>
        <w:rPr>
          <w:sz w:val="24"/>
        </w:rPr>
        <w:t>intensos.</w:t>
      </w:r>
    </w:p>
    <w:p>
      <w:pPr>
        <w:pStyle w:val="ListParagraph"/>
        <w:numPr>
          <w:ilvl w:val="3"/>
          <w:numId w:val="9"/>
        </w:numPr>
        <w:tabs>
          <w:tab w:pos="839" w:val="left" w:leader="none"/>
        </w:tabs>
        <w:spacing w:line="360" w:lineRule="auto" w:before="5" w:after="0"/>
        <w:ind w:left="838" w:right="126" w:hanging="360"/>
        <w:jc w:val="both"/>
        <w:rPr>
          <w:sz w:val="24"/>
        </w:rPr>
      </w:pPr>
      <w:r>
        <w:rPr>
          <w:sz w:val="24"/>
        </w:rPr>
        <w:t>Hiperventilación, de forma mantenida puede desencadenar crisis epilépticas. En Neurofisiología se utiliza para activar posibles focos epilépticos en el EEG. Luces</w:t>
      </w:r>
      <w:r>
        <w:rPr>
          <w:spacing w:val="-8"/>
          <w:sz w:val="24"/>
        </w:rPr>
        <w:t> </w:t>
      </w:r>
      <w:r>
        <w:rPr>
          <w:sz w:val="24"/>
        </w:rPr>
        <w:t>intermitentes.</w:t>
      </w:r>
    </w:p>
    <w:p>
      <w:pPr>
        <w:pStyle w:val="ListParagraph"/>
        <w:numPr>
          <w:ilvl w:val="3"/>
          <w:numId w:val="9"/>
        </w:numPr>
        <w:tabs>
          <w:tab w:pos="839" w:val="left" w:leader="none"/>
        </w:tabs>
        <w:spacing w:line="360" w:lineRule="auto" w:before="2" w:after="0"/>
        <w:ind w:left="838" w:right="123" w:hanging="360"/>
        <w:jc w:val="both"/>
        <w:rPr>
          <w:sz w:val="24"/>
        </w:rPr>
      </w:pPr>
      <w:r>
        <w:rPr>
          <w:sz w:val="24"/>
        </w:rPr>
        <w:t>La foto estimulación con una determinada frecuencia de disparo puede desencadenar</w:t>
      </w:r>
      <w:r>
        <w:rPr>
          <w:spacing w:val="-13"/>
          <w:sz w:val="24"/>
        </w:rPr>
        <w:t> </w:t>
      </w:r>
      <w:r>
        <w:rPr>
          <w:sz w:val="24"/>
        </w:rPr>
        <w:t>crisis.</w:t>
      </w:r>
      <w:r>
        <w:rPr>
          <w:spacing w:val="-15"/>
          <w:sz w:val="24"/>
        </w:rPr>
        <w:t> </w:t>
      </w:r>
      <w:r>
        <w:rPr>
          <w:sz w:val="24"/>
        </w:rPr>
        <w:t>También</w:t>
      </w:r>
      <w:r>
        <w:rPr>
          <w:spacing w:val="-12"/>
          <w:sz w:val="24"/>
        </w:rPr>
        <w:t> </w:t>
      </w:r>
      <w:r>
        <w:rPr>
          <w:sz w:val="24"/>
        </w:rPr>
        <w:t>se</w:t>
      </w:r>
      <w:r>
        <w:rPr>
          <w:spacing w:val="-12"/>
          <w:sz w:val="24"/>
        </w:rPr>
        <w:t> </w:t>
      </w:r>
      <w:r>
        <w:rPr>
          <w:sz w:val="24"/>
        </w:rPr>
        <w:t>utiliza</w:t>
      </w:r>
      <w:r>
        <w:rPr>
          <w:spacing w:val="-14"/>
          <w:sz w:val="24"/>
        </w:rPr>
        <w:t> </w:t>
      </w:r>
      <w:r>
        <w:rPr>
          <w:sz w:val="24"/>
        </w:rPr>
        <w:t>en</w:t>
      </w:r>
      <w:r>
        <w:rPr>
          <w:spacing w:val="-12"/>
          <w:sz w:val="24"/>
        </w:rPr>
        <w:t> </w:t>
      </w:r>
      <w:r>
        <w:rPr>
          <w:sz w:val="24"/>
        </w:rPr>
        <w:t>los</w:t>
      </w:r>
      <w:r>
        <w:rPr>
          <w:spacing w:val="-15"/>
          <w:sz w:val="24"/>
        </w:rPr>
        <w:t> </w:t>
      </w:r>
      <w:r>
        <w:rPr>
          <w:sz w:val="24"/>
        </w:rPr>
        <w:t>Servicios</w:t>
      </w:r>
      <w:r>
        <w:rPr>
          <w:spacing w:val="-13"/>
          <w:sz w:val="24"/>
        </w:rPr>
        <w:t> </w:t>
      </w:r>
      <w:r>
        <w:rPr>
          <w:sz w:val="24"/>
        </w:rPr>
        <w:t>de</w:t>
      </w:r>
      <w:r>
        <w:rPr>
          <w:spacing w:val="-12"/>
          <w:sz w:val="24"/>
        </w:rPr>
        <w:t> </w:t>
      </w:r>
      <w:r>
        <w:rPr>
          <w:sz w:val="24"/>
        </w:rPr>
        <w:t>Neurofisiología</w:t>
      </w:r>
      <w:r>
        <w:rPr>
          <w:spacing w:val="-12"/>
          <w:sz w:val="24"/>
        </w:rPr>
        <w:t> </w:t>
      </w:r>
      <w:r>
        <w:rPr>
          <w:sz w:val="24"/>
        </w:rPr>
        <w:t>para</w:t>
      </w:r>
    </w:p>
    <w:p>
      <w:pPr>
        <w:spacing w:after="0" w:line="360" w:lineRule="auto"/>
        <w:jc w:val="both"/>
        <w:rPr>
          <w:sz w:val="24"/>
        </w:rPr>
        <w:sectPr>
          <w:pgSz w:w="12240" w:h="15840"/>
          <w:pgMar w:header="749" w:footer="1003" w:top="960" w:bottom="1200" w:left="1300" w:right="1580"/>
        </w:sectPr>
      </w:pPr>
    </w:p>
    <w:p>
      <w:pPr>
        <w:pStyle w:val="BodyText"/>
        <w:rPr>
          <w:sz w:val="20"/>
        </w:rPr>
      </w:pPr>
    </w:p>
    <w:p>
      <w:pPr>
        <w:pStyle w:val="BodyText"/>
        <w:rPr>
          <w:sz w:val="20"/>
        </w:rPr>
      </w:pPr>
    </w:p>
    <w:p>
      <w:pPr>
        <w:pStyle w:val="BodyText"/>
        <w:spacing w:before="5"/>
        <w:rPr>
          <w:sz w:val="17"/>
        </w:rPr>
      </w:pPr>
    </w:p>
    <w:p>
      <w:pPr>
        <w:pStyle w:val="BodyText"/>
        <w:spacing w:line="355" w:lineRule="auto" w:before="70"/>
        <w:ind w:left="838" w:right="194"/>
      </w:pPr>
      <w:r>
        <w:rPr/>
        <w:t>desencadenar crisis o activar focos en el EEG. Trastorno gastrointestinales puede interferir en la absorción de fármacos antiepilépticos </w:t>
      </w:r>
      <w:r>
        <w:rPr>
          <w:position w:val="8"/>
          <w:sz w:val="16"/>
        </w:rPr>
        <w:t>(35)</w:t>
      </w:r>
      <w:r>
        <w:rPr/>
        <w:t>.</w:t>
      </w:r>
    </w:p>
    <w:p>
      <w:pPr>
        <w:pStyle w:val="ListParagraph"/>
        <w:numPr>
          <w:ilvl w:val="3"/>
          <w:numId w:val="9"/>
        </w:numPr>
        <w:tabs>
          <w:tab w:pos="839" w:val="left" w:leader="none"/>
        </w:tabs>
        <w:spacing w:line="357" w:lineRule="auto" w:before="7" w:after="0"/>
        <w:ind w:left="838" w:right="115" w:hanging="360"/>
        <w:jc w:val="both"/>
        <w:rPr>
          <w:sz w:val="24"/>
        </w:rPr>
      </w:pPr>
      <w:r>
        <w:rPr>
          <w:sz w:val="24"/>
        </w:rPr>
        <w:t>Fármacos. Determinados medicamentos pueden ejercer un efecto epileptógeno, especialmente por vía intravenosa y altas dosis entre ellos antibióticos (ciprofloxacino), y analgésicos narcóticos (fentanil, pentazocina, meperidina)</w:t>
      </w:r>
      <w:r>
        <w:rPr>
          <w:spacing w:val="-3"/>
          <w:sz w:val="24"/>
        </w:rPr>
        <w:t> </w:t>
      </w:r>
      <w:r>
        <w:rPr>
          <w:position w:val="8"/>
          <w:sz w:val="16"/>
        </w:rPr>
        <w:t>(36)</w:t>
      </w:r>
      <w:r>
        <w:rPr>
          <w:sz w:val="24"/>
        </w:rPr>
        <w:t>.</w:t>
      </w:r>
    </w:p>
    <w:p>
      <w:pPr>
        <w:pStyle w:val="ListParagraph"/>
        <w:numPr>
          <w:ilvl w:val="3"/>
          <w:numId w:val="9"/>
        </w:numPr>
        <w:tabs>
          <w:tab w:pos="839" w:val="left" w:leader="none"/>
        </w:tabs>
        <w:spacing w:line="360" w:lineRule="auto" w:before="4" w:after="0"/>
        <w:ind w:left="838" w:right="119" w:hanging="360"/>
        <w:jc w:val="both"/>
        <w:rPr>
          <w:sz w:val="24"/>
        </w:rPr>
      </w:pPr>
      <w:r>
        <w:rPr>
          <w:sz w:val="24"/>
        </w:rPr>
        <w:t>Reflejos específicos: existe algún tipo de crisis de carácter reflejo como las desencadenadas por la deglución, la masticación, etc., que puede presentar durante el acto de la intervención</w:t>
      </w:r>
      <w:r>
        <w:rPr>
          <w:spacing w:val="-14"/>
          <w:sz w:val="24"/>
        </w:rPr>
        <w:t> </w:t>
      </w:r>
      <w:r>
        <w:rPr>
          <w:sz w:val="24"/>
        </w:rPr>
        <w:t>dental.</w:t>
      </w:r>
    </w:p>
    <w:p>
      <w:pPr>
        <w:pStyle w:val="Heading2"/>
        <w:spacing w:before="202"/>
        <w:ind w:left="118"/>
      </w:pPr>
      <w:r>
        <w:rPr/>
        <w:t>2.3.3. Prevención de las Crisis en la Consulta Odontológica</w:t>
      </w:r>
    </w:p>
    <w:p>
      <w:pPr>
        <w:pStyle w:val="BodyText"/>
        <w:spacing w:before="4"/>
        <w:rPr>
          <w:b/>
          <w:sz w:val="29"/>
        </w:rPr>
      </w:pPr>
    </w:p>
    <w:p>
      <w:pPr>
        <w:pStyle w:val="BodyText"/>
        <w:spacing w:line="360" w:lineRule="auto" w:before="1"/>
        <w:ind w:left="118" w:right="116"/>
        <w:jc w:val="both"/>
      </w:pPr>
      <w:r>
        <w:rPr/>
        <w:t>Un</w:t>
      </w:r>
      <w:r>
        <w:rPr>
          <w:spacing w:val="-7"/>
        </w:rPr>
        <w:t> </w:t>
      </w:r>
      <w:r>
        <w:rPr/>
        <w:t>riguroso</w:t>
      </w:r>
      <w:r>
        <w:rPr>
          <w:spacing w:val="-7"/>
        </w:rPr>
        <w:t> </w:t>
      </w:r>
      <w:r>
        <w:rPr/>
        <w:t>conocimiento</w:t>
      </w:r>
      <w:r>
        <w:rPr>
          <w:spacing w:val="-9"/>
        </w:rPr>
        <w:t> </w:t>
      </w:r>
      <w:r>
        <w:rPr/>
        <w:t>sobre</w:t>
      </w:r>
      <w:r>
        <w:rPr>
          <w:spacing w:val="-10"/>
        </w:rPr>
        <w:t> </w:t>
      </w:r>
      <w:r>
        <w:rPr/>
        <w:t>la</w:t>
      </w:r>
      <w:r>
        <w:rPr>
          <w:spacing w:val="-10"/>
        </w:rPr>
        <w:t> </w:t>
      </w:r>
      <w:r>
        <w:rPr/>
        <w:t>historia</w:t>
      </w:r>
      <w:r>
        <w:rPr>
          <w:spacing w:val="-9"/>
        </w:rPr>
        <w:t> </w:t>
      </w:r>
      <w:r>
        <w:rPr/>
        <w:t>médica</w:t>
      </w:r>
      <w:r>
        <w:rPr>
          <w:spacing w:val="-10"/>
        </w:rPr>
        <w:t> </w:t>
      </w:r>
      <w:r>
        <w:rPr/>
        <w:t>del</w:t>
      </w:r>
      <w:r>
        <w:rPr>
          <w:spacing w:val="-11"/>
        </w:rPr>
        <w:t> </w:t>
      </w:r>
      <w:r>
        <w:rPr/>
        <w:t>paciente</w:t>
      </w:r>
      <w:r>
        <w:rPr>
          <w:spacing w:val="-9"/>
        </w:rPr>
        <w:t> </w:t>
      </w:r>
      <w:r>
        <w:rPr/>
        <w:t>es</w:t>
      </w:r>
      <w:r>
        <w:rPr>
          <w:spacing w:val="-10"/>
        </w:rPr>
        <w:t> </w:t>
      </w:r>
      <w:r>
        <w:rPr/>
        <w:t>el</w:t>
      </w:r>
      <w:r>
        <w:rPr>
          <w:spacing w:val="-8"/>
        </w:rPr>
        <w:t> </w:t>
      </w:r>
      <w:r>
        <w:rPr/>
        <w:t>principal</w:t>
      </w:r>
      <w:r>
        <w:rPr>
          <w:spacing w:val="-11"/>
        </w:rPr>
        <w:t> </w:t>
      </w:r>
      <w:r>
        <w:rPr/>
        <w:t>requisito para realizar un tratamiento completo y prevenir posibles complicaciones. Si el paciente sabe su condición es aconsejable realizar una serie de preguntas mencionadas anteriormente (tabla 3); algunos pacientes pueden disimular su condición por miedo al rechazo de la atención odontológica</w:t>
      </w:r>
      <w:r>
        <w:rPr>
          <w:spacing w:val="-18"/>
        </w:rPr>
        <w:t> </w:t>
      </w:r>
      <w:r>
        <w:rPr>
          <w:position w:val="8"/>
          <w:sz w:val="16"/>
        </w:rPr>
        <w:t>(8)</w:t>
      </w:r>
      <w:r>
        <w:rPr/>
        <w:t>.</w:t>
      </w:r>
    </w:p>
    <w:p>
      <w:pPr>
        <w:pStyle w:val="BodyText"/>
        <w:spacing w:line="360" w:lineRule="auto" w:before="200"/>
        <w:ind w:left="118" w:right="121"/>
        <w:jc w:val="both"/>
      </w:pPr>
      <w:r>
        <w:rPr/>
        <w:t>Siempre se debe realizar interconsulta con su neurólogo, antes de comenzar a realizar</w:t>
      </w:r>
      <w:r>
        <w:rPr>
          <w:spacing w:val="-11"/>
        </w:rPr>
        <w:t> </w:t>
      </w:r>
      <w:r>
        <w:rPr/>
        <w:t>cualquier</w:t>
      </w:r>
      <w:r>
        <w:rPr>
          <w:spacing w:val="-10"/>
        </w:rPr>
        <w:t> </w:t>
      </w:r>
      <w:r>
        <w:rPr/>
        <w:t>procedimiento</w:t>
      </w:r>
      <w:r>
        <w:rPr>
          <w:spacing w:val="-11"/>
        </w:rPr>
        <w:t> </w:t>
      </w:r>
      <w:r>
        <w:rPr/>
        <w:t>endodóntico</w:t>
      </w:r>
      <w:r>
        <w:rPr>
          <w:spacing w:val="-12"/>
        </w:rPr>
        <w:t> </w:t>
      </w:r>
      <w:r>
        <w:rPr/>
        <w:t>o</w:t>
      </w:r>
      <w:r>
        <w:rPr>
          <w:spacing w:val="-9"/>
        </w:rPr>
        <w:t> </w:t>
      </w:r>
      <w:r>
        <w:rPr/>
        <w:t>invasivo.</w:t>
      </w:r>
      <w:r>
        <w:rPr>
          <w:spacing w:val="-10"/>
        </w:rPr>
        <w:t> </w:t>
      </w:r>
      <w:r>
        <w:rPr/>
        <w:t>Para</w:t>
      </w:r>
      <w:r>
        <w:rPr>
          <w:spacing w:val="-10"/>
        </w:rPr>
        <w:t> </w:t>
      </w:r>
      <w:r>
        <w:rPr/>
        <w:t>conocer</w:t>
      </w:r>
      <w:r>
        <w:rPr>
          <w:spacing w:val="-11"/>
        </w:rPr>
        <w:t> </w:t>
      </w:r>
      <w:r>
        <w:rPr/>
        <w:t>las</w:t>
      </w:r>
      <w:r>
        <w:rPr>
          <w:spacing w:val="-10"/>
        </w:rPr>
        <w:t> </w:t>
      </w:r>
      <w:r>
        <w:rPr/>
        <w:t>condiciones actuales de nuestro paciente ya que algunos pacientes pueden requerir anticonvulsivantes adicionales o sedación</w:t>
      </w:r>
      <w:r>
        <w:rPr>
          <w:spacing w:val="-18"/>
        </w:rPr>
        <w:t> </w:t>
      </w:r>
      <w:r>
        <w:rPr/>
        <w:t>oral.</w:t>
      </w:r>
    </w:p>
    <w:p>
      <w:pPr>
        <w:pStyle w:val="BodyText"/>
        <w:spacing w:line="360" w:lineRule="auto" w:before="204"/>
        <w:ind w:left="118" w:right="116"/>
        <w:jc w:val="both"/>
      </w:pPr>
      <w:r>
        <w:rPr/>
        <w:t>En cada cita antes de comenzar a realizar cualquier tratamiento es recomendable comprobar que el paciente ha tomado sus medicamentos de rutina, ha comido normalmente, no está excesivamente cansado y no ha estado recientemente</w:t>
      </w:r>
      <w:r>
        <w:rPr>
          <w:spacing w:val="-44"/>
        </w:rPr>
        <w:t> </w:t>
      </w:r>
      <w:r>
        <w:rPr/>
        <w:t>enfermo antes de iniciar el tratamiento dental. El estrés y la fatiga son los factores que pueden desencadenar un ataque. Si el paciente no se siente bien o está demasiado cansado, puede</w:t>
      </w:r>
      <w:r>
        <w:rPr>
          <w:spacing w:val="-10"/>
        </w:rPr>
        <w:t> </w:t>
      </w:r>
      <w:r>
        <w:rPr/>
        <w:t>ser</w:t>
      </w:r>
      <w:r>
        <w:rPr>
          <w:spacing w:val="-12"/>
        </w:rPr>
        <w:t> </w:t>
      </w:r>
      <w:r>
        <w:rPr/>
        <w:t>prudente</w:t>
      </w:r>
      <w:r>
        <w:rPr>
          <w:spacing w:val="-12"/>
        </w:rPr>
        <w:t> </w:t>
      </w:r>
      <w:r>
        <w:rPr/>
        <w:t>para</w:t>
      </w:r>
      <w:r>
        <w:rPr>
          <w:spacing w:val="-11"/>
        </w:rPr>
        <w:t> </w:t>
      </w:r>
      <w:r>
        <w:rPr/>
        <w:t>reprogramar</w:t>
      </w:r>
      <w:r>
        <w:rPr>
          <w:spacing w:val="-12"/>
        </w:rPr>
        <w:t> </w:t>
      </w:r>
      <w:r>
        <w:rPr/>
        <w:t>la</w:t>
      </w:r>
      <w:r>
        <w:rPr>
          <w:spacing w:val="-10"/>
        </w:rPr>
        <w:t> </w:t>
      </w:r>
      <w:r>
        <w:rPr/>
        <w:t>cita.</w:t>
      </w:r>
    </w:p>
    <w:p>
      <w:pPr>
        <w:pStyle w:val="BodyText"/>
        <w:spacing w:line="360" w:lineRule="auto" w:before="204"/>
        <w:ind w:left="118" w:right="115"/>
        <w:jc w:val="both"/>
      </w:pPr>
      <w:r>
        <w:rPr/>
        <w:t>Las</w:t>
      </w:r>
      <w:r>
        <w:rPr>
          <w:spacing w:val="-13"/>
        </w:rPr>
        <w:t> </w:t>
      </w:r>
      <w:r>
        <w:rPr/>
        <w:t>citas</w:t>
      </w:r>
      <w:r>
        <w:rPr>
          <w:spacing w:val="-13"/>
        </w:rPr>
        <w:t> </w:t>
      </w:r>
      <w:r>
        <w:rPr/>
        <w:t>deberían</w:t>
      </w:r>
      <w:r>
        <w:rPr>
          <w:spacing w:val="-12"/>
        </w:rPr>
        <w:t> </w:t>
      </w:r>
      <w:r>
        <w:rPr/>
        <w:t>ser</w:t>
      </w:r>
      <w:r>
        <w:rPr>
          <w:spacing w:val="-14"/>
        </w:rPr>
        <w:t> </w:t>
      </w:r>
      <w:r>
        <w:rPr/>
        <w:t>dadas</w:t>
      </w:r>
      <w:r>
        <w:rPr>
          <w:spacing w:val="-13"/>
        </w:rPr>
        <w:t> </w:t>
      </w:r>
      <w:r>
        <w:rPr/>
        <w:t>durante</w:t>
      </w:r>
      <w:r>
        <w:rPr>
          <w:spacing w:val="-12"/>
        </w:rPr>
        <w:t> </w:t>
      </w:r>
      <w:r>
        <w:rPr/>
        <w:t>una</w:t>
      </w:r>
      <w:r>
        <w:rPr>
          <w:spacing w:val="-12"/>
        </w:rPr>
        <w:t> </w:t>
      </w:r>
      <w:r>
        <w:rPr/>
        <w:t>hora</w:t>
      </w:r>
      <w:r>
        <w:rPr>
          <w:spacing w:val="-12"/>
        </w:rPr>
        <w:t> </w:t>
      </w:r>
      <w:r>
        <w:rPr/>
        <w:t>en</w:t>
      </w:r>
      <w:r>
        <w:rPr>
          <w:spacing w:val="-12"/>
        </w:rPr>
        <w:t> </w:t>
      </w:r>
      <w:r>
        <w:rPr/>
        <w:t>que</w:t>
      </w:r>
      <w:r>
        <w:rPr>
          <w:spacing w:val="-12"/>
        </w:rPr>
        <w:t> </w:t>
      </w:r>
      <w:r>
        <w:rPr/>
        <w:t>las</w:t>
      </w:r>
      <w:r>
        <w:rPr>
          <w:spacing w:val="-13"/>
        </w:rPr>
        <w:t> </w:t>
      </w:r>
      <w:r>
        <w:rPr/>
        <w:t>crisis</w:t>
      </w:r>
      <w:r>
        <w:rPr>
          <w:spacing w:val="-13"/>
        </w:rPr>
        <w:t> </w:t>
      </w:r>
      <w:r>
        <w:rPr/>
        <w:t>sean</w:t>
      </w:r>
      <w:r>
        <w:rPr>
          <w:spacing w:val="-7"/>
        </w:rPr>
        <w:t> </w:t>
      </w:r>
      <w:r>
        <w:rPr/>
        <w:t>menos</w:t>
      </w:r>
      <w:r>
        <w:rPr>
          <w:spacing w:val="-13"/>
        </w:rPr>
        <w:t> </w:t>
      </w:r>
      <w:r>
        <w:rPr/>
        <w:t>probables de que ocurran y en lo posible minimizar el estrés y la ansiedad durante la  </w:t>
      </w:r>
      <w:r>
        <w:rPr>
          <w:spacing w:val="19"/>
        </w:rPr>
        <w:t> </w:t>
      </w:r>
      <w:r>
        <w:rPr/>
        <w:t>atención.</w:t>
      </w:r>
    </w:p>
    <w:p>
      <w:pPr>
        <w:spacing w:after="0" w:line="360" w:lineRule="auto"/>
        <w:jc w:val="both"/>
        <w:sectPr>
          <w:footerReference w:type="default" r:id="rId30"/>
          <w:pgSz w:w="12240" w:h="15840"/>
          <w:pgMar w:footer="1003" w:header="749" w:top="960" w:bottom="1200" w:left="1300" w:right="1580"/>
        </w:sectPr>
      </w:pPr>
    </w:p>
    <w:p>
      <w:pPr>
        <w:pStyle w:val="BodyText"/>
        <w:rPr>
          <w:sz w:val="20"/>
        </w:rPr>
      </w:pPr>
    </w:p>
    <w:p>
      <w:pPr>
        <w:pStyle w:val="BodyText"/>
        <w:rPr>
          <w:sz w:val="20"/>
        </w:rPr>
      </w:pPr>
    </w:p>
    <w:p>
      <w:pPr>
        <w:pStyle w:val="BodyText"/>
        <w:spacing w:before="5"/>
        <w:rPr>
          <w:sz w:val="17"/>
        </w:rPr>
      </w:pPr>
    </w:p>
    <w:p>
      <w:pPr>
        <w:pStyle w:val="BodyText"/>
        <w:spacing w:line="360" w:lineRule="auto" w:before="70"/>
        <w:ind w:left="118" w:right="123"/>
        <w:jc w:val="both"/>
      </w:pPr>
      <w:r>
        <w:rPr/>
        <w:t>Técnicas</w:t>
      </w:r>
      <w:r>
        <w:rPr>
          <w:spacing w:val="-5"/>
        </w:rPr>
        <w:t> </w:t>
      </w:r>
      <w:r>
        <w:rPr/>
        <w:t>como</w:t>
      </w:r>
      <w:r>
        <w:rPr>
          <w:spacing w:val="-5"/>
        </w:rPr>
        <w:t> </w:t>
      </w:r>
      <w:r>
        <w:rPr/>
        <w:t>la</w:t>
      </w:r>
      <w:r>
        <w:rPr>
          <w:spacing w:val="-5"/>
        </w:rPr>
        <w:t> </w:t>
      </w:r>
      <w:r>
        <w:rPr/>
        <w:t>explicación</w:t>
      </w:r>
      <w:r>
        <w:rPr>
          <w:spacing w:val="-6"/>
        </w:rPr>
        <w:t> </w:t>
      </w:r>
      <w:r>
        <w:rPr/>
        <w:t>de</w:t>
      </w:r>
      <w:r>
        <w:rPr>
          <w:spacing w:val="-5"/>
        </w:rPr>
        <w:t> </w:t>
      </w:r>
      <w:r>
        <w:rPr/>
        <w:t>los</w:t>
      </w:r>
      <w:r>
        <w:rPr>
          <w:spacing w:val="-7"/>
        </w:rPr>
        <w:t> </w:t>
      </w:r>
      <w:r>
        <w:rPr/>
        <w:t>procedimientos</w:t>
      </w:r>
      <w:r>
        <w:rPr>
          <w:spacing w:val="-5"/>
        </w:rPr>
        <w:t> </w:t>
      </w:r>
      <w:r>
        <w:rPr/>
        <w:t>dentales</w:t>
      </w:r>
      <w:r>
        <w:rPr>
          <w:spacing w:val="-5"/>
        </w:rPr>
        <w:t> </w:t>
      </w:r>
      <w:r>
        <w:rPr/>
        <w:t>a</w:t>
      </w:r>
      <w:r>
        <w:rPr>
          <w:spacing w:val="-5"/>
        </w:rPr>
        <w:t> </w:t>
      </w:r>
      <w:r>
        <w:rPr/>
        <w:t>los</w:t>
      </w:r>
      <w:r>
        <w:rPr>
          <w:spacing w:val="-7"/>
        </w:rPr>
        <w:t> </w:t>
      </w:r>
      <w:r>
        <w:rPr/>
        <w:t>pacientes</w:t>
      </w:r>
      <w:r>
        <w:rPr>
          <w:spacing w:val="-5"/>
        </w:rPr>
        <w:t> </w:t>
      </w:r>
      <w:r>
        <w:rPr/>
        <w:t>antes</w:t>
      </w:r>
      <w:r>
        <w:rPr>
          <w:spacing w:val="-7"/>
        </w:rPr>
        <w:t> </w:t>
      </w:r>
      <w:r>
        <w:rPr/>
        <w:t>de comenzar</w:t>
      </w:r>
      <w:r>
        <w:rPr>
          <w:spacing w:val="-12"/>
        </w:rPr>
        <w:t> </w:t>
      </w:r>
      <w:r>
        <w:rPr/>
        <w:t>y</w:t>
      </w:r>
      <w:r>
        <w:rPr>
          <w:spacing w:val="-12"/>
        </w:rPr>
        <w:t> </w:t>
      </w:r>
      <w:r>
        <w:rPr/>
        <w:t>ofrecer</w:t>
      </w:r>
      <w:r>
        <w:rPr>
          <w:spacing w:val="-11"/>
        </w:rPr>
        <w:t> </w:t>
      </w:r>
      <w:r>
        <w:rPr/>
        <w:t>seguridad</w:t>
      </w:r>
      <w:r>
        <w:rPr>
          <w:spacing w:val="-10"/>
        </w:rPr>
        <w:t> </w:t>
      </w:r>
      <w:r>
        <w:rPr/>
        <w:t>y</w:t>
      </w:r>
      <w:r>
        <w:rPr>
          <w:spacing w:val="-10"/>
        </w:rPr>
        <w:t> </w:t>
      </w:r>
      <w:r>
        <w:rPr/>
        <w:t>control</w:t>
      </w:r>
      <w:r>
        <w:rPr>
          <w:spacing w:val="-11"/>
        </w:rPr>
        <w:t> </w:t>
      </w:r>
      <w:r>
        <w:rPr/>
        <w:t>sobre</w:t>
      </w:r>
      <w:r>
        <w:rPr>
          <w:spacing w:val="-10"/>
        </w:rPr>
        <w:t> </w:t>
      </w:r>
      <w:r>
        <w:rPr/>
        <w:t>los</w:t>
      </w:r>
      <w:r>
        <w:rPr>
          <w:spacing w:val="-11"/>
        </w:rPr>
        <w:t> </w:t>
      </w:r>
      <w:r>
        <w:rPr/>
        <w:t>procedimientos</w:t>
      </w:r>
      <w:r>
        <w:rPr>
          <w:spacing w:val="-11"/>
        </w:rPr>
        <w:t> </w:t>
      </w:r>
      <w:r>
        <w:rPr/>
        <w:t>son</w:t>
      </w:r>
      <w:r>
        <w:rPr>
          <w:spacing w:val="-10"/>
        </w:rPr>
        <w:t> </w:t>
      </w:r>
      <w:r>
        <w:rPr/>
        <w:t>útiles.</w:t>
      </w:r>
    </w:p>
    <w:p>
      <w:pPr>
        <w:pStyle w:val="BodyText"/>
      </w:pPr>
    </w:p>
    <w:p>
      <w:pPr>
        <w:pStyle w:val="BodyText"/>
        <w:spacing w:before="10"/>
        <w:rPr>
          <w:sz w:val="29"/>
        </w:rPr>
      </w:pPr>
    </w:p>
    <w:p>
      <w:pPr>
        <w:pStyle w:val="Heading2"/>
        <w:numPr>
          <w:ilvl w:val="2"/>
          <w:numId w:val="10"/>
        </w:numPr>
        <w:tabs>
          <w:tab w:pos="722" w:val="left" w:leader="none"/>
        </w:tabs>
        <w:spacing w:line="240" w:lineRule="auto" w:before="0" w:after="0"/>
        <w:ind w:left="721" w:right="0" w:hanging="603"/>
        <w:jc w:val="both"/>
      </w:pPr>
      <w:r>
        <w:rPr/>
        <w:t>Interacciones</w:t>
      </w:r>
      <w:r>
        <w:rPr>
          <w:spacing w:val="-11"/>
        </w:rPr>
        <w:t> </w:t>
      </w:r>
      <w:r>
        <w:rPr/>
        <w:t>Farmacológicas</w:t>
      </w:r>
    </w:p>
    <w:p>
      <w:pPr>
        <w:pStyle w:val="BodyText"/>
        <w:rPr>
          <w:b/>
        </w:rPr>
      </w:pPr>
    </w:p>
    <w:p>
      <w:pPr>
        <w:pStyle w:val="BodyText"/>
        <w:rPr>
          <w:b/>
        </w:rPr>
      </w:pPr>
    </w:p>
    <w:p>
      <w:pPr>
        <w:pStyle w:val="BodyText"/>
        <w:spacing w:line="360" w:lineRule="auto"/>
        <w:ind w:left="118" w:right="122"/>
        <w:jc w:val="both"/>
      </w:pPr>
      <w:r>
        <w:rPr/>
        <w:t>Los anticonvulsivantes indicados en el tratamiento de la epilepsia, pueden causar cambios patológicos en la boca. Los pacientes pueden presentar xerostomía, ardor lingual,</w:t>
      </w:r>
      <w:r>
        <w:rPr>
          <w:spacing w:val="-8"/>
        </w:rPr>
        <w:t> </w:t>
      </w:r>
      <w:r>
        <w:rPr/>
        <w:t>encías</w:t>
      </w:r>
      <w:r>
        <w:rPr>
          <w:spacing w:val="-8"/>
        </w:rPr>
        <w:t> </w:t>
      </w:r>
      <w:r>
        <w:rPr/>
        <w:t>rojas,</w:t>
      </w:r>
      <w:r>
        <w:rPr>
          <w:spacing w:val="-7"/>
        </w:rPr>
        <w:t> </w:t>
      </w:r>
      <w:r>
        <w:rPr/>
        <w:t>sangrantes</w:t>
      </w:r>
      <w:r>
        <w:rPr>
          <w:spacing w:val="-8"/>
        </w:rPr>
        <w:t> </w:t>
      </w:r>
      <w:r>
        <w:rPr/>
        <w:t>e</w:t>
      </w:r>
      <w:r>
        <w:rPr>
          <w:spacing w:val="-7"/>
        </w:rPr>
        <w:t> </w:t>
      </w:r>
      <w:r>
        <w:rPr/>
        <w:t>inflamadas,</w:t>
      </w:r>
      <w:r>
        <w:rPr>
          <w:spacing w:val="-7"/>
        </w:rPr>
        <w:t> </w:t>
      </w:r>
      <w:r>
        <w:rPr/>
        <w:t>además</w:t>
      </w:r>
      <w:r>
        <w:rPr>
          <w:spacing w:val="-10"/>
        </w:rPr>
        <w:t> </w:t>
      </w:r>
      <w:r>
        <w:rPr/>
        <w:t>de</w:t>
      </w:r>
      <w:r>
        <w:rPr>
          <w:spacing w:val="-7"/>
        </w:rPr>
        <w:t> </w:t>
      </w:r>
      <w:r>
        <w:rPr/>
        <w:t>sensación</w:t>
      </w:r>
      <w:r>
        <w:rPr>
          <w:spacing w:val="-7"/>
        </w:rPr>
        <w:t> </w:t>
      </w:r>
      <w:r>
        <w:rPr/>
        <w:t>de</w:t>
      </w:r>
      <w:r>
        <w:rPr>
          <w:spacing w:val="-7"/>
        </w:rPr>
        <w:t> </w:t>
      </w:r>
      <w:r>
        <w:rPr/>
        <w:t>hinchazón</w:t>
      </w:r>
      <w:r>
        <w:rPr>
          <w:spacing w:val="-7"/>
        </w:rPr>
        <w:t> </w:t>
      </w:r>
      <w:r>
        <w:rPr/>
        <w:t>en la cara, labios y</w:t>
      </w:r>
      <w:r>
        <w:rPr>
          <w:spacing w:val="-9"/>
        </w:rPr>
        <w:t> </w:t>
      </w:r>
      <w:r>
        <w:rPr/>
        <w:t>lengua.</w:t>
      </w:r>
    </w:p>
    <w:p>
      <w:pPr>
        <w:pStyle w:val="BodyText"/>
      </w:pPr>
    </w:p>
    <w:p>
      <w:pPr>
        <w:pStyle w:val="BodyText"/>
        <w:spacing w:line="360" w:lineRule="auto" w:before="142"/>
        <w:ind w:left="118" w:right="115"/>
        <w:jc w:val="both"/>
      </w:pPr>
      <w:r>
        <w:rPr/>
        <w:t>Algunas</w:t>
      </w:r>
      <w:r>
        <w:rPr>
          <w:spacing w:val="-8"/>
        </w:rPr>
        <w:t> </w:t>
      </w:r>
      <w:r>
        <w:rPr/>
        <w:t>Alteraciones</w:t>
      </w:r>
      <w:r>
        <w:rPr>
          <w:spacing w:val="-8"/>
        </w:rPr>
        <w:t> </w:t>
      </w:r>
      <w:r>
        <w:rPr/>
        <w:t>sanguíneas</w:t>
      </w:r>
      <w:r>
        <w:rPr>
          <w:spacing w:val="-8"/>
        </w:rPr>
        <w:t> </w:t>
      </w:r>
      <w:r>
        <w:rPr/>
        <w:t>como</w:t>
      </w:r>
      <w:r>
        <w:rPr>
          <w:spacing w:val="-7"/>
        </w:rPr>
        <w:t> </w:t>
      </w:r>
      <w:r>
        <w:rPr/>
        <w:t>la</w:t>
      </w:r>
      <w:r>
        <w:rPr>
          <w:spacing w:val="-7"/>
        </w:rPr>
        <w:t> </w:t>
      </w:r>
      <w:r>
        <w:rPr/>
        <w:t>trombocitopenia</w:t>
      </w:r>
      <w:r>
        <w:rPr>
          <w:spacing w:val="-7"/>
        </w:rPr>
        <w:t> </w:t>
      </w:r>
      <w:r>
        <w:rPr/>
        <w:t>provocada</w:t>
      </w:r>
      <w:r>
        <w:rPr>
          <w:spacing w:val="-7"/>
        </w:rPr>
        <w:t> </w:t>
      </w:r>
      <w:r>
        <w:rPr/>
        <w:t>por</w:t>
      </w:r>
      <w:r>
        <w:rPr>
          <w:spacing w:val="-8"/>
        </w:rPr>
        <w:t> </w:t>
      </w:r>
      <w:r>
        <w:rPr/>
        <w:t>el</w:t>
      </w:r>
      <w:r>
        <w:rPr>
          <w:spacing w:val="-6"/>
        </w:rPr>
        <w:t> </w:t>
      </w:r>
      <w:r>
        <w:rPr/>
        <w:t>valproato sódico, o leucopenia, provocada por la carbamazepina, el fenobarbital y la primidona. Las cuales nos van a dificultar la cicatrización de heridas intraorales principalmente y la disminución de la respuesta inmune, haciendo la cavidad oral más susceptible a infecciones.</w:t>
      </w:r>
    </w:p>
    <w:p>
      <w:pPr>
        <w:pStyle w:val="BodyText"/>
        <w:spacing w:line="362" w:lineRule="auto" w:before="2"/>
        <w:ind w:left="118" w:right="123"/>
        <w:jc w:val="both"/>
      </w:pPr>
      <w:r>
        <w:rPr/>
        <w:t>Otro</w:t>
      </w:r>
      <w:r>
        <w:rPr>
          <w:spacing w:val="-15"/>
        </w:rPr>
        <w:t> </w:t>
      </w:r>
      <w:r>
        <w:rPr/>
        <w:t>efecto</w:t>
      </w:r>
      <w:r>
        <w:rPr>
          <w:spacing w:val="-14"/>
        </w:rPr>
        <w:t> </w:t>
      </w:r>
      <w:r>
        <w:rPr/>
        <w:t>de</w:t>
      </w:r>
      <w:r>
        <w:rPr>
          <w:spacing w:val="-14"/>
        </w:rPr>
        <w:t> </w:t>
      </w:r>
      <w:r>
        <w:rPr/>
        <w:t>los</w:t>
      </w:r>
      <w:r>
        <w:rPr>
          <w:spacing w:val="-19"/>
        </w:rPr>
        <w:t> </w:t>
      </w:r>
      <w:r>
        <w:rPr/>
        <w:t>medicamentos,</w:t>
      </w:r>
      <w:r>
        <w:rPr>
          <w:spacing w:val="-17"/>
        </w:rPr>
        <w:t> </w:t>
      </w:r>
      <w:r>
        <w:rPr/>
        <w:t>es</w:t>
      </w:r>
      <w:r>
        <w:rPr>
          <w:spacing w:val="-15"/>
        </w:rPr>
        <w:t> </w:t>
      </w:r>
      <w:r>
        <w:rPr/>
        <w:t>la</w:t>
      </w:r>
      <w:r>
        <w:rPr>
          <w:spacing w:val="-17"/>
        </w:rPr>
        <w:t> </w:t>
      </w:r>
      <w:r>
        <w:rPr/>
        <w:t>pérdida</w:t>
      </w:r>
      <w:r>
        <w:rPr>
          <w:spacing w:val="-14"/>
        </w:rPr>
        <w:t> </w:t>
      </w:r>
      <w:r>
        <w:rPr/>
        <w:t>ósea,</w:t>
      </w:r>
      <w:r>
        <w:rPr>
          <w:spacing w:val="-17"/>
        </w:rPr>
        <w:t> </w:t>
      </w:r>
      <w:r>
        <w:rPr/>
        <w:t>que</w:t>
      </w:r>
      <w:r>
        <w:rPr>
          <w:spacing w:val="-14"/>
        </w:rPr>
        <w:t> </w:t>
      </w:r>
      <w:r>
        <w:rPr/>
        <w:t>conduce</w:t>
      </w:r>
      <w:r>
        <w:rPr>
          <w:spacing w:val="-16"/>
        </w:rPr>
        <w:t> </w:t>
      </w:r>
      <w:r>
        <w:rPr/>
        <w:t>a</w:t>
      </w:r>
      <w:r>
        <w:rPr>
          <w:spacing w:val="-19"/>
        </w:rPr>
        <w:t> </w:t>
      </w:r>
      <w:r>
        <w:rPr/>
        <w:t>una</w:t>
      </w:r>
      <w:r>
        <w:rPr>
          <w:spacing w:val="-16"/>
        </w:rPr>
        <w:t> </w:t>
      </w:r>
      <w:r>
        <w:rPr/>
        <w:t>osteoporosis, sobre todo en tratamientos</w:t>
      </w:r>
      <w:r>
        <w:rPr>
          <w:spacing w:val="-13"/>
        </w:rPr>
        <w:t> </w:t>
      </w:r>
      <w:r>
        <w:rPr/>
        <w:t>prolongados.</w:t>
      </w:r>
    </w:p>
    <w:p>
      <w:pPr>
        <w:pStyle w:val="BodyText"/>
      </w:pPr>
    </w:p>
    <w:p>
      <w:pPr>
        <w:pStyle w:val="BodyText"/>
        <w:spacing w:line="360" w:lineRule="auto" w:before="139"/>
        <w:ind w:left="118" w:right="121"/>
        <w:jc w:val="both"/>
      </w:pPr>
      <w:r>
        <w:rPr/>
        <w:t>La interacción entre medicamentos de uso odontológico y los anticonvulsivantes es también un tema importante. Los medicamentos antimicóticos, como el fluconazol, y antibióticos como el metronidazol y la eritromicina pueden generar un aumento en la concentración plasmática de la fenitoína, por diferencias de afinidad con el sitio de metabolización hepática.</w:t>
      </w:r>
    </w:p>
    <w:p>
      <w:pPr>
        <w:pStyle w:val="BodyText"/>
      </w:pPr>
    </w:p>
    <w:p>
      <w:pPr>
        <w:pStyle w:val="Heading2"/>
        <w:numPr>
          <w:ilvl w:val="2"/>
          <w:numId w:val="10"/>
        </w:numPr>
        <w:tabs>
          <w:tab w:pos="724" w:val="left" w:leader="none"/>
        </w:tabs>
        <w:spacing w:line="240" w:lineRule="auto" w:before="142" w:after="0"/>
        <w:ind w:left="723" w:right="0" w:hanging="605"/>
        <w:jc w:val="both"/>
      </w:pPr>
      <w:r>
        <w:rPr/>
        <w:t>Anestésicos</w:t>
      </w:r>
      <w:r>
        <w:rPr>
          <w:spacing w:val="-11"/>
        </w:rPr>
        <w:t> </w:t>
      </w:r>
      <w:r>
        <w:rPr/>
        <w:t>Locales.</w:t>
      </w:r>
    </w:p>
    <w:p>
      <w:pPr>
        <w:pStyle w:val="BodyText"/>
        <w:rPr>
          <w:b/>
        </w:rPr>
      </w:pPr>
    </w:p>
    <w:p>
      <w:pPr>
        <w:pStyle w:val="BodyText"/>
        <w:rPr>
          <w:b/>
        </w:rPr>
      </w:pPr>
    </w:p>
    <w:p>
      <w:pPr>
        <w:pStyle w:val="BodyText"/>
        <w:spacing w:line="360" w:lineRule="auto"/>
        <w:ind w:left="118" w:right="116"/>
        <w:jc w:val="both"/>
      </w:pPr>
      <w:r>
        <w:rPr/>
        <w:t>La anestesia local interrumpe temporalmente los impulsos nerviosos insensibilizando la zona en que se hará la intervención. Se puede lograr a través de cremas, aerosol, gotero o bien administrando el anestésico a través de la piel, por medio de una pequeña</w:t>
      </w:r>
      <w:r>
        <w:rPr>
          <w:spacing w:val="-11"/>
        </w:rPr>
        <w:t> </w:t>
      </w:r>
      <w:r>
        <w:rPr/>
        <w:t>y</w:t>
      </w:r>
      <w:r>
        <w:rPr>
          <w:spacing w:val="-15"/>
        </w:rPr>
        <w:t> </w:t>
      </w:r>
      <w:r>
        <w:rPr/>
        <w:t>fina</w:t>
      </w:r>
      <w:r>
        <w:rPr>
          <w:spacing w:val="-13"/>
        </w:rPr>
        <w:t> </w:t>
      </w:r>
      <w:r>
        <w:rPr/>
        <w:t>aguja.</w:t>
      </w:r>
      <w:r>
        <w:rPr>
          <w:spacing w:val="-16"/>
        </w:rPr>
        <w:t> </w:t>
      </w:r>
      <w:r>
        <w:rPr/>
        <w:t>En</w:t>
      </w:r>
      <w:r>
        <w:rPr>
          <w:spacing w:val="-13"/>
        </w:rPr>
        <w:t> </w:t>
      </w:r>
      <w:r>
        <w:rPr/>
        <w:t>pequeñas</w:t>
      </w:r>
      <w:r>
        <w:rPr>
          <w:spacing w:val="-14"/>
        </w:rPr>
        <w:t> </w:t>
      </w:r>
      <w:r>
        <w:rPr/>
        <w:t>dosis</w:t>
      </w:r>
      <w:r>
        <w:rPr>
          <w:spacing w:val="-14"/>
        </w:rPr>
        <w:t> </w:t>
      </w:r>
      <w:r>
        <w:rPr/>
        <w:t>los</w:t>
      </w:r>
      <w:r>
        <w:rPr>
          <w:spacing w:val="-16"/>
        </w:rPr>
        <w:t> </w:t>
      </w:r>
      <w:r>
        <w:rPr/>
        <w:t>anestésicos</w:t>
      </w:r>
      <w:r>
        <w:rPr>
          <w:spacing w:val="-13"/>
        </w:rPr>
        <w:t> </w:t>
      </w:r>
      <w:r>
        <w:rPr/>
        <w:t>locales</w:t>
      </w:r>
      <w:r>
        <w:rPr>
          <w:spacing w:val="-13"/>
        </w:rPr>
        <w:t> </w:t>
      </w:r>
      <w:r>
        <w:rPr/>
        <w:t>suelen</w:t>
      </w:r>
      <w:r>
        <w:rPr>
          <w:spacing w:val="-13"/>
        </w:rPr>
        <w:t> </w:t>
      </w:r>
      <w:r>
        <w:rPr/>
        <w:t>reducir</w:t>
      </w:r>
      <w:r>
        <w:rPr>
          <w:spacing w:val="-15"/>
        </w:rPr>
        <w:t> </w:t>
      </w:r>
      <w:r>
        <w:rPr/>
        <w:t>el</w:t>
      </w:r>
      <w:r>
        <w:rPr>
          <w:spacing w:val="-14"/>
        </w:rPr>
        <w:t> </w:t>
      </w:r>
      <w:r>
        <w:rPr/>
        <w:t>flujo</w:t>
      </w:r>
    </w:p>
    <w:p>
      <w:pPr>
        <w:spacing w:after="0" w:line="360" w:lineRule="auto"/>
        <w:jc w:val="both"/>
        <w:sectPr>
          <w:footerReference w:type="default" r:id="rId31"/>
          <w:pgSz w:w="12240" w:h="15840"/>
          <w:pgMar w:footer="1003" w:header="749" w:top="960" w:bottom="1200" w:left="1300" w:right="1580"/>
          <w:pgNumType w:start="41"/>
        </w:sectPr>
      </w:pPr>
    </w:p>
    <w:p>
      <w:pPr>
        <w:pStyle w:val="BodyText"/>
        <w:rPr>
          <w:sz w:val="20"/>
        </w:rPr>
      </w:pPr>
    </w:p>
    <w:p>
      <w:pPr>
        <w:pStyle w:val="BodyText"/>
        <w:rPr>
          <w:sz w:val="20"/>
        </w:rPr>
      </w:pPr>
    </w:p>
    <w:p>
      <w:pPr>
        <w:pStyle w:val="BodyText"/>
        <w:spacing w:before="5"/>
        <w:rPr>
          <w:sz w:val="17"/>
        </w:rPr>
      </w:pPr>
    </w:p>
    <w:p>
      <w:pPr>
        <w:pStyle w:val="BodyText"/>
        <w:spacing w:line="357" w:lineRule="auto" w:before="70"/>
        <w:ind w:left="118" w:right="116"/>
        <w:jc w:val="both"/>
      </w:pPr>
      <w:r>
        <w:rPr/>
        <w:t>sanguíneo cerebral, el metabolismo y la actividad eléctrica del cerebro y actúan como anticonvulsivos, sedantes y analgésicos, mientras que en dosis altas actuarán como fármacos proconvulsivos </w:t>
      </w:r>
      <w:r>
        <w:rPr>
          <w:position w:val="8"/>
          <w:sz w:val="16"/>
        </w:rPr>
        <w:t>(37)</w:t>
      </w:r>
      <w:r>
        <w:rPr/>
        <w:t>.</w:t>
      </w:r>
    </w:p>
    <w:p>
      <w:pPr>
        <w:pStyle w:val="BodyText"/>
        <w:spacing w:before="2"/>
        <w:rPr>
          <w:sz w:val="36"/>
        </w:rPr>
      </w:pPr>
    </w:p>
    <w:p>
      <w:pPr>
        <w:pStyle w:val="BodyText"/>
        <w:spacing w:line="360" w:lineRule="auto" w:before="1"/>
        <w:ind w:left="118" w:right="118"/>
        <w:jc w:val="both"/>
      </w:pPr>
      <w:r>
        <w:rPr/>
        <w:t>Algunos autores indican que los anestésicos locales administrados en dosis terapéuticas, no interactúan con el estándar de los fármacos antiepilépticos; sin embargo,</w:t>
      </w:r>
      <w:r>
        <w:rPr>
          <w:spacing w:val="-5"/>
        </w:rPr>
        <w:t> </w:t>
      </w:r>
      <w:r>
        <w:rPr/>
        <w:t>en</w:t>
      </w:r>
      <w:r>
        <w:rPr>
          <w:spacing w:val="-7"/>
        </w:rPr>
        <w:t> </w:t>
      </w:r>
      <w:r>
        <w:rPr/>
        <w:t>el</w:t>
      </w:r>
      <w:r>
        <w:rPr>
          <w:spacing w:val="-6"/>
        </w:rPr>
        <w:t> </w:t>
      </w:r>
      <w:r>
        <w:rPr/>
        <w:t>caso</w:t>
      </w:r>
      <w:r>
        <w:rPr>
          <w:spacing w:val="-5"/>
        </w:rPr>
        <w:t> </w:t>
      </w:r>
      <w:r>
        <w:rPr/>
        <w:t>de</w:t>
      </w:r>
      <w:r>
        <w:rPr>
          <w:spacing w:val="-5"/>
        </w:rPr>
        <w:t> </w:t>
      </w:r>
      <w:r>
        <w:rPr/>
        <w:t>una</w:t>
      </w:r>
      <w:r>
        <w:rPr>
          <w:spacing w:val="-5"/>
        </w:rPr>
        <w:t> </w:t>
      </w:r>
      <w:r>
        <w:rPr/>
        <w:t>sobredosis</w:t>
      </w:r>
      <w:r>
        <w:rPr>
          <w:spacing w:val="-6"/>
        </w:rPr>
        <w:t> </w:t>
      </w:r>
      <w:r>
        <w:rPr/>
        <w:t>de</w:t>
      </w:r>
      <w:r>
        <w:rPr>
          <w:spacing w:val="-7"/>
        </w:rPr>
        <w:t> </w:t>
      </w:r>
      <w:r>
        <w:rPr/>
        <w:t>anestesia</w:t>
      </w:r>
      <w:r>
        <w:rPr>
          <w:spacing w:val="-5"/>
        </w:rPr>
        <w:t> </w:t>
      </w:r>
      <w:r>
        <w:rPr/>
        <w:t>local</w:t>
      </w:r>
      <w:r>
        <w:rPr>
          <w:spacing w:val="-6"/>
        </w:rPr>
        <w:t> </w:t>
      </w:r>
      <w:r>
        <w:rPr/>
        <w:t>crítica,</w:t>
      </w:r>
      <w:r>
        <w:rPr>
          <w:spacing w:val="-5"/>
        </w:rPr>
        <w:t> </w:t>
      </w:r>
      <w:r>
        <w:rPr/>
        <w:t>se</w:t>
      </w:r>
      <w:r>
        <w:rPr>
          <w:spacing w:val="-5"/>
        </w:rPr>
        <w:t> </w:t>
      </w:r>
      <w:r>
        <w:rPr/>
        <w:t>pueden</w:t>
      </w:r>
      <w:r>
        <w:rPr>
          <w:spacing w:val="-5"/>
        </w:rPr>
        <w:t> </w:t>
      </w:r>
      <w:r>
        <w:rPr/>
        <w:t>observar condiciones clínicas como convulsiones</w:t>
      </w:r>
      <w:r>
        <w:rPr>
          <w:spacing w:val="-11"/>
        </w:rPr>
        <w:t> </w:t>
      </w:r>
      <w:r>
        <w:rPr/>
        <w:t>tónico-clónicas.</w:t>
      </w:r>
    </w:p>
    <w:p>
      <w:pPr>
        <w:pStyle w:val="BodyText"/>
      </w:pPr>
    </w:p>
    <w:p>
      <w:pPr>
        <w:pStyle w:val="BodyText"/>
        <w:spacing w:line="360" w:lineRule="auto" w:before="142"/>
        <w:ind w:left="118" w:right="116"/>
        <w:jc w:val="both"/>
      </w:pPr>
      <w:r>
        <w:rPr/>
        <w:t>Se</w:t>
      </w:r>
      <w:r>
        <w:rPr>
          <w:spacing w:val="-16"/>
        </w:rPr>
        <w:t> </w:t>
      </w:r>
      <w:r>
        <w:rPr/>
        <w:t>realizó</w:t>
      </w:r>
      <w:r>
        <w:rPr>
          <w:spacing w:val="-16"/>
        </w:rPr>
        <w:t> </w:t>
      </w:r>
      <w:r>
        <w:rPr/>
        <w:t>un</w:t>
      </w:r>
      <w:r>
        <w:rPr>
          <w:spacing w:val="-16"/>
        </w:rPr>
        <w:t> </w:t>
      </w:r>
      <w:r>
        <w:rPr/>
        <w:t>estudio</w:t>
      </w:r>
      <w:r>
        <w:rPr>
          <w:spacing w:val="-16"/>
        </w:rPr>
        <w:t> </w:t>
      </w:r>
      <w:r>
        <w:rPr/>
        <w:t>en</w:t>
      </w:r>
      <w:r>
        <w:rPr>
          <w:spacing w:val="-13"/>
        </w:rPr>
        <w:t> </w:t>
      </w:r>
      <w:r>
        <w:rPr/>
        <w:t>pacientes</w:t>
      </w:r>
      <w:r>
        <w:rPr>
          <w:spacing w:val="-19"/>
        </w:rPr>
        <w:t> </w:t>
      </w:r>
      <w:r>
        <w:rPr/>
        <w:t>epilépticos,</w:t>
      </w:r>
      <w:r>
        <w:rPr>
          <w:spacing w:val="-16"/>
        </w:rPr>
        <w:t> </w:t>
      </w:r>
      <w:r>
        <w:rPr/>
        <w:t>sometidos</w:t>
      </w:r>
      <w:r>
        <w:rPr>
          <w:spacing w:val="-19"/>
        </w:rPr>
        <w:t> </w:t>
      </w:r>
      <w:r>
        <w:rPr/>
        <w:t>a</w:t>
      </w:r>
      <w:r>
        <w:rPr>
          <w:spacing w:val="-16"/>
        </w:rPr>
        <w:t> </w:t>
      </w:r>
      <w:r>
        <w:rPr/>
        <w:t>anestesia</w:t>
      </w:r>
      <w:r>
        <w:rPr>
          <w:spacing w:val="-16"/>
        </w:rPr>
        <w:t> </w:t>
      </w:r>
      <w:r>
        <w:rPr/>
        <w:t>local.</w:t>
      </w:r>
      <w:r>
        <w:rPr>
          <w:spacing w:val="-16"/>
        </w:rPr>
        <w:t> </w:t>
      </w:r>
      <w:r>
        <w:rPr/>
        <w:t>Mostró</w:t>
      </w:r>
      <w:r>
        <w:rPr>
          <w:spacing w:val="-16"/>
        </w:rPr>
        <w:t> </w:t>
      </w:r>
      <w:r>
        <w:rPr/>
        <w:t>que 24</w:t>
      </w:r>
      <w:r>
        <w:rPr>
          <w:spacing w:val="-12"/>
        </w:rPr>
        <w:t> </w:t>
      </w:r>
      <w:r>
        <w:rPr/>
        <w:t>pacientes</w:t>
      </w:r>
      <w:r>
        <w:rPr>
          <w:spacing w:val="-10"/>
        </w:rPr>
        <w:t> </w:t>
      </w:r>
      <w:r>
        <w:rPr/>
        <w:t>(6%)</w:t>
      </w:r>
      <w:r>
        <w:rPr>
          <w:spacing w:val="-11"/>
        </w:rPr>
        <w:t> </w:t>
      </w:r>
      <w:r>
        <w:rPr/>
        <w:t>presentaron</w:t>
      </w:r>
      <w:r>
        <w:rPr>
          <w:spacing w:val="-9"/>
        </w:rPr>
        <w:t> </w:t>
      </w:r>
      <w:r>
        <w:rPr/>
        <w:t>crisis</w:t>
      </w:r>
      <w:r>
        <w:rPr>
          <w:spacing w:val="-11"/>
        </w:rPr>
        <w:t> </w:t>
      </w:r>
      <w:r>
        <w:rPr/>
        <w:t>convulsivas</w:t>
      </w:r>
      <w:r>
        <w:rPr>
          <w:spacing w:val="-10"/>
        </w:rPr>
        <w:t> </w:t>
      </w:r>
      <w:r>
        <w:rPr/>
        <w:t>en</w:t>
      </w:r>
      <w:r>
        <w:rPr>
          <w:spacing w:val="-9"/>
        </w:rPr>
        <w:t> </w:t>
      </w:r>
      <w:r>
        <w:rPr/>
        <w:t>el</w:t>
      </w:r>
      <w:r>
        <w:rPr>
          <w:spacing w:val="-13"/>
        </w:rPr>
        <w:t> </w:t>
      </w:r>
      <w:r>
        <w:rPr/>
        <w:t>preoperatorio.</w:t>
      </w:r>
      <w:r>
        <w:rPr>
          <w:spacing w:val="-10"/>
        </w:rPr>
        <w:t> </w:t>
      </w:r>
      <w:r>
        <w:rPr/>
        <w:t>En</w:t>
      </w:r>
      <w:r>
        <w:rPr>
          <w:spacing w:val="-12"/>
        </w:rPr>
        <w:t> </w:t>
      </w:r>
      <w:r>
        <w:rPr/>
        <w:t>19</w:t>
      </w:r>
      <w:r>
        <w:rPr>
          <w:spacing w:val="-12"/>
        </w:rPr>
        <w:t> </w:t>
      </w:r>
      <w:r>
        <w:rPr/>
        <w:t>pacientes, las crisis convulsivas no se relacionaron con el uso de anestesia local. En los 5 pacientes restantes no pudo descartarse el efecto tóxico sistémico del uso del anestésico. Un aspecto interesante del estudio es que los ataques fueron más frecuentes en los pacientes que presentaron crisis epilépticas en menos de una semana previa a la cirugía y los que utilizaban como fármaco anticonvulsivo fenitoína</w:t>
      </w:r>
      <w:r>
        <w:rPr>
          <w:position w:val="8"/>
          <w:sz w:val="16"/>
        </w:rPr>
        <w:t>(37)</w:t>
      </w:r>
      <w:r>
        <w:rPr/>
        <w:t>.</w:t>
      </w:r>
    </w:p>
    <w:p>
      <w:pPr>
        <w:pStyle w:val="BodyText"/>
        <w:rPr>
          <w:sz w:val="26"/>
        </w:rPr>
      </w:pPr>
    </w:p>
    <w:p>
      <w:pPr>
        <w:pStyle w:val="BodyText"/>
        <w:rPr>
          <w:sz w:val="26"/>
        </w:rPr>
      </w:pPr>
    </w:p>
    <w:p>
      <w:pPr>
        <w:pStyle w:val="Heading2"/>
        <w:numPr>
          <w:ilvl w:val="2"/>
          <w:numId w:val="10"/>
        </w:numPr>
        <w:tabs>
          <w:tab w:pos="722" w:val="left" w:leader="none"/>
        </w:tabs>
        <w:spacing w:line="240" w:lineRule="auto" w:before="215" w:after="0"/>
        <w:ind w:left="721" w:right="0" w:hanging="603"/>
        <w:jc w:val="both"/>
      </w:pPr>
      <w:r>
        <w:rPr/>
        <w:t>Manejo de una Crisis Epiléptica Durante la Consulta</w:t>
      </w:r>
      <w:r>
        <w:rPr>
          <w:spacing w:val="-14"/>
        </w:rPr>
        <w:t> </w:t>
      </w:r>
      <w:r>
        <w:rPr/>
        <w:t>Endodóntica.</w:t>
      </w:r>
    </w:p>
    <w:p>
      <w:pPr>
        <w:pStyle w:val="BodyText"/>
        <w:spacing w:before="4"/>
        <w:rPr>
          <w:b/>
          <w:sz w:val="29"/>
        </w:rPr>
      </w:pPr>
    </w:p>
    <w:p>
      <w:pPr>
        <w:pStyle w:val="BodyText"/>
        <w:spacing w:line="360" w:lineRule="auto" w:before="1"/>
        <w:ind w:left="118" w:right="116"/>
        <w:jc w:val="both"/>
      </w:pPr>
      <w:r>
        <w:rPr/>
        <w:t>Durante la consulta odontológica siempre debemos estar preparados en caso de presentarse una crisis convulsiva, y contar con un protocolo bien establecido para saber cómo reaccionar de una manera inmediata y oportuna, el dentista y todo el personal debe, por lo menos, ser entrenados en soporte vital básico. Este entrenamiento</w:t>
      </w:r>
      <w:r>
        <w:rPr>
          <w:spacing w:val="-11"/>
        </w:rPr>
        <w:t> </w:t>
      </w:r>
      <w:r>
        <w:rPr/>
        <w:t>debe</w:t>
      </w:r>
      <w:r>
        <w:rPr>
          <w:spacing w:val="-11"/>
        </w:rPr>
        <w:t> </w:t>
      </w:r>
      <w:r>
        <w:rPr/>
        <w:t>incluir</w:t>
      </w:r>
      <w:r>
        <w:rPr>
          <w:spacing w:val="-12"/>
        </w:rPr>
        <w:t> </w:t>
      </w:r>
      <w:r>
        <w:rPr/>
        <w:t>un</w:t>
      </w:r>
      <w:r>
        <w:rPr>
          <w:spacing w:val="-11"/>
        </w:rPr>
        <w:t> </w:t>
      </w:r>
      <w:r>
        <w:rPr/>
        <w:t>plan</w:t>
      </w:r>
      <w:r>
        <w:rPr>
          <w:spacing w:val="-10"/>
        </w:rPr>
        <w:t> </w:t>
      </w:r>
      <w:r>
        <w:rPr/>
        <w:t>de</w:t>
      </w:r>
      <w:r>
        <w:rPr>
          <w:spacing w:val="-13"/>
        </w:rPr>
        <w:t> </w:t>
      </w:r>
      <w:r>
        <w:rPr/>
        <w:t>acción</w:t>
      </w:r>
      <w:r>
        <w:rPr>
          <w:spacing w:val="-13"/>
        </w:rPr>
        <w:t> </w:t>
      </w:r>
      <w:r>
        <w:rPr/>
        <w:t>que</w:t>
      </w:r>
      <w:r>
        <w:rPr>
          <w:spacing w:val="-11"/>
        </w:rPr>
        <w:t> </w:t>
      </w:r>
      <w:r>
        <w:rPr/>
        <w:t>es</w:t>
      </w:r>
      <w:r>
        <w:rPr>
          <w:spacing w:val="-12"/>
        </w:rPr>
        <w:t> </w:t>
      </w:r>
      <w:r>
        <w:rPr/>
        <w:t>específico</w:t>
      </w:r>
      <w:r>
        <w:rPr>
          <w:spacing w:val="-11"/>
        </w:rPr>
        <w:t> </w:t>
      </w:r>
      <w:r>
        <w:rPr/>
        <w:t>para</w:t>
      </w:r>
      <w:r>
        <w:rPr>
          <w:spacing w:val="-14"/>
        </w:rPr>
        <w:t> </w:t>
      </w:r>
      <w:r>
        <w:rPr/>
        <w:t>cada</w:t>
      </w:r>
      <w:r>
        <w:rPr>
          <w:spacing w:val="-13"/>
        </w:rPr>
        <w:t> </w:t>
      </w:r>
      <w:r>
        <w:rPr/>
        <w:t>miembro</w:t>
      </w:r>
      <w:r>
        <w:rPr>
          <w:spacing w:val="-11"/>
        </w:rPr>
        <w:t> </w:t>
      </w:r>
      <w:r>
        <w:rPr/>
        <w:t>del equipo. Ese plan de acción debe designar quién debe ponerse en contacto con los servicios médicos de emergencia. Lo ideal sería que a cada miembro del equipo se</w:t>
      </w:r>
      <w:r>
        <w:rPr>
          <w:spacing w:val="-27"/>
        </w:rPr>
        <w:t> </w:t>
      </w:r>
      <w:r>
        <w:rPr/>
        <w:t>le asigne una tarea antes de cualquier emergencia, de modo que la aplicación de un tratamiento de emergencia puede ocurrir con calma y de manera eficiente</w:t>
      </w:r>
      <w:r>
        <w:rPr>
          <w:spacing w:val="-21"/>
        </w:rPr>
        <w:t> </w:t>
      </w:r>
      <w:r>
        <w:rPr>
          <w:position w:val="8"/>
          <w:sz w:val="16"/>
        </w:rPr>
        <w:t>(8)</w:t>
      </w:r>
      <w:r>
        <w:rPr/>
        <w:t>.</w:t>
      </w:r>
    </w:p>
    <w:p>
      <w:pPr>
        <w:spacing w:after="0" w:line="360" w:lineRule="auto"/>
        <w:jc w:val="both"/>
        <w:sectPr>
          <w:pgSz w:w="12240" w:h="15840"/>
          <w:pgMar w:header="749" w:footer="1003" w:top="960" w:bottom="1200" w:left="1300" w:right="1580"/>
        </w:sectPr>
      </w:pPr>
    </w:p>
    <w:p>
      <w:pPr>
        <w:pStyle w:val="BodyText"/>
        <w:rPr>
          <w:sz w:val="20"/>
        </w:rPr>
      </w:pPr>
    </w:p>
    <w:p>
      <w:pPr>
        <w:pStyle w:val="BodyText"/>
        <w:rPr>
          <w:sz w:val="20"/>
        </w:rPr>
      </w:pPr>
    </w:p>
    <w:p>
      <w:pPr>
        <w:pStyle w:val="BodyText"/>
        <w:spacing w:before="5"/>
        <w:rPr>
          <w:sz w:val="17"/>
        </w:rPr>
      </w:pPr>
    </w:p>
    <w:p>
      <w:pPr>
        <w:pStyle w:val="BodyText"/>
        <w:spacing w:line="360" w:lineRule="auto" w:before="70"/>
        <w:ind w:left="118" w:right="114"/>
        <w:jc w:val="both"/>
      </w:pPr>
      <w:r>
        <w:rPr/>
        <w:t>Primero debemos tener comunicación constante con nuestro paciente y en caso de presentarse el aura (signo premonitor) de una crisis convulsiva de tipo tónico-clónica, el paciente lo comunique inmediatamente, a partir de este momento se debe detener la consulta odontológica.</w:t>
      </w:r>
    </w:p>
    <w:p>
      <w:pPr>
        <w:pStyle w:val="BodyText"/>
        <w:spacing w:line="360" w:lineRule="auto" w:before="204"/>
        <w:ind w:left="118" w:right="118"/>
        <w:jc w:val="both"/>
      </w:pPr>
      <w:r>
        <w:rPr/>
        <w:t>Posteriormente retirar instrumentos y materiales dentales u objetos con los que el paciente pueda lastimarse, colocar el sillón en una posición cómoda y supina lo más cercana al suelo o en el suelo si es necesario, orientar al paciente de lado para favorecer la eliminación de la saliva. Aflojar la ropa y alzar las piernas.</w:t>
      </w:r>
    </w:p>
    <w:p>
      <w:pPr>
        <w:pStyle w:val="BodyText"/>
        <w:spacing w:line="360" w:lineRule="auto" w:before="205"/>
        <w:ind w:left="118" w:right="115"/>
        <w:jc w:val="both"/>
      </w:pPr>
      <w:r>
        <w:rPr/>
        <w:t>Evitar que se golpee la cabeza o extremidades colocando almohadones o detener suavemente</w:t>
      </w:r>
      <w:r>
        <w:rPr>
          <w:spacing w:val="-10"/>
        </w:rPr>
        <w:t> </w:t>
      </w:r>
      <w:r>
        <w:rPr/>
        <w:t>la</w:t>
      </w:r>
      <w:r>
        <w:rPr>
          <w:spacing w:val="-11"/>
        </w:rPr>
        <w:t> </w:t>
      </w:r>
      <w:r>
        <w:rPr/>
        <w:t>cabeza.</w:t>
      </w:r>
      <w:r>
        <w:rPr>
          <w:spacing w:val="-13"/>
        </w:rPr>
        <w:t> </w:t>
      </w:r>
      <w:r>
        <w:rPr/>
        <w:t>No</w:t>
      </w:r>
      <w:r>
        <w:rPr>
          <w:spacing w:val="-11"/>
        </w:rPr>
        <w:t> </w:t>
      </w:r>
      <w:r>
        <w:rPr/>
        <w:t>interferir</w:t>
      </w:r>
      <w:r>
        <w:rPr>
          <w:spacing w:val="-12"/>
        </w:rPr>
        <w:t> </w:t>
      </w:r>
      <w:r>
        <w:rPr/>
        <w:t>en</w:t>
      </w:r>
      <w:r>
        <w:rPr>
          <w:spacing w:val="-11"/>
        </w:rPr>
        <w:t> </w:t>
      </w:r>
      <w:r>
        <w:rPr/>
        <w:t>sus</w:t>
      </w:r>
      <w:r>
        <w:rPr>
          <w:spacing w:val="-12"/>
        </w:rPr>
        <w:t> </w:t>
      </w:r>
      <w:r>
        <w:rPr/>
        <w:t>movimientos</w:t>
      </w:r>
      <w:r>
        <w:rPr>
          <w:spacing w:val="-10"/>
        </w:rPr>
        <w:t> </w:t>
      </w:r>
      <w:r>
        <w:rPr/>
        <w:t>es</w:t>
      </w:r>
      <w:r>
        <w:rPr>
          <w:spacing w:val="-12"/>
        </w:rPr>
        <w:t> </w:t>
      </w:r>
      <w:r>
        <w:rPr/>
        <w:t>decir</w:t>
      </w:r>
      <w:r>
        <w:rPr>
          <w:spacing w:val="-13"/>
        </w:rPr>
        <w:t> </w:t>
      </w:r>
      <w:r>
        <w:rPr/>
        <w:t>no</w:t>
      </w:r>
      <w:r>
        <w:rPr>
          <w:spacing w:val="-11"/>
        </w:rPr>
        <w:t> </w:t>
      </w:r>
      <w:r>
        <w:rPr/>
        <w:t>debemos</w:t>
      </w:r>
      <w:r>
        <w:rPr>
          <w:spacing w:val="-9"/>
        </w:rPr>
        <w:t> </w:t>
      </w:r>
      <w:r>
        <w:rPr/>
        <w:t>tratar</w:t>
      </w:r>
      <w:r>
        <w:rPr>
          <w:spacing w:val="-12"/>
        </w:rPr>
        <w:t> </w:t>
      </w:r>
      <w:r>
        <w:rPr/>
        <w:t>de sujetar al paciente, Tomar el tiempo del ataque y siempre tratar de mantener permeable la vía aérea. En caso de no ser posible llamar inmediatamente a la asistencia</w:t>
      </w:r>
      <w:r>
        <w:rPr>
          <w:spacing w:val="-16"/>
        </w:rPr>
        <w:t> </w:t>
      </w:r>
      <w:r>
        <w:rPr/>
        <w:t>médica</w:t>
      </w:r>
      <w:r>
        <w:rPr>
          <w:spacing w:val="-12"/>
        </w:rPr>
        <w:t> </w:t>
      </w:r>
      <w:r>
        <w:rPr/>
        <w:t>así</w:t>
      </w:r>
      <w:r>
        <w:rPr>
          <w:spacing w:val="-13"/>
        </w:rPr>
        <w:t> </w:t>
      </w:r>
      <w:r>
        <w:rPr/>
        <w:t>como</w:t>
      </w:r>
      <w:r>
        <w:rPr>
          <w:spacing w:val="-15"/>
        </w:rPr>
        <w:t> </w:t>
      </w:r>
      <w:r>
        <w:rPr/>
        <w:t>en</w:t>
      </w:r>
      <w:r>
        <w:rPr>
          <w:spacing w:val="-16"/>
        </w:rPr>
        <w:t> </w:t>
      </w:r>
      <w:r>
        <w:rPr/>
        <w:t>el</w:t>
      </w:r>
      <w:r>
        <w:rPr>
          <w:spacing w:val="-14"/>
        </w:rPr>
        <w:t> </w:t>
      </w:r>
      <w:r>
        <w:rPr/>
        <w:t>momento</w:t>
      </w:r>
      <w:r>
        <w:rPr>
          <w:spacing w:val="-13"/>
        </w:rPr>
        <w:t> </w:t>
      </w:r>
      <w:r>
        <w:rPr/>
        <w:t>en</w:t>
      </w:r>
      <w:r>
        <w:rPr>
          <w:spacing w:val="-15"/>
        </w:rPr>
        <w:t> </w:t>
      </w:r>
      <w:r>
        <w:rPr/>
        <w:t>que</w:t>
      </w:r>
      <w:r>
        <w:rPr>
          <w:spacing w:val="-16"/>
        </w:rPr>
        <w:t> </w:t>
      </w:r>
      <w:r>
        <w:rPr/>
        <w:t>observemos</w:t>
      </w:r>
      <w:r>
        <w:rPr>
          <w:spacing w:val="-14"/>
        </w:rPr>
        <w:t> </w:t>
      </w:r>
      <w:r>
        <w:rPr/>
        <w:t>que</w:t>
      </w:r>
      <w:r>
        <w:rPr>
          <w:spacing w:val="-14"/>
        </w:rPr>
        <w:t> </w:t>
      </w:r>
      <w:r>
        <w:rPr/>
        <w:t>el</w:t>
      </w:r>
      <w:r>
        <w:rPr>
          <w:spacing w:val="-14"/>
        </w:rPr>
        <w:t> </w:t>
      </w:r>
      <w:r>
        <w:rPr/>
        <w:t>ataque</w:t>
      </w:r>
      <w:r>
        <w:rPr>
          <w:spacing w:val="-12"/>
        </w:rPr>
        <w:t> </w:t>
      </w:r>
      <w:r>
        <w:rPr/>
        <w:t>continúa por más de 3 minutos o si el paciente muestra signos de</w:t>
      </w:r>
      <w:r>
        <w:rPr>
          <w:spacing w:val="-19"/>
        </w:rPr>
        <w:t> </w:t>
      </w:r>
      <w:r>
        <w:rPr/>
        <w:t>asfixia,</w:t>
      </w:r>
    </w:p>
    <w:p>
      <w:pPr>
        <w:pStyle w:val="BodyText"/>
        <w:spacing w:line="360" w:lineRule="auto" w:before="204"/>
        <w:ind w:left="118" w:right="116"/>
        <w:jc w:val="both"/>
      </w:pPr>
      <w:r>
        <w:rPr/>
        <w:t>Contar</w:t>
      </w:r>
      <w:r>
        <w:rPr>
          <w:spacing w:val="-7"/>
        </w:rPr>
        <w:t> </w:t>
      </w:r>
      <w:r>
        <w:rPr/>
        <w:t>en</w:t>
      </w:r>
      <w:r>
        <w:rPr>
          <w:spacing w:val="-6"/>
        </w:rPr>
        <w:t> </w:t>
      </w:r>
      <w:r>
        <w:rPr/>
        <w:t>el</w:t>
      </w:r>
      <w:r>
        <w:rPr>
          <w:spacing w:val="-7"/>
        </w:rPr>
        <w:t> </w:t>
      </w:r>
      <w:r>
        <w:rPr/>
        <w:t>consultorio</w:t>
      </w:r>
      <w:r>
        <w:rPr>
          <w:spacing w:val="-6"/>
        </w:rPr>
        <w:t> </w:t>
      </w:r>
      <w:r>
        <w:rPr/>
        <w:t>con</w:t>
      </w:r>
      <w:r>
        <w:rPr>
          <w:spacing w:val="-4"/>
        </w:rPr>
        <w:t> </w:t>
      </w:r>
      <w:r>
        <w:rPr/>
        <w:t>oxígeno</w:t>
      </w:r>
      <w:r>
        <w:rPr>
          <w:spacing w:val="-5"/>
        </w:rPr>
        <w:t> </w:t>
      </w:r>
      <w:r>
        <w:rPr/>
        <w:t>en</w:t>
      </w:r>
      <w:r>
        <w:rPr>
          <w:spacing w:val="-6"/>
        </w:rPr>
        <w:t> </w:t>
      </w:r>
      <w:r>
        <w:rPr/>
        <w:t>caso</w:t>
      </w:r>
      <w:r>
        <w:rPr>
          <w:spacing w:val="-8"/>
        </w:rPr>
        <w:t> </w:t>
      </w:r>
      <w:r>
        <w:rPr/>
        <w:t>de</w:t>
      </w:r>
      <w:r>
        <w:rPr>
          <w:spacing w:val="-6"/>
        </w:rPr>
        <w:t> </w:t>
      </w:r>
      <w:r>
        <w:rPr/>
        <w:t>que</w:t>
      </w:r>
      <w:r>
        <w:rPr>
          <w:spacing w:val="-8"/>
        </w:rPr>
        <w:t> </w:t>
      </w:r>
      <w:r>
        <w:rPr/>
        <w:t>el</w:t>
      </w:r>
      <w:r>
        <w:rPr>
          <w:spacing w:val="-7"/>
        </w:rPr>
        <w:t> </w:t>
      </w:r>
      <w:r>
        <w:rPr/>
        <w:t>ataque</w:t>
      </w:r>
      <w:r>
        <w:rPr>
          <w:spacing w:val="-6"/>
        </w:rPr>
        <w:t> </w:t>
      </w:r>
      <w:r>
        <w:rPr/>
        <w:t>se</w:t>
      </w:r>
      <w:r>
        <w:rPr>
          <w:spacing w:val="-6"/>
        </w:rPr>
        <w:t> </w:t>
      </w:r>
      <w:r>
        <w:rPr/>
        <w:t>prolongue</w:t>
      </w:r>
      <w:r>
        <w:rPr>
          <w:spacing w:val="-2"/>
        </w:rPr>
        <w:t> </w:t>
      </w:r>
      <w:r>
        <w:rPr/>
        <w:t>más</w:t>
      </w:r>
      <w:r>
        <w:rPr>
          <w:spacing w:val="-7"/>
        </w:rPr>
        <w:t> </w:t>
      </w:r>
      <w:r>
        <w:rPr/>
        <w:t>de</w:t>
      </w:r>
      <w:r>
        <w:rPr>
          <w:spacing w:val="-8"/>
        </w:rPr>
        <w:t> </w:t>
      </w:r>
      <w:r>
        <w:rPr/>
        <w:t>5 minutos</w:t>
      </w:r>
      <w:r>
        <w:rPr>
          <w:spacing w:val="-19"/>
        </w:rPr>
        <w:t> </w:t>
      </w:r>
      <w:r>
        <w:rPr/>
        <w:t>y</w:t>
      </w:r>
      <w:r>
        <w:rPr>
          <w:spacing w:val="-22"/>
        </w:rPr>
        <w:t> </w:t>
      </w:r>
      <w:r>
        <w:rPr/>
        <w:t>aun</w:t>
      </w:r>
      <w:r>
        <w:rPr>
          <w:spacing w:val="-19"/>
        </w:rPr>
        <w:t> </w:t>
      </w:r>
      <w:r>
        <w:rPr/>
        <w:t>no</w:t>
      </w:r>
      <w:r>
        <w:rPr>
          <w:spacing w:val="-19"/>
        </w:rPr>
        <w:t> </w:t>
      </w:r>
      <w:r>
        <w:rPr/>
        <w:t>llegue</w:t>
      </w:r>
      <w:r>
        <w:rPr>
          <w:spacing w:val="-19"/>
        </w:rPr>
        <w:t> </w:t>
      </w:r>
      <w:r>
        <w:rPr/>
        <w:t>ayuda</w:t>
      </w:r>
      <w:r>
        <w:rPr>
          <w:spacing w:val="-19"/>
        </w:rPr>
        <w:t> </w:t>
      </w:r>
      <w:r>
        <w:rPr/>
        <w:t>médica,</w:t>
      </w:r>
      <w:r>
        <w:rPr>
          <w:spacing w:val="-21"/>
        </w:rPr>
        <w:t> </w:t>
      </w:r>
      <w:r>
        <w:rPr/>
        <w:t>debemos</w:t>
      </w:r>
      <w:r>
        <w:rPr>
          <w:spacing w:val="-14"/>
        </w:rPr>
        <w:t> </w:t>
      </w:r>
      <w:r>
        <w:rPr/>
        <w:t>administrar</w:t>
      </w:r>
      <w:r>
        <w:rPr>
          <w:spacing w:val="-20"/>
        </w:rPr>
        <w:t> </w:t>
      </w:r>
      <w:r>
        <w:rPr/>
        <w:t>el</w:t>
      </w:r>
      <w:r>
        <w:rPr>
          <w:spacing w:val="-20"/>
        </w:rPr>
        <w:t> </w:t>
      </w:r>
      <w:r>
        <w:rPr/>
        <w:t>oxígeno</w:t>
      </w:r>
      <w:r>
        <w:rPr>
          <w:spacing w:val="-19"/>
        </w:rPr>
        <w:t> </w:t>
      </w:r>
      <w:r>
        <w:rPr/>
        <w:t>con</w:t>
      </w:r>
      <w:r>
        <w:rPr>
          <w:spacing w:val="-19"/>
        </w:rPr>
        <w:t> </w:t>
      </w:r>
      <w:r>
        <w:rPr/>
        <w:t>mascarilla.</w:t>
      </w:r>
    </w:p>
    <w:p>
      <w:pPr>
        <w:pStyle w:val="BodyText"/>
        <w:spacing w:line="360" w:lineRule="auto" w:before="204"/>
        <w:ind w:left="118" w:right="115"/>
        <w:jc w:val="both"/>
      </w:pPr>
      <w:r>
        <w:rPr/>
        <w:t>Para la mayoría de las convulsiones, soporte vital básico es adecuado. Sin embargo, si</w:t>
      </w:r>
      <w:r>
        <w:rPr>
          <w:spacing w:val="-8"/>
        </w:rPr>
        <w:t> </w:t>
      </w:r>
      <w:r>
        <w:rPr/>
        <w:t>la</w:t>
      </w:r>
      <w:r>
        <w:rPr>
          <w:spacing w:val="-7"/>
        </w:rPr>
        <w:t> </w:t>
      </w:r>
      <w:r>
        <w:rPr/>
        <w:t>convulsión</w:t>
      </w:r>
      <w:r>
        <w:rPr>
          <w:spacing w:val="-7"/>
        </w:rPr>
        <w:t> </w:t>
      </w:r>
      <w:r>
        <w:rPr/>
        <w:t>dura</w:t>
      </w:r>
      <w:r>
        <w:rPr>
          <w:spacing w:val="-10"/>
        </w:rPr>
        <w:t> </w:t>
      </w:r>
      <w:r>
        <w:rPr/>
        <w:t>más</w:t>
      </w:r>
      <w:r>
        <w:rPr>
          <w:spacing w:val="-8"/>
        </w:rPr>
        <w:t> </w:t>
      </w:r>
      <w:r>
        <w:rPr/>
        <w:t>de</w:t>
      </w:r>
      <w:r>
        <w:rPr>
          <w:spacing w:val="-7"/>
        </w:rPr>
        <w:t> </w:t>
      </w:r>
      <w:r>
        <w:rPr/>
        <w:t>5</w:t>
      </w:r>
      <w:r>
        <w:rPr>
          <w:spacing w:val="-11"/>
        </w:rPr>
        <w:t> </w:t>
      </w:r>
      <w:r>
        <w:rPr/>
        <w:t>minutos,</w:t>
      </w:r>
      <w:r>
        <w:rPr>
          <w:spacing w:val="-7"/>
        </w:rPr>
        <w:t> </w:t>
      </w:r>
      <w:r>
        <w:rPr/>
        <w:t>las</w:t>
      </w:r>
      <w:r>
        <w:rPr>
          <w:spacing w:val="-8"/>
        </w:rPr>
        <w:t> </w:t>
      </w:r>
      <w:r>
        <w:rPr/>
        <w:t>técnicas</w:t>
      </w:r>
      <w:r>
        <w:rPr>
          <w:spacing w:val="-10"/>
        </w:rPr>
        <w:t> </w:t>
      </w:r>
      <w:r>
        <w:rPr/>
        <w:t>más</w:t>
      </w:r>
      <w:r>
        <w:rPr>
          <w:spacing w:val="-10"/>
        </w:rPr>
        <w:t> </w:t>
      </w:r>
      <w:r>
        <w:rPr/>
        <w:t>avanzadas</w:t>
      </w:r>
      <w:r>
        <w:rPr>
          <w:spacing w:val="-10"/>
        </w:rPr>
        <w:t> </w:t>
      </w:r>
      <w:r>
        <w:rPr/>
        <w:t>deben</w:t>
      </w:r>
      <w:r>
        <w:rPr>
          <w:spacing w:val="-9"/>
        </w:rPr>
        <w:t> </w:t>
      </w:r>
      <w:r>
        <w:rPr/>
        <w:t>emplearse si el médico y el personal tienen la formación adecuada y el equipo para hacerlo. En este escenario, soporte vital básico se debe continuar mientras se realiza punción venosa. Una vez que se realizó el acceso intravenoso, se debe llevar a cabo la administración de la medicación anticonvulsiva que es altamente eficaz. Las benzodiazepinas son los fármacos de elección para el tratamiento de emergencia de las</w:t>
      </w:r>
      <w:r>
        <w:rPr>
          <w:spacing w:val="-10"/>
        </w:rPr>
        <w:t> </w:t>
      </w:r>
      <w:r>
        <w:rPr/>
        <w:t>convulsiones.</w:t>
      </w:r>
      <w:r>
        <w:rPr>
          <w:spacing w:val="-12"/>
        </w:rPr>
        <w:t> </w:t>
      </w:r>
      <w:r>
        <w:rPr/>
        <w:t>Lorazepam,</w:t>
      </w:r>
      <w:r>
        <w:rPr>
          <w:spacing w:val="-12"/>
        </w:rPr>
        <w:t> </w:t>
      </w:r>
      <w:r>
        <w:rPr/>
        <w:t>diazepam</w:t>
      </w:r>
      <w:r>
        <w:rPr>
          <w:spacing w:val="-9"/>
        </w:rPr>
        <w:t> </w:t>
      </w:r>
      <w:r>
        <w:rPr/>
        <w:t>y</w:t>
      </w:r>
      <w:r>
        <w:rPr>
          <w:spacing w:val="-13"/>
        </w:rPr>
        <w:t> </w:t>
      </w:r>
      <w:r>
        <w:rPr/>
        <w:t>midazolam</w:t>
      </w:r>
      <w:r>
        <w:rPr>
          <w:spacing w:val="-9"/>
        </w:rPr>
        <w:t> </w:t>
      </w:r>
      <w:r>
        <w:rPr/>
        <w:t>son</w:t>
      </w:r>
      <w:r>
        <w:rPr>
          <w:spacing w:val="-9"/>
        </w:rPr>
        <w:t> </w:t>
      </w:r>
      <w:r>
        <w:rPr/>
        <w:t>opciones</w:t>
      </w:r>
      <w:r>
        <w:rPr>
          <w:spacing w:val="-13"/>
        </w:rPr>
        <w:t> </w:t>
      </w:r>
      <w:r>
        <w:rPr/>
        <w:t>aceptables</w:t>
      </w:r>
      <w:r>
        <w:rPr>
          <w:spacing w:val="-12"/>
        </w:rPr>
        <w:t> </w:t>
      </w:r>
      <w:r>
        <w:rPr/>
        <w:t>para</w:t>
      </w:r>
      <w:r>
        <w:rPr>
          <w:spacing w:val="-12"/>
        </w:rPr>
        <w:t> </w:t>
      </w:r>
      <w:r>
        <w:rPr/>
        <w:t>la administración.</w:t>
      </w:r>
    </w:p>
    <w:p>
      <w:pPr>
        <w:pStyle w:val="BodyText"/>
        <w:spacing w:line="360" w:lineRule="auto" w:before="204"/>
        <w:ind w:left="118" w:right="118"/>
        <w:jc w:val="both"/>
      </w:pPr>
      <w:r>
        <w:rPr/>
        <w:t>Una</w:t>
      </w:r>
      <w:r>
        <w:rPr>
          <w:spacing w:val="-7"/>
        </w:rPr>
        <w:t> </w:t>
      </w:r>
      <w:r>
        <w:rPr/>
        <w:t>vez</w:t>
      </w:r>
      <w:r>
        <w:rPr>
          <w:spacing w:val="-8"/>
        </w:rPr>
        <w:t> </w:t>
      </w:r>
      <w:r>
        <w:rPr/>
        <w:t>que</w:t>
      </w:r>
      <w:r>
        <w:rPr>
          <w:spacing w:val="-9"/>
        </w:rPr>
        <w:t> </w:t>
      </w:r>
      <w:r>
        <w:rPr/>
        <w:t>el</w:t>
      </w:r>
      <w:r>
        <w:rPr>
          <w:spacing w:val="-11"/>
        </w:rPr>
        <w:t> </w:t>
      </w:r>
      <w:r>
        <w:rPr/>
        <w:t>ataque</w:t>
      </w:r>
      <w:r>
        <w:rPr>
          <w:spacing w:val="-9"/>
        </w:rPr>
        <w:t> </w:t>
      </w:r>
      <w:r>
        <w:rPr/>
        <w:t>epiléptico</w:t>
      </w:r>
      <w:r>
        <w:rPr>
          <w:spacing w:val="-8"/>
        </w:rPr>
        <w:t> </w:t>
      </w:r>
      <w:r>
        <w:rPr/>
        <w:t>haya</w:t>
      </w:r>
      <w:r>
        <w:rPr>
          <w:spacing w:val="-7"/>
        </w:rPr>
        <w:t> </w:t>
      </w:r>
      <w:r>
        <w:rPr/>
        <w:t>cesado</w:t>
      </w:r>
      <w:r>
        <w:rPr>
          <w:spacing w:val="-9"/>
        </w:rPr>
        <w:t> </w:t>
      </w:r>
      <w:r>
        <w:rPr/>
        <w:t>debemos</w:t>
      </w:r>
      <w:r>
        <w:rPr>
          <w:spacing w:val="-10"/>
        </w:rPr>
        <w:t> </w:t>
      </w:r>
      <w:r>
        <w:rPr/>
        <w:t>comprobar</w:t>
      </w:r>
      <w:r>
        <w:rPr>
          <w:spacing w:val="-11"/>
        </w:rPr>
        <w:t> </w:t>
      </w:r>
      <w:r>
        <w:rPr/>
        <w:t>que</w:t>
      </w:r>
      <w:r>
        <w:rPr>
          <w:spacing w:val="-9"/>
        </w:rPr>
        <w:t> </w:t>
      </w:r>
      <w:r>
        <w:rPr/>
        <w:t>el</w:t>
      </w:r>
      <w:r>
        <w:rPr>
          <w:spacing w:val="-8"/>
        </w:rPr>
        <w:t> </w:t>
      </w:r>
      <w:r>
        <w:rPr/>
        <w:t>paciente</w:t>
      </w:r>
      <w:r>
        <w:rPr>
          <w:spacing w:val="-7"/>
        </w:rPr>
        <w:t> </w:t>
      </w:r>
      <w:r>
        <w:rPr/>
        <w:t>se haya recuperado totalmente y si es posible, examinarle para pesquisar posibles lesiones.   Comprobar   que   pueda   respirar   adecuadamente,   que   se </w:t>
      </w:r>
      <w:r>
        <w:rPr>
          <w:spacing w:val="15"/>
        </w:rPr>
        <w:t> </w:t>
      </w:r>
      <w:r>
        <w:rPr/>
        <w:t>encuentre</w:t>
      </w:r>
    </w:p>
    <w:p>
      <w:pPr>
        <w:spacing w:after="0" w:line="360" w:lineRule="auto"/>
        <w:jc w:val="both"/>
        <w:sectPr>
          <w:pgSz w:w="12240" w:h="15840"/>
          <w:pgMar w:header="749" w:footer="1003" w:top="960" w:bottom="1200" w:left="1300" w:right="1580"/>
        </w:sectPr>
      </w:pPr>
    </w:p>
    <w:p>
      <w:pPr>
        <w:pStyle w:val="BodyText"/>
        <w:rPr>
          <w:sz w:val="20"/>
        </w:rPr>
      </w:pPr>
    </w:p>
    <w:p>
      <w:pPr>
        <w:pStyle w:val="BodyText"/>
        <w:rPr>
          <w:sz w:val="20"/>
        </w:rPr>
      </w:pPr>
    </w:p>
    <w:p>
      <w:pPr>
        <w:pStyle w:val="BodyText"/>
        <w:spacing w:before="5"/>
        <w:rPr>
          <w:sz w:val="17"/>
        </w:rPr>
      </w:pPr>
    </w:p>
    <w:p>
      <w:pPr>
        <w:pStyle w:val="BodyText"/>
        <w:spacing w:line="360" w:lineRule="auto" w:before="70"/>
        <w:ind w:left="118" w:right="116"/>
        <w:jc w:val="both"/>
      </w:pPr>
      <w:r>
        <w:rPr/>
        <w:t>consciente y con buena orientación. El odontólogo debe realizar un examen oral a fondo</w:t>
      </w:r>
      <w:r>
        <w:rPr>
          <w:spacing w:val="-11"/>
        </w:rPr>
        <w:t> </w:t>
      </w:r>
      <w:r>
        <w:rPr/>
        <w:t>después</w:t>
      </w:r>
      <w:r>
        <w:rPr>
          <w:spacing w:val="-12"/>
        </w:rPr>
        <w:t> </w:t>
      </w:r>
      <w:r>
        <w:rPr/>
        <w:t>de</w:t>
      </w:r>
      <w:r>
        <w:rPr>
          <w:spacing w:val="-11"/>
        </w:rPr>
        <w:t> </w:t>
      </w:r>
      <w:r>
        <w:rPr/>
        <w:t>una</w:t>
      </w:r>
      <w:r>
        <w:rPr>
          <w:spacing w:val="-13"/>
        </w:rPr>
        <w:t> </w:t>
      </w:r>
      <w:r>
        <w:rPr/>
        <w:t>convulsión</w:t>
      </w:r>
      <w:r>
        <w:rPr>
          <w:spacing w:val="-8"/>
        </w:rPr>
        <w:t> </w:t>
      </w:r>
      <w:r>
        <w:rPr/>
        <w:t>para</w:t>
      </w:r>
      <w:r>
        <w:rPr>
          <w:spacing w:val="-11"/>
        </w:rPr>
        <w:t> </w:t>
      </w:r>
      <w:r>
        <w:rPr/>
        <w:t>comprobar</w:t>
      </w:r>
      <w:r>
        <w:rPr>
          <w:spacing w:val="-10"/>
        </w:rPr>
        <w:t> </w:t>
      </w:r>
      <w:r>
        <w:rPr/>
        <w:t>si</w:t>
      </w:r>
      <w:r>
        <w:rPr>
          <w:spacing w:val="-12"/>
        </w:rPr>
        <w:t> </w:t>
      </w:r>
      <w:r>
        <w:rPr/>
        <w:t>hay</w:t>
      </w:r>
      <w:r>
        <w:rPr>
          <w:spacing w:val="-12"/>
        </w:rPr>
        <w:t> </w:t>
      </w:r>
      <w:r>
        <w:rPr/>
        <w:t>trauma</w:t>
      </w:r>
      <w:r>
        <w:rPr>
          <w:spacing w:val="-11"/>
        </w:rPr>
        <w:t> </w:t>
      </w:r>
      <w:r>
        <w:rPr/>
        <w:t>o</w:t>
      </w:r>
      <w:r>
        <w:rPr>
          <w:spacing w:val="-11"/>
        </w:rPr>
        <w:t> </w:t>
      </w:r>
      <w:r>
        <w:rPr/>
        <w:t>desprendimiento</w:t>
      </w:r>
      <w:r>
        <w:rPr>
          <w:spacing w:val="-10"/>
        </w:rPr>
        <w:t> </w:t>
      </w:r>
      <w:r>
        <w:rPr/>
        <w:t>de cualquier aparato o los dientes naturales </w:t>
      </w:r>
      <w:r>
        <w:rPr>
          <w:position w:val="8"/>
          <w:sz w:val="16"/>
        </w:rPr>
        <w:t>(8)</w:t>
      </w:r>
      <w:r>
        <w:rPr/>
        <w:t>. Bajo ninguna circunstancia dejar que el paciente abandone la consulta si no ha recuperado la conciencia totalmente y de preferencia que abandone la consulta</w:t>
      </w:r>
      <w:r>
        <w:rPr>
          <w:spacing w:val="-19"/>
        </w:rPr>
        <w:t> </w:t>
      </w:r>
      <w:r>
        <w:rPr/>
        <w:t>acompañado</w:t>
      </w:r>
    </w:p>
    <w:p>
      <w:pPr>
        <w:spacing w:after="0" w:line="360" w:lineRule="auto"/>
        <w:jc w:val="both"/>
        <w:sectPr>
          <w:pgSz w:w="12240" w:h="15840"/>
          <w:pgMar w:header="749" w:footer="1003" w:top="960" w:bottom="1200" w:left="1300" w:right="1580"/>
        </w:sectPr>
      </w:pPr>
    </w:p>
    <w:p>
      <w:pPr>
        <w:pStyle w:val="BodyText"/>
        <w:rPr>
          <w:sz w:val="20"/>
        </w:rPr>
      </w:pPr>
    </w:p>
    <w:p>
      <w:pPr>
        <w:pStyle w:val="BodyText"/>
        <w:rPr>
          <w:sz w:val="20"/>
        </w:rPr>
      </w:pPr>
    </w:p>
    <w:p>
      <w:pPr>
        <w:pStyle w:val="BodyText"/>
        <w:spacing w:before="5"/>
        <w:rPr>
          <w:sz w:val="17"/>
        </w:rPr>
      </w:pPr>
    </w:p>
    <w:p>
      <w:pPr>
        <w:pStyle w:val="Heading2"/>
        <w:numPr>
          <w:ilvl w:val="0"/>
          <w:numId w:val="1"/>
        </w:numPr>
        <w:tabs>
          <w:tab w:pos="4488" w:val="left" w:leader="none"/>
        </w:tabs>
        <w:spacing w:line="240" w:lineRule="auto" w:before="70" w:after="0"/>
        <w:ind w:left="4487" w:right="0" w:hanging="269"/>
        <w:jc w:val="left"/>
      </w:pPr>
      <w:r>
        <w:rPr/>
        <w:t>OBJETIVOS</w:t>
      </w:r>
    </w:p>
    <w:p>
      <w:pPr>
        <w:pStyle w:val="BodyText"/>
        <w:rPr>
          <w:b/>
        </w:rPr>
      </w:pPr>
    </w:p>
    <w:p>
      <w:pPr>
        <w:pStyle w:val="BodyText"/>
        <w:rPr>
          <w:b/>
        </w:rPr>
      </w:pPr>
    </w:p>
    <w:p>
      <w:pPr>
        <w:pStyle w:val="BodyText"/>
        <w:ind w:left="118" w:right="194"/>
      </w:pPr>
      <w:r>
        <w:rPr/>
        <w:t>El presente reporte de caso tiene como principales objetivos:</w:t>
      </w:r>
    </w:p>
    <w:p>
      <w:pPr>
        <w:pStyle w:val="BodyText"/>
      </w:pPr>
    </w:p>
    <w:p>
      <w:pPr>
        <w:pStyle w:val="BodyText"/>
      </w:pPr>
    </w:p>
    <w:p>
      <w:pPr>
        <w:pStyle w:val="Heading2"/>
        <w:numPr>
          <w:ilvl w:val="1"/>
          <w:numId w:val="11"/>
        </w:numPr>
        <w:tabs>
          <w:tab w:pos="522" w:val="left" w:leader="none"/>
        </w:tabs>
        <w:spacing w:line="240" w:lineRule="auto" w:before="0" w:after="0"/>
        <w:ind w:left="521" w:right="0" w:hanging="403"/>
        <w:jc w:val="left"/>
      </w:pPr>
      <w:r>
        <w:rPr/>
        <w:t>Objetivo</w:t>
      </w:r>
      <w:r>
        <w:rPr>
          <w:spacing w:val="-8"/>
        </w:rPr>
        <w:t> </w:t>
      </w:r>
      <w:r>
        <w:rPr/>
        <w:t>General</w:t>
      </w:r>
    </w:p>
    <w:p>
      <w:pPr>
        <w:pStyle w:val="BodyText"/>
        <w:rPr>
          <w:b/>
        </w:rPr>
      </w:pPr>
    </w:p>
    <w:p>
      <w:pPr>
        <w:pStyle w:val="BodyText"/>
        <w:rPr>
          <w:b/>
        </w:rPr>
      </w:pPr>
    </w:p>
    <w:p>
      <w:pPr>
        <w:pStyle w:val="ListParagraph"/>
        <w:numPr>
          <w:ilvl w:val="2"/>
          <w:numId w:val="11"/>
        </w:numPr>
        <w:tabs>
          <w:tab w:pos="839" w:val="left" w:leader="none"/>
        </w:tabs>
        <w:spacing w:line="355" w:lineRule="auto" w:before="0" w:after="0"/>
        <w:ind w:left="838" w:right="118" w:hanging="360"/>
        <w:jc w:val="both"/>
        <w:rPr>
          <w:sz w:val="24"/>
        </w:rPr>
      </w:pPr>
      <w:r>
        <w:rPr>
          <w:sz w:val="24"/>
        </w:rPr>
        <w:t>Mostrar la relevancia que requiere el conocimiento y la comprensión de la epilepsia, para brindar al paciente con esa patología la atención odontológica pertinente, específicamente durante un tratamiento</w:t>
      </w:r>
      <w:r>
        <w:rPr>
          <w:spacing w:val="-15"/>
          <w:sz w:val="24"/>
        </w:rPr>
        <w:t> </w:t>
      </w:r>
      <w:r>
        <w:rPr>
          <w:sz w:val="24"/>
        </w:rPr>
        <w:t>endodóntico.</w:t>
      </w:r>
    </w:p>
    <w:p>
      <w:pPr>
        <w:pStyle w:val="Heading2"/>
        <w:numPr>
          <w:ilvl w:val="1"/>
          <w:numId w:val="11"/>
        </w:numPr>
        <w:tabs>
          <w:tab w:pos="522" w:val="left" w:leader="none"/>
        </w:tabs>
        <w:spacing w:line="240" w:lineRule="auto" w:before="209" w:after="0"/>
        <w:ind w:left="521" w:right="0" w:hanging="403"/>
        <w:jc w:val="left"/>
      </w:pPr>
      <w:r>
        <w:rPr/>
        <w:t>Objetivos</w:t>
      </w:r>
      <w:r>
        <w:rPr>
          <w:spacing w:val="-11"/>
        </w:rPr>
        <w:t> </w:t>
      </w:r>
      <w:r>
        <w:rPr/>
        <w:t>Específicos.</w:t>
      </w:r>
    </w:p>
    <w:p>
      <w:pPr>
        <w:pStyle w:val="BodyText"/>
        <w:spacing w:before="5"/>
        <w:rPr>
          <w:b/>
          <w:sz w:val="29"/>
        </w:rPr>
      </w:pPr>
    </w:p>
    <w:p>
      <w:pPr>
        <w:pStyle w:val="ListParagraph"/>
        <w:numPr>
          <w:ilvl w:val="2"/>
          <w:numId w:val="11"/>
        </w:numPr>
        <w:tabs>
          <w:tab w:pos="839" w:val="left" w:leader="none"/>
        </w:tabs>
        <w:spacing w:line="350" w:lineRule="auto" w:before="0" w:after="0"/>
        <w:ind w:left="838" w:right="116" w:hanging="360"/>
        <w:jc w:val="both"/>
        <w:rPr>
          <w:sz w:val="24"/>
        </w:rPr>
      </w:pPr>
      <w:r>
        <w:rPr>
          <w:sz w:val="24"/>
        </w:rPr>
        <w:t>Establecer un protocolo de atención propio para el paciente epiléptico, durante la consulta</w:t>
      </w:r>
      <w:r>
        <w:rPr>
          <w:spacing w:val="-12"/>
          <w:sz w:val="24"/>
        </w:rPr>
        <w:t> </w:t>
      </w:r>
      <w:r>
        <w:rPr>
          <w:sz w:val="24"/>
        </w:rPr>
        <w:t>endodóntica.</w:t>
      </w:r>
    </w:p>
    <w:p>
      <w:pPr>
        <w:pStyle w:val="BodyText"/>
      </w:pPr>
    </w:p>
    <w:p>
      <w:pPr>
        <w:pStyle w:val="ListParagraph"/>
        <w:numPr>
          <w:ilvl w:val="2"/>
          <w:numId w:val="11"/>
        </w:numPr>
        <w:tabs>
          <w:tab w:pos="838" w:val="left" w:leader="none"/>
          <w:tab w:pos="839" w:val="left" w:leader="none"/>
        </w:tabs>
        <w:spacing w:line="240" w:lineRule="auto" w:before="153" w:after="0"/>
        <w:ind w:left="838" w:right="0" w:hanging="360"/>
        <w:jc w:val="left"/>
        <w:rPr>
          <w:sz w:val="24"/>
        </w:rPr>
      </w:pPr>
      <w:r>
        <w:rPr>
          <w:sz w:val="24"/>
        </w:rPr>
        <w:t>Indicar el protocolo a seguir, en caso de presentarse una crisis</w:t>
      </w:r>
      <w:r>
        <w:rPr>
          <w:spacing w:val="-22"/>
          <w:sz w:val="24"/>
        </w:rPr>
        <w:t> </w:t>
      </w:r>
      <w:r>
        <w:rPr>
          <w:sz w:val="24"/>
        </w:rPr>
        <w:t>epiléptica.</w:t>
      </w:r>
    </w:p>
    <w:p>
      <w:pPr>
        <w:spacing w:after="0" w:line="240" w:lineRule="auto"/>
        <w:jc w:val="left"/>
        <w:rPr>
          <w:sz w:val="24"/>
        </w:rPr>
        <w:sectPr>
          <w:pgSz w:w="12240" w:h="15840"/>
          <w:pgMar w:header="749" w:footer="1003" w:top="960" w:bottom="1200" w:left="1300" w:right="1580"/>
        </w:sectPr>
      </w:pPr>
    </w:p>
    <w:p>
      <w:pPr>
        <w:pStyle w:val="BodyText"/>
        <w:rPr>
          <w:sz w:val="20"/>
        </w:rPr>
      </w:pPr>
    </w:p>
    <w:p>
      <w:pPr>
        <w:pStyle w:val="BodyText"/>
        <w:rPr>
          <w:sz w:val="20"/>
        </w:rPr>
      </w:pPr>
    </w:p>
    <w:p>
      <w:pPr>
        <w:pStyle w:val="BodyText"/>
        <w:spacing w:before="5"/>
        <w:rPr>
          <w:sz w:val="17"/>
        </w:rPr>
      </w:pPr>
    </w:p>
    <w:p>
      <w:pPr>
        <w:pStyle w:val="Heading2"/>
        <w:numPr>
          <w:ilvl w:val="0"/>
          <w:numId w:val="11"/>
        </w:numPr>
        <w:tabs>
          <w:tab w:pos="320" w:val="left" w:leader="none"/>
        </w:tabs>
        <w:spacing w:line="240" w:lineRule="auto" w:before="70" w:after="0"/>
        <w:ind w:left="319" w:right="0" w:hanging="201"/>
        <w:jc w:val="left"/>
      </w:pPr>
      <w:r>
        <w:rPr/>
        <w:t>.DESARROLLO Y PRESENTACIÓN DEL CASO</w:t>
      </w:r>
      <w:r>
        <w:rPr>
          <w:spacing w:val="-19"/>
        </w:rPr>
        <w:t> </w:t>
      </w:r>
      <w:r>
        <w:rPr/>
        <w:t>CLÍNICO</w:t>
      </w:r>
    </w:p>
    <w:p>
      <w:pPr>
        <w:pStyle w:val="BodyText"/>
        <w:rPr>
          <w:b/>
        </w:rPr>
      </w:pPr>
    </w:p>
    <w:p>
      <w:pPr>
        <w:pStyle w:val="BodyText"/>
        <w:rPr>
          <w:b/>
        </w:rPr>
      </w:pPr>
    </w:p>
    <w:p>
      <w:pPr>
        <w:pStyle w:val="ListParagraph"/>
        <w:numPr>
          <w:ilvl w:val="1"/>
          <w:numId w:val="11"/>
        </w:numPr>
        <w:tabs>
          <w:tab w:pos="522" w:val="left" w:leader="none"/>
        </w:tabs>
        <w:spacing w:line="240" w:lineRule="auto" w:before="0" w:after="0"/>
        <w:ind w:left="521" w:right="0" w:hanging="403"/>
        <w:jc w:val="left"/>
        <w:rPr>
          <w:b/>
          <w:sz w:val="24"/>
        </w:rPr>
      </w:pPr>
      <w:r>
        <w:rPr>
          <w:b/>
          <w:sz w:val="24"/>
        </w:rPr>
        <w:t>Datos del</w:t>
      </w:r>
      <w:r>
        <w:rPr>
          <w:b/>
          <w:spacing w:val="-10"/>
          <w:sz w:val="24"/>
        </w:rPr>
        <w:t> </w:t>
      </w:r>
      <w:r>
        <w:rPr>
          <w:b/>
          <w:sz w:val="24"/>
        </w:rPr>
        <w:t>Paciente.</w:t>
      </w:r>
    </w:p>
    <w:p>
      <w:pPr>
        <w:pStyle w:val="BodyText"/>
        <w:spacing w:before="4"/>
        <w:rPr>
          <w:b/>
          <w:sz w:val="29"/>
        </w:rPr>
      </w:pPr>
    </w:p>
    <w:p>
      <w:pPr>
        <w:pStyle w:val="BodyText"/>
        <w:spacing w:line="532" w:lineRule="auto" w:before="1"/>
        <w:ind w:left="118" w:right="7301"/>
      </w:pPr>
      <w:r>
        <w:rPr/>
        <w:t>Nombre: S.S.M.T. Edad: 40 años.</w:t>
      </w:r>
    </w:p>
    <w:p>
      <w:pPr>
        <w:pStyle w:val="BodyText"/>
        <w:spacing w:line="535" w:lineRule="auto" w:before="11"/>
        <w:ind w:left="118" w:right="7047"/>
      </w:pPr>
      <w:r>
        <w:rPr/>
        <w:t>Sexo: Femenino Estado civil: Soltera. Ocupación: Hogar.</w:t>
      </w:r>
    </w:p>
    <w:p>
      <w:pPr>
        <w:pStyle w:val="BodyText"/>
        <w:spacing w:line="532" w:lineRule="auto" w:before="8"/>
        <w:ind w:left="118" w:right="3966"/>
      </w:pPr>
      <w:r>
        <w:rPr/>
        <w:pict>
          <v:group style="position:absolute;margin-left:167.520004pt;margin-top:48.205845pt;width:233.2pt;height:319.6pt;mso-position-horizontal-relative:page;mso-position-vertical-relative:paragraph;z-index:-58216" coordorigin="3350,964" coordsize="4664,6392">
            <v:shape style="position:absolute;left:3350;top:964;width:4663;height:6391" type="#_x0000_t75" stroked="false">
              <v:imagedata r:id="rId32" o:title=""/>
            </v:shape>
            <v:shape style="position:absolute;left:3451;top:1065;width:4375;height:6103" type="#_x0000_t75" stroked="false">
              <v:imagedata r:id="rId33" o:title=""/>
            </v:shape>
            <v:rect style="position:absolute;left:3421;top:1035;width:4435;height:6163" filled="false" stroked="true" strokeweight="3pt" strokecolor="#92cddd"/>
            <v:rect style="position:absolute;left:4169;top:3556;width:2354;height:554" filled="true" fillcolor="#ffffff" stroked="false">
              <v:fill type="solid"/>
            </v:rect>
            <v:rect style="position:absolute;left:4169;top:3556;width:2354;height:554" filled="false" stroked="true" strokeweight=".72pt" strokecolor="#000000"/>
            <w10:wrap type="none"/>
          </v:group>
        </w:pict>
      </w:r>
      <w:r>
        <w:rPr/>
        <w:t>Lugar de origen: Toluca, Estado de México. Domicilio: Rancho Seco Infonavit  San Francisco.</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1"/>
        <w:rPr>
          <w:sz w:val="31"/>
        </w:rPr>
      </w:pPr>
    </w:p>
    <w:p>
      <w:pPr>
        <w:spacing w:before="0"/>
        <w:ind w:left="118" w:right="122" w:firstLine="0"/>
        <w:jc w:val="center"/>
        <w:rPr>
          <w:sz w:val="20"/>
        </w:rPr>
      </w:pPr>
      <w:r>
        <w:rPr>
          <w:sz w:val="20"/>
        </w:rPr>
        <w:t>Fig. 16 Fotografía de frente.</w:t>
      </w:r>
    </w:p>
    <w:p>
      <w:pPr>
        <w:spacing w:after="0"/>
        <w:jc w:val="center"/>
        <w:rPr>
          <w:sz w:val="20"/>
        </w:rPr>
        <w:sectPr>
          <w:pgSz w:w="12240" w:h="15840"/>
          <w:pgMar w:header="749" w:footer="1003" w:top="960" w:bottom="1200" w:left="1300" w:right="1580"/>
        </w:sectPr>
      </w:pPr>
    </w:p>
    <w:p>
      <w:pPr>
        <w:pStyle w:val="BodyText"/>
        <w:rPr>
          <w:sz w:val="20"/>
        </w:rPr>
      </w:pPr>
    </w:p>
    <w:p>
      <w:pPr>
        <w:pStyle w:val="BodyText"/>
        <w:rPr>
          <w:sz w:val="20"/>
        </w:rPr>
      </w:pPr>
    </w:p>
    <w:p>
      <w:pPr>
        <w:pStyle w:val="BodyText"/>
        <w:spacing w:before="5"/>
        <w:rPr>
          <w:sz w:val="17"/>
        </w:rPr>
      </w:pPr>
    </w:p>
    <w:p>
      <w:pPr>
        <w:pStyle w:val="Heading2"/>
        <w:numPr>
          <w:ilvl w:val="1"/>
          <w:numId w:val="11"/>
        </w:numPr>
        <w:tabs>
          <w:tab w:pos="525" w:val="left" w:leader="none"/>
        </w:tabs>
        <w:spacing w:line="240" w:lineRule="auto" w:before="70" w:after="0"/>
        <w:ind w:left="524" w:right="0" w:hanging="406"/>
        <w:jc w:val="both"/>
      </w:pPr>
      <w:r>
        <w:rPr/>
        <w:t>Antecedentes Heredo</w:t>
      </w:r>
      <w:r>
        <w:rPr>
          <w:spacing w:val="-17"/>
        </w:rPr>
        <w:t> </w:t>
      </w:r>
      <w:r>
        <w:rPr/>
        <w:t>Familiares.</w:t>
      </w:r>
    </w:p>
    <w:p>
      <w:pPr>
        <w:pStyle w:val="BodyText"/>
        <w:spacing w:before="5"/>
        <w:rPr>
          <w:b/>
          <w:sz w:val="29"/>
        </w:rPr>
      </w:pPr>
    </w:p>
    <w:p>
      <w:pPr>
        <w:pStyle w:val="ListParagraph"/>
        <w:numPr>
          <w:ilvl w:val="2"/>
          <w:numId w:val="11"/>
        </w:numPr>
        <w:tabs>
          <w:tab w:pos="838" w:val="left" w:leader="none"/>
          <w:tab w:pos="839" w:val="left" w:leader="none"/>
        </w:tabs>
        <w:spacing w:line="240" w:lineRule="auto" w:before="0" w:after="0"/>
        <w:ind w:left="838" w:right="0" w:hanging="360"/>
        <w:jc w:val="left"/>
        <w:rPr>
          <w:sz w:val="24"/>
        </w:rPr>
      </w:pPr>
      <w:r>
        <w:rPr>
          <w:sz w:val="24"/>
        </w:rPr>
        <w:t>Madre: Padece hipertensión arterial y se encuentra en tratamiento</w:t>
      </w:r>
      <w:r>
        <w:rPr>
          <w:spacing w:val="-22"/>
          <w:sz w:val="24"/>
        </w:rPr>
        <w:t> </w:t>
      </w:r>
      <w:r>
        <w:rPr>
          <w:sz w:val="24"/>
        </w:rPr>
        <w:t>médico.</w:t>
      </w:r>
    </w:p>
    <w:p>
      <w:pPr>
        <w:pStyle w:val="ListParagraph"/>
        <w:numPr>
          <w:ilvl w:val="2"/>
          <w:numId w:val="11"/>
        </w:numPr>
        <w:tabs>
          <w:tab w:pos="838" w:val="left" w:leader="none"/>
          <w:tab w:pos="839" w:val="left" w:leader="none"/>
        </w:tabs>
        <w:spacing w:line="350" w:lineRule="auto" w:before="135" w:after="0"/>
        <w:ind w:left="838" w:right="125" w:hanging="360"/>
        <w:jc w:val="left"/>
        <w:rPr>
          <w:sz w:val="24"/>
        </w:rPr>
      </w:pPr>
      <w:r>
        <w:rPr>
          <w:sz w:val="24"/>
        </w:rPr>
        <w:t>Padre: Padece diabetes, desde hace 10 años, se encuentra bajo tratamiento médico.</w:t>
      </w:r>
    </w:p>
    <w:p>
      <w:pPr>
        <w:pStyle w:val="BodyText"/>
      </w:pPr>
    </w:p>
    <w:p>
      <w:pPr>
        <w:pStyle w:val="Heading2"/>
        <w:numPr>
          <w:ilvl w:val="1"/>
          <w:numId w:val="11"/>
        </w:numPr>
        <w:tabs>
          <w:tab w:pos="525" w:val="left" w:leader="none"/>
        </w:tabs>
        <w:spacing w:line="240" w:lineRule="auto" w:before="152" w:after="0"/>
        <w:ind w:left="524" w:right="0" w:hanging="406"/>
        <w:jc w:val="both"/>
      </w:pPr>
      <w:r>
        <w:rPr/>
        <w:t>ANTECEDENTES</w:t>
      </w:r>
      <w:r>
        <w:rPr>
          <w:spacing w:val="-15"/>
        </w:rPr>
        <w:t> </w:t>
      </w:r>
      <w:r>
        <w:rPr/>
        <w:t>PERSONALES</w:t>
      </w:r>
    </w:p>
    <w:p>
      <w:pPr>
        <w:pStyle w:val="BodyText"/>
        <w:rPr>
          <w:b/>
        </w:rPr>
      </w:pPr>
    </w:p>
    <w:p>
      <w:pPr>
        <w:pStyle w:val="BodyText"/>
        <w:rPr>
          <w:b/>
        </w:rPr>
      </w:pPr>
    </w:p>
    <w:p>
      <w:pPr>
        <w:pStyle w:val="BodyText"/>
        <w:spacing w:before="10"/>
        <w:rPr>
          <w:b/>
          <w:sz w:val="34"/>
        </w:rPr>
      </w:pPr>
    </w:p>
    <w:p>
      <w:pPr>
        <w:pStyle w:val="ListParagraph"/>
        <w:numPr>
          <w:ilvl w:val="2"/>
          <w:numId w:val="12"/>
        </w:numPr>
        <w:tabs>
          <w:tab w:pos="724" w:val="left" w:leader="none"/>
        </w:tabs>
        <w:spacing w:line="240" w:lineRule="auto" w:before="0" w:after="0"/>
        <w:ind w:left="723" w:right="0" w:hanging="605"/>
        <w:jc w:val="both"/>
        <w:rPr>
          <w:sz w:val="24"/>
        </w:rPr>
      </w:pPr>
      <w:r>
        <w:rPr>
          <w:b/>
          <w:sz w:val="24"/>
        </w:rPr>
        <w:t>Antecedentes Personales</w:t>
      </w:r>
      <w:r>
        <w:rPr>
          <w:b/>
          <w:spacing w:val="-13"/>
          <w:sz w:val="24"/>
        </w:rPr>
        <w:t> </w:t>
      </w:r>
      <w:r>
        <w:rPr>
          <w:b/>
          <w:sz w:val="24"/>
        </w:rPr>
        <w:t>Patológicos</w:t>
      </w:r>
      <w:r>
        <w:rPr>
          <w:sz w:val="24"/>
        </w:rPr>
        <w:t>.</w:t>
      </w:r>
    </w:p>
    <w:p>
      <w:pPr>
        <w:pStyle w:val="BodyText"/>
      </w:pPr>
    </w:p>
    <w:p>
      <w:pPr>
        <w:pStyle w:val="BodyText"/>
      </w:pPr>
    </w:p>
    <w:p>
      <w:pPr>
        <w:pStyle w:val="BodyText"/>
        <w:spacing w:before="7"/>
        <w:rPr>
          <w:sz w:val="34"/>
        </w:rPr>
      </w:pPr>
    </w:p>
    <w:p>
      <w:pPr>
        <w:pStyle w:val="BodyText"/>
        <w:spacing w:line="360" w:lineRule="auto"/>
        <w:ind w:left="118" w:right="118"/>
        <w:jc w:val="both"/>
      </w:pPr>
      <w:r>
        <w:rPr/>
        <w:t>Epilepsia desde los 6 meses de edad, bajo tratamiento médico. Desde ese tiempo ha cambiado</w:t>
      </w:r>
      <w:r>
        <w:rPr>
          <w:spacing w:val="-18"/>
        </w:rPr>
        <w:t> </w:t>
      </w:r>
      <w:r>
        <w:rPr/>
        <w:t>medicación</w:t>
      </w:r>
      <w:r>
        <w:rPr>
          <w:spacing w:val="-18"/>
        </w:rPr>
        <w:t> </w:t>
      </w:r>
      <w:r>
        <w:rPr/>
        <w:t>a</w:t>
      </w:r>
      <w:r>
        <w:rPr>
          <w:spacing w:val="-16"/>
        </w:rPr>
        <w:t> </w:t>
      </w:r>
      <w:r>
        <w:rPr/>
        <w:t>lo</w:t>
      </w:r>
      <w:r>
        <w:rPr>
          <w:spacing w:val="-16"/>
        </w:rPr>
        <w:t> </w:t>
      </w:r>
      <w:r>
        <w:rPr/>
        <w:t>largo</w:t>
      </w:r>
      <w:r>
        <w:rPr>
          <w:spacing w:val="-16"/>
        </w:rPr>
        <w:t> </w:t>
      </w:r>
      <w:r>
        <w:rPr/>
        <w:t>de</w:t>
      </w:r>
      <w:r>
        <w:rPr>
          <w:spacing w:val="-16"/>
        </w:rPr>
        <w:t> </w:t>
      </w:r>
      <w:r>
        <w:rPr/>
        <w:t>su</w:t>
      </w:r>
      <w:r>
        <w:rPr>
          <w:spacing w:val="-18"/>
        </w:rPr>
        <w:t> </w:t>
      </w:r>
      <w:r>
        <w:rPr/>
        <w:t>enfermedad,</w:t>
      </w:r>
      <w:r>
        <w:rPr>
          <w:spacing w:val="-16"/>
        </w:rPr>
        <w:t> </w:t>
      </w:r>
      <w:r>
        <w:rPr/>
        <w:t>de</w:t>
      </w:r>
      <w:r>
        <w:rPr>
          <w:spacing w:val="-16"/>
        </w:rPr>
        <w:t> </w:t>
      </w:r>
      <w:r>
        <w:rPr/>
        <w:t>la</w:t>
      </w:r>
      <w:r>
        <w:rPr>
          <w:spacing w:val="-18"/>
        </w:rPr>
        <w:t> </w:t>
      </w:r>
      <w:r>
        <w:rPr/>
        <w:t>cual</w:t>
      </w:r>
      <w:r>
        <w:rPr>
          <w:spacing w:val="-19"/>
        </w:rPr>
        <w:t> </w:t>
      </w:r>
      <w:r>
        <w:rPr/>
        <w:t>no</w:t>
      </w:r>
      <w:r>
        <w:rPr>
          <w:spacing w:val="-16"/>
        </w:rPr>
        <w:t> </w:t>
      </w:r>
      <w:r>
        <w:rPr/>
        <w:t>recuerda</w:t>
      </w:r>
      <w:r>
        <w:rPr>
          <w:spacing w:val="-18"/>
        </w:rPr>
        <w:t> </w:t>
      </w:r>
      <w:r>
        <w:rPr/>
        <w:t>los</w:t>
      </w:r>
      <w:r>
        <w:rPr>
          <w:spacing w:val="-16"/>
        </w:rPr>
        <w:t> </w:t>
      </w:r>
      <w:r>
        <w:rPr/>
        <w:t>nombres, actualmente y desde hace 10 años, se encuentra bajo tratamiento farmacológico con Carbamazepina de 200 mg cada 8 horas, Atemperator 400 mg cada 12</w:t>
      </w:r>
      <w:r>
        <w:rPr>
          <w:spacing w:val="-23"/>
        </w:rPr>
        <w:t> </w:t>
      </w:r>
      <w:r>
        <w:rPr/>
        <w:t>horas.</w:t>
      </w:r>
    </w:p>
    <w:p>
      <w:pPr>
        <w:pStyle w:val="Heading2"/>
        <w:numPr>
          <w:ilvl w:val="2"/>
          <w:numId w:val="12"/>
        </w:numPr>
        <w:tabs>
          <w:tab w:pos="723" w:val="left" w:leader="none"/>
        </w:tabs>
        <w:spacing w:line="240" w:lineRule="auto" w:before="204" w:after="0"/>
        <w:ind w:left="722" w:right="0" w:hanging="604"/>
        <w:jc w:val="both"/>
      </w:pPr>
      <w:r>
        <w:rPr/>
        <w:t>Antecedentes Personales no</w:t>
      </w:r>
      <w:r>
        <w:rPr>
          <w:spacing w:val="-14"/>
        </w:rPr>
        <w:t> </w:t>
      </w:r>
      <w:r>
        <w:rPr/>
        <w:t>Patológicos.</w:t>
      </w:r>
    </w:p>
    <w:p>
      <w:pPr>
        <w:pStyle w:val="BodyText"/>
        <w:spacing w:before="2"/>
        <w:rPr>
          <w:b/>
          <w:sz w:val="29"/>
        </w:rPr>
      </w:pPr>
    </w:p>
    <w:p>
      <w:pPr>
        <w:pStyle w:val="BodyText"/>
        <w:spacing w:before="1"/>
        <w:ind w:left="118"/>
        <w:jc w:val="both"/>
      </w:pPr>
      <w:r>
        <w:rPr/>
        <w:t>Interrogados y negados.</w:t>
      </w:r>
    </w:p>
    <w:p>
      <w:pPr>
        <w:pStyle w:val="BodyText"/>
      </w:pPr>
    </w:p>
    <w:p>
      <w:pPr>
        <w:pStyle w:val="BodyText"/>
      </w:pPr>
    </w:p>
    <w:p>
      <w:pPr>
        <w:pStyle w:val="BodyText"/>
        <w:spacing w:before="9"/>
        <w:rPr>
          <w:sz w:val="34"/>
        </w:rPr>
      </w:pPr>
    </w:p>
    <w:p>
      <w:pPr>
        <w:pStyle w:val="Heading2"/>
        <w:numPr>
          <w:ilvl w:val="1"/>
          <w:numId w:val="13"/>
        </w:numPr>
        <w:tabs>
          <w:tab w:pos="522" w:val="left" w:leader="none"/>
        </w:tabs>
        <w:spacing w:line="240" w:lineRule="auto" w:before="1" w:after="0"/>
        <w:ind w:left="521" w:right="0" w:hanging="403"/>
        <w:jc w:val="both"/>
      </w:pPr>
      <w:r>
        <w:rPr/>
        <w:t>Padecimiento</w:t>
      </w:r>
      <w:r>
        <w:rPr>
          <w:spacing w:val="-10"/>
        </w:rPr>
        <w:t> </w:t>
      </w:r>
      <w:r>
        <w:rPr/>
        <w:t>Actual.</w:t>
      </w:r>
    </w:p>
    <w:p>
      <w:pPr>
        <w:pStyle w:val="BodyText"/>
        <w:rPr>
          <w:b/>
        </w:rPr>
      </w:pPr>
    </w:p>
    <w:p>
      <w:pPr>
        <w:pStyle w:val="BodyText"/>
        <w:rPr>
          <w:b/>
        </w:rPr>
      </w:pPr>
    </w:p>
    <w:p>
      <w:pPr>
        <w:pStyle w:val="BodyText"/>
        <w:spacing w:before="9"/>
        <w:rPr>
          <w:b/>
          <w:sz w:val="34"/>
        </w:rPr>
      </w:pPr>
    </w:p>
    <w:p>
      <w:pPr>
        <w:pStyle w:val="BodyText"/>
        <w:spacing w:line="360" w:lineRule="auto" w:before="1"/>
        <w:ind w:left="118" w:right="116"/>
        <w:jc w:val="both"/>
      </w:pPr>
      <w:r>
        <w:rPr/>
        <w:t>Paciente femenino que acude a la Clínica de Posgrado de Endodoncia de la Facultad de Odontología de la UAEM, referida por el Médico general, ya que padece epilepsia desde los 6 meses de edad y al momento presenta dolor pulsátil, nocturno, irradiado de</w:t>
      </w:r>
      <w:r>
        <w:rPr>
          <w:spacing w:val="-19"/>
        </w:rPr>
        <w:t> </w:t>
      </w:r>
      <w:r>
        <w:rPr/>
        <w:t>una</w:t>
      </w:r>
      <w:r>
        <w:rPr>
          <w:spacing w:val="-17"/>
        </w:rPr>
        <w:t> </w:t>
      </w:r>
      <w:r>
        <w:rPr/>
        <w:t>semana</w:t>
      </w:r>
      <w:r>
        <w:rPr>
          <w:spacing w:val="-19"/>
        </w:rPr>
        <w:t> </w:t>
      </w:r>
      <w:r>
        <w:rPr/>
        <w:t>de</w:t>
      </w:r>
      <w:r>
        <w:rPr>
          <w:spacing w:val="-19"/>
        </w:rPr>
        <w:t> </w:t>
      </w:r>
      <w:r>
        <w:rPr/>
        <w:t>evolución</w:t>
      </w:r>
      <w:r>
        <w:rPr>
          <w:spacing w:val="-19"/>
        </w:rPr>
        <w:t> </w:t>
      </w:r>
      <w:r>
        <w:rPr/>
        <w:t>a</w:t>
      </w:r>
      <w:r>
        <w:rPr>
          <w:spacing w:val="-19"/>
        </w:rPr>
        <w:t> </w:t>
      </w:r>
      <w:r>
        <w:rPr/>
        <w:t>nivel</w:t>
      </w:r>
      <w:r>
        <w:rPr>
          <w:spacing w:val="-14"/>
        </w:rPr>
        <w:t> </w:t>
      </w:r>
      <w:r>
        <w:rPr/>
        <w:t>del</w:t>
      </w:r>
      <w:r>
        <w:rPr>
          <w:spacing w:val="-20"/>
        </w:rPr>
        <w:t> </w:t>
      </w:r>
      <w:r>
        <w:rPr/>
        <w:t>OD</w:t>
      </w:r>
      <w:r>
        <w:rPr>
          <w:spacing w:val="30"/>
        </w:rPr>
        <w:t> </w:t>
      </w:r>
      <w:r>
        <w:rPr/>
        <w:t>16,</w:t>
      </w:r>
      <w:r>
        <w:rPr>
          <w:spacing w:val="-17"/>
        </w:rPr>
        <w:t> </w:t>
      </w:r>
      <w:r>
        <w:rPr/>
        <w:t>el</w:t>
      </w:r>
      <w:r>
        <w:rPr>
          <w:spacing w:val="-20"/>
        </w:rPr>
        <w:t> </w:t>
      </w:r>
      <w:r>
        <w:rPr/>
        <w:t>dolor</w:t>
      </w:r>
      <w:r>
        <w:rPr>
          <w:spacing w:val="-18"/>
        </w:rPr>
        <w:t> </w:t>
      </w:r>
      <w:r>
        <w:rPr/>
        <w:t>presente,</w:t>
      </w:r>
      <w:r>
        <w:rPr>
          <w:spacing w:val="-19"/>
        </w:rPr>
        <w:t> </w:t>
      </w:r>
      <w:r>
        <w:rPr/>
        <w:t>puede</w:t>
      </w:r>
      <w:r>
        <w:rPr>
          <w:spacing w:val="-19"/>
        </w:rPr>
        <w:t> </w:t>
      </w:r>
      <w:r>
        <w:rPr/>
        <w:t>desencadenar una crisis</w:t>
      </w:r>
      <w:r>
        <w:rPr>
          <w:spacing w:val="-3"/>
        </w:rPr>
        <w:t> </w:t>
      </w:r>
      <w:r>
        <w:rPr/>
        <w:t>epiléptica.</w:t>
      </w:r>
    </w:p>
    <w:p>
      <w:pPr>
        <w:spacing w:after="0" w:line="360" w:lineRule="auto"/>
        <w:jc w:val="both"/>
        <w:sectPr>
          <w:pgSz w:w="12240" w:h="15840"/>
          <w:pgMar w:header="749" w:footer="1003" w:top="960" w:bottom="1200" w:left="1300" w:right="1580"/>
        </w:sectPr>
      </w:pPr>
    </w:p>
    <w:p>
      <w:pPr>
        <w:pStyle w:val="BodyText"/>
        <w:rPr>
          <w:sz w:val="20"/>
        </w:rPr>
      </w:pPr>
    </w:p>
    <w:p>
      <w:pPr>
        <w:pStyle w:val="BodyText"/>
        <w:rPr>
          <w:sz w:val="20"/>
        </w:rPr>
      </w:pPr>
    </w:p>
    <w:p>
      <w:pPr>
        <w:pStyle w:val="BodyText"/>
        <w:spacing w:before="11"/>
        <w:rPr>
          <w:sz w:val="20"/>
        </w:rPr>
      </w:pPr>
    </w:p>
    <w:p>
      <w:pPr>
        <w:tabs>
          <w:tab w:pos="4476" w:val="left" w:leader="none"/>
        </w:tabs>
        <w:spacing w:line="240" w:lineRule="auto"/>
        <w:ind w:left="118" w:right="0" w:firstLine="0"/>
        <w:rPr>
          <w:sz w:val="20"/>
        </w:rPr>
      </w:pPr>
      <w:r>
        <w:rPr>
          <w:sz w:val="20"/>
        </w:rPr>
        <w:pict>
          <v:group style="width:177.35pt;height:209.8pt;mso-position-horizontal-relative:char;mso-position-vertical-relative:line" coordorigin="0,0" coordsize="3547,4196">
            <v:shape style="position:absolute;left:0;top:0;width:3547;height:4196" type="#_x0000_t75" stroked="false">
              <v:imagedata r:id="rId34" o:title=""/>
            </v:shape>
            <v:rect style="position:absolute;left:698;top:1749;width:1891;height:389" filled="true" fillcolor="#ffffff" stroked="false">
              <v:fill type="solid"/>
            </v:rect>
            <v:rect style="position:absolute;left:698;top:1749;width:1891;height:389" filled="false" stroked="true" strokeweight=".72pt" strokecolor="#000000"/>
            <v:rect style="position:absolute;left:3014;top:3683;width:456;height:430" filled="true" fillcolor="#ffffff" stroked="false">
              <v:fill type="solid"/>
            </v:rect>
            <v:shape style="position:absolute;left:3014;top:3683;width:456;height:430" type="#_x0000_t202" filled="true" fillcolor="#ffffff" stroked="true" strokeweight=".72pt" strokecolor="#000000">
              <v:textbox inset="0,0,0,0">
                <w:txbxContent>
                  <w:p>
                    <w:pPr>
                      <w:spacing w:before="72"/>
                      <w:ind w:left="145" w:right="0" w:firstLine="0"/>
                      <w:jc w:val="left"/>
                      <w:rPr>
                        <w:rFonts w:ascii="Calibri"/>
                        <w:b/>
                        <w:sz w:val="22"/>
                      </w:rPr>
                    </w:pPr>
                    <w:r>
                      <w:rPr>
                        <w:rFonts w:ascii="Calibri"/>
                        <w:b/>
                        <w:w w:val="100"/>
                        <w:sz w:val="22"/>
                      </w:rPr>
                      <w:t>A</w:t>
                    </w:r>
                  </w:p>
                </w:txbxContent>
              </v:textbox>
              <v:fill type="solid"/>
              <w10:wrap type="none"/>
            </v:shape>
          </v:group>
        </w:pict>
      </w:r>
      <w:r>
        <w:rPr>
          <w:sz w:val="20"/>
        </w:rPr>
      </w:r>
      <w:r>
        <w:rPr>
          <w:sz w:val="20"/>
        </w:rPr>
        <w:tab/>
      </w:r>
      <w:r>
        <w:rPr>
          <w:position w:val="8"/>
          <w:sz w:val="20"/>
        </w:rPr>
        <w:pict>
          <v:group style="width:220pt;height:204.9pt;mso-position-horizontal-relative:char;mso-position-vertical-relative:line" coordorigin="0,0" coordsize="4400,4098">
            <v:shape style="position:absolute;left:0;top:0;width:4399;height:4066" type="#_x0000_t75" stroked="false">
              <v:imagedata r:id="rId35" o:title=""/>
            </v:shape>
            <v:rect style="position:absolute;left:3706;top:1726;width:300;height:389" filled="true" fillcolor="#ffffff" stroked="false">
              <v:fill type="solid"/>
            </v:rect>
            <v:rect style="position:absolute;left:3706;top:1726;width:300;height:389" filled="false" stroked="true" strokeweight=".72pt" strokecolor="#000000"/>
            <v:rect style="position:absolute;left:3895;top:3660;width:456;height:430" filled="true" fillcolor="#ffffff" stroked="false">
              <v:fill type="solid"/>
            </v:rect>
            <v:shape style="position:absolute;left:3895;top:3660;width:456;height:430" type="#_x0000_t202" filled="true" fillcolor="#ffffff" stroked="true" strokeweight=".72pt" strokecolor="#000000">
              <v:textbox inset="0,0,0,0">
                <w:txbxContent>
                  <w:p>
                    <w:pPr>
                      <w:spacing w:before="72"/>
                      <w:ind w:left="145" w:right="0" w:firstLine="0"/>
                      <w:jc w:val="left"/>
                      <w:rPr>
                        <w:rFonts w:ascii="Calibri"/>
                        <w:b/>
                        <w:sz w:val="22"/>
                      </w:rPr>
                    </w:pPr>
                    <w:r>
                      <w:rPr>
                        <w:rFonts w:ascii="Calibri"/>
                        <w:b/>
                        <w:w w:val="100"/>
                        <w:sz w:val="22"/>
                      </w:rPr>
                      <w:t>B</w:t>
                    </w:r>
                  </w:p>
                </w:txbxContent>
              </v:textbox>
              <v:fill type="solid"/>
              <w10:wrap type="none"/>
            </v:shape>
          </v:group>
        </w:pict>
      </w:r>
      <w:r>
        <w:rPr>
          <w:position w:val="8"/>
          <w:sz w:val="20"/>
        </w:rPr>
      </w:r>
    </w:p>
    <w:p>
      <w:pPr>
        <w:pStyle w:val="BodyText"/>
        <w:spacing w:before="7"/>
        <w:rPr>
          <w:sz w:val="17"/>
        </w:rPr>
      </w:pPr>
    </w:p>
    <w:p>
      <w:pPr>
        <w:spacing w:before="74"/>
        <w:ind w:left="118" w:right="194" w:firstLine="0"/>
        <w:jc w:val="left"/>
        <w:rPr>
          <w:sz w:val="20"/>
        </w:rPr>
      </w:pPr>
      <w:r>
        <w:rPr>
          <w:sz w:val="20"/>
        </w:rPr>
        <w:t>Fig. 17 En A se presenta fotografía de frente, en B fotografía de lado.</w:t>
      </w:r>
    </w:p>
    <w:p>
      <w:pPr>
        <w:pStyle w:val="BodyText"/>
        <w:rPr>
          <w:sz w:val="20"/>
        </w:rPr>
      </w:pPr>
    </w:p>
    <w:p>
      <w:pPr>
        <w:pStyle w:val="BodyText"/>
        <w:rPr>
          <w:sz w:val="20"/>
        </w:rPr>
      </w:pPr>
    </w:p>
    <w:p>
      <w:pPr>
        <w:pStyle w:val="BodyText"/>
        <w:rPr>
          <w:sz w:val="20"/>
        </w:rPr>
      </w:pPr>
    </w:p>
    <w:p>
      <w:pPr>
        <w:pStyle w:val="BodyText"/>
        <w:spacing w:before="7"/>
        <w:rPr>
          <w:sz w:val="20"/>
        </w:rPr>
      </w:pPr>
    </w:p>
    <w:p>
      <w:pPr>
        <w:pStyle w:val="Heading2"/>
        <w:numPr>
          <w:ilvl w:val="1"/>
          <w:numId w:val="13"/>
        </w:numPr>
        <w:tabs>
          <w:tab w:pos="522" w:val="left" w:leader="none"/>
        </w:tabs>
        <w:spacing w:line="240" w:lineRule="auto" w:before="0" w:after="0"/>
        <w:ind w:left="521" w:right="0" w:hanging="403"/>
        <w:jc w:val="left"/>
      </w:pPr>
      <w:r>
        <w:rPr/>
        <w:t>Exploración</w:t>
      </w:r>
      <w:r>
        <w:rPr>
          <w:spacing w:val="-8"/>
        </w:rPr>
        <w:t> </w:t>
      </w:r>
      <w:r>
        <w:rPr/>
        <w:t>Física.</w:t>
      </w:r>
    </w:p>
    <w:p>
      <w:pPr>
        <w:pStyle w:val="BodyText"/>
        <w:rPr>
          <w:b/>
        </w:rPr>
      </w:pPr>
    </w:p>
    <w:p>
      <w:pPr>
        <w:pStyle w:val="BodyText"/>
        <w:rPr>
          <w:b/>
        </w:rPr>
      </w:pPr>
    </w:p>
    <w:p>
      <w:pPr>
        <w:pStyle w:val="BodyText"/>
        <w:spacing w:before="10"/>
        <w:rPr>
          <w:b/>
          <w:sz w:val="34"/>
        </w:rPr>
      </w:pPr>
    </w:p>
    <w:p>
      <w:pPr>
        <w:pStyle w:val="BodyText"/>
        <w:spacing w:line="532" w:lineRule="auto"/>
        <w:ind w:left="118" w:right="5686"/>
      </w:pPr>
      <w:r>
        <w:rPr/>
        <w:t>Tensión Arterial: 120/80 mmHg Pulso: 72 pulsaciones por minuto</w:t>
      </w:r>
    </w:p>
    <w:p>
      <w:pPr>
        <w:pStyle w:val="BodyText"/>
        <w:spacing w:line="535" w:lineRule="auto" w:before="11"/>
        <w:ind w:left="118" w:right="3672"/>
      </w:pPr>
      <w:r>
        <w:rPr/>
        <w:t>Frecuencia respiratoria: 16 respiraciones por minuto Peso: 45 kg</w:t>
      </w:r>
    </w:p>
    <w:p>
      <w:pPr>
        <w:pStyle w:val="BodyText"/>
        <w:spacing w:before="8"/>
        <w:ind w:left="118" w:right="194"/>
      </w:pPr>
      <w:r>
        <w:rPr/>
        <w:t>Talla: 1.50 m</w:t>
      </w:r>
    </w:p>
    <w:p>
      <w:pPr>
        <w:spacing w:after="0"/>
        <w:sectPr>
          <w:pgSz w:w="12240" w:h="15840"/>
          <w:pgMar w:header="749" w:footer="1003" w:top="960" w:bottom="1200" w:left="1300" w:right="1580"/>
        </w:sectPr>
      </w:pPr>
    </w:p>
    <w:p>
      <w:pPr>
        <w:pStyle w:val="BodyText"/>
        <w:rPr>
          <w:sz w:val="20"/>
        </w:rPr>
      </w:pPr>
    </w:p>
    <w:p>
      <w:pPr>
        <w:pStyle w:val="BodyText"/>
        <w:rPr>
          <w:sz w:val="20"/>
        </w:rPr>
      </w:pPr>
    </w:p>
    <w:p>
      <w:pPr>
        <w:pStyle w:val="BodyText"/>
        <w:spacing w:before="5"/>
        <w:rPr>
          <w:sz w:val="17"/>
        </w:rPr>
      </w:pPr>
    </w:p>
    <w:p>
      <w:pPr>
        <w:pStyle w:val="Heading2"/>
        <w:numPr>
          <w:ilvl w:val="1"/>
          <w:numId w:val="13"/>
        </w:numPr>
        <w:tabs>
          <w:tab w:pos="531" w:val="left" w:leader="none"/>
        </w:tabs>
        <w:spacing w:line="240" w:lineRule="auto" w:before="70" w:after="0"/>
        <w:ind w:left="530" w:right="0" w:hanging="404"/>
        <w:jc w:val="left"/>
      </w:pPr>
      <w:r>
        <w:rPr/>
        <w:t>Exploración</w:t>
      </w:r>
      <w:r>
        <w:rPr>
          <w:spacing w:val="-8"/>
        </w:rPr>
        <w:t> </w:t>
      </w:r>
      <w:r>
        <w:rPr/>
        <w:t>Radiográfica.</w:t>
      </w:r>
    </w:p>
    <w:p>
      <w:pPr>
        <w:pStyle w:val="BodyText"/>
        <w:rPr>
          <w:b/>
        </w:rPr>
      </w:pPr>
    </w:p>
    <w:p>
      <w:pPr>
        <w:pStyle w:val="BodyText"/>
        <w:rPr>
          <w:b/>
        </w:rPr>
      </w:pPr>
    </w:p>
    <w:p>
      <w:pPr>
        <w:pStyle w:val="BodyText"/>
        <w:ind w:left="138"/>
      </w:pPr>
      <w:r>
        <w:rPr/>
        <w:t>Órganos dentarios afectados:</w:t>
      </w:r>
    </w:p>
    <w:p>
      <w:pPr>
        <w:pStyle w:val="BodyText"/>
        <w:rPr>
          <w:sz w:val="20"/>
        </w:rPr>
      </w:pPr>
    </w:p>
    <w:p>
      <w:pPr>
        <w:pStyle w:val="BodyText"/>
        <w:spacing w:before="8"/>
      </w:pPr>
      <w:r>
        <w:rPr/>
        <w:pict>
          <v:group style="position:absolute;margin-left:70.444pt;margin-top:16.17804pt;width:457.1pt;height:1pt;mso-position-horizontal-relative:page;mso-position-vertical-relative:paragraph;z-index:1672;mso-wrap-distance-left:0;mso-wrap-distance-right:0" coordorigin="1409,324" coordsize="9142,20">
            <v:line style="position:absolute" from="1419,334" to="4465,334" stroked="true" strokeweight=".95999pt" strokecolor="#4aacc5"/>
            <v:line style="position:absolute" from="4465,334" to="4484,334" stroked="true" strokeweight=".95999pt" strokecolor="#4aacc5"/>
            <v:line style="position:absolute" from="4484,334" to="10540,334" stroked="true" strokeweight=".95999pt" strokecolor="#4aacc5"/>
            <w10:wrap type="topAndBottom"/>
          </v:group>
        </w:pict>
      </w:r>
    </w:p>
    <w:p>
      <w:pPr>
        <w:pStyle w:val="BodyText"/>
        <w:tabs>
          <w:tab w:pos="5954" w:val="left" w:leader="none"/>
        </w:tabs>
        <w:ind w:left="1840"/>
      </w:pPr>
      <w:r>
        <w:rPr>
          <w:color w:val="30849B"/>
        </w:rPr>
        <w:t>OD</w:t>
        <w:tab/>
        <w:t>Descripción</w:t>
      </w:r>
    </w:p>
    <w:p>
      <w:pPr>
        <w:pStyle w:val="BodyText"/>
        <w:spacing w:before="9"/>
        <w:rPr>
          <w:sz w:val="8"/>
        </w:rPr>
      </w:pPr>
      <w:r>
        <w:rPr/>
        <w:pict>
          <v:group style="position:absolute;margin-left:70.444pt;margin-top:7.037017pt;width:457.1pt;height:83.85pt;mso-position-horizontal-relative:page;mso-position-vertical-relative:paragraph;z-index:1744;mso-wrap-distance-left:0;mso-wrap-distance-right:0" coordorigin="1409,141" coordsize="9142,1677">
            <v:rect style="position:absolute;left:1419;top:160;width:108;height:413" filled="true" fillcolor="#d2eaf0" stroked="false">
              <v:fill type="solid"/>
            </v:rect>
            <v:rect style="position:absolute;left:4357;top:160;width:108;height:413" filled="true" fillcolor="#d2eaf0" stroked="false">
              <v:fill type="solid"/>
            </v:rect>
            <v:rect style="position:absolute;left:1419;top:573;width:3046;height:1244" filled="true" fillcolor="#d2eaf0" stroked="false">
              <v:fill type="solid"/>
            </v:rect>
            <v:rect style="position:absolute;left:1527;top:160;width:2830;height:413" filled="true" fillcolor="#d2eaf0" stroked="false">
              <v:fill type="solid"/>
            </v:rect>
            <v:rect style="position:absolute;left:4465;top:160;width:108;height:1656" filled="true" fillcolor="#d2eaf0" stroked="false">
              <v:fill type="solid"/>
            </v:rect>
            <v:rect style="position:absolute;left:10432;top:160;width:108;height:1656" filled="true" fillcolor="#d2eaf0" stroked="false">
              <v:fill type="solid"/>
            </v:rect>
            <v:rect style="position:absolute;left:4573;top:160;width:5859;height:413" filled="true" fillcolor="#d2eaf0" stroked="false">
              <v:fill type="solid"/>
            </v:rect>
            <v:rect style="position:absolute;left:4573;top:573;width:5859;height:415" filled="true" fillcolor="#d2eaf0" stroked="false">
              <v:fill type="solid"/>
            </v:rect>
            <v:rect style="position:absolute;left:4573;top:988;width:5859;height:413" filled="true" fillcolor="#d2eaf0" stroked="false">
              <v:fill type="solid"/>
            </v:rect>
            <v:rect style="position:absolute;left:4573;top:1401;width:5859;height:416" filled="true" fillcolor="#d2eaf0" stroked="false">
              <v:fill type="solid"/>
            </v:rect>
            <v:line style="position:absolute" from="1419,151" to="4465,151" stroked="true" strokeweight=".95999pt" strokecolor="#4aacc5"/>
            <v:line style="position:absolute" from="4465,151" to="4484,151" stroked="true" strokeweight=".95999pt" strokecolor="#4aacc5"/>
            <v:line style="position:absolute" from="4484,151" to="10540,151" stroked="true" strokeweight=".95999pt" strokecolor="#4aacc5"/>
            <v:shape style="position:absolute;left:3166;top:189;width:269;height:240" type="#_x0000_t202" filled="false" stroked="false">
              <v:textbox inset="0,0,0,0">
                <w:txbxContent>
                  <w:p>
                    <w:pPr>
                      <w:spacing w:line="240" w:lineRule="exact" w:before="0"/>
                      <w:ind w:left="0" w:right="-18" w:firstLine="0"/>
                      <w:jc w:val="left"/>
                      <w:rPr>
                        <w:b/>
                        <w:sz w:val="24"/>
                      </w:rPr>
                    </w:pPr>
                    <w:r>
                      <w:rPr>
                        <w:b/>
                        <w:color w:val="30849B"/>
                        <w:sz w:val="24"/>
                      </w:rPr>
                      <w:t>21</w:t>
                    </w:r>
                  </w:p>
                </w:txbxContent>
              </v:textbox>
              <w10:wrap type="none"/>
            </v:shape>
            <v:shape style="position:absolute;left:5293;top:189;width:5139;height:1482" type="#_x0000_t202" filled="false" stroked="false">
              <v:textbox inset="0,0,0,0">
                <w:txbxContent>
                  <w:p>
                    <w:pPr>
                      <w:spacing w:line="245" w:lineRule="exact" w:before="0"/>
                      <w:ind w:left="0" w:right="0" w:firstLine="0"/>
                      <w:jc w:val="left"/>
                      <w:rPr>
                        <w:sz w:val="24"/>
                      </w:rPr>
                    </w:pPr>
                    <w:r>
                      <w:rPr>
                        <w:color w:val="30849B"/>
                        <w:sz w:val="24"/>
                      </w:rPr>
                      <w:t>Destrucción   coronaria,   raíz   amplia conducto</w:t>
                    </w:r>
                  </w:p>
                  <w:p>
                    <w:pPr>
                      <w:spacing w:before="137"/>
                      <w:ind w:left="0" w:right="0" w:firstLine="0"/>
                      <w:jc w:val="left"/>
                      <w:rPr>
                        <w:sz w:val="24"/>
                      </w:rPr>
                    </w:pPr>
                    <w:r>
                      <w:rPr>
                        <w:color w:val="30849B"/>
                        <w:sz w:val="24"/>
                      </w:rPr>
                      <w:t>pulpar</w:t>
                    </w:r>
                    <w:r>
                      <w:rPr>
                        <w:color w:val="30849B"/>
                        <w:spacing w:val="-15"/>
                        <w:sz w:val="24"/>
                      </w:rPr>
                      <w:t> </w:t>
                    </w:r>
                    <w:r>
                      <w:rPr>
                        <w:color w:val="30849B"/>
                        <w:sz w:val="24"/>
                      </w:rPr>
                      <w:t>amplio,</w:t>
                    </w:r>
                    <w:r>
                      <w:rPr>
                        <w:color w:val="30849B"/>
                        <w:spacing w:val="-12"/>
                        <w:sz w:val="24"/>
                      </w:rPr>
                      <w:t> </w:t>
                    </w:r>
                    <w:r>
                      <w:rPr>
                        <w:color w:val="30849B"/>
                        <w:sz w:val="24"/>
                      </w:rPr>
                      <w:t>zona</w:t>
                    </w:r>
                    <w:r>
                      <w:rPr>
                        <w:color w:val="30849B"/>
                        <w:spacing w:val="-12"/>
                        <w:sz w:val="24"/>
                      </w:rPr>
                      <w:t> </w:t>
                    </w:r>
                    <w:r>
                      <w:rPr>
                        <w:color w:val="30849B"/>
                        <w:sz w:val="24"/>
                      </w:rPr>
                      <w:t>radiolucida</w:t>
                    </w:r>
                    <w:r>
                      <w:rPr>
                        <w:color w:val="30849B"/>
                        <w:spacing w:val="-13"/>
                        <w:sz w:val="24"/>
                      </w:rPr>
                      <w:t> </w:t>
                    </w:r>
                    <w:r>
                      <w:rPr>
                        <w:color w:val="30849B"/>
                        <w:sz w:val="24"/>
                      </w:rPr>
                      <w:t>a</w:t>
                    </w:r>
                    <w:r>
                      <w:rPr>
                        <w:color w:val="30849B"/>
                        <w:spacing w:val="-12"/>
                        <w:sz w:val="24"/>
                      </w:rPr>
                      <w:t> </w:t>
                    </w:r>
                    <w:r>
                      <w:rPr>
                        <w:color w:val="30849B"/>
                        <w:sz w:val="24"/>
                      </w:rPr>
                      <w:t>nivel</w:t>
                    </w:r>
                    <w:r>
                      <w:rPr>
                        <w:color w:val="30849B"/>
                        <w:spacing w:val="-13"/>
                        <w:sz w:val="24"/>
                      </w:rPr>
                      <w:t> </w:t>
                    </w:r>
                    <w:r>
                      <w:rPr>
                        <w:color w:val="30849B"/>
                        <w:sz w:val="24"/>
                      </w:rPr>
                      <w:t>apical</w:t>
                    </w:r>
                    <w:r>
                      <w:rPr>
                        <w:color w:val="30849B"/>
                        <w:spacing w:val="-14"/>
                        <w:sz w:val="24"/>
                      </w:rPr>
                      <w:t> </w:t>
                    </w:r>
                    <w:r>
                      <w:rPr>
                        <w:color w:val="30849B"/>
                        <w:sz w:val="24"/>
                      </w:rPr>
                      <w:t>y</w:t>
                    </w:r>
                    <w:r>
                      <w:rPr>
                        <w:color w:val="30849B"/>
                        <w:spacing w:val="-14"/>
                        <w:sz w:val="24"/>
                      </w:rPr>
                      <w:t> </w:t>
                    </w:r>
                    <w:r>
                      <w:rPr>
                        <w:color w:val="30849B"/>
                        <w:sz w:val="24"/>
                      </w:rPr>
                      <w:t>el</w:t>
                    </w:r>
                  </w:p>
                  <w:p>
                    <w:pPr>
                      <w:spacing w:line="410" w:lineRule="atLeast" w:before="5"/>
                      <w:ind w:left="0" w:right="0" w:firstLine="0"/>
                      <w:jc w:val="left"/>
                      <w:rPr>
                        <w:sz w:val="24"/>
                      </w:rPr>
                    </w:pPr>
                    <w:r>
                      <w:rPr>
                        <w:color w:val="30849B"/>
                        <w:sz w:val="24"/>
                      </w:rPr>
                      <w:t>espacio del ligamento periodontal se encuentra ensanchado.</w:t>
                    </w:r>
                  </w:p>
                </w:txbxContent>
              </v:textbox>
              <w10:wrap type="none"/>
            </v:shape>
            <w10:wrap type="topAndBottom"/>
          </v:group>
        </w:pict>
      </w:r>
    </w:p>
    <w:p>
      <w:pPr>
        <w:pStyle w:val="BodyText"/>
        <w:tabs>
          <w:tab w:pos="4012" w:val="left" w:leader="none"/>
        </w:tabs>
        <w:spacing w:line="245" w:lineRule="exact"/>
        <w:ind w:left="4012" w:hanging="2127"/>
      </w:pPr>
      <w:r>
        <w:rPr>
          <w:b/>
          <w:color w:val="30849B"/>
        </w:rPr>
        <w:t>14</w:t>
        <w:tab/>
      </w:r>
      <w:r>
        <w:rPr>
          <w:color w:val="30849B"/>
        </w:rPr>
        <w:t>Corona   integra,   cámara   pulpar   amplia,</w:t>
      </w:r>
      <w:r>
        <w:rPr>
          <w:color w:val="30849B"/>
          <w:spacing w:val="27"/>
        </w:rPr>
        <w:t> </w:t>
      </w:r>
      <w:r>
        <w:rPr>
          <w:color w:val="30849B"/>
        </w:rPr>
        <w:t>raíz</w:t>
      </w:r>
    </w:p>
    <w:p>
      <w:pPr>
        <w:pStyle w:val="BodyText"/>
        <w:spacing w:line="360" w:lineRule="auto" w:before="137"/>
        <w:ind w:left="4012" w:right="157"/>
      </w:pPr>
      <w:r>
        <w:rPr>
          <w:color w:val="30849B"/>
        </w:rPr>
        <w:t>amplia, conducto pulpar amplio y el espacio del ligamento periodontal se encuentra ensanchado.</w:t>
      </w:r>
    </w:p>
    <w:p>
      <w:pPr>
        <w:pStyle w:val="BodyText"/>
        <w:spacing w:before="9"/>
        <w:rPr>
          <w:sz w:val="20"/>
        </w:rPr>
      </w:pPr>
      <w:r>
        <w:rPr/>
        <w:pict>
          <v:group style="position:absolute;margin-left:70.944pt;margin-top:13.913905pt;width:456.1pt;height:103.6pt;mso-position-horizontal-relative:page;mso-position-vertical-relative:paragraph;z-index:1816;mso-wrap-distance-left:0;mso-wrap-distance-right:0" coordorigin="1419,278" coordsize="9122,2072">
            <v:rect style="position:absolute;left:1419;top:278;width:108;height:415" filled="true" fillcolor="#d2eaf0" stroked="false">
              <v:fill type="solid"/>
            </v:rect>
            <v:rect style="position:absolute;left:4357;top:278;width:108;height:415" filled="true" fillcolor="#d2eaf0" stroked="false">
              <v:fill type="solid"/>
            </v:rect>
            <v:rect style="position:absolute;left:1419;top:693;width:3046;height:1656" filled="true" fillcolor="#d2eaf0" stroked="false">
              <v:fill type="solid"/>
            </v:rect>
            <v:rect style="position:absolute;left:1527;top:278;width:2830;height:415" filled="true" fillcolor="#d2eaf0" stroked="false">
              <v:fill type="solid"/>
            </v:rect>
            <v:rect style="position:absolute;left:4465;top:278;width:108;height:2072" filled="true" fillcolor="#d2eaf0" stroked="false">
              <v:fill type="solid"/>
            </v:rect>
            <v:rect style="position:absolute;left:10432;top:278;width:108;height:2072" filled="true" fillcolor="#d2eaf0" stroked="false">
              <v:fill type="solid"/>
            </v:rect>
            <v:rect style="position:absolute;left:4573;top:278;width:5859;height:415" filled="true" fillcolor="#d2eaf0" stroked="false">
              <v:fill type="solid"/>
            </v:rect>
            <v:rect style="position:absolute;left:4573;top:693;width:5859;height:413" filled="true" fillcolor="#d2eaf0" stroked="false">
              <v:fill type="solid"/>
            </v:rect>
            <v:rect style="position:absolute;left:4573;top:1106;width:5859;height:415" filled="true" fillcolor="#d2eaf0" stroked="false">
              <v:fill type="solid"/>
            </v:rect>
            <v:rect style="position:absolute;left:4573;top:1521;width:5859;height:413" filled="true" fillcolor="#d2eaf0" stroked="false">
              <v:fill type="solid"/>
            </v:rect>
            <v:rect style="position:absolute;left:4573;top:1934;width:5859;height:416" filled="true" fillcolor="#d2eaf0" stroked="false">
              <v:fill type="solid"/>
            </v:rect>
            <v:shape style="position:absolute;left:3168;top:307;width:269;height:240" type="#_x0000_t202" filled="false" stroked="false">
              <v:textbox inset="0,0,0,0">
                <w:txbxContent>
                  <w:p>
                    <w:pPr>
                      <w:spacing w:line="240" w:lineRule="exact" w:before="0"/>
                      <w:ind w:left="0" w:right="-18" w:firstLine="0"/>
                      <w:jc w:val="left"/>
                      <w:rPr>
                        <w:b/>
                        <w:sz w:val="24"/>
                      </w:rPr>
                    </w:pPr>
                    <w:r>
                      <w:rPr>
                        <w:b/>
                        <w:color w:val="30849B"/>
                        <w:sz w:val="24"/>
                      </w:rPr>
                      <w:t>15</w:t>
                    </w:r>
                  </w:p>
                </w:txbxContent>
              </v:textbox>
              <w10:wrap type="none"/>
            </v:shape>
            <v:shape style="position:absolute;left:5293;top:307;width:5138;height:1484" type="#_x0000_t202" filled="false" stroked="false">
              <v:textbox inset="0,0,0,0">
                <w:txbxContent>
                  <w:p>
                    <w:pPr>
                      <w:spacing w:line="245" w:lineRule="exact" w:before="0"/>
                      <w:ind w:left="0" w:right="0" w:firstLine="0"/>
                      <w:jc w:val="left"/>
                      <w:rPr>
                        <w:sz w:val="24"/>
                      </w:rPr>
                    </w:pPr>
                    <w:r>
                      <w:rPr>
                        <w:color w:val="30849B"/>
                        <w:sz w:val="24"/>
                      </w:rPr>
                      <w:t>Destrucción  coronaria,  raíz  amplia,   conducto</w:t>
                    </w:r>
                  </w:p>
                  <w:p>
                    <w:pPr>
                      <w:spacing w:line="360" w:lineRule="auto" w:before="139"/>
                      <w:ind w:left="0" w:right="0" w:firstLine="0"/>
                      <w:jc w:val="left"/>
                      <w:rPr>
                        <w:sz w:val="24"/>
                      </w:rPr>
                    </w:pPr>
                    <w:r>
                      <w:rPr>
                        <w:color w:val="30849B"/>
                        <w:sz w:val="24"/>
                      </w:rPr>
                      <w:t>pulpar estrecho y el espacio del ligamento periodontal   se   encuentra   ensanchado, zona</w:t>
                    </w:r>
                  </w:p>
                  <w:p>
                    <w:pPr>
                      <w:spacing w:line="271" w:lineRule="exact" w:before="5"/>
                      <w:ind w:left="0" w:right="0" w:firstLine="0"/>
                      <w:jc w:val="left"/>
                      <w:rPr>
                        <w:sz w:val="24"/>
                      </w:rPr>
                    </w:pPr>
                    <w:r>
                      <w:rPr>
                        <w:color w:val="30849B"/>
                        <w:sz w:val="24"/>
                      </w:rPr>
                      <w:t>radiolucida a nivel apical</w:t>
                    </w:r>
                  </w:p>
                </w:txbxContent>
              </v:textbox>
              <w10:wrap type="none"/>
            </v:shape>
            <w10:wrap type="topAndBottom"/>
          </v:group>
        </w:pict>
      </w:r>
    </w:p>
    <w:p>
      <w:pPr>
        <w:pStyle w:val="BodyText"/>
        <w:tabs>
          <w:tab w:pos="4012" w:val="left" w:leader="none"/>
          <w:tab w:pos="5012" w:val="left" w:leader="none"/>
          <w:tab w:pos="5746" w:val="left" w:leader="none"/>
          <w:tab w:pos="7183" w:val="left" w:leader="none"/>
          <w:tab w:pos="8257" w:val="left" w:leader="none"/>
        </w:tabs>
        <w:spacing w:line="245" w:lineRule="exact"/>
        <w:ind w:left="4012" w:hanging="2125"/>
      </w:pPr>
      <w:r>
        <w:rPr>
          <w:b/>
          <w:color w:val="30849B"/>
        </w:rPr>
        <w:t>16</w:t>
        <w:tab/>
      </w:r>
      <w:r>
        <w:rPr>
          <w:color w:val="30849B"/>
        </w:rPr>
        <w:t>Corona</w:t>
        <w:tab/>
        <w:t>zona</w:t>
        <w:tab/>
        <w:t>radiolucida,</w:t>
        <w:tab/>
        <w:t>raíces</w:t>
        <w:tab/>
        <w:t>amplias,</w:t>
      </w:r>
    </w:p>
    <w:p>
      <w:pPr>
        <w:pStyle w:val="BodyText"/>
        <w:spacing w:line="360" w:lineRule="auto" w:before="137"/>
        <w:ind w:left="4012"/>
      </w:pPr>
      <w:r>
        <w:rPr>
          <w:color w:val="30849B"/>
        </w:rPr>
        <w:t>conductos pulpares estrechos y el espacio del ligamento periodontal se encuentra ensanchado</w:t>
      </w:r>
    </w:p>
    <w:p>
      <w:pPr>
        <w:pStyle w:val="BodyText"/>
        <w:spacing w:before="11"/>
        <w:rPr>
          <w:sz w:val="20"/>
        </w:rPr>
      </w:pPr>
      <w:r>
        <w:rPr/>
        <w:pict>
          <v:group style="position:absolute;margin-left:69.723999pt;margin-top:14.013907pt;width:457.8pt;height:1pt;mso-position-horizontal-relative:page;mso-position-vertical-relative:paragraph;z-index:1840;mso-wrap-distance-left:0;mso-wrap-distance-right:0" coordorigin="1394,280" coordsize="9156,20">
            <v:line style="position:absolute" from="1404,290" to="4465,290" stroked="true" strokeweight=".96002pt" strokecolor="#4aacc5"/>
            <v:line style="position:absolute" from="4451,290" to="4470,290" stroked="true" strokeweight=".96002pt" strokecolor="#4aacc5"/>
            <v:line style="position:absolute" from="4470,290" to="10540,290" stroked="true" strokeweight=".96002pt" strokecolor="#4aacc5"/>
            <w10:wrap type="topAndBottom"/>
          </v:group>
        </w:pict>
      </w:r>
    </w:p>
    <w:p>
      <w:pPr>
        <w:spacing w:line="198" w:lineRule="exact" w:before="0"/>
        <w:ind w:left="858" w:right="0" w:firstLine="0"/>
        <w:jc w:val="left"/>
        <w:rPr>
          <w:sz w:val="20"/>
        </w:rPr>
      </w:pPr>
      <w:r>
        <w:rPr>
          <w:sz w:val="20"/>
        </w:rPr>
        <w:t>Fuente Propia.</w:t>
      </w:r>
    </w:p>
    <w:p>
      <w:pPr>
        <w:spacing w:after="0" w:line="198" w:lineRule="exact"/>
        <w:jc w:val="left"/>
        <w:rPr>
          <w:sz w:val="20"/>
        </w:rPr>
        <w:sectPr>
          <w:pgSz w:w="12240" w:h="15840"/>
          <w:pgMar w:header="749" w:footer="1003" w:top="960" w:bottom="1200" w:left="1280" w:right="1580"/>
        </w:sectPr>
      </w:pPr>
    </w:p>
    <w:p>
      <w:pPr>
        <w:pStyle w:val="BodyText"/>
        <w:rPr>
          <w:sz w:val="20"/>
        </w:rPr>
      </w:pPr>
    </w:p>
    <w:p>
      <w:pPr>
        <w:pStyle w:val="BodyText"/>
        <w:rPr>
          <w:sz w:val="20"/>
        </w:rPr>
      </w:pPr>
    </w:p>
    <w:p>
      <w:pPr>
        <w:pStyle w:val="BodyText"/>
        <w:rPr>
          <w:sz w:val="20"/>
        </w:rPr>
      </w:pPr>
    </w:p>
    <w:p>
      <w:pPr>
        <w:pStyle w:val="BodyText"/>
        <w:spacing w:before="5" w:after="1"/>
        <w:rPr>
          <w:sz w:val="14"/>
        </w:rPr>
      </w:pPr>
    </w:p>
    <w:p>
      <w:pPr>
        <w:pStyle w:val="BodyText"/>
        <w:ind w:left="1817"/>
        <w:rPr>
          <w:sz w:val="20"/>
        </w:rPr>
      </w:pPr>
      <w:r>
        <w:rPr>
          <w:sz w:val="20"/>
        </w:rPr>
        <w:drawing>
          <wp:inline distT="0" distB="0" distL="0" distR="0">
            <wp:extent cx="3724235" cy="2734055"/>
            <wp:effectExtent l="0" t="0" r="0" b="0"/>
            <wp:docPr id="35" name="image22.png" descr=""/>
            <wp:cNvGraphicFramePr>
              <a:graphicFrameLocks noChangeAspect="1"/>
            </wp:cNvGraphicFramePr>
            <a:graphic>
              <a:graphicData uri="http://schemas.openxmlformats.org/drawingml/2006/picture">
                <pic:pic>
                  <pic:nvPicPr>
                    <pic:cNvPr id="36" name="image22.png"/>
                    <pic:cNvPicPr/>
                  </pic:nvPicPr>
                  <pic:blipFill>
                    <a:blip r:embed="rId37" cstate="print"/>
                    <a:stretch>
                      <a:fillRect/>
                    </a:stretch>
                  </pic:blipFill>
                  <pic:spPr>
                    <a:xfrm>
                      <a:off x="0" y="0"/>
                      <a:ext cx="3724235" cy="2734055"/>
                    </a:xfrm>
                    <a:prstGeom prst="rect">
                      <a:avLst/>
                    </a:prstGeom>
                  </pic:spPr>
                </pic:pic>
              </a:graphicData>
            </a:graphic>
          </wp:inline>
        </w:drawing>
      </w:r>
      <w:r>
        <w:rPr>
          <w:sz w:val="20"/>
        </w:rPr>
      </w:r>
    </w:p>
    <w:p>
      <w:pPr>
        <w:spacing w:line="360" w:lineRule="auto" w:before="120"/>
        <w:ind w:left="838" w:right="194" w:firstLine="0"/>
        <w:jc w:val="left"/>
        <w:rPr>
          <w:sz w:val="20"/>
        </w:rPr>
      </w:pPr>
      <w:r>
        <w:rPr>
          <w:sz w:val="20"/>
        </w:rPr>
        <w:t>Fig. 18 Radiografía inicial de la zona donde se refería presentaba sintomatología, podemos observar afectados los  OD  con número 16, 15, 14.</w:t>
      </w:r>
    </w:p>
    <w:p>
      <w:pPr>
        <w:pStyle w:val="BodyText"/>
        <w:spacing w:before="11"/>
        <w:rPr>
          <w:sz w:val="27"/>
        </w:rPr>
      </w:pPr>
      <w:r>
        <w:rPr/>
        <w:drawing>
          <wp:anchor distT="0" distB="0" distL="0" distR="0" allowOverlap="1" layoutInCell="1" locked="0" behindDoc="0" simplePos="0" relativeHeight="1864">
            <wp:simplePos x="0" y="0"/>
            <wp:positionH relativeFrom="page">
              <wp:posOffset>2336292</wp:posOffset>
            </wp:positionH>
            <wp:positionV relativeFrom="paragraph">
              <wp:posOffset>229170</wp:posOffset>
            </wp:positionV>
            <wp:extent cx="3267263" cy="3739896"/>
            <wp:effectExtent l="0" t="0" r="0" b="0"/>
            <wp:wrapTopAndBottom/>
            <wp:docPr id="37" name="image23.png" descr=""/>
            <wp:cNvGraphicFramePr>
              <a:graphicFrameLocks noChangeAspect="1"/>
            </wp:cNvGraphicFramePr>
            <a:graphic>
              <a:graphicData uri="http://schemas.openxmlformats.org/drawingml/2006/picture">
                <pic:pic>
                  <pic:nvPicPr>
                    <pic:cNvPr id="38" name="image23.png"/>
                    <pic:cNvPicPr/>
                  </pic:nvPicPr>
                  <pic:blipFill>
                    <a:blip r:embed="rId38" cstate="print"/>
                    <a:stretch>
                      <a:fillRect/>
                    </a:stretch>
                  </pic:blipFill>
                  <pic:spPr>
                    <a:xfrm>
                      <a:off x="0" y="0"/>
                      <a:ext cx="3267263" cy="3739896"/>
                    </a:xfrm>
                    <a:prstGeom prst="rect">
                      <a:avLst/>
                    </a:prstGeom>
                  </pic:spPr>
                </pic:pic>
              </a:graphicData>
            </a:graphic>
          </wp:anchor>
        </w:drawing>
      </w:r>
    </w:p>
    <w:p>
      <w:pPr>
        <w:spacing w:line="360" w:lineRule="auto" w:before="133"/>
        <w:ind w:left="3210" w:right="194" w:hanging="2975"/>
        <w:jc w:val="left"/>
        <w:rPr>
          <w:sz w:val="20"/>
        </w:rPr>
      </w:pPr>
      <w:r>
        <w:rPr>
          <w:sz w:val="20"/>
        </w:rPr>
        <w:t>Fig. 19 Radiografía inicial en la cual, se realiza un Fistulograma ya que clínicamente se observó un tracto sinusal  a nivel del  OD 21.</w:t>
      </w:r>
    </w:p>
    <w:p>
      <w:pPr>
        <w:spacing w:after="0" w:line="360" w:lineRule="auto"/>
        <w:jc w:val="left"/>
        <w:rPr>
          <w:sz w:val="20"/>
        </w:rPr>
        <w:sectPr>
          <w:footerReference w:type="default" r:id="rId36"/>
          <w:pgSz w:w="12240" w:h="15840"/>
          <w:pgMar w:footer="1003" w:header="749" w:top="960" w:bottom="1200" w:left="1300" w:right="1580"/>
        </w:sectPr>
      </w:pPr>
    </w:p>
    <w:p>
      <w:pPr>
        <w:pStyle w:val="BodyText"/>
        <w:rPr>
          <w:sz w:val="20"/>
        </w:rPr>
      </w:pPr>
    </w:p>
    <w:p>
      <w:pPr>
        <w:pStyle w:val="BodyText"/>
        <w:rPr>
          <w:sz w:val="20"/>
        </w:rPr>
      </w:pPr>
    </w:p>
    <w:p>
      <w:pPr>
        <w:pStyle w:val="BodyText"/>
        <w:spacing w:before="5"/>
        <w:rPr>
          <w:sz w:val="17"/>
        </w:rPr>
      </w:pPr>
    </w:p>
    <w:p>
      <w:pPr>
        <w:pStyle w:val="Heading2"/>
        <w:numPr>
          <w:ilvl w:val="1"/>
          <w:numId w:val="13"/>
        </w:numPr>
        <w:tabs>
          <w:tab w:pos="543" w:val="left" w:leader="none"/>
        </w:tabs>
        <w:spacing w:line="240" w:lineRule="auto" w:before="70" w:after="0"/>
        <w:ind w:left="542" w:right="0" w:hanging="404"/>
        <w:jc w:val="left"/>
      </w:pPr>
      <w:r>
        <w:rPr/>
        <w:t>Diagnóstico.</w:t>
      </w:r>
    </w:p>
    <w:p>
      <w:pPr>
        <w:pStyle w:val="BodyText"/>
        <w:rPr>
          <w:b/>
        </w:rPr>
      </w:pPr>
    </w:p>
    <w:p>
      <w:pPr>
        <w:pStyle w:val="BodyText"/>
        <w:rPr>
          <w:b/>
        </w:rPr>
      </w:pPr>
    </w:p>
    <w:p>
      <w:pPr>
        <w:pStyle w:val="BodyText"/>
        <w:spacing w:line="360" w:lineRule="auto"/>
        <w:ind w:left="138"/>
      </w:pPr>
      <w:r>
        <w:rPr/>
        <w:t>La siguiente tabla nos indica el diagnóstico pulpar y periapical, de cada uno de los órganos dentarios (OD) afectados.</w:t>
      </w:r>
    </w:p>
    <w:p>
      <w:pPr>
        <w:pStyle w:val="BodyText"/>
        <w:rPr>
          <w:sz w:val="20"/>
        </w:rPr>
      </w:pPr>
    </w:p>
    <w:p>
      <w:pPr>
        <w:pStyle w:val="BodyText"/>
        <w:spacing w:before="5" w:after="1"/>
        <w:rPr>
          <w:sz w:val="16"/>
        </w:rPr>
      </w:pPr>
    </w:p>
    <w:tbl>
      <w:tblPr>
        <w:tblW w:w="0" w:type="auto"/>
        <w:jc w:val="left"/>
        <w:tblInd w:w="138"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223"/>
        <w:gridCol w:w="4109"/>
        <w:gridCol w:w="3790"/>
      </w:tblGrid>
      <w:tr>
        <w:trPr>
          <w:trHeight w:val="474" w:hRule="exact"/>
        </w:trPr>
        <w:tc>
          <w:tcPr>
            <w:tcW w:w="1223" w:type="dxa"/>
            <w:tcBorders>
              <w:top w:val="single" w:sz="8" w:space="0" w:color="4AACC5"/>
              <w:bottom w:val="single" w:sz="8" w:space="0" w:color="4AACC5"/>
            </w:tcBorders>
          </w:tcPr>
          <w:p>
            <w:pPr>
              <w:pStyle w:val="TableParagraph"/>
              <w:ind w:left="107"/>
              <w:rPr>
                <w:b/>
                <w:sz w:val="24"/>
              </w:rPr>
            </w:pPr>
            <w:r>
              <w:rPr>
                <w:b/>
                <w:color w:val="30849B"/>
                <w:sz w:val="24"/>
              </w:rPr>
              <w:t>OD</w:t>
            </w:r>
          </w:p>
        </w:tc>
        <w:tc>
          <w:tcPr>
            <w:tcW w:w="4109" w:type="dxa"/>
            <w:tcBorders>
              <w:top w:val="single" w:sz="8" w:space="0" w:color="4AACC5"/>
              <w:bottom w:val="single" w:sz="8" w:space="0" w:color="4AACC5"/>
            </w:tcBorders>
          </w:tcPr>
          <w:p>
            <w:pPr>
              <w:pStyle w:val="TableParagraph"/>
              <w:ind w:left="754" w:right="146"/>
              <w:rPr>
                <w:b/>
                <w:sz w:val="24"/>
              </w:rPr>
            </w:pPr>
            <w:r>
              <w:rPr>
                <w:b/>
                <w:color w:val="30849B"/>
                <w:sz w:val="24"/>
              </w:rPr>
              <w:t>Diagnóstico pulpar</w:t>
            </w:r>
          </w:p>
        </w:tc>
        <w:tc>
          <w:tcPr>
            <w:tcW w:w="3790" w:type="dxa"/>
            <w:tcBorders>
              <w:top w:val="single" w:sz="8" w:space="0" w:color="4AACC5"/>
              <w:bottom w:val="single" w:sz="8" w:space="0" w:color="4AACC5"/>
            </w:tcBorders>
          </w:tcPr>
          <w:p>
            <w:pPr>
              <w:pStyle w:val="TableParagraph"/>
              <w:ind w:left="232"/>
              <w:rPr>
                <w:b/>
                <w:sz w:val="24"/>
              </w:rPr>
            </w:pPr>
            <w:r>
              <w:rPr>
                <w:b/>
                <w:color w:val="30849B"/>
                <w:sz w:val="24"/>
              </w:rPr>
              <w:t>Diagnóstico periapical.</w:t>
            </w:r>
          </w:p>
        </w:tc>
      </w:tr>
      <w:tr>
        <w:trPr>
          <w:trHeight w:val="1022" w:hRule="exact"/>
        </w:trPr>
        <w:tc>
          <w:tcPr>
            <w:tcW w:w="1223" w:type="dxa"/>
            <w:tcBorders>
              <w:top w:val="single" w:sz="8" w:space="0" w:color="4AACC5"/>
            </w:tcBorders>
            <w:shd w:val="clear" w:color="auto" w:fill="D2EAF0"/>
          </w:tcPr>
          <w:p>
            <w:pPr>
              <w:pStyle w:val="TableParagraph"/>
              <w:spacing w:line="275" w:lineRule="exact"/>
              <w:ind w:left="107"/>
              <w:rPr>
                <w:b/>
                <w:sz w:val="24"/>
              </w:rPr>
            </w:pPr>
            <w:r>
              <w:rPr>
                <w:b/>
                <w:color w:val="30849B"/>
                <w:sz w:val="24"/>
              </w:rPr>
              <w:t>21</w:t>
            </w:r>
          </w:p>
        </w:tc>
        <w:tc>
          <w:tcPr>
            <w:tcW w:w="4109" w:type="dxa"/>
            <w:tcBorders>
              <w:top w:val="single" w:sz="8" w:space="0" w:color="4AACC5"/>
            </w:tcBorders>
            <w:shd w:val="clear" w:color="auto" w:fill="D2EAF0"/>
          </w:tcPr>
          <w:p>
            <w:pPr>
              <w:pStyle w:val="TableParagraph"/>
              <w:spacing w:line="360" w:lineRule="auto"/>
              <w:ind w:left="754" w:right="146"/>
              <w:rPr>
                <w:sz w:val="24"/>
              </w:rPr>
            </w:pPr>
            <w:r>
              <w:rPr>
                <w:color w:val="30849B"/>
                <w:sz w:val="24"/>
              </w:rPr>
              <w:t>Necrosis pulpar (presencia de tracto sinuoso)</w:t>
            </w:r>
          </w:p>
        </w:tc>
        <w:tc>
          <w:tcPr>
            <w:tcW w:w="3790" w:type="dxa"/>
            <w:tcBorders>
              <w:top w:val="single" w:sz="8" w:space="0" w:color="4AACC5"/>
            </w:tcBorders>
            <w:shd w:val="clear" w:color="auto" w:fill="D2EAF0"/>
          </w:tcPr>
          <w:p>
            <w:pPr>
              <w:pStyle w:val="TableParagraph"/>
              <w:spacing w:line="275" w:lineRule="exact"/>
              <w:ind w:left="165"/>
              <w:rPr>
                <w:sz w:val="24"/>
              </w:rPr>
            </w:pPr>
            <w:r>
              <w:rPr>
                <w:color w:val="30849B"/>
                <w:sz w:val="24"/>
              </w:rPr>
              <w:t>Periodontitis apical sintomática</w:t>
            </w:r>
          </w:p>
        </w:tc>
      </w:tr>
      <w:tr>
        <w:trPr>
          <w:trHeight w:val="864" w:hRule="exact"/>
        </w:trPr>
        <w:tc>
          <w:tcPr>
            <w:tcW w:w="1223" w:type="dxa"/>
          </w:tcPr>
          <w:p>
            <w:pPr>
              <w:pStyle w:val="TableParagraph"/>
              <w:spacing w:line="274" w:lineRule="exact"/>
              <w:ind w:left="107"/>
              <w:rPr>
                <w:b/>
                <w:sz w:val="24"/>
              </w:rPr>
            </w:pPr>
            <w:r>
              <w:rPr>
                <w:b/>
                <w:color w:val="30849B"/>
                <w:sz w:val="24"/>
              </w:rPr>
              <w:t>14</w:t>
            </w:r>
          </w:p>
        </w:tc>
        <w:tc>
          <w:tcPr>
            <w:tcW w:w="4109" w:type="dxa"/>
          </w:tcPr>
          <w:p>
            <w:pPr>
              <w:pStyle w:val="TableParagraph"/>
              <w:spacing w:line="360" w:lineRule="auto"/>
              <w:ind w:left="754" w:right="626"/>
              <w:rPr>
                <w:sz w:val="24"/>
              </w:rPr>
            </w:pPr>
            <w:r>
              <w:rPr>
                <w:color w:val="30849B"/>
                <w:sz w:val="24"/>
              </w:rPr>
              <w:t>Necrosis pulpar (absceso apical crónico)</w:t>
            </w:r>
          </w:p>
        </w:tc>
        <w:tc>
          <w:tcPr>
            <w:tcW w:w="3790" w:type="dxa"/>
          </w:tcPr>
          <w:p>
            <w:pPr>
              <w:pStyle w:val="TableParagraph"/>
              <w:spacing w:line="274" w:lineRule="exact"/>
              <w:ind w:left="165"/>
              <w:rPr>
                <w:sz w:val="24"/>
              </w:rPr>
            </w:pPr>
            <w:r>
              <w:rPr>
                <w:color w:val="30849B"/>
                <w:sz w:val="24"/>
              </w:rPr>
              <w:t>Periodontitis apical sintomática</w:t>
            </w:r>
          </w:p>
        </w:tc>
      </w:tr>
      <w:tr>
        <w:trPr>
          <w:trHeight w:val="1284" w:hRule="exact"/>
        </w:trPr>
        <w:tc>
          <w:tcPr>
            <w:tcW w:w="1223" w:type="dxa"/>
            <w:shd w:val="clear" w:color="auto" w:fill="D2EAF0"/>
          </w:tcPr>
          <w:p>
            <w:pPr>
              <w:pStyle w:val="TableParagraph"/>
              <w:spacing w:line="274" w:lineRule="exact"/>
              <w:ind w:left="107"/>
              <w:rPr>
                <w:b/>
                <w:sz w:val="24"/>
              </w:rPr>
            </w:pPr>
            <w:r>
              <w:rPr>
                <w:b/>
                <w:color w:val="30849B"/>
                <w:sz w:val="24"/>
              </w:rPr>
              <w:t>15</w:t>
            </w:r>
          </w:p>
        </w:tc>
        <w:tc>
          <w:tcPr>
            <w:tcW w:w="4109" w:type="dxa"/>
            <w:shd w:val="clear" w:color="auto" w:fill="D2EAF0"/>
          </w:tcPr>
          <w:p>
            <w:pPr>
              <w:pStyle w:val="TableParagraph"/>
              <w:spacing w:line="274" w:lineRule="exact"/>
              <w:ind w:left="754" w:right="146"/>
              <w:rPr>
                <w:sz w:val="24"/>
              </w:rPr>
            </w:pPr>
            <w:r>
              <w:rPr>
                <w:color w:val="30849B"/>
                <w:sz w:val="24"/>
              </w:rPr>
              <w:t>Pulpitis Irreversible</w:t>
            </w:r>
          </w:p>
        </w:tc>
        <w:tc>
          <w:tcPr>
            <w:tcW w:w="3790" w:type="dxa"/>
            <w:shd w:val="clear" w:color="auto" w:fill="D2EAF0"/>
          </w:tcPr>
          <w:p>
            <w:pPr>
              <w:pStyle w:val="TableParagraph"/>
              <w:spacing w:line="274" w:lineRule="exact"/>
              <w:ind w:left="165"/>
              <w:rPr>
                <w:sz w:val="24"/>
              </w:rPr>
            </w:pPr>
            <w:r>
              <w:rPr>
                <w:color w:val="30849B"/>
                <w:sz w:val="24"/>
              </w:rPr>
              <w:t>Periodontitis apical sintomática</w:t>
            </w:r>
          </w:p>
        </w:tc>
      </w:tr>
      <w:tr>
        <w:trPr>
          <w:trHeight w:val="269" w:hRule="exact"/>
        </w:trPr>
        <w:tc>
          <w:tcPr>
            <w:tcW w:w="1223" w:type="dxa"/>
          </w:tcPr>
          <w:p>
            <w:pPr>
              <w:pStyle w:val="TableParagraph"/>
              <w:spacing w:line="274" w:lineRule="exact"/>
              <w:ind w:left="107"/>
              <w:rPr>
                <w:b/>
                <w:sz w:val="24"/>
              </w:rPr>
            </w:pPr>
            <w:r>
              <w:rPr>
                <w:b/>
                <w:color w:val="30849B"/>
                <w:sz w:val="24"/>
              </w:rPr>
              <w:t>16</w:t>
            </w:r>
          </w:p>
        </w:tc>
        <w:tc>
          <w:tcPr>
            <w:tcW w:w="4109" w:type="dxa"/>
          </w:tcPr>
          <w:p>
            <w:pPr>
              <w:pStyle w:val="TableParagraph"/>
              <w:spacing w:line="274" w:lineRule="exact"/>
              <w:ind w:left="754" w:right="146"/>
              <w:rPr>
                <w:sz w:val="24"/>
              </w:rPr>
            </w:pPr>
            <w:r>
              <w:rPr>
                <w:color w:val="30849B"/>
                <w:sz w:val="24"/>
              </w:rPr>
              <w:t>Necrosis Pulpar</w:t>
            </w:r>
          </w:p>
        </w:tc>
        <w:tc>
          <w:tcPr>
            <w:tcW w:w="3790" w:type="dxa"/>
          </w:tcPr>
          <w:p>
            <w:pPr>
              <w:pStyle w:val="TableParagraph"/>
              <w:spacing w:line="274" w:lineRule="exact"/>
              <w:ind w:left="165"/>
              <w:rPr>
                <w:sz w:val="24"/>
              </w:rPr>
            </w:pPr>
            <w:r>
              <w:rPr>
                <w:color w:val="30849B"/>
                <w:sz w:val="24"/>
              </w:rPr>
              <w:t>Periodontitis apical sintomática</w:t>
            </w:r>
          </w:p>
        </w:tc>
      </w:tr>
    </w:tbl>
    <w:p>
      <w:pPr>
        <w:pStyle w:val="BodyText"/>
        <w:rPr>
          <w:sz w:val="20"/>
        </w:rPr>
      </w:pPr>
    </w:p>
    <w:p>
      <w:pPr>
        <w:pStyle w:val="BodyText"/>
        <w:rPr>
          <w:sz w:val="20"/>
        </w:rPr>
      </w:pPr>
    </w:p>
    <w:p>
      <w:pPr>
        <w:pStyle w:val="BodyText"/>
        <w:spacing w:before="11"/>
        <w:rPr>
          <w:sz w:val="18"/>
        </w:rPr>
      </w:pPr>
      <w:r>
        <w:rPr/>
        <w:pict>
          <v:group style="position:absolute;margin-left:69.723999pt;margin-top:12.865734pt;width:457.8pt;height:1pt;mso-position-horizontal-relative:page;mso-position-vertical-relative:paragraph;z-index:1888;mso-wrap-distance-left:0;mso-wrap-distance-right:0" coordorigin="1394,257" coordsize="9156,20">
            <v:line style="position:absolute" from="1404,267" to="3288,267" stroked="true" strokeweight=".95999pt" strokecolor="#4aacc5"/>
            <v:line style="position:absolute" from="3274,267" to="3293,267" stroked="true" strokeweight=".95999pt" strokecolor="#4aacc5"/>
            <v:line style="position:absolute" from="3293,267" to="6808,267" stroked="true" strokeweight=".95999pt" strokecolor="#4aacc5"/>
            <v:line style="position:absolute" from="6793,267" to="6813,267" stroked="true" strokeweight=".95999pt" strokecolor="#4aacc5"/>
            <v:line style="position:absolute" from="6813,267" to="10540,267" stroked="true" strokeweight=".95999pt" strokecolor="#4aacc5"/>
            <w10:wrap type="topAndBottom"/>
          </v:group>
        </w:pict>
      </w:r>
    </w:p>
    <w:p>
      <w:pPr>
        <w:spacing w:line="198" w:lineRule="exact" w:before="0"/>
        <w:ind w:left="138" w:right="0" w:firstLine="0"/>
        <w:jc w:val="both"/>
        <w:rPr>
          <w:sz w:val="20"/>
        </w:rPr>
      </w:pPr>
      <w:r>
        <w:rPr>
          <w:sz w:val="20"/>
        </w:rPr>
        <w:t>Fuente propia.</w:t>
      </w:r>
    </w:p>
    <w:p>
      <w:pPr>
        <w:pStyle w:val="BodyText"/>
        <w:rPr>
          <w:sz w:val="20"/>
        </w:rPr>
      </w:pPr>
    </w:p>
    <w:p>
      <w:pPr>
        <w:pStyle w:val="BodyText"/>
        <w:spacing w:before="3"/>
        <w:rPr>
          <w:sz w:val="26"/>
        </w:rPr>
      </w:pPr>
    </w:p>
    <w:p>
      <w:pPr>
        <w:pStyle w:val="Heading2"/>
        <w:numPr>
          <w:ilvl w:val="1"/>
          <w:numId w:val="13"/>
        </w:numPr>
        <w:tabs>
          <w:tab w:pos="543" w:val="left" w:leader="none"/>
        </w:tabs>
        <w:spacing w:line="240" w:lineRule="auto" w:before="0" w:after="0"/>
        <w:ind w:left="542" w:right="0" w:hanging="404"/>
        <w:jc w:val="both"/>
      </w:pPr>
      <w:r>
        <w:rPr/>
        <w:t>Plan de</w:t>
      </w:r>
      <w:r>
        <w:rPr>
          <w:spacing w:val="-9"/>
        </w:rPr>
        <w:t> </w:t>
      </w:r>
      <w:r>
        <w:rPr/>
        <w:t>Tratamiento.</w:t>
      </w:r>
    </w:p>
    <w:p>
      <w:pPr>
        <w:pStyle w:val="BodyText"/>
        <w:rPr>
          <w:b/>
        </w:rPr>
      </w:pPr>
    </w:p>
    <w:p>
      <w:pPr>
        <w:pStyle w:val="BodyText"/>
        <w:rPr>
          <w:b/>
        </w:rPr>
      </w:pPr>
    </w:p>
    <w:p>
      <w:pPr>
        <w:pStyle w:val="BodyText"/>
        <w:spacing w:line="360" w:lineRule="auto"/>
        <w:ind w:left="138" w:right="119"/>
        <w:jc w:val="both"/>
      </w:pPr>
      <w:r>
        <w:rPr/>
        <w:t>La paciente acudió por presentar sintomatología en el OD 16, al momento de realizar la inspección, se encontraron otros órganos dentarios que requerían el tratamiento</w:t>
      </w:r>
      <w:r>
        <w:rPr>
          <w:spacing w:val="-36"/>
        </w:rPr>
        <w:t> </w:t>
      </w:r>
      <w:r>
        <w:rPr/>
        <w:t>de conductos, por lo que se planeó la realización de dichos tratamientos, comenzando por</w:t>
      </w:r>
      <w:r>
        <w:rPr>
          <w:spacing w:val="-5"/>
        </w:rPr>
        <w:t> </w:t>
      </w:r>
      <w:r>
        <w:rPr/>
        <w:t>resolver</w:t>
      </w:r>
      <w:r>
        <w:rPr>
          <w:spacing w:val="-5"/>
        </w:rPr>
        <w:t> </w:t>
      </w:r>
      <w:r>
        <w:rPr/>
        <w:t>el</w:t>
      </w:r>
      <w:r>
        <w:rPr>
          <w:spacing w:val="-7"/>
        </w:rPr>
        <w:t> </w:t>
      </w:r>
      <w:r>
        <w:rPr/>
        <w:t>problema</w:t>
      </w:r>
      <w:r>
        <w:rPr>
          <w:spacing w:val="-4"/>
        </w:rPr>
        <w:t> </w:t>
      </w:r>
      <w:r>
        <w:rPr/>
        <w:t>en</w:t>
      </w:r>
      <w:r>
        <w:rPr>
          <w:spacing w:val="-6"/>
        </w:rPr>
        <w:t> </w:t>
      </w:r>
      <w:r>
        <w:rPr/>
        <w:t>el</w:t>
      </w:r>
      <w:r>
        <w:rPr>
          <w:spacing w:val="-5"/>
        </w:rPr>
        <w:t> </w:t>
      </w:r>
      <w:r>
        <w:rPr/>
        <w:t>OD</w:t>
      </w:r>
      <w:r>
        <w:rPr>
          <w:spacing w:val="-7"/>
        </w:rPr>
        <w:t> </w:t>
      </w:r>
      <w:r>
        <w:rPr/>
        <w:t>16,</w:t>
      </w:r>
      <w:r>
        <w:rPr>
          <w:spacing w:val="-6"/>
        </w:rPr>
        <w:t> </w:t>
      </w:r>
      <w:r>
        <w:rPr/>
        <w:t>posteriormente</w:t>
      </w:r>
      <w:r>
        <w:rPr>
          <w:spacing w:val="-4"/>
        </w:rPr>
        <w:t> </w:t>
      </w:r>
      <w:r>
        <w:rPr/>
        <w:t>se</w:t>
      </w:r>
      <w:r>
        <w:rPr>
          <w:spacing w:val="-6"/>
        </w:rPr>
        <w:t> </w:t>
      </w:r>
      <w:r>
        <w:rPr/>
        <w:t>programaron</w:t>
      </w:r>
      <w:r>
        <w:rPr>
          <w:spacing w:val="-4"/>
        </w:rPr>
        <w:t> </w:t>
      </w:r>
      <w:r>
        <w:rPr/>
        <w:t>las</w:t>
      </w:r>
      <w:r>
        <w:rPr>
          <w:spacing w:val="-6"/>
        </w:rPr>
        <w:t> </w:t>
      </w:r>
      <w:r>
        <w:rPr/>
        <w:t>citas</w:t>
      </w:r>
      <w:r>
        <w:rPr>
          <w:spacing w:val="-7"/>
        </w:rPr>
        <w:t> </w:t>
      </w:r>
      <w:r>
        <w:rPr/>
        <w:t>para</w:t>
      </w:r>
      <w:r>
        <w:rPr>
          <w:spacing w:val="-7"/>
        </w:rPr>
        <w:t> </w:t>
      </w:r>
      <w:r>
        <w:rPr/>
        <w:t>el tratamiento de conductos de los OD 14, 15 y</w:t>
      </w:r>
      <w:r>
        <w:rPr>
          <w:spacing w:val="-19"/>
        </w:rPr>
        <w:t> </w:t>
      </w:r>
      <w:r>
        <w:rPr/>
        <w:t>21.</w:t>
      </w:r>
    </w:p>
    <w:p>
      <w:pPr>
        <w:spacing w:after="0" w:line="360" w:lineRule="auto"/>
        <w:jc w:val="both"/>
        <w:sectPr>
          <w:footerReference w:type="default" r:id="rId39"/>
          <w:pgSz w:w="12240" w:h="15840"/>
          <w:pgMar w:footer="1003" w:header="749" w:top="960" w:bottom="1200" w:left="1280" w:right="1580"/>
          <w:pgNumType w:start="51"/>
        </w:sectPr>
      </w:pPr>
    </w:p>
    <w:p>
      <w:pPr>
        <w:pStyle w:val="BodyText"/>
        <w:rPr>
          <w:sz w:val="20"/>
        </w:rPr>
      </w:pPr>
    </w:p>
    <w:p>
      <w:pPr>
        <w:pStyle w:val="BodyText"/>
        <w:rPr>
          <w:sz w:val="20"/>
        </w:rPr>
      </w:pPr>
    </w:p>
    <w:p>
      <w:pPr>
        <w:pStyle w:val="BodyText"/>
        <w:spacing w:before="5"/>
        <w:rPr>
          <w:sz w:val="17"/>
        </w:rPr>
      </w:pPr>
    </w:p>
    <w:p>
      <w:pPr>
        <w:pStyle w:val="Heading2"/>
        <w:numPr>
          <w:ilvl w:val="1"/>
          <w:numId w:val="13"/>
        </w:numPr>
        <w:tabs>
          <w:tab w:pos="479" w:val="left" w:leader="none"/>
        </w:tabs>
        <w:spacing w:line="240" w:lineRule="auto" w:before="70" w:after="0"/>
        <w:ind w:left="478" w:right="0" w:hanging="360"/>
        <w:jc w:val="left"/>
      </w:pPr>
      <w:r>
        <w:rPr/>
        <w:t>Manejo Endodóntico del Paciente</w:t>
      </w:r>
      <w:r>
        <w:rPr>
          <w:spacing w:val="-12"/>
        </w:rPr>
        <w:t> </w:t>
      </w:r>
      <w:r>
        <w:rPr/>
        <w:t>Epiléptico.</w:t>
      </w:r>
    </w:p>
    <w:p>
      <w:pPr>
        <w:pStyle w:val="BodyText"/>
        <w:rPr>
          <w:b/>
        </w:rPr>
      </w:pPr>
    </w:p>
    <w:p>
      <w:pPr>
        <w:pStyle w:val="BodyText"/>
        <w:rPr>
          <w:b/>
        </w:rPr>
      </w:pPr>
    </w:p>
    <w:p>
      <w:pPr>
        <w:pStyle w:val="BodyText"/>
        <w:spacing w:line="360" w:lineRule="auto"/>
        <w:ind w:left="118" w:right="118"/>
      </w:pPr>
      <w:r>
        <w:rPr/>
        <w:t>a.- Se elaboró la historia clínica, utilizada en la Clínica de Endodoncia y se incluyeron en ella las siguientes preguntas.</w:t>
      </w:r>
    </w:p>
    <w:p>
      <w:pPr>
        <w:pStyle w:val="BodyText"/>
        <w:rPr>
          <w:sz w:val="20"/>
        </w:rPr>
      </w:pPr>
    </w:p>
    <w:p>
      <w:pPr>
        <w:pStyle w:val="BodyText"/>
        <w:spacing w:before="1" w:after="1"/>
        <w:rPr>
          <w:sz w:val="28"/>
        </w:rPr>
      </w:pPr>
    </w:p>
    <w:tbl>
      <w:tblPr>
        <w:tblW w:w="0" w:type="auto"/>
        <w:jc w:val="left"/>
        <w:tblInd w:w="502" w:type="dxa"/>
        <w:tblBorders>
          <w:top w:val="single" w:sz="8" w:space="0" w:color="4AACC5"/>
          <w:left w:val="single" w:sz="8" w:space="0" w:color="4AACC5"/>
          <w:bottom w:val="single" w:sz="8" w:space="0" w:color="4AACC5"/>
          <w:right w:val="single" w:sz="8" w:space="0" w:color="4AACC5"/>
          <w:insideH w:val="single" w:sz="8" w:space="0" w:color="4AACC5"/>
          <w:insideV w:val="single" w:sz="8" w:space="0" w:color="4AACC5"/>
        </w:tblBorders>
        <w:tblLayout w:type="fixed"/>
        <w:tblCellMar>
          <w:top w:w="0" w:type="dxa"/>
          <w:left w:w="0" w:type="dxa"/>
          <w:bottom w:w="0" w:type="dxa"/>
          <w:right w:w="0" w:type="dxa"/>
        </w:tblCellMar>
        <w:tblLook w:val="01E0"/>
      </w:tblPr>
      <w:tblGrid>
        <w:gridCol w:w="8337"/>
      </w:tblGrid>
      <w:tr>
        <w:trPr>
          <w:trHeight w:val="860" w:hRule="exact"/>
        </w:trPr>
        <w:tc>
          <w:tcPr>
            <w:tcW w:w="8337" w:type="dxa"/>
            <w:tcBorders>
              <w:bottom w:val="single" w:sz="17" w:space="0" w:color="4AACC5"/>
            </w:tcBorders>
          </w:tcPr>
          <w:p>
            <w:pPr>
              <w:pStyle w:val="TableParagraph"/>
              <w:spacing w:line="360" w:lineRule="auto" w:before="1"/>
              <w:ind w:left="98" w:right="3117" w:firstLine="359"/>
              <w:rPr>
                <w:sz w:val="24"/>
              </w:rPr>
            </w:pPr>
            <w:r>
              <w:rPr>
                <w:sz w:val="24"/>
              </w:rPr>
              <w:t>a) ¿Cuándo se diagnóstica la enfermedad? A la edad de 6 meses</w:t>
            </w:r>
          </w:p>
        </w:tc>
      </w:tr>
      <w:tr>
        <w:trPr>
          <w:trHeight w:val="861" w:hRule="exact"/>
        </w:trPr>
        <w:tc>
          <w:tcPr>
            <w:tcW w:w="8337" w:type="dxa"/>
            <w:tcBorders>
              <w:top w:val="single" w:sz="17" w:space="0" w:color="4AACC5"/>
            </w:tcBorders>
            <w:shd w:val="clear" w:color="auto" w:fill="D2EAF0"/>
          </w:tcPr>
          <w:p>
            <w:pPr>
              <w:pStyle w:val="TableParagraph"/>
              <w:spacing w:line="360" w:lineRule="auto" w:before="2"/>
              <w:ind w:left="98" w:right="1290" w:firstLine="359"/>
              <w:rPr>
                <w:sz w:val="24"/>
              </w:rPr>
            </w:pPr>
            <w:r>
              <w:rPr>
                <w:sz w:val="24"/>
              </w:rPr>
              <w:t>b) ¿Cuáles fueron los síntomas que se presentan? Desmayos, pérdida del conocimiento.</w:t>
            </w:r>
          </w:p>
        </w:tc>
      </w:tr>
      <w:tr>
        <w:trPr>
          <w:trHeight w:val="848" w:hRule="exact"/>
        </w:trPr>
        <w:tc>
          <w:tcPr>
            <w:tcW w:w="8337" w:type="dxa"/>
          </w:tcPr>
          <w:p>
            <w:pPr>
              <w:pStyle w:val="TableParagraph"/>
              <w:spacing w:line="360" w:lineRule="auto" w:before="1"/>
              <w:ind w:left="98" w:right="1290" w:firstLine="359"/>
              <w:rPr>
                <w:sz w:val="24"/>
              </w:rPr>
            </w:pPr>
            <w:r>
              <w:rPr>
                <w:sz w:val="24"/>
              </w:rPr>
              <w:t>c) ¿Existen circunstancias precipitantes identificables? Mareos, dolor de cabeza, dolor en general.</w:t>
            </w:r>
          </w:p>
        </w:tc>
      </w:tr>
      <w:tr>
        <w:trPr>
          <w:trHeight w:val="846" w:hRule="exact"/>
        </w:trPr>
        <w:tc>
          <w:tcPr>
            <w:tcW w:w="8337" w:type="dxa"/>
            <w:shd w:val="clear" w:color="auto" w:fill="D2EAF0"/>
          </w:tcPr>
          <w:p>
            <w:pPr>
              <w:pStyle w:val="TableParagraph"/>
              <w:spacing w:line="360" w:lineRule="auto" w:before="2"/>
              <w:ind w:left="98" w:right="1777" w:firstLine="359"/>
              <w:rPr>
                <w:sz w:val="24"/>
              </w:rPr>
            </w:pPr>
            <w:r>
              <w:rPr>
                <w:sz w:val="24"/>
              </w:rPr>
              <w:t>d)  ¿Experimenta un aura? Si es así, describa el aura. Me siento mareada y posteriormente pierdo el</w:t>
            </w:r>
            <w:r>
              <w:rPr>
                <w:spacing w:val="-17"/>
                <w:sz w:val="24"/>
              </w:rPr>
              <w:t> </w:t>
            </w:r>
            <w:r>
              <w:rPr>
                <w:sz w:val="24"/>
              </w:rPr>
              <w:t>conocimiento.</w:t>
            </w:r>
          </w:p>
        </w:tc>
      </w:tr>
      <w:tr>
        <w:trPr>
          <w:trHeight w:val="436" w:hRule="exact"/>
        </w:trPr>
        <w:tc>
          <w:tcPr>
            <w:tcW w:w="8337" w:type="dxa"/>
          </w:tcPr>
          <w:p>
            <w:pPr>
              <w:pStyle w:val="TableParagraph"/>
              <w:spacing w:before="3"/>
              <w:ind w:left="458" w:right="98"/>
              <w:rPr>
                <w:sz w:val="24"/>
              </w:rPr>
            </w:pPr>
            <w:r>
              <w:rPr>
                <w:sz w:val="24"/>
              </w:rPr>
              <w:t>e)  ¿Cuánto dura un ataque típico? Aproximadamente 5 minutos.</w:t>
            </w:r>
          </w:p>
        </w:tc>
      </w:tr>
      <w:tr>
        <w:trPr>
          <w:trHeight w:val="848" w:hRule="exact"/>
        </w:trPr>
        <w:tc>
          <w:tcPr>
            <w:tcW w:w="8337" w:type="dxa"/>
            <w:shd w:val="clear" w:color="auto" w:fill="D2EAF0"/>
          </w:tcPr>
          <w:p>
            <w:pPr>
              <w:pStyle w:val="TableParagraph"/>
              <w:tabs>
                <w:tab w:pos="818" w:val="left" w:leader="none"/>
              </w:tabs>
              <w:spacing w:line="360" w:lineRule="auto" w:before="2"/>
              <w:ind w:left="98" w:right="2524" w:firstLine="359"/>
              <w:rPr>
                <w:sz w:val="24"/>
              </w:rPr>
            </w:pPr>
            <w:r>
              <w:rPr>
                <w:sz w:val="24"/>
              </w:rPr>
              <w:t>f)</w:t>
              <w:tab/>
              <w:t>¿Se pierde el conocimiento durante</w:t>
            </w:r>
            <w:r>
              <w:rPr>
                <w:spacing w:val="-14"/>
                <w:sz w:val="24"/>
              </w:rPr>
              <w:t> </w:t>
            </w:r>
            <w:r>
              <w:rPr>
                <w:sz w:val="24"/>
              </w:rPr>
              <w:t>el</w:t>
            </w:r>
            <w:r>
              <w:rPr>
                <w:spacing w:val="-3"/>
                <w:sz w:val="24"/>
              </w:rPr>
              <w:t> </w:t>
            </w:r>
            <w:r>
              <w:rPr>
                <w:sz w:val="24"/>
              </w:rPr>
              <w:t>ataque?</w:t>
            </w:r>
            <w:r>
              <w:rPr>
                <w:w w:val="99"/>
                <w:sz w:val="24"/>
              </w:rPr>
              <w:t> </w:t>
            </w:r>
            <w:r>
              <w:rPr>
                <w:sz w:val="24"/>
              </w:rPr>
              <w:t>Si he llegado a perderlo en algunas</w:t>
            </w:r>
            <w:r>
              <w:rPr>
                <w:spacing w:val="-18"/>
                <w:sz w:val="24"/>
              </w:rPr>
              <w:t> </w:t>
            </w:r>
            <w:r>
              <w:rPr>
                <w:sz w:val="24"/>
              </w:rPr>
              <w:t>ocasiones</w:t>
            </w:r>
          </w:p>
        </w:tc>
      </w:tr>
      <w:tr>
        <w:trPr>
          <w:trHeight w:val="1676" w:hRule="exact"/>
        </w:trPr>
        <w:tc>
          <w:tcPr>
            <w:tcW w:w="8337" w:type="dxa"/>
          </w:tcPr>
          <w:p>
            <w:pPr>
              <w:pStyle w:val="TableParagraph"/>
              <w:spacing w:line="360" w:lineRule="auto" w:before="1"/>
              <w:ind w:left="818" w:right="98" w:hanging="360"/>
              <w:rPr>
                <w:sz w:val="24"/>
              </w:rPr>
            </w:pPr>
            <w:r>
              <w:rPr>
                <w:sz w:val="24"/>
              </w:rPr>
              <w:t>g) ¿Con qué frecuencia son las convulsiones? ¿Cuándo fue el último evento?</w:t>
            </w:r>
          </w:p>
          <w:p>
            <w:pPr>
              <w:pStyle w:val="TableParagraph"/>
              <w:spacing w:line="360" w:lineRule="auto" w:before="5"/>
              <w:ind w:left="98" w:right="98"/>
              <w:rPr>
                <w:sz w:val="24"/>
              </w:rPr>
            </w:pPr>
            <w:r>
              <w:rPr>
                <w:sz w:val="24"/>
              </w:rPr>
              <w:t>Hace un mes tuve mi último evento. Y aproximadamente se me presentan una o dos veces al mes.</w:t>
            </w:r>
          </w:p>
        </w:tc>
      </w:tr>
      <w:tr>
        <w:trPr>
          <w:trHeight w:val="847" w:hRule="exact"/>
        </w:trPr>
        <w:tc>
          <w:tcPr>
            <w:tcW w:w="8337" w:type="dxa"/>
            <w:shd w:val="clear" w:color="auto" w:fill="D2EAF0"/>
          </w:tcPr>
          <w:p>
            <w:pPr>
              <w:pStyle w:val="TableParagraph"/>
              <w:spacing w:line="360" w:lineRule="auto" w:before="1"/>
              <w:ind w:left="98" w:right="3823" w:firstLine="359"/>
              <w:rPr>
                <w:sz w:val="24"/>
              </w:rPr>
            </w:pPr>
            <w:r>
              <w:rPr>
                <w:sz w:val="24"/>
              </w:rPr>
              <w:t>h) ¿Qué medicamentos toma? Carbamazepina y valproato de magnesio</w:t>
            </w:r>
          </w:p>
        </w:tc>
      </w:tr>
      <w:tr>
        <w:trPr>
          <w:trHeight w:val="1263" w:hRule="exact"/>
        </w:trPr>
        <w:tc>
          <w:tcPr>
            <w:tcW w:w="8337" w:type="dxa"/>
          </w:tcPr>
          <w:p>
            <w:pPr>
              <w:pStyle w:val="TableParagraph"/>
              <w:tabs>
                <w:tab w:pos="818" w:val="left" w:leader="none"/>
              </w:tabs>
              <w:spacing w:line="360" w:lineRule="auto" w:before="3"/>
              <w:ind w:left="818" w:right="98" w:hanging="360"/>
              <w:rPr>
                <w:sz w:val="24"/>
              </w:rPr>
            </w:pPr>
            <w:r>
              <w:rPr>
                <w:sz w:val="24"/>
              </w:rPr>
              <w:t>i)</w:t>
              <w:tab/>
              <w:t>¿Hay</w:t>
            </w:r>
            <w:r>
              <w:rPr>
                <w:spacing w:val="49"/>
                <w:sz w:val="24"/>
              </w:rPr>
              <w:t> </w:t>
            </w:r>
            <w:r>
              <w:rPr>
                <w:sz w:val="24"/>
              </w:rPr>
              <w:t>una</w:t>
            </w:r>
            <w:r>
              <w:rPr>
                <w:spacing w:val="52"/>
                <w:sz w:val="24"/>
              </w:rPr>
              <w:t> </w:t>
            </w:r>
            <w:r>
              <w:rPr>
                <w:sz w:val="24"/>
              </w:rPr>
              <w:t>historia</w:t>
            </w:r>
            <w:r>
              <w:rPr>
                <w:spacing w:val="49"/>
                <w:sz w:val="24"/>
              </w:rPr>
              <w:t> </w:t>
            </w:r>
            <w:r>
              <w:rPr>
                <w:sz w:val="24"/>
              </w:rPr>
              <w:t>de</w:t>
            </w:r>
            <w:r>
              <w:rPr>
                <w:spacing w:val="49"/>
                <w:sz w:val="24"/>
              </w:rPr>
              <w:t> </w:t>
            </w:r>
            <w:r>
              <w:rPr>
                <w:sz w:val="24"/>
              </w:rPr>
              <w:t>trauma</w:t>
            </w:r>
            <w:r>
              <w:rPr>
                <w:spacing w:val="49"/>
                <w:sz w:val="24"/>
              </w:rPr>
              <w:t> </w:t>
            </w:r>
            <w:r>
              <w:rPr>
                <w:sz w:val="24"/>
              </w:rPr>
              <w:t>en</w:t>
            </w:r>
            <w:r>
              <w:rPr>
                <w:spacing w:val="52"/>
                <w:sz w:val="24"/>
              </w:rPr>
              <w:t> </w:t>
            </w:r>
            <w:r>
              <w:rPr>
                <w:sz w:val="24"/>
              </w:rPr>
              <w:t>la</w:t>
            </w:r>
            <w:r>
              <w:rPr>
                <w:spacing w:val="51"/>
                <w:sz w:val="24"/>
              </w:rPr>
              <w:t> </w:t>
            </w:r>
            <w:r>
              <w:rPr>
                <w:sz w:val="24"/>
              </w:rPr>
              <w:t>cabeza,</w:t>
            </w:r>
            <w:r>
              <w:rPr>
                <w:spacing w:val="51"/>
                <w:sz w:val="24"/>
              </w:rPr>
              <w:t> </w:t>
            </w:r>
            <w:r>
              <w:rPr>
                <w:sz w:val="24"/>
              </w:rPr>
              <w:t>tumor</w:t>
            </w:r>
            <w:r>
              <w:rPr>
                <w:spacing w:val="50"/>
                <w:sz w:val="24"/>
              </w:rPr>
              <w:t> </w:t>
            </w:r>
            <w:r>
              <w:rPr>
                <w:sz w:val="24"/>
              </w:rPr>
              <w:t>cerebral</w:t>
            </w:r>
            <w:r>
              <w:rPr>
                <w:spacing w:val="53"/>
                <w:sz w:val="24"/>
              </w:rPr>
              <w:t> </w:t>
            </w:r>
            <w:r>
              <w:rPr>
                <w:sz w:val="24"/>
              </w:rPr>
              <w:t>u</w:t>
            </w:r>
            <w:r>
              <w:rPr>
                <w:spacing w:val="49"/>
                <w:sz w:val="24"/>
              </w:rPr>
              <w:t> </w:t>
            </w:r>
            <w:r>
              <w:rPr>
                <w:sz w:val="24"/>
              </w:rPr>
              <w:t>otra</w:t>
            </w:r>
            <w:r>
              <w:rPr>
                <w:w w:val="99"/>
                <w:sz w:val="24"/>
              </w:rPr>
              <w:t> </w:t>
            </w:r>
            <w:r>
              <w:rPr>
                <w:sz w:val="24"/>
              </w:rPr>
              <w:t>malformación?</w:t>
            </w:r>
          </w:p>
          <w:p>
            <w:pPr>
              <w:pStyle w:val="TableParagraph"/>
              <w:spacing w:before="2"/>
              <w:ind w:left="98" w:right="1290"/>
              <w:rPr>
                <w:sz w:val="24"/>
              </w:rPr>
            </w:pPr>
            <w:r>
              <w:rPr>
                <w:sz w:val="24"/>
              </w:rPr>
              <w:t>No, me han realizado estudios y no tengo ningún tumor.</w:t>
            </w:r>
          </w:p>
        </w:tc>
      </w:tr>
    </w:tbl>
    <w:p>
      <w:pPr>
        <w:spacing w:before="0"/>
        <w:ind w:left="838" w:right="194" w:firstLine="0"/>
        <w:jc w:val="left"/>
        <w:rPr>
          <w:sz w:val="20"/>
        </w:rPr>
      </w:pPr>
      <w:r>
        <w:rPr>
          <w:sz w:val="20"/>
        </w:rPr>
        <w:t>Fuente propia.</w:t>
      </w:r>
    </w:p>
    <w:p>
      <w:pPr>
        <w:spacing w:after="0"/>
        <w:jc w:val="left"/>
        <w:rPr>
          <w:sz w:val="20"/>
        </w:rPr>
        <w:sectPr>
          <w:pgSz w:w="12240" w:h="15840"/>
          <w:pgMar w:header="749" w:footer="1003" w:top="960" w:bottom="1200" w:left="1300" w:right="1580"/>
        </w:sectPr>
      </w:pPr>
    </w:p>
    <w:p>
      <w:pPr>
        <w:pStyle w:val="BodyText"/>
        <w:rPr>
          <w:sz w:val="20"/>
        </w:rPr>
      </w:pPr>
    </w:p>
    <w:p>
      <w:pPr>
        <w:pStyle w:val="BodyText"/>
        <w:rPr>
          <w:sz w:val="20"/>
        </w:rPr>
      </w:pPr>
    </w:p>
    <w:p>
      <w:pPr>
        <w:pStyle w:val="BodyText"/>
        <w:spacing w:before="5"/>
        <w:rPr>
          <w:sz w:val="17"/>
        </w:rPr>
      </w:pPr>
    </w:p>
    <w:p>
      <w:pPr>
        <w:pStyle w:val="BodyText"/>
        <w:spacing w:line="360" w:lineRule="auto" w:before="70"/>
        <w:ind w:left="118" w:right="115"/>
        <w:jc w:val="both"/>
      </w:pPr>
      <w:r>
        <w:rPr/>
        <w:t>b.- Se Identificó el tipo de convulsiones (tónico clónicas) que ella padecía de acuerdo a lo referido por la paciente, para que de esta manera nos encontráramos, en la posibilidad</w:t>
      </w:r>
      <w:r>
        <w:rPr>
          <w:spacing w:val="-14"/>
        </w:rPr>
        <w:t> </w:t>
      </w:r>
      <w:r>
        <w:rPr/>
        <w:t>de</w:t>
      </w:r>
      <w:r>
        <w:rPr>
          <w:spacing w:val="-14"/>
        </w:rPr>
        <w:t> </w:t>
      </w:r>
      <w:r>
        <w:rPr/>
        <w:t>manejar</w:t>
      </w:r>
      <w:r>
        <w:rPr>
          <w:spacing w:val="-15"/>
        </w:rPr>
        <w:t> </w:t>
      </w:r>
      <w:r>
        <w:rPr/>
        <w:t>adecuadamente</w:t>
      </w:r>
      <w:r>
        <w:rPr>
          <w:spacing w:val="-14"/>
        </w:rPr>
        <w:t> </w:t>
      </w:r>
      <w:r>
        <w:rPr/>
        <w:t>una</w:t>
      </w:r>
      <w:r>
        <w:rPr>
          <w:spacing w:val="-14"/>
        </w:rPr>
        <w:t> </w:t>
      </w:r>
      <w:r>
        <w:rPr/>
        <w:t>crisis</w:t>
      </w:r>
      <w:r>
        <w:rPr>
          <w:spacing w:val="-13"/>
        </w:rPr>
        <w:t> </w:t>
      </w:r>
      <w:r>
        <w:rPr/>
        <w:t>convulsiva,</w:t>
      </w:r>
      <w:r>
        <w:rPr>
          <w:spacing w:val="-12"/>
        </w:rPr>
        <w:t> </w:t>
      </w:r>
      <w:r>
        <w:rPr/>
        <w:t>en</w:t>
      </w:r>
      <w:r>
        <w:rPr>
          <w:spacing w:val="-12"/>
        </w:rPr>
        <w:t> </w:t>
      </w:r>
      <w:r>
        <w:rPr/>
        <w:t>caso</w:t>
      </w:r>
      <w:r>
        <w:rPr>
          <w:spacing w:val="-12"/>
        </w:rPr>
        <w:t> </w:t>
      </w:r>
      <w:r>
        <w:rPr/>
        <w:t>de</w:t>
      </w:r>
      <w:r>
        <w:rPr>
          <w:spacing w:val="42"/>
        </w:rPr>
        <w:t> </w:t>
      </w:r>
      <w:r>
        <w:rPr/>
        <w:t>presentarse.</w:t>
      </w:r>
    </w:p>
    <w:p>
      <w:pPr>
        <w:pStyle w:val="Heading2"/>
        <w:numPr>
          <w:ilvl w:val="1"/>
          <w:numId w:val="13"/>
        </w:numPr>
        <w:tabs>
          <w:tab w:pos="655" w:val="left" w:leader="none"/>
        </w:tabs>
        <w:spacing w:line="240" w:lineRule="auto" w:before="204" w:after="0"/>
        <w:ind w:left="654" w:right="0" w:hanging="536"/>
        <w:jc w:val="both"/>
      </w:pPr>
      <w:r>
        <w:rPr/>
        <w:t>Protocolo De</w:t>
      </w:r>
      <w:r>
        <w:rPr>
          <w:spacing w:val="-4"/>
        </w:rPr>
        <w:t> </w:t>
      </w:r>
      <w:r>
        <w:rPr/>
        <w:t>Tratamiento.</w:t>
      </w:r>
    </w:p>
    <w:p>
      <w:pPr>
        <w:pStyle w:val="BodyText"/>
        <w:rPr>
          <w:b/>
        </w:rPr>
      </w:pPr>
    </w:p>
    <w:p>
      <w:pPr>
        <w:pStyle w:val="BodyText"/>
        <w:rPr>
          <w:b/>
        </w:rPr>
      </w:pPr>
    </w:p>
    <w:p>
      <w:pPr>
        <w:pStyle w:val="ListParagraph"/>
        <w:numPr>
          <w:ilvl w:val="2"/>
          <w:numId w:val="13"/>
        </w:numPr>
        <w:tabs>
          <w:tab w:pos="839" w:val="left" w:leader="none"/>
        </w:tabs>
        <w:spacing w:line="360" w:lineRule="auto" w:before="0" w:after="0"/>
        <w:ind w:left="838" w:right="120" w:hanging="360"/>
        <w:jc w:val="both"/>
        <w:rPr>
          <w:sz w:val="24"/>
        </w:rPr>
      </w:pPr>
      <w:r>
        <w:rPr>
          <w:sz w:val="24"/>
        </w:rPr>
        <w:t>Abrebocas solamente al inicio del tratamiento, para realizar el acceso de trabajo, ya que en caso de presentarse una crisis epiléptica puede ocasionar una fractura</w:t>
      </w:r>
      <w:r>
        <w:rPr>
          <w:spacing w:val="-12"/>
          <w:sz w:val="24"/>
        </w:rPr>
        <w:t> </w:t>
      </w:r>
      <w:r>
        <w:rPr>
          <w:sz w:val="24"/>
        </w:rPr>
        <w:t>mandibular.</w:t>
      </w:r>
    </w:p>
    <w:p>
      <w:pPr>
        <w:pStyle w:val="ListParagraph"/>
        <w:numPr>
          <w:ilvl w:val="2"/>
          <w:numId w:val="13"/>
        </w:numPr>
        <w:tabs>
          <w:tab w:pos="905" w:val="left" w:leader="none"/>
          <w:tab w:pos="906" w:val="left" w:leader="none"/>
        </w:tabs>
        <w:spacing w:line="240" w:lineRule="auto" w:before="5" w:after="0"/>
        <w:ind w:left="906" w:right="0" w:hanging="428"/>
        <w:jc w:val="left"/>
        <w:rPr>
          <w:sz w:val="24"/>
        </w:rPr>
      </w:pPr>
      <w:r>
        <w:rPr>
          <w:sz w:val="24"/>
        </w:rPr>
        <w:t>El Respaldo  en  posición supina a</w:t>
      </w:r>
      <w:r>
        <w:rPr>
          <w:spacing w:val="-9"/>
          <w:sz w:val="24"/>
        </w:rPr>
        <w:t> </w:t>
      </w:r>
      <w:r>
        <w:rPr>
          <w:sz w:val="24"/>
        </w:rPr>
        <w:t>45°</w:t>
      </w:r>
    </w:p>
    <w:p>
      <w:pPr>
        <w:pStyle w:val="ListParagraph"/>
        <w:numPr>
          <w:ilvl w:val="2"/>
          <w:numId w:val="13"/>
        </w:numPr>
        <w:tabs>
          <w:tab w:pos="838" w:val="left" w:leader="none"/>
          <w:tab w:pos="839" w:val="left" w:leader="none"/>
        </w:tabs>
        <w:spacing w:line="240" w:lineRule="auto" w:before="137" w:after="0"/>
        <w:ind w:left="838" w:right="0" w:hanging="360"/>
        <w:jc w:val="left"/>
        <w:rPr>
          <w:sz w:val="24"/>
        </w:rPr>
      </w:pPr>
      <w:r>
        <w:rPr>
          <w:sz w:val="24"/>
        </w:rPr>
        <w:t>Toma de signos vitales al inicio y final del</w:t>
      </w:r>
      <w:r>
        <w:rPr>
          <w:spacing w:val="-12"/>
          <w:sz w:val="24"/>
        </w:rPr>
        <w:t> </w:t>
      </w:r>
      <w:r>
        <w:rPr>
          <w:sz w:val="24"/>
        </w:rPr>
        <w:t>tratamiento.</w:t>
      </w:r>
    </w:p>
    <w:p>
      <w:pPr>
        <w:pStyle w:val="ListParagraph"/>
        <w:numPr>
          <w:ilvl w:val="2"/>
          <w:numId w:val="13"/>
        </w:numPr>
        <w:tabs>
          <w:tab w:pos="838" w:val="left" w:leader="none"/>
          <w:tab w:pos="839" w:val="left" w:leader="none"/>
        </w:tabs>
        <w:spacing w:line="360" w:lineRule="auto" w:before="139" w:after="0"/>
        <w:ind w:left="838" w:right="117" w:hanging="360"/>
        <w:jc w:val="left"/>
        <w:rPr>
          <w:sz w:val="24"/>
        </w:rPr>
      </w:pPr>
      <w:r>
        <w:rPr>
          <w:sz w:val="24"/>
        </w:rPr>
        <w:t>Mantener el área despejada para tener movimientos libres, en el caso de presentarse una crisis</w:t>
      </w:r>
      <w:r>
        <w:rPr>
          <w:spacing w:val="-14"/>
          <w:sz w:val="24"/>
        </w:rPr>
        <w:t> </w:t>
      </w:r>
      <w:r>
        <w:rPr>
          <w:sz w:val="24"/>
        </w:rPr>
        <w:t>convulsiva.</w:t>
      </w:r>
    </w:p>
    <w:p>
      <w:pPr>
        <w:pStyle w:val="ListParagraph"/>
        <w:numPr>
          <w:ilvl w:val="2"/>
          <w:numId w:val="13"/>
        </w:numPr>
        <w:tabs>
          <w:tab w:pos="838" w:val="left" w:leader="none"/>
          <w:tab w:pos="839" w:val="left" w:leader="none"/>
        </w:tabs>
        <w:spacing w:line="240" w:lineRule="auto" w:before="5" w:after="0"/>
        <w:ind w:left="838" w:right="0" w:hanging="360"/>
        <w:jc w:val="left"/>
        <w:rPr>
          <w:sz w:val="24"/>
        </w:rPr>
      </w:pPr>
      <w:r>
        <w:rPr>
          <w:sz w:val="24"/>
        </w:rPr>
        <w:t>Terapia farmacológica en el caso de ser</w:t>
      </w:r>
      <w:r>
        <w:rPr>
          <w:spacing w:val="-24"/>
          <w:sz w:val="24"/>
        </w:rPr>
        <w:t> </w:t>
      </w:r>
      <w:r>
        <w:rPr>
          <w:sz w:val="24"/>
        </w:rPr>
        <w:t>necesaria.</w:t>
      </w:r>
    </w:p>
    <w:p>
      <w:pPr>
        <w:pStyle w:val="ListParagraph"/>
        <w:numPr>
          <w:ilvl w:val="2"/>
          <w:numId w:val="13"/>
        </w:numPr>
        <w:tabs>
          <w:tab w:pos="838" w:val="left" w:leader="none"/>
          <w:tab w:pos="839" w:val="left" w:leader="none"/>
        </w:tabs>
        <w:spacing w:line="360" w:lineRule="auto" w:before="137" w:after="0"/>
        <w:ind w:left="838" w:right="116" w:hanging="360"/>
        <w:jc w:val="left"/>
        <w:rPr>
          <w:sz w:val="24"/>
        </w:rPr>
      </w:pPr>
      <w:r>
        <w:rPr>
          <w:sz w:val="24"/>
        </w:rPr>
        <w:t>Citas cortas de 30 minutos en 4 sesiones clínicas para el tratamiento de conductos. Los que se llevaron a cabo de la siguiente</w:t>
      </w:r>
      <w:r>
        <w:rPr>
          <w:spacing w:val="-19"/>
          <w:sz w:val="24"/>
        </w:rPr>
        <w:t> </w:t>
      </w:r>
      <w:r>
        <w:rPr>
          <w:sz w:val="24"/>
        </w:rPr>
        <w:t>manera.</w:t>
      </w:r>
    </w:p>
    <w:p>
      <w:pPr>
        <w:pStyle w:val="BodyText"/>
        <w:rPr>
          <w:sz w:val="20"/>
        </w:rPr>
      </w:pPr>
    </w:p>
    <w:p>
      <w:pPr>
        <w:pStyle w:val="BodyText"/>
        <w:spacing w:before="5" w:after="1"/>
        <w:rPr>
          <w:sz w:val="16"/>
        </w:rPr>
      </w:pPr>
    </w:p>
    <w:tbl>
      <w:tblPr>
        <w:tblW w:w="0" w:type="auto"/>
        <w:jc w:val="left"/>
        <w:tblInd w:w="118"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820"/>
        <w:gridCol w:w="6160"/>
      </w:tblGrid>
      <w:tr>
        <w:trPr>
          <w:trHeight w:val="435" w:hRule="exact"/>
        </w:trPr>
        <w:tc>
          <w:tcPr>
            <w:tcW w:w="2820" w:type="dxa"/>
            <w:tcBorders>
              <w:top w:val="single" w:sz="8" w:space="0" w:color="4AACC5"/>
              <w:bottom w:val="single" w:sz="8" w:space="0" w:color="4AACC5"/>
            </w:tcBorders>
          </w:tcPr>
          <w:p>
            <w:pPr>
              <w:pStyle w:val="TableParagraph"/>
              <w:spacing w:line="274" w:lineRule="exact"/>
              <w:ind w:left="107"/>
              <w:rPr>
                <w:b/>
                <w:sz w:val="24"/>
              </w:rPr>
            </w:pPr>
            <w:r>
              <w:rPr>
                <w:b/>
                <w:color w:val="30849B"/>
                <w:sz w:val="24"/>
              </w:rPr>
              <w:t>Cita</w:t>
            </w:r>
          </w:p>
        </w:tc>
        <w:tc>
          <w:tcPr>
            <w:tcW w:w="6160" w:type="dxa"/>
            <w:tcBorders>
              <w:top w:val="single" w:sz="8" w:space="0" w:color="4AACC5"/>
              <w:bottom w:val="single" w:sz="8" w:space="0" w:color="4AACC5"/>
            </w:tcBorders>
          </w:tcPr>
          <w:p>
            <w:pPr>
              <w:pStyle w:val="TableParagraph"/>
              <w:spacing w:line="274" w:lineRule="exact"/>
              <w:ind w:left="1777"/>
              <w:rPr>
                <w:b/>
                <w:sz w:val="24"/>
              </w:rPr>
            </w:pPr>
            <w:r>
              <w:rPr>
                <w:b/>
                <w:color w:val="30849B"/>
                <w:sz w:val="24"/>
              </w:rPr>
              <w:t>Órgano dentario tratado.</w:t>
            </w:r>
          </w:p>
        </w:tc>
      </w:tr>
      <w:tr>
        <w:trPr>
          <w:trHeight w:val="422" w:hRule="exact"/>
        </w:trPr>
        <w:tc>
          <w:tcPr>
            <w:tcW w:w="2820" w:type="dxa"/>
            <w:tcBorders>
              <w:top w:val="single" w:sz="8" w:space="0" w:color="4AACC5"/>
            </w:tcBorders>
            <w:shd w:val="clear" w:color="auto" w:fill="D2EAF0"/>
          </w:tcPr>
          <w:p>
            <w:pPr>
              <w:pStyle w:val="TableParagraph"/>
              <w:spacing w:line="274" w:lineRule="exact"/>
              <w:ind w:left="107"/>
              <w:rPr>
                <w:b/>
                <w:sz w:val="24"/>
              </w:rPr>
            </w:pPr>
            <w:r>
              <w:rPr>
                <w:b/>
                <w:color w:val="30849B"/>
                <w:sz w:val="24"/>
              </w:rPr>
              <w:t>15/08/13</w:t>
            </w:r>
          </w:p>
        </w:tc>
        <w:tc>
          <w:tcPr>
            <w:tcW w:w="6160" w:type="dxa"/>
            <w:tcBorders>
              <w:top w:val="single" w:sz="8" w:space="0" w:color="4AACC5"/>
            </w:tcBorders>
            <w:shd w:val="clear" w:color="auto" w:fill="D2EAF0"/>
          </w:tcPr>
          <w:p>
            <w:pPr>
              <w:pStyle w:val="TableParagraph"/>
              <w:spacing w:line="274" w:lineRule="exact"/>
              <w:ind w:left="1777"/>
              <w:rPr>
                <w:sz w:val="24"/>
              </w:rPr>
            </w:pPr>
            <w:r>
              <w:rPr>
                <w:color w:val="30849B"/>
                <w:sz w:val="24"/>
              </w:rPr>
              <w:t>16</w:t>
            </w:r>
          </w:p>
        </w:tc>
      </w:tr>
      <w:tr>
        <w:trPr>
          <w:trHeight w:val="415" w:hRule="exact"/>
        </w:trPr>
        <w:tc>
          <w:tcPr>
            <w:tcW w:w="2820" w:type="dxa"/>
          </w:tcPr>
          <w:p>
            <w:pPr>
              <w:pStyle w:val="TableParagraph"/>
              <w:spacing w:line="274" w:lineRule="exact"/>
              <w:ind w:left="107"/>
              <w:rPr>
                <w:b/>
                <w:sz w:val="24"/>
              </w:rPr>
            </w:pPr>
            <w:r>
              <w:rPr>
                <w:b/>
                <w:color w:val="30849B"/>
                <w:sz w:val="24"/>
              </w:rPr>
              <w:t>22/08/13</w:t>
            </w:r>
          </w:p>
        </w:tc>
        <w:tc>
          <w:tcPr>
            <w:tcW w:w="6160" w:type="dxa"/>
          </w:tcPr>
          <w:p>
            <w:pPr>
              <w:pStyle w:val="TableParagraph"/>
              <w:spacing w:line="274" w:lineRule="exact"/>
              <w:ind w:left="1777"/>
              <w:rPr>
                <w:sz w:val="24"/>
              </w:rPr>
            </w:pPr>
            <w:r>
              <w:rPr>
                <w:color w:val="30849B"/>
                <w:sz w:val="24"/>
              </w:rPr>
              <w:t>14,15</w:t>
            </w:r>
          </w:p>
        </w:tc>
      </w:tr>
      <w:tr>
        <w:trPr>
          <w:trHeight w:val="413" w:hRule="exact"/>
        </w:trPr>
        <w:tc>
          <w:tcPr>
            <w:tcW w:w="2820" w:type="dxa"/>
            <w:shd w:val="clear" w:color="auto" w:fill="D2EAF0"/>
          </w:tcPr>
          <w:p>
            <w:pPr>
              <w:pStyle w:val="TableParagraph"/>
              <w:spacing w:line="274" w:lineRule="exact"/>
              <w:ind w:left="107"/>
              <w:rPr>
                <w:b/>
                <w:sz w:val="24"/>
              </w:rPr>
            </w:pPr>
            <w:r>
              <w:rPr>
                <w:b/>
                <w:color w:val="30849B"/>
                <w:sz w:val="24"/>
              </w:rPr>
              <w:t>29/08/13</w:t>
            </w:r>
          </w:p>
        </w:tc>
        <w:tc>
          <w:tcPr>
            <w:tcW w:w="6160" w:type="dxa"/>
            <w:shd w:val="clear" w:color="auto" w:fill="D2EAF0"/>
          </w:tcPr>
          <w:p>
            <w:pPr>
              <w:pStyle w:val="TableParagraph"/>
              <w:spacing w:line="274" w:lineRule="exact"/>
              <w:ind w:left="1777"/>
              <w:rPr>
                <w:sz w:val="24"/>
              </w:rPr>
            </w:pPr>
            <w:r>
              <w:rPr>
                <w:color w:val="30849B"/>
                <w:sz w:val="24"/>
              </w:rPr>
              <w:t>21</w:t>
            </w:r>
          </w:p>
        </w:tc>
      </w:tr>
      <w:tr>
        <w:trPr>
          <w:trHeight w:val="425" w:hRule="exact"/>
        </w:trPr>
        <w:tc>
          <w:tcPr>
            <w:tcW w:w="2820" w:type="dxa"/>
            <w:tcBorders>
              <w:bottom w:val="single" w:sz="8" w:space="0" w:color="4AACC5"/>
            </w:tcBorders>
          </w:tcPr>
          <w:p>
            <w:pPr>
              <w:pStyle w:val="TableParagraph"/>
              <w:spacing w:line="274" w:lineRule="exact"/>
              <w:ind w:left="107"/>
              <w:rPr>
                <w:b/>
                <w:sz w:val="24"/>
              </w:rPr>
            </w:pPr>
            <w:r>
              <w:rPr>
                <w:b/>
                <w:color w:val="30849B"/>
                <w:sz w:val="24"/>
              </w:rPr>
              <w:t>5/09/13</w:t>
            </w:r>
          </w:p>
        </w:tc>
        <w:tc>
          <w:tcPr>
            <w:tcW w:w="6160" w:type="dxa"/>
            <w:tcBorders>
              <w:bottom w:val="single" w:sz="8" w:space="0" w:color="4AACC5"/>
            </w:tcBorders>
          </w:tcPr>
          <w:p>
            <w:pPr>
              <w:pStyle w:val="TableParagraph"/>
              <w:spacing w:line="274" w:lineRule="exact"/>
              <w:ind w:left="1777"/>
              <w:rPr>
                <w:sz w:val="24"/>
              </w:rPr>
            </w:pPr>
            <w:r>
              <w:rPr>
                <w:color w:val="30849B"/>
                <w:sz w:val="24"/>
              </w:rPr>
              <w:t>14,15.</w:t>
            </w:r>
          </w:p>
        </w:tc>
      </w:tr>
    </w:tbl>
    <w:p>
      <w:pPr>
        <w:spacing w:line="227" w:lineRule="exact" w:before="0"/>
        <w:ind w:left="118" w:right="0" w:firstLine="0"/>
        <w:jc w:val="both"/>
        <w:rPr>
          <w:sz w:val="20"/>
        </w:rPr>
      </w:pPr>
      <w:r>
        <w:rPr>
          <w:sz w:val="20"/>
        </w:rPr>
        <w:t>Fuente propia.</w:t>
      </w:r>
    </w:p>
    <w:p>
      <w:pPr>
        <w:pStyle w:val="BodyText"/>
        <w:rPr>
          <w:sz w:val="20"/>
        </w:rPr>
      </w:pPr>
    </w:p>
    <w:p>
      <w:pPr>
        <w:pStyle w:val="BodyText"/>
        <w:rPr>
          <w:sz w:val="26"/>
        </w:rPr>
      </w:pPr>
    </w:p>
    <w:p>
      <w:pPr>
        <w:pStyle w:val="Heading2"/>
        <w:ind w:left="118"/>
      </w:pPr>
      <w:r>
        <w:rPr/>
        <w:t>5.11 Tratamiento.</w:t>
      </w:r>
    </w:p>
    <w:p>
      <w:pPr>
        <w:pStyle w:val="BodyText"/>
        <w:rPr>
          <w:b/>
        </w:rPr>
      </w:pPr>
    </w:p>
    <w:p>
      <w:pPr>
        <w:pStyle w:val="BodyText"/>
        <w:rPr>
          <w:b/>
        </w:rPr>
      </w:pPr>
    </w:p>
    <w:p>
      <w:pPr>
        <w:pStyle w:val="BodyText"/>
        <w:spacing w:line="360" w:lineRule="auto"/>
        <w:ind w:left="118" w:right="116"/>
        <w:jc w:val="both"/>
      </w:pPr>
      <w:r>
        <w:rPr/>
        <w:t>a.-Se realizó el tratamiento de conductos de cuatro OD los cuales son el 21, 14, 15, 16, como se mencionó anteriormente en 4 sesiones clínicas, realizando el siguiente protocolo,  en los tratamientos de conductos de los cuatro órganos dentarios.</w:t>
      </w:r>
    </w:p>
    <w:p>
      <w:pPr>
        <w:spacing w:after="0" w:line="360" w:lineRule="auto"/>
        <w:jc w:val="both"/>
        <w:sectPr>
          <w:pgSz w:w="12240" w:h="15840"/>
          <w:pgMar w:header="749" w:footer="1003" w:top="960" w:bottom="1200" w:left="1300" w:right="1580"/>
        </w:sectPr>
      </w:pPr>
    </w:p>
    <w:p>
      <w:pPr>
        <w:pStyle w:val="BodyText"/>
        <w:rPr>
          <w:sz w:val="20"/>
        </w:rPr>
      </w:pPr>
    </w:p>
    <w:p>
      <w:pPr>
        <w:pStyle w:val="BodyText"/>
        <w:rPr>
          <w:sz w:val="20"/>
        </w:rPr>
      </w:pPr>
    </w:p>
    <w:p>
      <w:pPr>
        <w:pStyle w:val="BodyText"/>
        <w:spacing w:before="8"/>
      </w:pPr>
    </w:p>
    <w:p>
      <w:pPr>
        <w:pStyle w:val="BodyText"/>
        <w:ind w:left="1359"/>
        <w:rPr>
          <w:sz w:val="20"/>
        </w:rPr>
      </w:pPr>
      <w:r>
        <w:rPr>
          <w:sz w:val="20"/>
        </w:rPr>
        <w:drawing>
          <wp:inline distT="0" distB="0" distL="0" distR="0">
            <wp:extent cx="4015183" cy="2191893"/>
            <wp:effectExtent l="0" t="0" r="0" b="0"/>
            <wp:docPr id="39" name="image24.jpeg" descr=""/>
            <wp:cNvGraphicFramePr>
              <a:graphicFrameLocks noChangeAspect="1"/>
            </wp:cNvGraphicFramePr>
            <a:graphic>
              <a:graphicData uri="http://schemas.openxmlformats.org/drawingml/2006/picture">
                <pic:pic>
                  <pic:nvPicPr>
                    <pic:cNvPr id="40" name="image24.jpeg"/>
                    <pic:cNvPicPr/>
                  </pic:nvPicPr>
                  <pic:blipFill>
                    <a:blip r:embed="rId40" cstate="print"/>
                    <a:stretch>
                      <a:fillRect/>
                    </a:stretch>
                  </pic:blipFill>
                  <pic:spPr>
                    <a:xfrm>
                      <a:off x="0" y="0"/>
                      <a:ext cx="4015183" cy="2191893"/>
                    </a:xfrm>
                    <a:prstGeom prst="rect">
                      <a:avLst/>
                    </a:prstGeom>
                  </pic:spPr>
                </pic:pic>
              </a:graphicData>
            </a:graphic>
          </wp:inline>
        </w:drawing>
      </w:r>
      <w:r>
        <w:rPr>
          <w:sz w:val="20"/>
        </w:rPr>
      </w:r>
    </w:p>
    <w:p>
      <w:pPr>
        <w:pStyle w:val="BodyText"/>
        <w:spacing w:before="3"/>
        <w:rPr>
          <w:sz w:val="16"/>
        </w:rPr>
      </w:pPr>
    </w:p>
    <w:p>
      <w:pPr>
        <w:spacing w:before="74"/>
        <w:ind w:left="1686" w:right="194" w:firstLine="0"/>
        <w:jc w:val="left"/>
        <w:rPr>
          <w:sz w:val="20"/>
        </w:rPr>
      </w:pPr>
      <w:r>
        <w:rPr>
          <w:sz w:val="20"/>
        </w:rPr>
        <w:t>Fig.  20. Fotografía intraoral en la cual observamos el OD 16, 15,14</w:t>
      </w:r>
    </w:p>
    <w:p>
      <w:pPr>
        <w:pStyle w:val="BodyText"/>
        <w:rPr>
          <w:sz w:val="20"/>
        </w:rPr>
      </w:pPr>
    </w:p>
    <w:p>
      <w:pPr>
        <w:pStyle w:val="BodyText"/>
        <w:rPr>
          <w:sz w:val="20"/>
        </w:rPr>
      </w:pPr>
    </w:p>
    <w:p>
      <w:pPr>
        <w:pStyle w:val="BodyText"/>
        <w:rPr>
          <w:sz w:val="20"/>
        </w:rPr>
      </w:pPr>
    </w:p>
    <w:p>
      <w:pPr>
        <w:pStyle w:val="BodyText"/>
        <w:spacing w:before="3"/>
        <w:rPr>
          <w:sz w:val="16"/>
        </w:rPr>
      </w:pPr>
      <w:r>
        <w:rPr/>
        <w:drawing>
          <wp:anchor distT="0" distB="0" distL="0" distR="0" allowOverlap="1" layoutInCell="1" locked="0" behindDoc="0" simplePos="0" relativeHeight="1912">
            <wp:simplePos x="0" y="0"/>
            <wp:positionH relativeFrom="page">
              <wp:posOffset>1677923</wp:posOffset>
            </wp:positionH>
            <wp:positionV relativeFrom="paragraph">
              <wp:posOffset>143938</wp:posOffset>
            </wp:positionV>
            <wp:extent cx="4041411" cy="2887599"/>
            <wp:effectExtent l="0" t="0" r="0" b="0"/>
            <wp:wrapTopAndBottom/>
            <wp:docPr id="41" name="image25.jpeg" descr=""/>
            <wp:cNvGraphicFramePr>
              <a:graphicFrameLocks noChangeAspect="1"/>
            </wp:cNvGraphicFramePr>
            <a:graphic>
              <a:graphicData uri="http://schemas.openxmlformats.org/drawingml/2006/picture">
                <pic:pic>
                  <pic:nvPicPr>
                    <pic:cNvPr id="42" name="image25.jpeg"/>
                    <pic:cNvPicPr/>
                  </pic:nvPicPr>
                  <pic:blipFill>
                    <a:blip r:embed="rId41" cstate="print"/>
                    <a:stretch>
                      <a:fillRect/>
                    </a:stretch>
                  </pic:blipFill>
                  <pic:spPr>
                    <a:xfrm>
                      <a:off x="0" y="0"/>
                      <a:ext cx="4041411" cy="2887599"/>
                    </a:xfrm>
                    <a:prstGeom prst="rect">
                      <a:avLst/>
                    </a:prstGeom>
                  </pic:spPr>
                </pic:pic>
              </a:graphicData>
            </a:graphic>
          </wp:anchor>
        </w:drawing>
      </w:r>
    </w:p>
    <w:p>
      <w:pPr>
        <w:pStyle w:val="BodyText"/>
        <w:spacing w:before="3"/>
      </w:pPr>
    </w:p>
    <w:p>
      <w:pPr>
        <w:spacing w:before="1"/>
        <w:ind w:left="1098" w:right="194" w:firstLine="0"/>
        <w:jc w:val="left"/>
        <w:rPr>
          <w:sz w:val="20"/>
        </w:rPr>
      </w:pPr>
      <w:r>
        <w:rPr>
          <w:sz w:val="20"/>
        </w:rPr>
        <w:t>Fig.21 fotografía intraoral, en la cual observamos el Od. 21 con un tracto sinusal.</w:t>
      </w:r>
    </w:p>
    <w:p>
      <w:pPr>
        <w:spacing w:after="0"/>
        <w:jc w:val="left"/>
        <w:rPr>
          <w:sz w:val="20"/>
        </w:rPr>
        <w:sectPr>
          <w:pgSz w:w="12240" w:h="15840"/>
          <w:pgMar w:header="749" w:footer="1003" w:top="960" w:bottom="1200" w:left="1300" w:right="1580"/>
        </w:sectPr>
      </w:pPr>
    </w:p>
    <w:p>
      <w:pPr>
        <w:pStyle w:val="BodyText"/>
        <w:rPr>
          <w:sz w:val="20"/>
        </w:rPr>
      </w:pPr>
    </w:p>
    <w:p>
      <w:pPr>
        <w:pStyle w:val="BodyText"/>
        <w:rPr>
          <w:sz w:val="20"/>
        </w:rPr>
      </w:pPr>
    </w:p>
    <w:p>
      <w:pPr>
        <w:pStyle w:val="BodyText"/>
        <w:spacing w:before="5"/>
        <w:rPr>
          <w:sz w:val="17"/>
        </w:rPr>
      </w:pPr>
    </w:p>
    <w:p>
      <w:pPr>
        <w:pStyle w:val="BodyText"/>
        <w:spacing w:line="360" w:lineRule="auto" w:before="70"/>
        <w:ind w:left="138" w:right="115"/>
        <w:jc w:val="both"/>
      </w:pPr>
      <w:r>
        <w:rPr/>
        <w:t>b.- Protocolo de atención OD 16 se toma radiografía inicial (figura D) posteriormente se anestesio con lidocaína/epinefrina al 2% (Zeyco), el aislamiento del campo de trabajo se realiza con dique de hule y grapa del número 7 (figura A), se hizo desgaste compensatorio con fresa de diamante troncocónica, para el acceso y localización de los conductos radiculares(figura B) con fresa de bola N° 4 y fresa de diamante troncocónica, una vez localizados los conductos se utilizaron fresas Gates Gliden (dentsply maillefer) 4,3,2 y técnica de instrumentación Crown down con limas manuales (dentsply maillefer) 15,20,25,30,35 para trabajar el tercio apical de los conductos.</w:t>
      </w:r>
    </w:p>
    <w:p>
      <w:pPr>
        <w:pStyle w:val="BodyText"/>
        <w:spacing w:line="360" w:lineRule="auto" w:before="202"/>
        <w:ind w:left="138" w:right="114"/>
        <w:jc w:val="both"/>
      </w:pPr>
      <w:r>
        <w:rPr/>
        <w:t>Posterior a esto se prosiguió con una Instrumentación rotatoria con limas protaper universal (dentsply Maillefer) utilizando los instrumentos F1, F2 y F3, irrigación abundante de hipoclorito de sodio al 6% entre cada instrumento utilizado, irrigación final con EDTA al 17% e hipoclorito de sodio al 6%.</w:t>
      </w:r>
    </w:p>
    <w:p>
      <w:pPr>
        <w:pStyle w:val="BodyText"/>
        <w:spacing w:line="360" w:lineRule="auto" w:before="204"/>
        <w:ind w:left="138" w:right="116"/>
        <w:jc w:val="both"/>
      </w:pPr>
      <w:r>
        <w:rPr/>
        <w:t>Se obtura con técnica hibrida (lateral y mcspadden) y cemento sellador sealapex (sybronendo) (figura C y E), posteriormente se colocó pemaflo (Ultradent) e Ionomero de vidrio (GC Fuji), se toma una radiografía final del tratamiento ( figura F)</w:t>
      </w:r>
    </w:p>
    <w:p>
      <w:pPr>
        <w:pStyle w:val="BodyText"/>
        <w:rPr>
          <w:sz w:val="20"/>
        </w:rPr>
      </w:pPr>
    </w:p>
    <w:p>
      <w:pPr>
        <w:pStyle w:val="BodyText"/>
        <w:spacing w:before="9"/>
        <w:rPr>
          <w:sz w:val="16"/>
        </w:rPr>
      </w:pPr>
      <w:r>
        <w:rPr/>
        <w:pict>
          <v:group style="position:absolute;margin-left:69.955002pt;margin-top:11.599894pt;width:137.050pt;height:83.05pt;mso-position-horizontal-relative:page;mso-position-vertical-relative:paragraph;z-index:1960;mso-wrap-distance-left:0;mso-wrap-distance-right:0" coordorigin="1399,232" coordsize="2741,1661">
            <v:shape style="position:absolute;left:1420;top:252;width:2700;height:1620" type="#_x0000_t75" stroked="false">
              <v:imagedata r:id="rId42" o:title=""/>
            </v:shape>
            <v:rect style="position:absolute;left:1420;top:252;width:2700;height:1620" filled="false" stroked="true" strokeweight="2.04pt" strokecolor="#ffffff"/>
            <v:shape style="position:absolute;left:3754;top:1500;width:146;height:240" type="#_x0000_t202" filled="false" stroked="false">
              <v:textbox inset="0,0,0,0">
                <w:txbxContent>
                  <w:p>
                    <w:pPr>
                      <w:spacing w:line="240" w:lineRule="exact" w:before="0"/>
                      <w:ind w:left="0" w:right="0" w:firstLine="0"/>
                      <w:jc w:val="left"/>
                      <w:rPr>
                        <w:rFonts w:ascii="Calibri"/>
                        <w:b/>
                        <w:sz w:val="24"/>
                      </w:rPr>
                    </w:pPr>
                    <w:r>
                      <w:rPr>
                        <w:rFonts w:ascii="Calibri"/>
                        <w:b/>
                        <w:sz w:val="24"/>
                      </w:rPr>
                      <w:t>A</w:t>
                    </w:r>
                  </w:p>
                </w:txbxContent>
              </v:textbox>
              <w10:wrap type="none"/>
            </v:shape>
            <w10:wrap type="topAndBottom"/>
          </v:group>
        </w:pict>
      </w:r>
      <w:r>
        <w:rPr/>
        <w:pict>
          <v:group style="position:absolute;margin-left:218.395004pt;margin-top:11.599894pt;width:137.050pt;height:83.05pt;mso-position-horizontal-relative:page;mso-position-vertical-relative:paragraph;z-index:2008;mso-wrap-distance-left:0;mso-wrap-distance-right:0" coordorigin="4368,232" coordsize="2741,1661">
            <v:shape style="position:absolute;left:4388;top:252;width:2700;height:1620" type="#_x0000_t75" stroked="false">
              <v:imagedata r:id="rId43" o:title=""/>
            </v:shape>
            <v:rect style="position:absolute;left:4388;top:252;width:2700;height:1620" filled="false" stroked="true" strokeweight="2.04pt" strokecolor="#ffffff"/>
            <v:shape style="position:absolute;left:6811;top:1500;width:135;height:240" type="#_x0000_t202" filled="false" stroked="false">
              <v:textbox inset="0,0,0,0">
                <w:txbxContent>
                  <w:p>
                    <w:pPr>
                      <w:spacing w:line="240" w:lineRule="exact" w:before="0"/>
                      <w:ind w:left="0" w:right="0" w:firstLine="0"/>
                      <w:jc w:val="left"/>
                      <w:rPr>
                        <w:rFonts w:ascii="Calibri"/>
                        <w:b/>
                        <w:sz w:val="24"/>
                      </w:rPr>
                    </w:pPr>
                    <w:r>
                      <w:rPr>
                        <w:rFonts w:ascii="Calibri"/>
                        <w:b/>
                        <w:sz w:val="24"/>
                      </w:rPr>
                      <w:t>B</w:t>
                    </w:r>
                  </w:p>
                </w:txbxContent>
              </v:textbox>
              <w10:wrap type="none"/>
            </v:shape>
            <w10:wrap type="topAndBottom"/>
          </v:group>
        </w:pict>
      </w:r>
      <w:r>
        <w:rPr/>
        <w:pict>
          <v:group style="position:absolute;margin-left:366.954987pt;margin-top:11.599894pt;width:137.050pt;height:83.05pt;mso-position-horizontal-relative:page;mso-position-vertical-relative:paragraph;z-index:2056;mso-wrap-distance-left:0;mso-wrap-distance-right:0" coordorigin="7339,232" coordsize="2741,1661">
            <v:shape style="position:absolute;left:7360;top:252;width:2700;height:1620" type="#_x0000_t75" stroked="false">
              <v:imagedata r:id="rId44" o:title=""/>
            </v:shape>
            <v:rect style="position:absolute;left:7360;top:252;width:2700;height:1620" filled="false" stroked="true" strokeweight="2.04pt" strokecolor="#ffffff"/>
            <v:shape style="position:absolute;left:9705;top:1500;width:128;height:240" type="#_x0000_t202" filled="false" stroked="false">
              <v:textbox inset="0,0,0,0">
                <w:txbxContent>
                  <w:p>
                    <w:pPr>
                      <w:spacing w:line="240" w:lineRule="exact" w:before="0"/>
                      <w:ind w:left="0" w:right="0" w:firstLine="0"/>
                      <w:jc w:val="left"/>
                      <w:rPr>
                        <w:rFonts w:ascii="Calibri"/>
                        <w:b/>
                        <w:sz w:val="24"/>
                      </w:rPr>
                    </w:pPr>
                    <w:r>
                      <w:rPr>
                        <w:rFonts w:ascii="Calibri"/>
                        <w:b/>
                        <w:sz w:val="24"/>
                      </w:rPr>
                      <w:t>C</w:t>
                    </w:r>
                  </w:p>
                </w:txbxContent>
              </v:textbox>
              <w10:wrap type="none"/>
            </v:shape>
            <w10:wrap type="topAndBottom"/>
          </v:group>
        </w:pict>
      </w:r>
      <w:r>
        <w:rPr/>
        <w:pict>
          <v:group style="position:absolute;margin-left:69.955002pt;margin-top:106.159897pt;width:137.050pt;height:84.6pt;mso-position-horizontal-relative:page;mso-position-vertical-relative:paragraph;z-index:2104;mso-wrap-distance-left:0;mso-wrap-distance-right:0" coordorigin="1399,2123" coordsize="2741,1692">
            <v:shape style="position:absolute;left:1420;top:2144;width:2700;height:1620" type="#_x0000_t75" stroked="false">
              <v:imagedata r:id="rId45" o:title=""/>
            </v:shape>
            <v:rect style="position:absolute;left:1420;top:2144;width:2700;height:1620" filled="false" stroked="true" strokeweight="2.04pt" strokecolor="#ffffff"/>
            <v:shape style="position:absolute;left:3778;top:3574;width:152;height:240" type="#_x0000_t202" filled="false" stroked="false">
              <v:textbox inset="0,0,0,0">
                <w:txbxContent>
                  <w:p>
                    <w:pPr>
                      <w:spacing w:line="240" w:lineRule="exact" w:before="0"/>
                      <w:ind w:left="0" w:right="0" w:firstLine="0"/>
                      <w:jc w:val="left"/>
                      <w:rPr>
                        <w:rFonts w:ascii="Calibri"/>
                        <w:b/>
                        <w:sz w:val="24"/>
                      </w:rPr>
                    </w:pPr>
                    <w:r>
                      <w:rPr>
                        <w:rFonts w:ascii="Calibri"/>
                        <w:b/>
                        <w:sz w:val="24"/>
                      </w:rPr>
                      <w:t>D</w:t>
                    </w:r>
                  </w:p>
                </w:txbxContent>
              </v:textbox>
              <w10:wrap type="none"/>
            </v:shape>
            <w10:wrap type="topAndBottom"/>
          </v:group>
        </w:pict>
      </w:r>
      <w:r>
        <w:rPr/>
        <w:pict>
          <v:group style="position:absolute;margin-left:218.154999pt;margin-top:106.759895pt;width:137.050pt;height:83.05pt;mso-position-horizontal-relative:page;mso-position-vertical-relative:paragraph;z-index:2152;mso-wrap-distance-left:0;mso-wrap-distance-right:0" coordorigin="4363,2135" coordsize="2741,1661">
            <v:shape style="position:absolute;left:4384;top:2156;width:2700;height:1620" type="#_x0000_t75" stroked="false">
              <v:imagedata r:id="rId46" o:title=""/>
            </v:shape>
            <v:rect style="position:absolute;left:4384;top:2156;width:2700;height:1620" filled="false" stroked="true" strokeweight="2.04pt" strokecolor="#ffffff"/>
            <v:shape style="position:absolute;left:6705;top:2921;width:118;height:240" type="#_x0000_t202" filled="false" stroked="false">
              <v:textbox inset="0,0,0,0">
                <w:txbxContent>
                  <w:p>
                    <w:pPr>
                      <w:spacing w:line="240" w:lineRule="exact" w:before="0"/>
                      <w:ind w:left="0" w:right="0" w:firstLine="0"/>
                      <w:jc w:val="left"/>
                      <w:rPr>
                        <w:rFonts w:ascii="Calibri"/>
                        <w:sz w:val="24"/>
                      </w:rPr>
                    </w:pPr>
                    <w:r>
                      <w:rPr>
                        <w:rFonts w:ascii="Calibri"/>
                        <w:sz w:val="24"/>
                      </w:rPr>
                      <w:t>E</w:t>
                    </w:r>
                  </w:p>
                </w:txbxContent>
              </v:textbox>
              <w10:wrap type="none"/>
            </v:shape>
            <w10:wrap type="topAndBottom"/>
          </v:group>
        </w:pict>
      </w:r>
      <w:r>
        <w:rPr/>
        <w:pict>
          <v:group style="position:absolute;margin-left:363.11499pt;margin-top:104.719894pt;width:137.050pt;height:83.05pt;mso-position-horizontal-relative:page;mso-position-vertical-relative:paragraph;z-index:2200;mso-wrap-distance-left:0;mso-wrap-distance-right:0" coordorigin="7262,2094" coordsize="2741,1661">
            <v:shape style="position:absolute;left:7283;top:2115;width:2700;height:1620" type="#_x0000_t75" stroked="false">
              <v:imagedata r:id="rId47" o:title=""/>
            </v:shape>
            <v:rect style="position:absolute;left:7283;top:2115;width:2700;height:1620" filled="false" stroked="true" strokeweight="2.04pt" strokecolor="#ffffff"/>
            <v:shape style="position:absolute;left:9616;top:3448;width:111;height:240" type="#_x0000_t202" filled="false" stroked="false">
              <v:textbox inset="0,0,0,0">
                <w:txbxContent>
                  <w:p>
                    <w:pPr>
                      <w:spacing w:line="240" w:lineRule="exact" w:before="0"/>
                      <w:ind w:left="0" w:right="0" w:firstLine="0"/>
                      <w:jc w:val="left"/>
                      <w:rPr>
                        <w:rFonts w:ascii="Calibri"/>
                        <w:b/>
                        <w:sz w:val="24"/>
                      </w:rPr>
                    </w:pPr>
                    <w:r>
                      <w:rPr>
                        <w:rFonts w:ascii="Calibri"/>
                        <w:b/>
                        <w:sz w:val="24"/>
                      </w:rPr>
                      <w:t>F</w:t>
                    </w:r>
                  </w:p>
                </w:txbxContent>
              </v:textbox>
              <w10:wrap type="none"/>
            </v:shape>
            <w10:wrap type="topAndBottom"/>
          </v:group>
        </w:pict>
      </w:r>
    </w:p>
    <w:p>
      <w:pPr>
        <w:pStyle w:val="BodyText"/>
        <w:spacing w:before="6"/>
        <w:rPr>
          <w:sz w:val="11"/>
        </w:rPr>
      </w:pPr>
    </w:p>
    <w:p>
      <w:pPr>
        <w:pStyle w:val="BodyText"/>
      </w:pPr>
    </w:p>
    <w:p>
      <w:pPr>
        <w:pStyle w:val="BodyText"/>
        <w:spacing w:before="3"/>
        <w:rPr>
          <w:sz w:val="22"/>
        </w:rPr>
      </w:pPr>
    </w:p>
    <w:p>
      <w:pPr>
        <w:spacing w:line="362" w:lineRule="auto" w:before="1"/>
        <w:ind w:left="138" w:right="120" w:firstLine="0"/>
        <w:jc w:val="both"/>
        <w:rPr>
          <w:sz w:val="20"/>
        </w:rPr>
      </w:pPr>
      <w:r>
        <w:rPr>
          <w:sz w:val="20"/>
        </w:rPr>
        <w:t>Fig. 22 En A observamos la fotografía inicial, en B acceso a conductos radiculares; C presenta conductos</w:t>
      </w:r>
      <w:r>
        <w:rPr>
          <w:spacing w:val="-13"/>
          <w:sz w:val="20"/>
        </w:rPr>
        <w:t> </w:t>
      </w:r>
      <w:r>
        <w:rPr>
          <w:sz w:val="20"/>
        </w:rPr>
        <w:t>obturados</w:t>
      </w:r>
      <w:r>
        <w:rPr>
          <w:spacing w:val="-12"/>
          <w:sz w:val="20"/>
        </w:rPr>
        <w:t> </w:t>
      </w:r>
      <w:r>
        <w:rPr>
          <w:sz w:val="20"/>
        </w:rPr>
        <w:t>con</w:t>
      </w:r>
      <w:r>
        <w:rPr>
          <w:spacing w:val="-13"/>
          <w:sz w:val="20"/>
        </w:rPr>
        <w:t> </w:t>
      </w:r>
      <w:r>
        <w:rPr>
          <w:sz w:val="20"/>
        </w:rPr>
        <w:t>gutapercha,</w:t>
      </w:r>
      <w:r>
        <w:rPr>
          <w:spacing w:val="-13"/>
          <w:sz w:val="20"/>
        </w:rPr>
        <w:t> </w:t>
      </w:r>
      <w:r>
        <w:rPr>
          <w:sz w:val="20"/>
        </w:rPr>
        <w:t>en</w:t>
      </w:r>
      <w:r>
        <w:rPr>
          <w:spacing w:val="-9"/>
          <w:sz w:val="20"/>
        </w:rPr>
        <w:t> </w:t>
      </w:r>
      <w:r>
        <w:rPr>
          <w:sz w:val="20"/>
        </w:rPr>
        <w:t>D</w:t>
      </w:r>
      <w:r>
        <w:rPr>
          <w:spacing w:val="-13"/>
          <w:sz w:val="20"/>
        </w:rPr>
        <w:t> </w:t>
      </w:r>
      <w:r>
        <w:rPr>
          <w:sz w:val="20"/>
        </w:rPr>
        <w:t>radiografía</w:t>
      </w:r>
      <w:r>
        <w:rPr>
          <w:spacing w:val="32"/>
          <w:sz w:val="20"/>
        </w:rPr>
        <w:t> </w:t>
      </w:r>
      <w:r>
        <w:rPr>
          <w:sz w:val="20"/>
        </w:rPr>
        <w:t>de</w:t>
      </w:r>
      <w:r>
        <w:rPr>
          <w:spacing w:val="-13"/>
          <w:sz w:val="20"/>
        </w:rPr>
        <w:t> </w:t>
      </w:r>
      <w:r>
        <w:rPr>
          <w:sz w:val="20"/>
        </w:rPr>
        <w:t>diagnóstico,</w:t>
      </w:r>
      <w:r>
        <w:rPr>
          <w:spacing w:val="-11"/>
          <w:sz w:val="20"/>
        </w:rPr>
        <w:t> </w:t>
      </w:r>
      <w:r>
        <w:rPr>
          <w:sz w:val="20"/>
        </w:rPr>
        <w:t>E</w:t>
      </w:r>
      <w:r>
        <w:rPr>
          <w:spacing w:val="-13"/>
          <w:sz w:val="20"/>
        </w:rPr>
        <w:t> </w:t>
      </w:r>
      <w:r>
        <w:rPr>
          <w:sz w:val="20"/>
        </w:rPr>
        <w:t>prueba</w:t>
      </w:r>
      <w:r>
        <w:rPr>
          <w:spacing w:val="-11"/>
          <w:sz w:val="20"/>
        </w:rPr>
        <w:t> </w:t>
      </w:r>
      <w:r>
        <w:rPr>
          <w:sz w:val="20"/>
        </w:rPr>
        <w:t>de</w:t>
      </w:r>
      <w:r>
        <w:rPr>
          <w:spacing w:val="-13"/>
          <w:sz w:val="20"/>
        </w:rPr>
        <w:t> </w:t>
      </w:r>
      <w:r>
        <w:rPr>
          <w:sz w:val="20"/>
        </w:rPr>
        <w:t>conos,</w:t>
      </w:r>
      <w:r>
        <w:rPr>
          <w:spacing w:val="-13"/>
          <w:sz w:val="20"/>
        </w:rPr>
        <w:t> </w:t>
      </w:r>
      <w:r>
        <w:rPr>
          <w:sz w:val="20"/>
        </w:rPr>
        <w:t>F</w:t>
      </w:r>
      <w:r>
        <w:rPr>
          <w:spacing w:val="-13"/>
          <w:sz w:val="20"/>
        </w:rPr>
        <w:t> </w:t>
      </w:r>
      <w:r>
        <w:rPr>
          <w:sz w:val="20"/>
        </w:rPr>
        <w:t>radiografía del tratamiento  endodóntico</w:t>
      </w:r>
      <w:r>
        <w:rPr>
          <w:spacing w:val="-12"/>
          <w:sz w:val="20"/>
        </w:rPr>
        <w:t> </w:t>
      </w:r>
      <w:r>
        <w:rPr>
          <w:sz w:val="20"/>
        </w:rPr>
        <w:t>terminado.</w:t>
      </w:r>
    </w:p>
    <w:p>
      <w:pPr>
        <w:spacing w:after="0" w:line="362" w:lineRule="auto"/>
        <w:jc w:val="both"/>
        <w:rPr>
          <w:sz w:val="20"/>
        </w:rPr>
        <w:sectPr>
          <w:pgSz w:w="12240" w:h="15840"/>
          <w:pgMar w:header="749" w:footer="1003" w:top="960" w:bottom="1200" w:left="1280" w:right="1580"/>
        </w:sectPr>
      </w:pPr>
    </w:p>
    <w:p>
      <w:pPr>
        <w:pStyle w:val="BodyText"/>
        <w:rPr>
          <w:sz w:val="20"/>
        </w:rPr>
      </w:pPr>
    </w:p>
    <w:p>
      <w:pPr>
        <w:pStyle w:val="BodyText"/>
        <w:rPr>
          <w:sz w:val="20"/>
        </w:rPr>
      </w:pPr>
    </w:p>
    <w:p>
      <w:pPr>
        <w:pStyle w:val="BodyText"/>
        <w:spacing w:before="5"/>
        <w:rPr>
          <w:sz w:val="17"/>
        </w:rPr>
      </w:pPr>
    </w:p>
    <w:p>
      <w:pPr>
        <w:pStyle w:val="BodyText"/>
        <w:spacing w:line="360" w:lineRule="auto" w:before="70"/>
        <w:ind w:left="138" w:right="112"/>
        <w:jc w:val="both"/>
      </w:pPr>
      <w:r>
        <w:rPr/>
        <w:t>c.- Protocolo de atención OD 14: Se toma radiografía inicial (figura D), posteriormente se anestesio con lidocaína/epinefrina al 2% (Zeyco), el aislamiento del campo de trabajo se realizó con dique de hule y grapa del número 2 (figura A), se hizo desgaste compensatorio con fresa de diamante troncocónica, para el acceso y localización de los conductos radiculares vestibular y palatino se utilizó fresa de bola del N°4 (figura B), una vez localizados se utilizaron fresas Gates Gliden(dentsply maillefer) 4,3,2 y técnica de instrumentación Crown down con limas manuales (dentsply maillefer) 15,20,25,30,35, para trabajar el tercio apical de los conductos radiculares.</w:t>
      </w:r>
    </w:p>
    <w:p>
      <w:pPr>
        <w:pStyle w:val="BodyText"/>
        <w:spacing w:line="360" w:lineRule="auto" w:before="205"/>
        <w:ind w:left="138" w:right="114"/>
        <w:jc w:val="both"/>
      </w:pPr>
      <w:r>
        <w:rPr/>
        <w:t>Posterior a esto se prosiguió con una Instrumentación rotatoria con limas protaper universal (dentsply Maillefer), utilizando los instrumentos F1, F2 y F3, medicación intraconducto (hidroxido de calcio (ultracal ultradent).</w:t>
      </w:r>
    </w:p>
    <w:p>
      <w:pPr>
        <w:pStyle w:val="BodyText"/>
        <w:spacing w:line="360" w:lineRule="auto" w:before="204"/>
        <w:ind w:left="138" w:right="115"/>
        <w:jc w:val="both"/>
      </w:pPr>
      <w:r>
        <w:rPr/>
        <w:t>Cita subsecuente a los 15 días, irrigación abundante de hipoclorito de sodio al 6% entre cada instrumento utilizado e Irrigación final con EDTA al 17% e hipoclorito de sodio al 6%.</w:t>
      </w:r>
    </w:p>
    <w:p>
      <w:pPr>
        <w:pStyle w:val="BodyText"/>
        <w:spacing w:line="360" w:lineRule="auto" w:before="204"/>
        <w:ind w:left="138" w:right="116"/>
        <w:jc w:val="both"/>
      </w:pPr>
      <w:r>
        <w:rPr/>
        <w:t>Se obturo con técnica hibrida (lateral y mcspadden) y cemento sellador sealapex (sybronendo) (figura C y E), posteriormente colocación de pemaflo (Ultradent) e ionomero de vidrio( GC Fuji), se toma radiografía final del tratamiento (figura F).</w:t>
      </w:r>
    </w:p>
    <w:p>
      <w:pPr>
        <w:pStyle w:val="BodyText"/>
        <w:rPr>
          <w:sz w:val="20"/>
        </w:rPr>
      </w:pPr>
    </w:p>
    <w:p>
      <w:pPr>
        <w:pStyle w:val="BodyText"/>
        <w:spacing w:before="8"/>
        <w:rPr>
          <w:sz w:val="16"/>
        </w:rPr>
      </w:pPr>
      <w:r>
        <w:rPr/>
        <w:pict>
          <v:group style="position:absolute;margin-left:86.394997pt;margin-top:11.579873pt;width:137.050pt;height:83.05pt;mso-position-horizontal-relative:page;mso-position-vertical-relative:paragraph;z-index:2248;mso-wrap-distance-left:0;mso-wrap-distance-right:0" coordorigin="1728,232" coordsize="2741,1661">
            <v:shape style="position:absolute;left:1748;top:252;width:2700;height:1620" type="#_x0000_t75" stroked="false">
              <v:imagedata r:id="rId48" o:title=""/>
            </v:shape>
            <v:rect style="position:absolute;left:1748;top:252;width:2700;height:1620" filled="false" stroked="true" strokeweight="2.04pt" strokecolor="#ffffff"/>
            <v:shape style="position:absolute;left:3975;top:1499;width:146;height:240" type="#_x0000_t202" filled="false" stroked="false">
              <v:textbox inset="0,0,0,0">
                <w:txbxContent>
                  <w:p>
                    <w:pPr>
                      <w:spacing w:line="240" w:lineRule="exact" w:before="0"/>
                      <w:ind w:left="0" w:right="0" w:firstLine="0"/>
                      <w:jc w:val="left"/>
                      <w:rPr>
                        <w:rFonts w:ascii="Calibri"/>
                        <w:b/>
                        <w:sz w:val="24"/>
                      </w:rPr>
                    </w:pPr>
                    <w:r>
                      <w:rPr>
                        <w:rFonts w:ascii="Calibri"/>
                        <w:b/>
                        <w:sz w:val="24"/>
                      </w:rPr>
                      <w:t>A</w:t>
                    </w:r>
                  </w:p>
                </w:txbxContent>
              </v:textbox>
              <w10:wrap type="none"/>
            </v:shape>
            <w10:wrap type="topAndBottom"/>
          </v:group>
        </w:pict>
      </w:r>
      <w:r>
        <w:rPr/>
        <w:pict>
          <v:group style="position:absolute;margin-left:234.835007pt;margin-top:11.579873pt;width:137.050pt;height:84.65pt;mso-position-horizontal-relative:page;mso-position-vertical-relative:paragraph;z-index:2296;mso-wrap-distance-left:0;mso-wrap-distance-right:0" coordorigin="4697,232" coordsize="2741,1693">
            <v:shape style="position:absolute;left:4717;top:252;width:2700;height:1620" type="#_x0000_t75" stroked="false">
              <v:imagedata r:id="rId49" o:title=""/>
            </v:shape>
            <v:rect style="position:absolute;left:4717;top:252;width:2700;height:1620" filled="false" stroked="true" strokeweight="2.04pt" strokecolor="#ffffff"/>
            <v:shape style="position:absolute;left:7140;top:1684;width:135;height:240" type="#_x0000_t202" filled="false" stroked="false">
              <v:textbox inset="0,0,0,0">
                <w:txbxContent>
                  <w:p>
                    <w:pPr>
                      <w:spacing w:line="240" w:lineRule="exact" w:before="0"/>
                      <w:ind w:left="0" w:right="0" w:firstLine="0"/>
                      <w:jc w:val="left"/>
                      <w:rPr>
                        <w:rFonts w:ascii="Calibri"/>
                        <w:b/>
                        <w:sz w:val="24"/>
                      </w:rPr>
                    </w:pPr>
                    <w:r>
                      <w:rPr>
                        <w:rFonts w:ascii="Calibri"/>
                        <w:b/>
                        <w:sz w:val="24"/>
                      </w:rPr>
                      <w:t>B</w:t>
                    </w:r>
                  </w:p>
                </w:txbxContent>
              </v:textbox>
              <w10:wrap type="none"/>
            </v:shape>
            <w10:wrap type="topAndBottom"/>
          </v:group>
        </w:pict>
      </w:r>
      <w:r>
        <w:rPr/>
        <w:pict>
          <v:group style="position:absolute;margin-left:383.394989pt;margin-top:11.579873pt;width:104.2pt;height:83.05pt;mso-position-horizontal-relative:page;mso-position-vertical-relative:paragraph;z-index:2344;mso-wrap-distance-left:0;mso-wrap-distance-right:0" coordorigin="7668,232" coordsize="2084,1661">
            <v:shape style="position:absolute;left:7688;top:252;width:2042;height:1620" type="#_x0000_t75" stroked="false">
              <v:imagedata r:id="rId50" o:title=""/>
            </v:shape>
            <v:rect style="position:absolute;left:7688;top:252;width:2042;height:1620" filled="false" stroked="true" strokeweight="2.04pt" strokecolor="#ffffff"/>
            <v:shape style="position:absolute;left:8646;top:1499;width:128;height:240" type="#_x0000_t202" filled="false" stroked="false">
              <v:textbox inset="0,0,0,0">
                <w:txbxContent>
                  <w:p>
                    <w:pPr>
                      <w:spacing w:line="240" w:lineRule="exact" w:before="0"/>
                      <w:ind w:left="0" w:right="0" w:firstLine="0"/>
                      <w:jc w:val="left"/>
                      <w:rPr>
                        <w:rFonts w:ascii="Calibri"/>
                        <w:b/>
                        <w:sz w:val="24"/>
                      </w:rPr>
                    </w:pPr>
                    <w:r>
                      <w:rPr>
                        <w:rFonts w:ascii="Calibri"/>
                        <w:b/>
                        <w:sz w:val="24"/>
                      </w:rPr>
                      <w:t>C</w:t>
                    </w:r>
                  </w:p>
                </w:txbxContent>
              </v:textbox>
              <w10:wrap type="none"/>
            </v:shape>
            <w10:wrap type="topAndBottom"/>
          </v:group>
        </w:pict>
      </w:r>
      <w:r>
        <w:rPr/>
        <w:pict>
          <v:group style="position:absolute;margin-left:69.955002pt;margin-top:105.299873pt;width:137.050pt;height:83.05pt;mso-position-horizontal-relative:page;mso-position-vertical-relative:paragraph;z-index:2392;mso-wrap-distance-left:0;mso-wrap-distance-right:0" coordorigin="1399,2106" coordsize="2741,1661">
            <v:shape style="position:absolute;left:1420;top:2126;width:2700;height:1620" type="#_x0000_t75" stroked="false">
              <v:imagedata r:id="rId45" o:title=""/>
            </v:shape>
            <v:rect style="position:absolute;left:1420;top:2126;width:2700;height:1620" filled="false" stroked="true" strokeweight="2.04pt" strokecolor="#ffffff"/>
            <v:shape style="position:absolute;left:3743;top:3338;width:140;height:221" type="#_x0000_t202" filled="false" stroked="false">
              <v:textbox inset="0,0,0,0">
                <w:txbxContent>
                  <w:p>
                    <w:pPr>
                      <w:spacing w:line="221" w:lineRule="exact" w:before="0"/>
                      <w:ind w:left="0" w:right="0" w:firstLine="0"/>
                      <w:jc w:val="left"/>
                      <w:rPr>
                        <w:rFonts w:ascii="Calibri"/>
                        <w:b/>
                        <w:sz w:val="22"/>
                      </w:rPr>
                    </w:pPr>
                    <w:r>
                      <w:rPr>
                        <w:rFonts w:ascii="Calibri"/>
                        <w:b/>
                        <w:w w:val="100"/>
                        <w:sz w:val="22"/>
                      </w:rPr>
                      <w:t>D</w:t>
                    </w:r>
                  </w:p>
                </w:txbxContent>
              </v:textbox>
              <w10:wrap type="none"/>
            </v:shape>
            <w10:wrap type="topAndBottom"/>
          </v:group>
        </w:pict>
      </w:r>
      <w:r>
        <w:rPr/>
        <w:pict>
          <v:group style="position:absolute;margin-left:218.395004pt;margin-top:106.019875pt;width:137.050pt;height:83.05pt;mso-position-horizontal-relative:page;mso-position-vertical-relative:paragraph;z-index:2440;mso-wrap-distance-left:0;mso-wrap-distance-right:0" coordorigin="4368,2120" coordsize="2741,1661">
            <v:shape style="position:absolute;left:4388;top:2141;width:2700;height:1620" type="#_x0000_t75" stroked="false">
              <v:imagedata r:id="rId51" o:title=""/>
            </v:shape>
            <v:rect style="position:absolute;left:4388;top:2141;width:2700;height:1620" filled="false" stroked="true" strokeweight="2.04pt" strokecolor="#ffffff"/>
            <v:shape style="position:absolute;left:6278;top:2840;width:118;height:240" type="#_x0000_t202" filled="false" stroked="false">
              <v:textbox inset="0,0,0,0">
                <w:txbxContent>
                  <w:p>
                    <w:pPr>
                      <w:spacing w:line="240" w:lineRule="exact" w:before="0"/>
                      <w:ind w:left="0" w:right="0" w:firstLine="0"/>
                      <w:jc w:val="left"/>
                      <w:rPr>
                        <w:rFonts w:ascii="Calibri"/>
                        <w:b/>
                        <w:sz w:val="24"/>
                      </w:rPr>
                    </w:pPr>
                    <w:r>
                      <w:rPr>
                        <w:rFonts w:ascii="Calibri"/>
                        <w:b/>
                        <w:sz w:val="24"/>
                      </w:rPr>
                      <w:t>E</w:t>
                    </w:r>
                  </w:p>
                </w:txbxContent>
              </v:textbox>
              <w10:wrap type="none"/>
            </v:shape>
            <w10:wrap type="topAndBottom"/>
          </v:group>
        </w:pict>
      </w:r>
      <w:r>
        <w:rPr/>
        <w:pict>
          <v:group style="position:absolute;margin-left:366.954987pt;margin-top:106.019875pt;width:137.050pt;height:83.05pt;mso-position-horizontal-relative:page;mso-position-vertical-relative:paragraph;z-index:2488;mso-wrap-distance-left:0;mso-wrap-distance-right:0" coordorigin="7339,2120" coordsize="2741,1661">
            <v:shape style="position:absolute;left:7360;top:2141;width:2700;height:1620" type="#_x0000_t75" stroked="false">
              <v:imagedata r:id="rId47" o:title=""/>
            </v:shape>
            <v:rect style="position:absolute;left:7360;top:2141;width:2700;height:1620" filled="false" stroked="true" strokeweight="2.04pt" strokecolor="#ffffff"/>
            <v:shape style="position:absolute;left:9659;top:3390;width:111;height:240" type="#_x0000_t202" filled="false" stroked="false">
              <v:textbox inset="0,0,0,0">
                <w:txbxContent>
                  <w:p>
                    <w:pPr>
                      <w:spacing w:line="240" w:lineRule="exact" w:before="0"/>
                      <w:ind w:left="0" w:right="0" w:firstLine="0"/>
                      <w:jc w:val="left"/>
                      <w:rPr>
                        <w:rFonts w:ascii="Calibri"/>
                        <w:b/>
                        <w:sz w:val="24"/>
                      </w:rPr>
                    </w:pPr>
                    <w:r>
                      <w:rPr>
                        <w:rFonts w:ascii="Calibri"/>
                        <w:b/>
                        <w:sz w:val="24"/>
                      </w:rPr>
                      <w:t>F</w:t>
                    </w:r>
                  </w:p>
                </w:txbxContent>
              </v:textbox>
              <w10:wrap type="none"/>
            </v:shape>
            <w10:wrap type="topAndBottom"/>
          </v:group>
        </w:pict>
      </w:r>
    </w:p>
    <w:p>
      <w:pPr>
        <w:pStyle w:val="BodyText"/>
        <w:spacing w:before="10"/>
        <w:rPr>
          <w:sz w:val="9"/>
        </w:rPr>
      </w:pPr>
    </w:p>
    <w:p>
      <w:pPr>
        <w:spacing w:after="0"/>
        <w:rPr>
          <w:sz w:val="9"/>
        </w:rPr>
        <w:sectPr>
          <w:pgSz w:w="12240" w:h="15840"/>
          <w:pgMar w:header="749" w:footer="1003" w:top="960" w:bottom="1200" w:left="1280" w:right="1580"/>
        </w:sectPr>
      </w:pPr>
    </w:p>
    <w:p>
      <w:pPr>
        <w:pStyle w:val="BodyText"/>
        <w:rPr>
          <w:sz w:val="20"/>
        </w:rPr>
      </w:pPr>
    </w:p>
    <w:p>
      <w:pPr>
        <w:pStyle w:val="BodyText"/>
        <w:rPr>
          <w:sz w:val="20"/>
        </w:rPr>
      </w:pPr>
    </w:p>
    <w:p>
      <w:pPr>
        <w:pStyle w:val="BodyText"/>
        <w:rPr>
          <w:sz w:val="17"/>
        </w:rPr>
      </w:pPr>
    </w:p>
    <w:p>
      <w:pPr>
        <w:spacing w:line="360" w:lineRule="auto" w:before="74"/>
        <w:ind w:left="118" w:right="117" w:firstLine="0"/>
        <w:jc w:val="both"/>
        <w:rPr>
          <w:sz w:val="20"/>
        </w:rPr>
      </w:pPr>
      <w:r>
        <w:rPr>
          <w:sz w:val="20"/>
        </w:rPr>
        <w:t>Fig. 23 en A observamos la fotografía inicial del OD 14, en B fotografía de acceso a conductos radiculares; C la imagen presenta conductos obturados con gutapercha, en D radiografía de diagnóstico, E Rx de prueba de conos, F radiografía del tratamiento de conductos terminado.</w:t>
      </w:r>
    </w:p>
    <w:p>
      <w:pPr>
        <w:pStyle w:val="BodyText"/>
        <w:spacing w:before="6"/>
        <w:rPr>
          <w:sz w:val="17"/>
        </w:rPr>
      </w:pPr>
    </w:p>
    <w:p>
      <w:pPr>
        <w:pStyle w:val="BodyText"/>
        <w:spacing w:line="360" w:lineRule="auto"/>
        <w:ind w:left="118" w:right="115"/>
        <w:jc w:val="both"/>
      </w:pPr>
      <w:r>
        <w:rPr/>
        <w:t>d.- Protocolo de atención OD 15: se toma radiografía inicial(figura D) posteriormente se anestesio con lidocaina /epinefrina al 2% (Zeyco), el aislamiento del campo de trabajo</w:t>
      </w:r>
      <w:r>
        <w:rPr>
          <w:spacing w:val="-12"/>
        </w:rPr>
        <w:t> </w:t>
      </w:r>
      <w:r>
        <w:rPr/>
        <w:t>se</w:t>
      </w:r>
      <w:r>
        <w:rPr>
          <w:spacing w:val="-12"/>
        </w:rPr>
        <w:t> </w:t>
      </w:r>
      <w:r>
        <w:rPr/>
        <w:t>realizó</w:t>
      </w:r>
      <w:r>
        <w:rPr>
          <w:spacing w:val="-12"/>
        </w:rPr>
        <w:t> </w:t>
      </w:r>
      <w:r>
        <w:rPr/>
        <w:t>con</w:t>
      </w:r>
      <w:r>
        <w:rPr>
          <w:spacing w:val="-14"/>
        </w:rPr>
        <w:t> </w:t>
      </w:r>
      <w:r>
        <w:rPr/>
        <w:t>dique</w:t>
      </w:r>
      <w:r>
        <w:rPr>
          <w:spacing w:val="-12"/>
        </w:rPr>
        <w:t> </w:t>
      </w:r>
      <w:r>
        <w:rPr/>
        <w:t>de</w:t>
      </w:r>
      <w:r>
        <w:rPr>
          <w:spacing w:val="-12"/>
        </w:rPr>
        <w:t> </w:t>
      </w:r>
      <w:r>
        <w:rPr/>
        <w:t>hule</w:t>
      </w:r>
      <w:r>
        <w:rPr>
          <w:spacing w:val="-12"/>
        </w:rPr>
        <w:t> </w:t>
      </w:r>
      <w:r>
        <w:rPr/>
        <w:t>y</w:t>
      </w:r>
      <w:r>
        <w:rPr>
          <w:spacing w:val="-15"/>
        </w:rPr>
        <w:t> </w:t>
      </w:r>
      <w:r>
        <w:rPr/>
        <w:t>grapa</w:t>
      </w:r>
      <w:r>
        <w:rPr>
          <w:spacing w:val="-15"/>
        </w:rPr>
        <w:t> </w:t>
      </w:r>
      <w:r>
        <w:rPr/>
        <w:t>del</w:t>
      </w:r>
      <w:r>
        <w:rPr>
          <w:spacing w:val="-11"/>
        </w:rPr>
        <w:t> </w:t>
      </w:r>
      <w:r>
        <w:rPr/>
        <w:t>número</w:t>
      </w:r>
      <w:r>
        <w:rPr>
          <w:spacing w:val="-12"/>
        </w:rPr>
        <w:t> </w:t>
      </w:r>
      <w:r>
        <w:rPr/>
        <w:t>00</w:t>
      </w:r>
      <w:r>
        <w:rPr>
          <w:spacing w:val="-12"/>
        </w:rPr>
        <w:t> </w:t>
      </w:r>
      <w:r>
        <w:rPr/>
        <w:t>(</w:t>
      </w:r>
      <w:r>
        <w:rPr>
          <w:spacing w:val="-16"/>
        </w:rPr>
        <w:t> </w:t>
      </w:r>
      <w:r>
        <w:rPr/>
        <w:t>figura</w:t>
      </w:r>
      <w:r>
        <w:rPr>
          <w:spacing w:val="-13"/>
        </w:rPr>
        <w:t> </w:t>
      </w:r>
      <w:r>
        <w:rPr/>
        <w:t>A),</w:t>
      </w:r>
      <w:r>
        <w:rPr>
          <w:spacing w:val="-15"/>
        </w:rPr>
        <w:t> </w:t>
      </w:r>
      <w:r>
        <w:rPr/>
        <w:t>se</w:t>
      </w:r>
      <w:r>
        <w:rPr>
          <w:spacing w:val="-12"/>
        </w:rPr>
        <w:t> </w:t>
      </w:r>
      <w:r>
        <w:rPr/>
        <w:t>hizo</w:t>
      </w:r>
      <w:r>
        <w:rPr>
          <w:spacing w:val="-12"/>
        </w:rPr>
        <w:t> </w:t>
      </w:r>
      <w:r>
        <w:rPr/>
        <w:t>desgaste compensatorio con fresa de diamante troncocónica, para el acceso y localización de los conductos radiculares vestibular y palatino se usó fresa de bola del N°4 (figura B), una</w:t>
      </w:r>
      <w:r>
        <w:rPr>
          <w:spacing w:val="-15"/>
        </w:rPr>
        <w:t> </w:t>
      </w:r>
      <w:r>
        <w:rPr/>
        <w:t>vez</w:t>
      </w:r>
      <w:r>
        <w:rPr>
          <w:spacing w:val="-15"/>
        </w:rPr>
        <w:t> </w:t>
      </w:r>
      <w:r>
        <w:rPr/>
        <w:t>localizados</w:t>
      </w:r>
      <w:r>
        <w:rPr>
          <w:spacing w:val="-15"/>
        </w:rPr>
        <w:t> </w:t>
      </w:r>
      <w:r>
        <w:rPr/>
        <w:t>se</w:t>
      </w:r>
      <w:r>
        <w:rPr>
          <w:spacing w:val="-17"/>
        </w:rPr>
        <w:t> </w:t>
      </w:r>
      <w:r>
        <w:rPr/>
        <w:t>utilizaron</w:t>
      </w:r>
      <w:r>
        <w:rPr>
          <w:spacing w:val="-15"/>
        </w:rPr>
        <w:t> </w:t>
      </w:r>
      <w:r>
        <w:rPr/>
        <w:t>fresas</w:t>
      </w:r>
      <w:r>
        <w:rPr>
          <w:spacing w:val="-15"/>
        </w:rPr>
        <w:t> </w:t>
      </w:r>
      <w:r>
        <w:rPr/>
        <w:t>Gates</w:t>
      </w:r>
      <w:r>
        <w:rPr>
          <w:spacing w:val="-18"/>
        </w:rPr>
        <w:t> </w:t>
      </w:r>
      <w:r>
        <w:rPr/>
        <w:t>Gliden(dentsply</w:t>
      </w:r>
      <w:r>
        <w:rPr>
          <w:spacing w:val="-18"/>
        </w:rPr>
        <w:t> </w:t>
      </w:r>
      <w:r>
        <w:rPr/>
        <w:t>maillefer)</w:t>
      </w:r>
      <w:r>
        <w:rPr>
          <w:spacing w:val="-15"/>
        </w:rPr>
        <w:t> </w:t>
      </w:r>
      <w:r>
        <w:rPr/>
        <w:t>4,3,2</w:t>
      </w:r>
      <w:r>
        <w:rPr>
          <w:spacing w:val="-13"/>
        </w:rPr>
        <w:t> </w:t>
      </w:r>
      <w:r>
        <w:rPr/>
        <w:t>y</w:t>
      </w:r>
      <w:r>
        <w:rPr>
          <w:spacing w:val="-18"/>
        </w:rPr>
        <w:t> </w:t>
      </w:r>
      <w:r>
        <w:rPr/>
        <w:t>técnica de instrumentación Crown Down con limas manuales (dentsply maillefer) 15,20,25,30,35, para trabajar el tercio apical de los conductos</w:t>
      </w:r>
      <w:r>
        <w:rPr>
          <w:spacing w:val="-27"/>
        </w:rPr>
        <w:t> </w:t>
      </w:r>
      <w:r>
        <w:rPr/>
        <w:t>radiculares.</w:t>
      </w:r>
    </w:p>
    <w:p>
      <w:pPr>
        <w:pStyle w:val="BodyText"/>
        <w:spacing w:line="360" w:lineRule="auto" w:before="204"/>
        <w:ind w:left="118" w:right="114"/>
        <w:jc w:val="both"/>
      </w:pPr>
      <w:r>
        <w:rPr/>
        <w:t>Posterior a esto se prosiguió con una Instrumentación rotatoria con limas protaper universal (dentsply Maillefer), utilizando los instrumentos F1, F2 y F3, medicación intraconducto (hidroxido de calcio (ultracal ultradent), cita subsecuente a los 15 días, irrigación abundante de hipoclorito de sodio al 6%, entre cada instrumento utilizado e irrigación final con EDTA al 17% e hipoclorito de sodio al 6%.</w:t>
      </w:r>
    </w:p>
    <w:p>
      <w:pPr>
        <w:pStyle w:val="BodyText"/>
        <w:spacing w:line="360" w:lineRule="auto" w:before="204"/>
        <w:ind w:left="118" w:right="116"/>
        <w:jc w:val="both"/>
      </w:pPr>
      <w:r>
        <w:rPr/>
        <w:t>Se obturo con técnica hibrida (lateral y mcspadden) y cemento sellador sealapex (sybronendo) (figura C y E), posteriormente colocación de pemaflo (Ultradent) e ionomero de vidrio( GC Fuji), se toma una radiografía final del tratamiento (figura F).</w:t>
      </w:r>
    </w:p>
    <w:p>
      <w:pPr>
        <w:spacing w:after="0" w:line="360" w:lineRule="auto"/>
        <w:jc w:val="both"/>
        <w:sectPr>
          <w:pgSz w:w="12240" w:h="15840"/>
          <w:pgMar w:header="749" w:footer="1003" w:top="960" w:bottom="1200" w:left="1300" w:right="158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7"/>
        <w:rPr>
          <w:sz w:val="21"/>
        </w:rPr>
      </w:pPr>
    </w:p>
    <w:p>
      <w:pPr>
        <w:tabs>
          <w:tab w:pos="3039" w:val="left" w:leader="none"/>
        </w:tabs>
        <w:spacing w:line="240" w:lineRule="auto"/>
        <w:ind w:left="222" w:right="0" w:firstLine="0"/>
        <w:rPr>
          <w:sz w:val="20"/>
        </w:rPr>
      </w:pPr>
      <w:r>
        <w:rPr>
          <w:sz w:val="20"/>
        </w:rPr>
        <w:pict>
          <v:group style="width:119.65pt;height:83.05pt;mso-position-horizontal-relative:char;mso-position-vertical-relative:line" coordorigin="0,0" coordsize="2393,1661">
            <v:shape style="position:absolute;left:20;top:20;width:2352;height:1620" type="#_x0000_t75" stroked="false">
              <v:imagedata r:id="rId52" o:title=""/>
            </v:shape>
            <v:shape style="position:absolute;left:20;top:20;width:2352;height:1620" type="#_x0000_t202" filled="false" stroked="true" strokeweight="2.04pt" strokecolor="#b3a1c6">
              <v:textbox inset="0,0,0,0">
                <w:txbxContent>
                  <w:p>
                    <w:pPr>
                      <w:spacing w:line="240" w:lineRule="auto" w:before="0"/>
                      <w:rPr>
                        <w:sz w:val="24"/>
                      </w:rPr>
                    </w:pPr>
                  </w:p>
                  <w:p>
                    <w:pPr>
                      <w:spacing w:line="240" w:lineRule="auto" w:before="0"/>
                      <w:rPr>
                        <w:sz w:val="24"/>
                      </w:rPr>
                    </w:pPr>
                  </w:p>
                  <w:p>
                    <w:pPr>
                      <w:spacing w:line="240" w:lineRule="auto" w:before="0"/>
                      <w:rPr>
                        <w:sz w:val="24"/>
                      </w:rPr>
                    </w:pPr>
                  </w:p>
                  <w:p>
                    <w:pPr>
                      <w:spacing w:before="166"/>
                      <w:ind w:left="0" w:right="159" w:firstLine="0"/>
                      <w:jc w:val="right"/>
                      <w:rPr>
                        <w:rFonts w:ascii="Calibri"/>
                        <w:b/>
                        <w:sz w:val="24"/>
                      </w:rPr>
                    </w:pPr>
                    <w:r>
                      <w:rPr>
                        <w:rFonts w:ascii="Calibri"/>
                        <w:b/>
                        <w:sz w:val="24"/>
                      </w:rPr>
                      <w:t>A</w:t>
                    </w:r>
                  </w:p>
                </w:txbxContent>
              </v:textbox>
              <w10:wrap type="none"/>
            </v:shape>
          </v:group>
        </w:pict>
      </w:r>
      <w:r>
        <w:rPr>
          <w:sz w:val="20"/>
        </w:rPr>
      </w:r>
      <w:r>
        <w:rPr>
          <w:sz w:val="20"/>
        </w:rPr>
        <w:tab/>
      </w:r>
      <w:r>
        <w:rPr>
          <w:position w:val="1"/>
          <w:sz w:val="20"/>
        </w:rPr>
        <w:pict>
          <v:group style="width:137.050pt;height:83.05pt;mso-position-horizontal-relative:char;mso-position-vertical-relative:line" coordorigin="0,0" coordsize="2741,1661">
            <v:shape style="position:absolute;left:20;top:20;width:2700;height:1620" type="#_x0000_t75" stroked="false">
              <v:imagedata r:id="rId53" o:title=""/>
            </v:shape>
            <v:rect style="position:absolute;left:20;top:20;width:2700;height:1620" filled="false" stroked="true" strokeweight="2.04pt" strokecolor="#ffffff"/>
            <v:shape style="position:absolute;left:2063;top:1266;width:135;height:240" type="#_x0000_t202" filled="false" stroked="false">
              <v:textbox inset="0,0,0,0">
                <w:txbxContent>
                  <w:p>
                    <w:pPr>
                      <w:spacing w:line="240" w:lineRule="exact" w:before="0"/>
                      <w:ind w:left="0" w:right="0" w:firstLine="0"/>
                      <w:jc w:val="left"/>
                      <w:rPr>
                        <w:rFonts w:ascii="Calibri"/>
                        <w:b/>
                        <w:sz w:val="24"/>
                      </w:rPr>
                    </w:pPr>
                    <w:r>
                      <w:rPr>
                        <w:rFonts w:ascii="Calibri"/>
                        <w:b/>
                        <w:sz w:val="24"/>
                      </w:rPr>
                      <w:t>B</w:t>
                    </w:r>
                  </w:p>
                </w:txbxContent>
              </v:textbox>
              <w10:wrap type="none"/>
            </v:shape>
          </v:group>
        </w:pict>
      </w:r>
      <w:r>
        <w:rPr>
          <w:position w:val="1"/>
          <w:sz w:val="20"/>
        </w:rPr>
      </w:r>
      <w:r>
        <w:rPr>
          <w:rFonts w:ascii="Times New Roman"/>
          <w:spacing w:val="72"/>
          <w:position w:val="1"/>
          <w:sz w:val="20"/>
        </w:rPr>
        <w:t> </w:t>
      </w:r>
      <w:r>
        <w:rPr>
          <w:spacing w:val="72"/>
          <w:position w:val="6"/>
          <w:sz w:val="20"/>
        </w:rPr>
        <w:pict>
          <v:group style="width:137.050pt;height:83.05pt;mso-position-horizontal-relative:char;mso-position-vertical-relative:line" coordorigin="0,0" coordsize="2741,1661">
            <v:shape style="position:absolute;left:20;top:20;width:2700;height:1620" type="#_x0000_t75" stroked="false">
              <v:imagedata r:id="rId54" o:title=""/>
            </v:shape>
            <v:rect style="position:absolute;left:20;top:20;width:2700;height:1620" filled="false" stroked="true" strokeweight="2.04pt" strokecolor="#ffffff"/>
            <v:shape style="position:absolute;left:2421;top:1267;width:128;height:240" type="#_x0000_t202" filled="false" stroked="false">
              <v:textbox inset="0,0,0,0">
                <w:txbxContent>
                  <w:p>
                    <w:pPr>
                      <w:spacing w:line="240" w:lineRule="exact" w:before="0"/>
                      <w:ind w:left="0" w:right="0" w:firstLine="0"/>
                      <w:jc w:val="left"/>
                      <w:rPr>
                        <w:rFonts w:ascii="Calibri"/>
                        <w:b/>
                        <w:sz w:val="24"/>
                      </w:rPr>
                    </w:pPr>
                    <w:r>
                      <w:rPr>
                        <w:rFonts w:ascii="Calibri"/>
                        <w:b/>
                        <w:sz w:val="24"/>
                      </w:rPr>
                      <w:t>C</w:t>
                    </w:r>
                  </w:p>
                </w:txbxContent>
              </v:textbox>
              <w10:wrap type="none"/>
            </v:shape>
          </v:group>
        </w:pict>
      </w:r>
      <w:r>
        <w:rPr>
          <w:spacing w:val="72"/>
          <w:position w:val="6"/>
          <w:sz w:val="20"/>
        </w:rPr>
      </w:r>
    </w:p>
    <w:p>
      <w:pPr>
        <w:pStyle w:val="BodyText"/>
        <w:spacing w:before="8"/>
        <w:rPr>
          <w:sz w:val="9"/>
        </w:rPr>
      </w:pPr>
      <w:r>
        <w:rPr/>
        <w:pict>
          <v:group style="position:absolute;margin-left:69.955002pt;margin-top:7.56pt;width:137.050pt;height:84.55pt;mso-position-horizontal-relative:page;mso-position-vertical-relative:paragraph;z-index:2680;mso-wrap-distance-left:0;mso-wrap-distance-right:0" coordorigin="1399,151" coordsize="2741,1691">
            <v:shape style="position:absolute;left:1420;top:172;width:2700;height:1620" type="#_x0000_t75" stroked="false">
              <v:imagedata r:id="rId45" o:title=""/>
            </v:shape>
            <v:rect style="position:absolute;left:1420;top:172;width:2700;height:1620" filled="false" stroked="true" strokeweight="2.04pt" strokecolor="#ffffff"/>
            <v:shape style="position:absolute;left:3833;top:1601;width:152;height:240" type="#_x0000_t202" filled="false" stroked="false">
              <v:textbox inset="0,0,0,0">
                <w:txbxContent>
                  <w:p>
                    <w:pPr>
                      <w:spacing w:line="240" w:lineRule="exact" w:before="0"/>
                      <w:ind w:left="0" w:right="0" w:firstLine="0"/>
                      <w:jc w:val="left"/>
                      <w:rPr>
                        <w:rFonts w:ascii="Calibri"/>
                        <w:b/>
                        <w:sz w:val="24"/>
                      </w:rPr>
                    </w:pPr>
                    <w:r>
                      <w:rPr>
                        <w:rFonts w:ascii="Calibri"/>
                        <w:b/>
                        <w:sz w:val="24"/>
                      </w:rPr>
                      <w:t>D</w:t>
                    </w:r>
                  </w:p>
                </w:txbxContent>
              </v:textbox>
              <w10:wrap type="none"/>
            </v:shape>
            <w10:wrap type="topAndBottom"/>
          </v:group>
        </w:pict>
      </w:r>
      <w:r>
        <w:rPr/>
        <w:pict>
          <v:group style="position:absolute;margin-left:218.514999pt;margin-top:7.56pt;width:137.050pt;height:83.05pt;mso-position-horizontal-relative:page;mso-position-vertical-relative:paragraph;z-index:2728;mso-wrap-distance-left:0;mso-wrap-distance-right:0" coordorigin="4370,151" coordsize="2741,1661">
            <v:shape style="position:absolute;left:4391;top:172;width:2700;height:1620" type="#_x0000_t75" stroked="false">
              <v:imagedata r:id="rId55" o:title=""/>
            </v:shape>
            <v:rect style="position:absolute;left:4391;top:172;width:2700;height:1620" filled="false" stroked="true" strokeweight="2.04pt" strokecolor="#ffffff"/>
            <v:shape style="position:absolute;left:6820;top:1250;width:118;height:240" type="#_x0000_t202" filled="false" stroked="false">
              <v:textbox inset="0,0,0,0">
                <w:txbxContent>
                  <w:p>
                    <w:pPr>
                      <w:spacing w:line="240" w:lineRule="exact" w:before="0"/>
                      <w:ind w:left="0" w:right="0" w:firstLine="0"/>
                      <w:jc w:val="left"/>
                      <w:rPr>
                        <w:rFonts w:ascii="Calibri"/>
                        <w:b/>
                        <w:sz w:val="24"/>
                      </w:rPr>
                    </w:pPr>
                    <w:r>
                      <w:rPr>
                        <w:rFonts w:ascii="Calibri"/>
                        <w:b/>
                        <w:sz w:val="24"/>
                      </w:rPr>
                      <w:t>E</w:t>
                    </w:r>
                  </w:p>
                </w:txbxContent>
              </v:textbox>
              <w10:wrap type="none"/>
            </v:shape>
            <w10:wrap type="topAndBottom"/>
          </v:group>
        </w:pict>
      </w:r>
      <w:r>
        <w:rPr/>
        <w:pict>
          <v:group style="position:absolute;margin-left:366.954987pt;margin-top:7.56pt;width:137.050pt;height:84.55pt;mso-position-horizontal-relative:page;mso-position-vertical-relative:paragraph;z-index:2776;mso-wrap-distance-left:0;mso-wrap-distance-right:0" coordorigin="7339,151" coordsize="2741,1691">
            <v:shape style="position:absolute;left:7360;top:172;width:2700;height:1620" type="#_x0000_t75" stroked="false">
              <v:imagedata r:id="rId47" o:title=""/>
            </v:shape>
            <v:rect style="position:absolute;left:7360;top:172;width:2700;height:1620" filled="false" stroked="true" strokeweight="2.04pt" strokecolor="#ffffff"/>
            <v:shape style="position:absolute;left:9823;top:1601;width:111;height:240" type="#_x0000_t202" filled="false" stroked="false">
              <v:textbox inset="0,0,0,0">
                <w:txbxContent>
                  <w:p>
                    <w:pPr>
                      <w:spacing w:line="240" w:lineRule="exact" w:before="0"/>
                      <w:ind w:left="0" w:right="0" w:firstLine="0"/>
                      <w:jc w:val="left"/>
                      <w:rPr>
                        <w:rFonts w:ascii="Calibri"/>
                        <w:b/>
                        <w:sz w:val="24"/>
                      </w:rPr>
                    </w:pPr>
                    <w:r>
                      <w:rPr>
                        <w:rFonts w:ascii="Calibri"/>
                        <w:b/>
                        <w:sz w:val="24"/>
                      </w:rPr>
                      <w:t>F</w:t>
                    </w:r>
                  </w:p>
                </w:txbxContent>
              </v:textbox>
              <w10:wrap type="none"/>
            </v:shape>
            <w10:wrap type="topAndBottom"/>
          </v:group>
        </w:pict>
      </w:r>
    </w:p>
    <w:p>
      <w:pPr>
        <w:pStyle w:val="BodyText"/>
        <w:rPr>
          <w:sz w:val="20"/>
        </w:rPr>
      </w:pPr>
    </w:p>
    <w:p>
      <w:pPr>
        <w:pStyle w:val="BodyText"/>
        <w:rPr>
          <w:sz w:val="20"/>
        </w:rPr>
      </w:pPr>
    </w:p>
    <w:p>
      <w:pPr>
        <w:pStyle w:val="BodyText"/>
        <w:rPr>
          <w:sz w:val="20"/>
        </w:rPr>
      </w:pPr>
    </w:p>
    <w:p>
      <w:pPr>
        <w:pStyle w:val="BodyText"/>
        <w:rPr>
          <w:sz w:val="22"/>
        </w:rPr>
      </w:pPr>
    </w:p>
    <w:p>
      <w:pPr>
        <w:spacing w:line="360" w:lineRule="auto" w:before="0"/>
        <w:ind w:left="138" w:right="118" w:firstLine="0"/>
        <w:jc w:val="both"/>
        <w:rPr>
          <w:sz w:val="20"/>
        </w:rPr>
      </w:pPr>
      <w:r>
        <w:rPr>
          <w:sz w:val="20"/>
        </w:rPr>
        <w:t>Fig. 24 A observamos la fotografía inicial, en B acceso a conductos radiculares; C presenta conductos obturados con gutapercha, en D radiografía de diagnóstico, E prueba de conos, F radiografía del tratamiento endodóntico terminado.</w:t>
      </w:r>
    </w:p>
    <w:p>
      <w:pPr>
        <w:pStyle w:val="BodyText"/>
        <w:spacing w:before="6"/>
        <w:rPr>
          <w:sz w:val="17"/>
        </w:rPr>
      </w:pPr>
    </w:p>
    <w:p>
      <w:pPr>
        <w:pStyle w:val="BodyText"/>
        <w:spacing w:line="360" w:lineRule="auto"/>
        <w:ind w:left="138" w:right="114"/>
        <w:jc w:val="both"/>
      </w:pPr>
      <w:r>
        <w:rPr/>
        <w:t>Protocolo de atención OD 21: Se toma radiografía inicial (figura D), posteriormente se anestesio</w:t>
      </w:r>
      <w:r>
        <w:rPr>
          <w:spacing w:val="-4"/>
        </w:rPr>
        <w:t> </w:t>
      </w:r>
      <w:r>
        <w:rPr/>
        <w:t>con</w:t>
      </w:r>
      <w:r>
        <w:rPr>
          <w:spacing w:val="-4"/>
        </w:rPr>
        <w:t> </w:t>
      </w:r>
      <w:r>
        <w:rPr/>
        <w:t>lidocaína</w:t>
      </w:r>
      <w:r>
        <w:rPr>
          <w:spacing w:val="-3"/>
        </w:rPr>
        <w:t> </w:t>
      </w:r>
      <w:r>
        <w:rPr/>
        <w:t>/epinefrina</w:t>
      </w:r>
      <w:r>
        <w:rPr>
          <w:spacing w:val="-5"/>
        </w:rPr>
        <w:t> </w:t>
      </w:r>
      <w:r>
        <w:rPr/>
        <w:t>al</w:t>
      </w:r>
      <w:r>
        <w:rPr>
          <w:spacing w:val="-8"/>
        </w:rPr>
        <w:t> </w:t>
      </w:r>
      <w:r>
        <w:rPr/>
        <w:t>2%</w:t>
      </w:r>
      <w:r>
        <w:rPr>
          <w:spacing w:val="-5"/>
        </w:rPr>
        <w:t> </w:t>
      </w:r>
      <w:r>
        <w:rPr/>
        <w:t>(Zeyco),</w:t>
      </w:r>
      <w:r>
        <w:rPr>
          <w:spacing w:val="-5"/>
        </w:rPr>
        <w:t> </w:t>
      </w:r>
      <w:r>
        <w:rPr/>
        <w:t>el</w:t>
      </w:r>
      <w:r>
        <w:rPr>
          <w:spacing w:val="-6"/>
        </w:rPr>
        <w:t> </w:t>
      </w:r>
      <w:r>
        <w:rPr/>
        <w:t>aislamiento</w:t>
      </w:r>
      <w:r>
        <w:rPr>
          <w:spacing w:val="-7"/>
        </w:rPr>
        <w:t> </w:t>
      </w:r>
      <w:r>
        <w:rPr/>
        <w:t>del</w:t>
      </w:r>
      <w:r>
        <w:rPr>
          <w:spacing w:val="-8"/>
        </w:rPr>
        <w:t> </w:t>
      </w:r>
      <w:r>
        <w:rPr/>
        <w:t>campo</w:t>
      </w:r>
      <w:r>
        <w:rPr>
          <w:spacing w:val="-7"/>
        </w:rPr>
        <w:t> </w:t>
      </w:r>
      <w:r>
        <w:rPr/>
        <w:t>de</w:t>
      </w:r>
      <w:r>
        <w:rPr>
          <w:spacing w:val="-7"/>
        </w:rPr>
        <w:t> </w:t>
      </w:r>
      <w:r>
        <w:rPr/>
        <w:t>trabajo se realizó con dique de hule y grapa del número 00 (figura A), se hizo desgaste compensatorio con fresa de diamante troncocónica, para el acceso y localización del conducto radicular se usó fresa de bola del N°4 (figura B), una vez localizado se utilizaron fresas Gates Gliden (dentsply maillefer) 4,3,2 y Técnica de instrumentación Crown down con limas manuales (dentsply maillefer) 15,20,25,30,35,40, para trabajar le tercio apical del conducto</w:t>
      </w:r>
      <w:r>
        <w:rPr>
          <w:spacing w:val="-7"/>
        </w:rPr>
        <w:t> </w:t>
      </w:r>
      <w:r>
        <w:rPr/>
        <w:t>radicular.</w:t>
      </w:r>
    </w:p>
    <w:p>
      <w:pPr>
        <w:pStyle w:val="BodyText"/>
        <w:spacing w:line="360" w:lineRule="auto" w:before="202"/>
        <w:ind w:left="138" w:right="114"/>
        <w:jc w:val="both"/>
      </w:pPr>
      <w:r>
        <w:rPr/>
        <w:t>Posterior a esto una instrumentación rotatoria con limas protaper universal (dentsply Maillefer) utilizando los instrumentos F1, F2 y F3, irrigación abundante de hipoclorito de sodio al 6% entre cada instrumento utilizado, irrigación final con EDTA al 17% y hipoclorito de sodio al 6%.</w:t>
      </w:r>
    </w:p>
    <w:p>
      <w:pPr>
        <w:spacing w:after="0" w:line="360" w:lineRule="auto"/>
        <w:jc w:val="both"/>
        <w:sectPr>
          <w:pgSz w:w="12240" w:h="15840"/>
          <w:pgMar w:header="749" w:footer="1003" w:top="960" w:bottom="1200" w:left="1280" w:right="1580"/>
        </w:sectPr>
      </w:pPr>
    </w:p>
    <w:p>
      <w:pPr>
        <w:pStyle w:val="BodyText"/>
        <w:rPr>
          <w:sz w:val="20"/>
        </w:rPr>
      </w:pPr>
    </w:p>
    <w:p>
      <w:pPr>
        <w:pStyle w:val="BodyText"/>
        <w:rPr>
          <w:sz w:val="20"/>
        </w:rPr>
      </w:pPr>
    </w:p>
    <w:p>
      <w:pPr>
        <w:pStyle w:val="BodyText"/>
        <w:spacing w:before="5"/>
        <w:rPr>
          <w:sz w:val="17"/>
        </w:rPr>
      </w:pPr>
    </w:p>
    <w:p>
      <w:pPr>
        <w:pStyle w:val="BodyText"/>
        <w:spacing w:line="360" w:lineRule="auto" w:before="70"/>
        <w:ind w:left="138" w:right="116"/>
        <w:jc w:val="both"/>
      </w:pPr>
      <w:r>
        <w:rPr/>
        <w:t>Se obtura con técnica hibrida (lateral y mcspadden) y cemento sellador sealapex (sybronendo) (figura C y E), posteriormente colocación de pemaflo (Ultradent) e ionomero de vidrio (GC Fuji), se toma una radiografía final del tratamiento (figura F)</w:t>
      </w:r>
    </w:p>
    <w:p>
      <w:pPr>
        <w:pStyle w:val="BodyText"/>
        <w:rPr>
          <w:sz w:val="20"/>
        </w:rPr>
      </w:pPr>
    </w:p>
    <w:p>
      <w:pPr>
        <w:pStyle w:val="BodyText"/>
        <w:rPr>
          <w:sz w:val="20"/>
        </w:rPr>
      </w:pPr>
    </w:p>
    <w:p>
      <w:pPr>
        <w:pStyle w:val="BodyText"/>
        <w:spacing w:before="4"/>
        <w:rPr>
          <w:sz w:val="14"/>
        </w:rPr>
      </w:pPr>
      <w:r>
        <w:rPr/>
        <w:pict>
          <v:group style="position:absolute;margin-left:89.635002pt;margin-top:10.210886pt;width:152.3pt;height:92.2pt;mso-position-horizontal-relative:page;mso-position-vertical-relative:paragraph;z-index:2824;mso-wrap-distance-left:0;mso-wrap-distance-right:0" coordorigin="1793,204" coordsize="3046,1844">
            <v:shape style="position:absolute;left:1813;top:225;width:3005;height:1802" type="#_x0000_t75" stroked="false">
              <v:imagedata r:id="rId56" o:title=""/>
            </v:shape>
            <v:rect style="position:absolute;left:1813;top:225;width:3005;height:1802" filled="false" stroked="true" strokeweight="2.04pt" strokecolor="#ffffff"/>
            <v:shape style="position:absolute;left:4410;top:1562;width:146;height:240" type="#_x0000_t202" filled="false" stroked="false">
              <v:textbox inset="0,0,0,0">
                <w:txbxContent>
                  <w:p>
                    <w:pPr>
                      <w:spacing w:line="240" w:lineRule="exact" w:before="0"/>
                      <w:ind w:left="0" w:right="0" w:firstLine="0"/>
                      <w:jc w:val="left"/>
                      <w:rPr>
                        <w:rFonts w:ascii="Calibri"/>
                        <w:b/>
                        <w:sz w:val="24"/>
                      </w:rPr>
                    </w:pPr>
                    <w:r>
                      <w:rPr>
                        <w:rFonts w:ascii="Calibri"/>
                        <w:b/>
                        <w:sz w:val="24"/>
                      </w:rPr>
                      <w:t>A</w:t>
                    </w:r>
                  </w:p>
                </w:txbxContent>
              </v:textbox>
              <w10:wrap type="none"/>
            </v:shape>
            <w10:wrap type="topAndBottom"/>
          </v:group>
        </w:pict>
      </w:r>
      <w:r>
        <w:rPr/>
        <w:pict>
          <v:group style="position:absolute;margin-left:293.394989pt;margin-top:12.970886pt;width:152.3pt;height:92.05pt;mso-position-horizontal-relative:page;mso-position-vertical-relative:paragraph;z-index:2872;mso-wrap-distance-left:0;mso-wrap-distance-right:0" coordorigin="5868,259" coordsize="3046,1841">
            <v:shape style="position:absolute;left:5888;top:280;width:3005;height:1800" type="#_x0000_t75" stroked="false">
              <v:imagedata r:id="rId57" o:title=""/>
            </v:shape>
            <v:rect style="position:absolute;left:5888;top:280;width:3005;height:1800" filled="false" stroked="true" strokeweight="2.04pt" strokecolor="#ffffff"/>
            <v:shape style="position:absolute;left:8492;top:1617;width:135;height:240" type="#_x0000_t202" filled="false" stroked="false">
              <v:textbox inset="0,0,0,0">
                <w:txbxContent>
                  <w:p>
                    <w:pPr>
                      <w:spacing w:line="240" w:lineRule="exact" w:before="0"/>
                      <w:ind w:left="0" w:right="0" w:firstLine="0"/>
                      <w:jc w:val="left"/>
                      <w:rPr>
                        <w:rFonts w:ascii="Calibri"/>
                        <w:b/>
                        <w:sz w:val="24"/>
                      </w:rPr>
                    </w:pPr>
                    <w:r>
                      <w:rPr>
                        <w:rFonts w:ascii="Calibri"/>
                        <w:b/>
                        <w:sz w:val="24"/>
                      </w:rPr>
                      <w:t>B</w:t>
                    </w:r>
                  </w:p>
                </w:txbxContent>
              </v:textbox>
              <w10:wrap type="none"/>
            </v:shape>
            <w10:wrap type="topAndBottom"/>
          </v:group>
        </w:pict>
      </w:r>
      <w:r>
        <w:rPr/>
        <w:pict>
          <v:group style="position:absolute;margin-left:69.955002pt;margin-top:116.050888pt;width:236.55pt;height:108.75pt;mso-position-horizontal-relative:page;mso-position-vertical-relative:paragraph;z-index:2944;mso-wrap-distance-left:0;mso-wrap-distance-right:0" coordorigin="1399,2321" coordsize="4731,2175">
            <v:shape style="position:absolute;left:1420;top:2402;width:3002;height:1802" type="#_x0000_t75" stroked="false">
              <v:imagedata r:id="rId58" o:title=""/>
            </v:shape>
            <v:rect style="position:absolute;left:1420;top:2402;width:3002;height:1802" filled="false" stroked="true" strokeweight="2.04pt" strokecolor="#ffffff"/>
            <v:shape style="position:absolute;left:4345;top:2342;width:1764;height:2134" type="#_x0000_t75" stroked="false">
              <v:imagedata r:id="rId59" o:title=""/>
            </v:shape>
            <v:rect style="position:absolute;left:4345;top:2342;width:1764;height:2134" filled="false" stroked="true" strokeweight="2.04pt" strokecolor="#ffffff"/>
            <v:shape style="position:absolute;left:4024;top:3755;width:128;height:240" type="#_x0000_t202" filled="false" stroked="false">
              <v:textbox inset="0,0,0,0">
                <w:txbxContent>
                  <w:p>
                    <w:pPr>
                      <w:spacing w:line="240" w:lineRule="exact" w:before="0"/>
                      <w:ind w:left="0" w:right="0" w:firstLine="0"/>
                      <w:jc w:val="left"/>
                      <w:rPr>
                        <w:rFonts w:ascii="Calibri"/>
                        <w:b/>
                        <w:sz w:val="24"/>
                      </w:rPr>
                    </w:pPr>
                    <w:r>
                      <w:rPr>
                        <w:rFonts w:ascii="Calibri"/>
                        <w:b/>
                        <w:sz w:val="24"/>
                      </w:rPr>
                      <w:t>C</w:t>
                    </w:r>
                  </w:p>
                </w:txbxContent>
              </v:textbox>
              <w10:wrap type="none"/>
            </v:shape>
            <v:shape style="position:absolute;left:5775;top:4030;width:152;height:240" type="#_x0000_t202" filled="false" stroked="false">
              <v:textbox inset="0,0,0,0">
                <w:txbxContent>
                  <w:p>
                    <w:pPr>
                      <w:spacing w:line="240" w:lineRule="exact" w:before="0"/>
                      <w:ind w:left="0" w:right="0" w:firstLine="0"/>
                      <w:jc w:val="left"/>
                      <w:rPr>
                        <w:rFonts w:ascii="Calibri"/>
                        <w:b/>
                        <w:sz w:val="24"/>
                      </w:rPr>
                    </w:pPr>
                    <w:r>
                      <w:rPr>
                        <w:rFonts w:ascii="Calibri"/>
                        <w:b/>
                        <w:color w:val="EDEBE0"/>
                        <w:sz w:val="24"/>
                      </w:rPr>
                      <w:t>D</w:t>
                    </w:r>
                  </w:p>
                </w:txbxContent>
              </v:textbox>
              <w10:wrap type="none"/>
            </v:shape>
            <w10:wrap type="topAndBottom"/>
          </v:group>
        </w:pict>
      </w:r>
      <w:r>
        <w:rPr/>
        <w:pict>
          <v:group style="position:absolute;margin-left:330.355011pt;margin-top:116.050888pt;width:80.8pt;height:109.25pt;mso-position-horizontal-relative:page;mso-position-vertical-relative:paragraph;z-index:2992;mso-wrap-distance-left:0;mso-wrap-distance-right:0" coordorigin="6607,2321" coordsize="1616,2185">
            <v:shape style="position:absolute;left:6628;top:2342;width:1574;height:2143" type="#_x0000_t75" stroked="false">
              <v:imagedata r:id="rId60" o:title=""/>
            </v:shape>
            <v:rect style="position:absolute;left:6628;top:2342;width:1574;height:2143" filled="false" stroked="true" strokeweight="2.04pt" strokecolor="#ffffff"/>
            <v:shape style="position:absolute;left:7880;top:4084;width:127;height:260" type="#_x0000_t202" filled="false" stroked="false">
              <v:textbox inset="0,0,0,0">
                <w:txbxContent>
                  <w:p>
                    <w:pPr>
                      <w:spacing w:line="259" w:lineRule="exact" w:before="0"/>
                      <w:ind w:left="0" w:right="0" w:firstLine="0"/>
                      <w:jc w:val="left"/>
                      <w:rPr>
                        <w:rFonts w:ascii="Calibri"/>
                        <w:b/>
                        <w:sz w:val="26"/>
                      </w:rPr>
                    </w:pPr>
                    <w:r>
                      <w:rPr>
                        <w:rFonts w:ascii="Calibri"/>
                        <w:b/>
                        <w:w w:val="99"/>
                        <w:sz w:val="26"/>
                      </w:rPr>
                      <w:t>E</w:t>
                    </w:r>
                  </w:p>
                </w:txbxContent>
              </v:textbox>
              <w10:wrap type="none"/>
            </v:shape>
            <w10:wrap type="topAndBottom"/>
          </v:group>
        </w:pict>
      </w:r>
      <w:r>
        <w:rPr/>
        <w:pict>
          <v:group style="position:absolute;margin-left:426.234985pt;margin-top:118.090889pt;width:71.650pt;height:106.45pt;mso-position-horizontal-relative:page;mso-position-vertical-relative:paragraph;z-index:3040;mso-wrap-distance-left:0;mso-wrap-distance-right:0" coordorigin="8525,2362" coordsize="1433,2129">
            <v:shape style="position:absolute;left:8545;top:2382;width:1392;height:2088" type="#_x0000_t75" stroked="false">
              <v:imagedata r:id="rId61" o:title=""/>
            </v:shape>
            <v:rect style="position:absolute;left:8545;top:2382;width:1392;height:2088" filled="false" stroked="true" strokeweight="2.04pt" strokecolor="#ffffff"/>
            <v:shape style="position:absolute;left:9650;top:4098;width:119;height:260" type="#_x0000_t202" filled="false" stroked="false">
              <v:textbox inset="0,0,0,0">
                <w:txbxContent>
                  <w:p>
                    <w:pPr>
                      <w:spacing w:line="259" w:lineRule="exact" w:before="0"/>
                      <w:ind w:left="0" w:right="0" w:firstLine="0"/>
                      <w:jc w:val="left"/>
                      <w:rPr>
                        <w:rFonts w:ascii="Calibri"/>
                        <w:b/>
                        <w:sz w:val="26"/>
                      </w:rPr>
                    </w:pPr>
                    <w:r>
                      <w:rPr>
                        <w:rFonts w:ascii="Calibri"/>
                        <w:b/>
                        <w:w w:val="99"/>
                        <w:sz w:val="26"/>
                      </w:rPr>
                      <w:t>F</w:t>
                    </w:r>
                  </w:p>
                </w:txbxContent>
              </v:textbox>
              <w10:wrap type="none"/>
            </v:shape>
            <w10:wrap type="topAndBottom"/>
          </v:group>
        </w:pict>
      </w:r>
    </w:p>
    <w:p>
      <w:pPr>
        <w:pStyle w:val="BodyText"/>
        <w:spacing w:before="3"/>
        <w:rPr>
          <w:sz w:val="13"/>
        </w:rPr>
      </w:pPr>
    </w:p>
    <w:p>
      <w:pPr>
        <w:pStyle w:val="BodyText"/>
      </w:pPr>
    </w:p>
    <w:p>
      <w:pPr>
        <w:pStyle w:val="BodyText"/>
      </w:pPr>
    </w:p>
    <w:p>
      <w:pPr>
        <w:pStyle w:val="BodyText"/>
      </w:pPr>
    </w:p>
    <w:p>
      <w:pPr>
        <w:pStyle w:val="BodyText"/>
        <w:spacing w:before="4"/>
        <w:rPr>
          <w:sz w:val="32"/>
        </w:rPr>
      </w:pPr>
    </w:p>
    <w:p>
      <w:pPr>
        <w:spacing w:line="362" w:lineRule="auto" w:before="1"/>
        <w:ind w:left="138" w:right="117" w:firstLine="0"/>
        <w:jc w:val="both"/>
        <w:rPr>
          <w:sz w:val="20"/>
        </w:rPr>
      </w:pPr>
      <w:r>
        <w:rPr>
          <w:sz w:val="20"/>
        </w:rPr>
        <w:t>Fig. 24 En A observamos la fotografía inicial en la cual se realizó una fistulografía, en B acceso a conducto radicular; C presenta conducto obturado con gutapercha, en D radiografía de diagnóstico, E prueba de cono, F radiografía del tratamiento endodóntico terminado.</w:t>
      </w:r>
    </w:p>
    <w:p>
      <w:pPr>
        <w:spacing w:after="0" w:line="362" w:lineRule="auto"/>
        <w:jc w:val="both"/>
        <w:rPr>
          <w:sz w:val="20"/>
        </w:rPr>
        <w:sectPr>
          <w:pgSz w:w="12240" w:h="15840"/>
          <w:pgMar w:header="749" w:footer="1003" w:top="960" w:bottom="1200" w:left="1280" w:right="1580"/>
        </w:sectPr>
      </w:pPr>
    </w:p>
    <w:p>
      <w:pPr>
        <w:pStyle w:val="BodyText"/>
        <w:rPr>
          <w:sz w:val="20"/>
        </w:rPr>
      </w:pPr>
    </w:p>
    <w:p>
      <w:pPr>
        <w:pStyle w:val="BodyText"/>
        <w:rPr>
          <w:sz w:val="20"/>
        </w:rPr>
      </w:pPr>
    </w:p>
    <w:p>
      <w:pPr>
        <w:pStyle w:val="BodyText"/>
        <w:spacing w:before="5"/>
        <w:rPr>
          <w:sz w:val="17"/>
        </w:rPr>
      </w:pPr>
    </w:p>
    <w:p>
      <w:pPr>
        <w:pStyle w:val="Heading2"/>
        <w:numPr>
          <w:ilvl w:val="0"/>
          <w:numId w:val="14"/>
        </w:numPr>
        <w:tabs>
          <w:tab w:pos="4147" w:val="left" w:leader="none"/>
        </w:tabs>
        <w:spacing w:line="240" w:lineRule="auto" w:before="70" w:after="0"/>
        <w:ind w:left="4146" w:right="0" w:hanging="269"/>
        <w:jc w:val="left"/>
      </w:pPr>
      <w:r>
        <w:rPr/>
        <w:t>DISCUSIÓN</w:t>
      </w:r>
    </w:p>
    <w:p>
      <w:pPr>
        <w:pStyle w:val="BodyText"/>
        <w:rPr>
          <w:b/>
        </w:rPr>
      </w:pPr>
    </w:p>
    <w:p>
      <w:pPr>
        <w:pStyle w:val="BodyText"/>
        <w:rPr>
          <w:b/>
        </w:rPr>
      </w:pPr>
    </w:p>
    <w:p>
      <w:pPr>
        <w:pStyle w:val="BodyText"/>
        <w:spacing w:line="360" w:lineRule="auto"/>
        <w:ind w:left="118" w:right="114"/>
        <w:jc w:val="both"/>
      </w:pPr>
      <w:r>
        <w:rPr/>
        <w:t>La epilepsia es uno de los trastornos neurológicos crónicos más comunes, afecta a casi 50 millones de personas en el mundo. Respecto a la epilepsia, los odontólogos no profundizamos en la información respecto a esta enfermedad, algunas investigaciones,</w:t>
      </w:r>
      <w:r>
        <w:rPr>
          <w:spacing w:val="45"/>
        </w:rPr>
        <w:t> </w:t>
      </w:r>
      <w:r>
        <w:rPr/>
        <w:t>una</w:t>
      </w:r>
      <w:r>
        <w:rPr>
          <w:spacing w:val="-11"/>
        </w:rPr>
        <w:t> </w:t>
      </w:r>
      <w:r>
        <w:rPr/>
        <w:t>de</w:t>
      </w:r>
      <w:r>
        <w:rPr>
          <w:spacing w:val="-8"/>
        </w:rPr>
        <w:t> </w:t>
      </w:r>
      <w:r>
        <w:rPr/>
        <w:t>ellas</w:t>
      </w:r>
      <w:r>
        <w:rPr>
          <w:spacing w:val="-12"/>
        </w:rPr>
        <w:t> </w:t>
      </w:r>
      <w:r>
        <w:rPr/>
        <w:t>realizada</w:t>
      </w:r>
      <w:r>
        <w:rPr>
          <w:spacing w:val="-11"/>
        </w:rPr>
        <w:t> </w:t>
      </w:r>
      <w:r>
        <w:rPr/>
        <w:t>en</w:t>
      </w:r>
      <w:r>
        <w:rPr>
          <w:spacing w:val="-11"/>
        </w:rPr>
        <w:t> </w:t>
      </w:r>
      <w:r>
        <w:rPr/>
        <w:t>estudiantes</w:t>
      </w:r>
      <w:r>
        <w:rPr>
          <w:spacing w:val="-12"/>
        </w:rPr>
        <w:t> </w:t>
      </w:r>
      <w:r>
        <w:rPr/>
        <w:t>de</w:t>
      </w:r>
      <w:r>
        <w:rPr>
          <w:spacing w:val="-11"/>
        </w:rPr>
        <w:t> </w:t>
      </w:r>
      <w:r>
        <w:rPr/>
        <w:t>Odontología</w:t>
      </w:r>
      <w:r>
        <w:rPr>
          <w:spacing w:val="-8"/>
        </w:rPr>
        <w:t> </w:t>
      </w:r>
      <w:r>
        <w:rPr/>
        <w:t>(Hassona</w:t>
      </w:r>
      <w:r>
        <w:rPr>
          <w:spacing w:val="-11"/>
        </w:rPr>
        <w:t> </w:t>
      </w:r>
      <w:r>
        <w:rPr/>
        <w:t>y</w:t>
      </w:r>
      <w:r>
        <w:rPr>
          <w:spacing w:val="-12"/>
        </w:rPr>
        <w:t> </w:t>
      </w:r>
      <w:r>
        <w:rPr/>
        <w:t>Col 2014),</w:t>
      </w:r>
      <w:r>
        <w:rPr>
          <w:spacing w:val="43"/>
        </w:rPr>
        <w:t> </w:t>
      </w:r>
      <w:r>
        <w:rPr/>
        <w:t>reflejan</w:t>
      </w:r>
      <w:r>
        <w:rPr>
          <w:spacing w:val="-11"/>
        </w:rPr>
        <w:t> </w:t>
      </w:r>
      <w:r>
        <w:rPr/>
        <w:t>que</w:t>
      </w:r>
      <w:r>
        <w:rPr>
          <w:spacing w:val="-14"/>
        </w:rPr>
        <w:t> </w:t>
      </w:r>
      <w:r>
        <w:rPr/>
        <w:t>existe</w:t>
      </w:r>
      <w:r>
        <w:rPr>
          <w:spacing w:val="-12"/>
        </w:rPr>
        <w:t> </w:t>
      </w:r>
      <w:r>
        <w:rPr/>
        <w:t>un</w:t>
      </w:r>
      <w:r>
        <w:rPr>
          <w:spacing w:val="-12"/>
        </w:rPr>
        <w:t> </w:t>
      </w:r>
      <w:r>
        <w:rPr/>
        <w:t>desconocimiento</w:t>
      </w:r>
      <w:r>
        <w:rPr>
          <w:spacing w:val="-12"/>
        </w:rPr>
        <w:t> </w:t>
      </w:r>
      <w:r>
        <w:rPr/>
        <w:t>por</w:t>
      </w:r>
      <w:r>
        <w:rPr>
          <w:spacing w:val="-16"/>
        </w:rPr>
        <w:t> </w:t>
      </w:r>
      <w:r>
        <w:rPr/>
        <w:t>parte</w:t>
      </w:r>
      <w:r>
        <w:rPr>
          <w:spacing w:val="-14"/>
        </w:rPr>
        <w:t> </w:t>
      </w:r>
      <w:r>
        <w:rPr/>
        <w:t>de</w:t>
      </w:r>
      <w:r>
        <w:rPr>
          <w:spacing w:val="-14"/>
        </w:rPr>
        <w:t> </w:t>
      </w:r>
      <w:r>
        <w:rPr/>
        <w:t>los</w:t>
      </w:r>
      <w:r>
        <w:rPr>
          <w:spacing w:val="-12"/>
        </w:rPr>
        <w:t> </w:t>
      </w:r>
      <w:r>
        <w:rPr/>
        <w:t>odontólogos</w:t>
      </w:r>
      <w:r>
        <w:rPr>
          <w:spacing w:val="-13"/>
        </w:rPr>
        <w:t> </w:t>
      </w:r>
      <w:r>
        <w:rPr/>
        <w:t>acerca</w:t>
      </w:r>
      <w:r>
        <w:rPr>
          <w:spacing w:val="-12"/>
        </w:rPr>
        <w:t> </w:t>
      </w:r>
      <w:r>
        <w:rPr/>
        <w:t>del manejo del paciente epiléptico, por lo que en muchas ocasiones no se les brinda la atención adecuada, por la falta de conocimientos y no contar con un protocolo establecido de atención a este tipo de pacientes, además habrá que considerar </w:t>
      </w:r>
      <w:r>
        <w:rPr>
          <w:spacing w:val="-2"/>
        </w:rPr>
        <w:t>que </w:t>
      </w:r>
      <w:r>
        <w:rPr/>
        <w:t>no muy frecuentemente atendemos este tipo de</w:t>
      </w:r>
      <w:r>
        <w:rPr>
          <w:spacing w:val="-24"/>
        </w:rPr>
        <w:t> </w:t>
      </w:r>
      <w:r>
        <w:rPr/>
        <w:t>pacientes.</w:t>
      </w:r>
    </w:p>
    <w:p>
      <w:pPr>
        <w:pStyle w:val="BodyText"/>
      </w:pPr>
    </w:p>
    <w:p>
      <w:pPr>
        <w:pStyle w:val="BodyText"/>
        <w:spacing w:line="360" w:lineRule="auto" w:before="142"/>
        <w:ind w:left="118" w:right="115"/>
        <w:jc w:val="both"/>
      </w:pPr>
      <w:r>
        <w:rPr/>
        <w:t>Los Odontólogos estamos obligados a no olvidar que debemos tratar al paciente de manera integral. Esto trae consigo la enorme responsabilidad de tener los conocimientos adecuados de las enfermedades sistémicas que pueda presentar el paciente.</w:t>
      </w:r>
    </w:p>
    <w:p>
      <w:pPr>
        <w:pStyle w:val="BodyText"/>
      </w:pPr>
    </w:p>
    <w:p>
      <w:pPr>
        <w:pStyle w:val="BodyText"/>
        <w:spacing w:before="7"/>
        <w:rPr>
          <w:sz w:val="33"/>
        </w:rPr>
      </w:pPr>
    </w:p>
    <w:p>
      <w:pPr>
        <w:pStyle w:val="BodyText"/>
        <w:spacing w:line="360" w:lineRule="auto"/>
        <w:ind w:left="118" w:right="116"/>
        <w:jc w:val="both"/>
      </w:pPr>
      <w:r>
        <w:rPr/>
        <w:t>El tratamiento de los pacientes con epilepsia y otros problemas médicos es algo a lo que</w:t>
      </w:r>
      <w:r>
        <w:rPr>
          <w:spacing w:val="-7"/>
        </w:rPr>
        <w:t> </w:t>
      </w:r>
      <w:r>
        <w:rPr/>
        <w:t>todos</w:t>
      </w:r>
      <w:r>
        <w:rPr>
          <w:spacing w:val="-8"/>
        </w:rPr>
        <w:t> </w:t>
      </w:r>
      <w:r>
        <w:rPr/>
        <w:t>los</w:t>
      </w:r>
      <w:r>
        <w:rPr>
          <w:spacing w:val="-7"/>
        </w:rPr>
        <w:t> </w:t>
      </w:r>
      <w:r>
        <w:rPr/>
        <w:t>odontólogos</w:t>
      </w:r>
      <w:r>
        <w:rPr>
          <w:spacing w:val="-5"/>
        </w:rPr>
        <w:t> </w:t>
      </w:r>
      <w:r>
        <w:rPr/>
        <w:t>nos</w:t>
      </w:r>
      <w:r>
        <w:rPr>
          <w:spacing w:val="-8"/>
        </w:rPr>
        <w:t> </w:t>
      </w:r>
      <w:r>
        <w:rPr/>
        <w:t>podemos</w:t>
      </w:r>
      <w:r>
        <w:rPr>
          <w:spacing w:val="-8"/>
        </w:rPr>
        <w:t> </w:t>
      </w:r>
      <w:r>
        <w:rPr/>
        <w:t>enfrentar,</w:t>
      </w:r>
      <w:r>
        <w:rPr>
          <w:spacing w:val="-8"/>
        </w:rPr>
        <w:t> </w:t>
      </w:r>
      <w:r>
        <w:rPr/>
        <w:t>en</w:t>
      </w:r>
      <w:r>
        <w:rPr>
          <w:spacing w:val="-7"/>
        </w:rPr>
        <w:t> </w:t>
      </w:r>
      <w:r>
        <w:rPr/>
        <w:t>algún</w:t>
      </w:r>
      <w:r>
        <w:rPr>
          <w:spacing w:val="-7"/>
        </w:rPr>
        <w:t> </w:t>
      </w:r>
      <w:r>
        <w:rPr/>
        <w:t>momento</w:t>
      </w:r>
      <w:r>
        <w:rPr>
          <w:spacing w:val="-7"/>
        </w:rPr>
        <w:t> </w:t>
      </w:r>
      <w:r>
        <w:rPr/>
        <w:t>de</w:t>
      </w:r>
      <w:r>
        <w:rPr>
          <w:spacing w:val="-7"/>
        </w:rPr>
        <w:t> </w:t>
      </w:r>
      <w:r>
        <w:rPr/>
        <w:t>nuestra</w:t>
      </w:r>
      <w:r>
        <w:rPr>
          <w:spacing w:val="-7"/>
        </w:rPr>
        <w:t> </w:t>
      </w:r>
      <w:r>
        <w:rPr/>
        <w:t>vida profesional, de tal forma que se necesita tener la información y los conocimientos respecto a esta enfermedad y establecer los protocolos de atención</w:t>
      </w:r>
      <w:r>
        <w:rPr>
          <w:spacing w:val="-23"/>
        </w:rPr>
        <w:t> </w:t>
      </w:r>
      <w:r>
        <w:rPr/>
        <w:t>convenientes.</w:t>
      </w:r>
    </w:p>
    <w:p>
      <w:pPr>
        <w:pStyle w:val="BodyText"/>
        <w:spacing w:line="360" w:lineRule="auto" w:before="5"/>
        <w:ind w:left="118" w:right="117"/>
        <w:jc w:val="both"/>
      </w:pPr>
      <w:r>
        <w:rPr/>
        <w:t>Habrá que tomar en cuenta que la salud oral del paciente epiléptico se encuentra disminuida, es decir puede presentar caries y periodontitis que le pueden desencadenar una enfermedad pulpar, de ahí la importancia del Especialista en Endodoncia, durante la atención del paciente epiléptico. Para Mehmet (2012), un factor que puede propiciar una crisis epiléptica es el dolor y un proceso infeccioso en el órgano dentario ya que el paciente se siente incómodo, es ahí donde nuestra especialidad juega un papel muy importante tanto en el manejo del dolor como en el alivio</w:t>
      </w:r>
      <w:r>
        <w:rPr>
          <w:spacing w:val="-17"/>
        </w:rPr>
        <w:t> </w:t>
      </w:r>
      <w:r>
        <w:rPr/>
        <w:t>de</w:t>
      </w:r>
      <w:r>
        <w:rPr>
          <w:spacing w:val="-17"/>
        </w:rPr>
        <w:t> </w:t>
      </w:r>
      <w:r>
        <w:rPr/>
        <w:t>un</w:t>
      </w:r>
      <w:r>
        <w:rPr>
          <w:spacing w:val="-17"/>
        </w:rPr>
        <w:t> </w:t>
      </w:r>
      <w:r>
        <w:rPr/>
        <w:t>proceso</w:t>
      </w:r>
      <w:r>
        <w:rPr>
          <w:spacing w:val="-17"/>
        </w:rPr>
        <w:t> </w:t>
      </w:r>
      <w:r>
        <w:rPr/>
        <w:t>infeccioso</w:t>
      </w:r>
      <w:r>
        <w:rPr>
          <w:spacing w:val="-19"/>
        </w:rPr>
        <w:t> </w:t>
      </w:r>
      <w:r>
        <w:rPr/>
        <w:t>mediante</w:t>
      </w:r>
      <w:r>
        <w:rPr>
          <w:spacing w:val="-16"/>
        </w:rPr>
        <w:t> </w:t>
      </w:r>
      <w:r>
        <w:rPr/>
        <w:t>la</w:t>
      </w:r>
      <w:r>
        <w:rPr>
          <w:spacing w:val="-17"/>
        </w:rPr>
        <w:t> </w:t>
      </w:r>
      <w:r>
        <w:rPr/>
        <w:t>realización</w:t>
      </w:r>
      <w:r>
        <w:rPr>
          <w:spacing w:val="-16"/>
        </w:rPr>
        <w:t> </w:t>
      </w:r>
      <w:r>
        <w:rPr/>
        <w:t>de</w:t>
      </w:r>
      <w:r>
        <w:rPr>
          <w:spacing w:val="-17"/>
        </w:rPr>
        <w:t> </w:t>
      </w:r>
      <w:r>
        <w:rPr/>
        <w:t>un</w:t>
      </w:r>
      <w:r>
        <w:rPr>
          <w:spacing w:val="-17"/>
        </w:rPr>
        <w:t> </w:t>
      </w:r>
      <w:r>
        <w:rPr/>
        <w:t>tratamiento</w:t>
      </w:r>
      <w:r>
        <w:rPr>
          <w:spacing w:val="-19"/>
        </w:rPr>
        <w:t> </w:t>
      </w:r>
      <w:r>
        <w:rPr/>
        <w:t>de</w:t>
      </w:r>
      <w:r>
        <w:rPr>
          <w:spacing w:val="-17"/>
        </w:rPr>
        <w:t> </w:t>
      </w:r>
      <w:r>
        <w:rPr/>
        <w:t>conductos.</w:t>
      </w:r>
    </w:p>
    <w:p>
      <w:pPr>
        <w:spacing w:after="0" w:line="360" w:lineRule="auto"/>
        <w:jc w:val="both"/>
        <w:sectPr>
          <w:footerReference w:type="default" r:id="rId62"/>
          <w:pgSz w:w="12240" w:h="15840"/>
          <w:pgMar w:footer="1003" w:header="749" w:top="960" w:bottom="1200" w:left="1300" w:right="1580"/>
        </w:sectPr>
      </w:pPr>
    </w:p>
    <w:p>
      <w:pPr>
        <w:pStyle w:val="BodyText"/>
        <w:rPr>
          <w:sz w:val="20"/>
        </w:rPr>
      </w:pPr>
    </w:p>
    <w:p>
      <w:pPr>
        <w:pStyle w:val="BodyText"/>
        <w:rPr>
          <w:sz w:val="20"/>
        </w:rPr>
      </w:pPr>
    </w:p>
    <w:p>
      <w:pPr>
        <w:pStyle w:val="BodyText"/>
        <w:spacing w:before="5"/>
        <w:rPr>
          <w:sz w:val="17"/>
        </w:rPr>
      </w:pPr>
    </w:p>
    <w:p>
      <w:pPr>
        <w:pStyle w:val="BodyText"/>
        <w:spacing w:line="360" w:lineRule="auto" w:before="70"/>
        <w:ind w:left="118" w:right="115"/>
        <w:jc w:val="both"/>
      </w:pPr>
      <w:r>
        <w:rPr/>
        <w:t>El protocolo de atención utilizado en este caso, coincide con en el indicado por Bryan (2006) en su artículo “Management of Dental Patients with Seizure Disorders”, el cual afirma que es fundamental tener una historia completa para los pacientes epilépticos, conociendo exactamente el tipo de convulsiones que presentan, la duración de estas y</w:t>
      </w:r>
      <w:r>
        <w:rPr>
          <w:spacing w:val="-15"/>
        </w:rPr>
        <w:t> </w:t>
      </w:r>
      <w:r>
        <w:rPr/>
        <w:t>los</w:t>
      </w:r>
      <w:r>
        <w:rPr>
          <w:spacing w:val="-12"/>
        </w:rPr>
        <w:t> </w:t>
      </w:r>
      <w:r>
        <w:rPr/>
        <w:t>factores</w:t>
      </w:r>
      <w:r>
        <w:rPr>
          <w:spacing w:val="-15"/>
        </w:rPr>
        <w:t> </w:t>
      </w:r>
      <w:r>
        <w:rPr/>
        <w:t>predisponentes</w:t>
      </w:r>
      <w:r>
        <w:rPr>
          <w:spacing w:val="-15"/>
        </w:rPr>
        <w:t> </w:t>
      </w:r>
      <w:r>
        <w:rPr/>
        <w:t>así</w:t>
      </w:r>
      <w:r>
        <w:rPr>
          <w:spacing w:val="-12"/>
        </w:rPr>
        <w:t> </w:t>
      </w:r>
      <w:r>
        <w:rPr/>
        <w:t>como</w:t>
      </w:r>
      <w:r>
        <w:rPr>
          <w:spacing w:val="-12"/>
        </w:rPr>
        <w:t> </w:t>
      </w:r>
      <w:r>
        <w:rPr/>
        <w:t>la</w:t>
      </w:r>
      <w:r>
        <w:rPr>
          <w:spacing w:val="-12"/>
        </w:rPr>
        <w:t> </w:t>
      </w:r>
      <w:r>
        <w:rPr/>
        <w:t>constante</w:t>
      </w:r>
      <w:r>
        <w:rPr>
          <w:spacing w:val="-12"/>
        </w:rPr>
        <w:t> </w:t>
      </w:r>
      <w:r>
        <w:rPr/>
        <w:t>interacción</w:t>
      </w:r>
      <w:r>
        <w:rPr>
          <w:spacing w:val="-13"/>
        </w:rPr>
        <w:t> </w:t>
      </w:r>
      <w:r>
        <w:rPr/>
        <w:t>con</w:t>
      </w:r>
      <w:r>
        <w:rPr>
          <w:spacing w:val="-14"/>
        </w:rPr>
        <w:t> </w:t>
      </w:r>
      <w:r>
        <w:rPr/>
        <w:t>su</w:t>
      </w:r>
      <w:r>
        <w:rPr>
          <w:spacing w:val="-14"/>
        </w:rPr>
        <w:t> </w:t>
      </w:r>
      <w:r>
        <w:rPr/>
        <w:t>médico</w:t>
      </w:r>
      <w:r>
        <w:rPr>
          <w:spacing w:val="-12"/>
        </w:rPr>
        <w:t> </w:t>
      </w:r>
      <w:r>
        <w:rPr/>
        <w:t>tratante previo y durante la realización del tratamiento de</w:t>
      </w:r>
      <w:r>
        <w:rPr>
          <w:spacing w:val="-16"/>
        </w:rPr>
        <w:t> </w:t>
      </w:r>
      <w:r>
        <w:rPr/>
        <w:t>conductos.</w:t>
      </w:r>
    </w:p>
    <w:p>
      <w:pPr>
        <w:pStyle w:val="BodyText"/>
      </w:pPr>
    </w:p>
    <w:p>
      <w:pPr>
        <w:pStyle w:val="BodyText"/>
        <w:spacing w:line="360" w:lineRule="auto" w:before="142"/>
        <w:ind w:left="118" w:right="115"/>
        <w:jc w:val="both"/>
      </w:pPr>
      <w:r>
        <w:rPr/>
        <w:t>Bryan</w:t>
      </w:r>
      <w:r>
        <w:rPr>
          <w:spacing w:val="-19"/>
        </w:rPr>
        <w:t> </w:t>
      </w:r>
      <w:r>
        <w:rPr/>
        <w:t>y</w:t>
      </w:r>
      <w:r>
        <w:rPr>
          <w:spacing w:val="-20"/>
        </w:rPr>
        <w:t> </w:t>
      </w:r>
      <w:r>
        <w:rPr/>
        <w:t>Robbins,</w:t>
      </w:r>
      <w:r>
        <w:rPr>
          <w:spacing w:val="-19"/>
        </w:rPr>
        <w:t> </w:t>
      </w:r>
      <w:r>
        <w:rPr/>
        <w:t>coinciden</w:t>
      </w:r>
      <w:r>
        <w:rPr>
          <w:spacing w:val="-19"/>
        </w:rPr>
        <w:t> </w:t>
      </w:r>
      <w:r>
        <w:rPr/>
        <w:t>en</w:t>
      </w:r>
      <w:r>
        <w:rPr>
          <w:spacing w:val="-19"/>
        </w:rPr>
        <w:t> </w:t>
      </w:r>
      <w:r>
        <w:rPr/>
        <w:t>que</w:t>
      </w:r>
      <w:r>
        <w:rPr>
          <w:spacing w:val="-19"/>
        </w:rPr>
        <w:t> </w:t>
      </w:r>
      <w:r>
        <w:rPr/>
        <w:t>habrá</w:t>
      </w:r>
      <w:r>
        <w:rPr>
          <w:spacing w:val="-20"/>
        </w:rPr>
        <w:t> </w:t>
      </w:r>
      <w:r>
        <w:rPr/>
        <w:t>de</w:t>
      </w:r>
      <w:r>
        <w:rPr>
          <w:spacing w:val="-16"/>
        </w:rPr>
        <w:t> </w:t>
      </w:r>
      <w:r>
        <w:rPr/>
        <w:t>tener</w:t>
      </w:r>
      <w:r>
        <w:rPr>
          <w:spacing w:val="-20"/>
        </w:rPr>
        <w:t> </w:t>
      </w:r>
      <w:r>
        <w:rPr/>
        <w:t>elaborado</w:t>
      </w:r>
      <w:r>
        <w:rPr>
          <w:spacing w:val="-20"/>
        </w:rPr>
        <w:t> </w:t>
      </w:r>
      <w:r>
        <w:rPr/>
        <w:t>un</w:t>
      </w:r>
      <w:r>
        <w:rPr>
          <w:spacing w:val="-19"/>
        </w:rPr>
        <w:t> </w:t>
      </w:r>
      <w:r>
        <w:rPr/>
        <w:t>cuestionario</w:t>
      </w:r>
      <w:r>
        <w:rPr>
          <w:spacing w:val="-16"/>
        </w:rPr>
        <w:t> </w:t>
      </w:r>
      <w:r>
        <w:rPr/>
        <w:t>específico para</w:t>
      </w:r>
      <w:r>
        <w:rPr>
          <w:spacing w:val="-4"/>
        </w:rPr>
        <w:t> </w:t>
      </w:r>
      <w:r>
        <w:rPr/>
        <w:t>esta</w:t>
      </w:r>
      <w:r>
        <w:rPr>
          <w:spacing w:val="-4"/>
        </w:rPr>
        <w:t> </w:t>
      </w:r>
      <w:r>
        <w:rPr/>
        <w:t>enfermedad,</w:t>
      </w:r>
      <w:r>
        <w:rPr>
          <w:spacing w:val="-5"/>
        </w:rPr>
        <w:t> </w:t>
      </w:r>
      <w:r>
        <w:rPr/>
        <w:t>que</w:t>
      </w:r>
      <w:r>
        <w:rPr>
          <w:spacing w:val="-4"/>
        </w:rPr>
        <w:t> </w:t>
      </w:r>
      <w:r>
        <w:rPr/>
        <w:t>nos</w:t>
      </w:r>
      <w:r>
        <w:rPr>
          <w:spacing w:val="-4"/>
        </w:rPr>
        <w:t> </w:t>
      </w:r>
      <w:r>
        <w:rPr/>
        <w:t>brinde</w:t>
      </w:r>
      <w:r>
        <w:rPr>
          <w:spacing w:val="-4"/>
        </w:rPr>
        <w:t> </w:t>
      </w:r>
      <w:r>
        <w:rPr/>
        <w:t>toda</w:t>
      </w:r>
      <w:r>
        <w:rPr>
          <w:spacing w:val="-4"/>
        </w:rPr>
        <w:t> </w:t>
      </w:r>
      <w:r>
        <w:rPr/>
        <w:t>la</w:t>
      </w:r>
      <w:r>
        <w:rPr>
          <w:spacing w:val="-6"/>
        </w:rPr>
        <w:t> </w:t>
      </w:r>
      <w:r>
        <w:rPr/>
        <w:t>información</w:t>
      </w:r>
      <w:r>
        <w:rPr>
          <w:spacing w:val="-4"/>
        </w:rPr>
        <w:t> </w:t>
      </w:r>
      <w:r>
        <w:rPr/>
        <w:t>necesaria,</w:t>
      </w:r>
      <w:r>
        <w:rPr>
          <w:spacing w:val="-4"/>
        </w:rPr>
        <w:t> </w:t>
      </w:r>
      <w:r>
        <w:rPr/>
        <w:t>esto</w:t>
      </w:r>
      <w:r>
        <w:rPr>
          <w:spacing w:val="-3"/>
        </w:rPr>
        <w:t> </w:t>
      </w:r>
      <w:r>
        <w:rPr/>
        <w:t>incluye</w:t>
      </w:r>
      <w:r>
        <w:rPr>
          <w:spacing w:val="-4"/>
        </w:rPr>
        <w:t> </w:t>
      </w:r>
      <w:r>
        <w:rPr/>
        <w:t>una descripción completa de la convulsión, tipo de tratamiento que lleva en la actualidad, y que tan controlado está el paciente en el momento en el cual nosotros realicemos  el tratamiento. Al respecto existe coincidencia con los autores mencionados, ya que el realizarlo nos permitirá tener un panorama completo de </w:t>
      </w:r>
      <w:r>
        <w:rPr>
          <w:spacing w:val="4"/>
        </w:rPr>
        <w:t>la </w:t>
      </w:r>
      <w:r>
        <w:rPr/>
        <w:t>enfermedad que padece el paciente epiléptico y de esta manera poder atenderlo con confianza, con todo el conocimiento de la enfermedad, para que esa atención sea de calidad. Sobre todo saber actuar en caso de ocurrir una crisis epiléptica durante la consulta</w:t>
      </w:r>
      <w:r>
        <w:rPr>
          <w:spacing w:val="-28"/>
        </w:rPr>
        <w:t> </w:t>
      </w:r>
      <w:r>
        <w:rPr/>
        <w:t>endodóntica.</w:t>
      </w:r>
    </w:p>
    <w:p>
      <w:pPr>
        <w:pStyle w:val="BodyText"/>
      </w:pPr>
    </w:p>
    <w:p>
      <w:pPr>
        <w:pStyle w:val="BodyText"/>
        <w:rPr>
          <w:sz w:val="23"/>
        </w:rPr>
      </w:pPr>
    </w:p>
    <w:p>
      <w:pPr>
        <w:pStyle w:val="BodyText"/>
        <w:spacing w:line="360" w:lineRule="auto"/>
        <w:ind w:left="118" w:right="116"/>
        <w:jc w:val="both"/>
      </w:pPr>
      <w:r>
        <w:rPr/>
        <w:t>Se propone que antes de iniciar la consulta endodóntica, si es posible una vez realizando el diagnóstico, adecuemos nuestro espacio de trabajo para la atención específica del paciente epiléptico es decir, despejemos nuestra área de trabajo coloquemos desde un inicio en posición supina a nuestro paciente. Tengamos a la mano el eyector y contemos con un asistente para la atención de este tipo de pacientes.</w:t>
      </w:r>
      <w:r>
        <w:rPr>
          <w:spacing w:val="-10"/>
        </w:rPr>
        <w:t> </w:t>
      </w:r>
      <w:r>
        <w:rPr/>
        <w:t>De</w:t>
      </w:r>
      <w:r>
        <w:rPr>
          <w:spacing w:val="-11"/>
        </w:rPr>
        <w:t> </w:t>
      </w:r>
      <w:r>
        <w:rPr/>
        <w:t>esta</w:t>
      </w:r>
      <w:r>
        <w:rPr>
          <w:spacing w:val="-13"/>
        </w:rPr>
        <w:t> </w:t>
      </w:r>
      <w:r>
        <w:rPr/>
        <w:t>manera</w:t>
      </w:r>
      <w:r>
        <w:rPr>
          <w:spacing w:val="-11"/>
        </w:rPr>
        <w:t> </w:t>
      </w:r>
      <w:r>
        <w:rPr/>
        <w:t>nuestro</w:t>
      </w:r>
      <w:r>
        <w:rPr>
          <w:spacing w:val="-11"/>
        </w:rPr>
        <w:t> </w:t>
      </w:r>
      <w:r>
        <w:rPr/>
        <w:t>equipo</w:t>
      </w:r>
      <w:r>
        <w:rPr>
          <w:spacing w:val="-11"/>
        </w:rPr>
        <w:t> </w:t>
      </w:r>
      <w:r>
        <w:rPr/>
        <w:t>debe</w:t>
      </w:r>
      <w:r>
        <w:rPr>
          <w:spacing w:val="-9"/>
        </w:rPr>
        <w:t> </w:t>
      </w:r>
      <w:r>
        <w:rPr/>
        <w:t>estar</w:t>
      </w:r>
      <w:r>
        <w:rPr>
          <w:spacing w:val="-12"/>
        </w:rPr>
        <w:t> </w:t>
      </w:r>
      <w:r>
        <w:rPr/>
        <w:t>organizado</w:t>
      </w:r>
      <w:r>
        <w:rPr>
          <w:spacing w:val="-13"/>
        </w:rPr>
        <w:t> </w:t>
      </w:r>
      <w:r>
        <w:rPr/>
        <w:t>previo</w:t>
      </w:r>
      <w:r>
        <w:rPr>
          <w:spacing w:val="-11"/>
        </w:rPr>
        <w:t> </w:t>
      </w:r>
      <w:r>
        <w:rPr/>
        <w:t>al</w:t>
      </w:r>
      <w:r>
        <w:rPr>
          <w:spacing w:val="-12"/>
        </w:rPr>
        <w:t> </w:t>
      </w:r>
      <w:r>
        <w:rPr/>
        <w:t>tratamiento para en caso de una emergencia podamos actuar de manera eficiente ya que la demora en nuestro protocolo de atención puede ser causa del aumento de la morbilidad y la mortalidad en los pacientes</w:t>
      </w:r>
      <w:r>
        <w:rPr>
          <w:spacing w:val="-13"/>
        </w:rPr>
        <w:t> </w:t>
      </w:r>
      <w:r>
        <w:rPr/>
        <w:t>epilépticos.</w:t>
      </w:r>
    </w:p>
    <w:p>
      <w:pPr>
        <w:pStyle w:val="BodyText"/>
      </w:pPr>
    </w:p>
    <w:p>
      <w:pPr>
        <w:pStyle w:val="BodyText"/>
        <w:spacing w:before="4"/>
        <w:rPr>
          <w:sz w:val="33"/>
        </w:rPr>
      </w:pPr>
    </w:p>
    <w:p>
      <w:pPr>
        <w:pStyle w:val="BodyText"/>
        <w:spacing w:line="360" w:lineRule="auto" w:before="1"/>
        <w:ind w:left="118" w:right="115"/>
        <w:jc w:val="both"/>
      </w:pPr>
      <w:r>
        <w:rPr/>
        <w:t>Después de realizar una historia clínica adecuada y contar con una interconsulta con su médico tratante, evaluar si podemos tratar al paciente dentro del consultorio dental o realizar la atención a nivel hospitalario.</w:t>
      </w:r>
    </w:p>
    <w:p>
      <w:pPr>
        <w:spacing w:after="0" w:line="360" w:lineRule="auto"/>
        <w:jc w:val="both"/>
        <w:sectPr>
          <w:footerReference w:type="default" r:id="rId63"/>
          <w:pgSz w:w="12240" w:h="15840"/>
          <w:pgMar w:footer="1003" w:header="749" w:top="960" w:bottom="1200" w:left="1300" w:right="1580"/>
          <w:pgNumType w:start="61"/>
        </w:sectPr>
      </w:pPr>
    </w:p>
    <w:p>
      <w:pPr>
        <w:pStyle w:val="BodyText"/>
        <w:rPr>
          <w:sz w:val="20"/>
        </w:rPr>
      </w:pPr>
    </w:p>
    <w:p>
      <w:pPr>
        <w:pStyle w:val="BodyText"/>
        <w:rPr>
          <w:sz w:val="20"/>
        </w:rPr>
      </w:pPr>
    </w:p>
    <w:p>
      <w:pPr>
        <w:pStyle w:val="BodyText"/>
        <w:spacing w:before="5"/>
        <w:rPr>
          <w:sz w:val="17"/>
        </w:rPr>
      </w:pPr>
    </w:p>
    <w:p>
      <w:pPr>
        <w:pStyle w:val="BodyText"/>
        <w:spacing w:line="360" w:lineRule="auto" w:before="70"/>
        <w:ind w:left="118" w:right="115"/>
        <w:jc w:val="both"/>
      </w:pPr>
      <w:r>
        <w:rPr/>
        <w:t>Siempre optar por realizar tratamientos endodónticos en un paciente epiléptico, pues en un estudio realizado por Karolyhazy y Col (2005) demostró que los pacientes epilépticos</w:t>
      </w:r>
      <w:r>
        <w:rPr>
          <w:spacing w:val="-7"/>
        </w:rPr>
        <w:t> </w:t>
      </w:r>
      <w:r>
        <w:rPr/>
        <w:t>son</w:t>
      </w:r>
      <w:r>
        <w:rPr>
          <w:spacing w:val="-6"/>
        </w:rPr>
        <w:t> </w:t>
      </w:r>
      <w:r>
        <w:rPr/>
        <w:t>más</w:t>
      </w:r>
      <w:r>
        <w:rPr>
          <w:spacing w:val="-4"/>
        </w:rPr>
        <w:t> </w:t>
      </w:r>
      <w:r>
        <w:rPr/>
        <w:t>propensos</w:t>
      </w:r>
      <w:r>
        <w:rPr>
          <w:spacing w:val="-7"/>
        </w:rPr>
        <w:t> </w:t>
      </w:r>
      <w:r>
        <w:rPr/>
        <w:t>a</w:t>
      </w:r>
      <w:r>
        <w:rPr>
          <w:spacing w:val="-4"/>
        </w:rPr>
        <w:t> </w:t>
      </w:r>
      <w:r>
        <w:rPr/>
        <w:t>quedar</w:t>
      </w:r>
      <w:r>
        <w:rPr>
          <w:spacing w:val="-5"/>
        </w:rPr>
        <w:t> </w:t>
      </w:r>
      <w:r>
        <w:rPr/>
        <w:t>edentulos</w:t>
      </w:r>
      <w:r>
        <w:rPr>
          <w:spacing w:val="-6"/>
        </w:rPr>
        <w:t> </w:t>
      </w:r>
      <w:r>
        <w:rPr/>
        <w:t>a</w:t>
      </w:r>
      <w:r>
        <w:rPr>
          <w:spacing w:val="-4"/>
        </w:rPr>
        <w:t> </w:t>
      </w:r>
      <w:r>
        <w:rPr/>
        <w:t>temprana</w:t>
      </w:r>
      <w:r>
        <w:rPr>
          <w:spacing w:val="-6"/>
        </w:rPr>
        <w:t> </w:t>
      </w:r>
      <w:r>
        <w:rPr/>
        <w:t>edad,</w:t>
      </w:r>
      <w:r>
        <w:rPr>
          <w:spacing w:val="-4"/>
        </w:rPr>
        <w:t> </w:t>
      </w:r>
      <w:r>
        <w:rPr/>
        <w:t>por</w:t>
      </w:r>
      <w:r>
        <w:rPr>
          <w:spacing w:val="-5"/>
        </w:rPr>
        <w:t> </w:t>
      </w:r>
      <w:r>
        <w:rPr/>
        <w:t>lo</w:t>
      </w:r>
      <w:r>
        <w:rPr>
          <w:spacing w:val="-4"/>
        </w:rPr>
        <w:t> </w:t>
      </w:r>
      <w:r>
        <w:rPr/>
        <w:t>que</w:t>
      </w:r>
      <w:r>
        <w:rPr>
          <w:spacing w:val="-4"/>
        </w:rPr>
        <w:t> </w:t>
      </w:r>
      <w:r>
        <w:rPr/>
        <w:t>como endodoncistas</w:t>
      </w:r>
      <w:r>
        <w:rPr>
          <w:spacing w:val="-13"/>
        </w:rPr>
        <w:t> </w:t>
      </w:r>
      <w:r>
        <w:rPr/>
        <w:t>habrá</w:t>
      </w:r>
      <w:r>
        <w:rPr>
          <w:spacing w:val="44"/>
        </w:rPr>
        <w:t> </w:t>
      </w:r>
      <w:r>
        <w:rPr/>
        <w:t>lograr</w:t>
      </w:r>
      <w:r>
        <w:rPr>
          <w:spacing w:val="-13"/>
        </w:rPr>
        <w:t> </w:t>
      </w:r>
      <w:r>
        <w:rPr/>
        <w:t>que</w:t>
      </w:r>
      <w:r>
        <w:rPr>
          <w:spacing w:val="-12"/>
        </w:rPr>
        <w:t> </w:t>
      </w:r>
      <w:r>
        <w:rPr/>
        <w:t>el</w:t>
      </w:r>
      <w:r>
        <w:rPr>
          <w:spacing w:val="-13"/>
        </w:rPr>
        <w:t> </w:t>
      </w:r>
      <w:r>
        <w:rPr/>
        <w:t>paciente</w:t>
      </w:r>
      <w:r>
        <w:rPr>
          <w:spacing w:val="-12"/>
        </w:rPr>
        <w:t> </w:t>
      </w:r>
      <w:r>
        <w:rPr/>
        <w:t>epiléptico</w:t>
      </w:r>
      <w:r>
        <w:rPr>
          <w:spacing w:val="-9"/>
        </w:rPr>
        <w:t> </w:t>
      </w:r>
      <w:r>
        <w:rPr/>
        <w:t>permanezca</w:t>
      </w:r>
      <w:r>
        <w:rPr>
          <w:spacing w:val="-11"/>
        </w:rPr>
        <w:t> </w:t>
      </w:r>
      <w:r>
        <w:rPr/>
        <w:t>durante</w:t>
      </w:r>
      <w:r>
        <w:rPr>
          <w:spacing w:val="-14"/>
        </w:rPr>
        <w:t> </w:t>
      </w:r>
      <w:r>
        <w:rPr/>
        <w:t>un</w:t>
      </w:r>
      <w:r>
        <w:rPr>
          <w:spacing w:val="-12"/>
        </w:rPr>
        <w:t> </w:t>
      </w:r>
      <w:r>
        <w:rPr/>
        <w:t>periodo prolongado de tiempo con sus órganos dentarios, mediante la realización de tratamientos de conductos, para así evitarles la realización de extracciones</w:t>
      </w:r>
      <w:r>
        <w:rPr>
          <w:spacing w:val="-15"/>
        </w:rPr>
        <w:t> </w:t>
      </w:r>
      <w:r>
        <w:rPr/>
        <w:t>dentales.</w:t>
      </w:r>
    </w:p>
    <w:p>
      <w:pPr>
        <w:pStyle w:val="BodyText"/>
        <w:spacing w:line="360" w:lineRule="auto" w:before="125"/>
        <w:ind w:left="118" w:right="117"/>
        <w:jc w:val="both"/>
      </w:pPr>
      <w:r>
        <w:rPr/>
        <w:t>Posteriormente se dificulta la colocación de prótesis removible, ya que es un dispositivo extraíble que podría ser desalojado fácilmente durante una convulsión, conduciendo a trauma intraoral o la aspiración del mismo, por lo que debemos mantener</w:t>
      </w:r>
      <w:r>
        <w:rPr>
          <w:spacing w:val="-5"/>
        </w:rPr>
        <w:t> </w:t>
      </w:r>
      <w:r>
        <w:rPr/>
        <w:t>la</w:t>
      </w:r>
      <w:r>
        <w:rPr>
          <w:spacing w:val="-6"/>
        </w:rPr>
        <w:t> </w:t>
      </w:r>
      <w:r>
        <w:rPr/>
        <w:t>mayor</w:t>
      </w:r>
      <w:r>
        <w:rPr>
          <w:spacing w:val="-5"/>
        </w:rPr>
        <w:t> </w:t>
      </w:r>
      <w:r>
        <w:rPr/>
        <w:t>cantidad</w:t>
      </w:r>
      <w:r>
        <w:rPr>
          <w:spacing w:val="-6"/>
        </w:rPr>
        <w:t> </w:t>
      </w:r>
      <w:r>
        <w:rPr/>
        <w:t>de</w:t>
      </w:r>
      <w:r>
        <w:rPr>
          <w:spacing w:val="-6"/>
        </w:rPr>
        <w:t> </w:t>
      </w:r>
      <w:r>
        <w:rPr/>
        <w:t>órganos</w:t>
      </w:r>
      <w:r>
        <w:rPr>
          <w:spacing w:val="-4"/>
        </w:rPr>
        <w:t> </w:t>
      </w:r>
      <w:r>
        <w:rPr/>
        <w:t>dentario</w:t>
      </w:r>
      <w:r>
        <w:rPr>
          <w:spacing w:val="-4"/>
        </w:rPr>
        <w:t> </w:t>
      </w:r>
      <w:r>
        <w:rPr/>
        <w:t>en</w:t>
      </w:r>
      <w:r>
        <w:rPr>
          <w:spacing w:val="-4"/>
        </w:rPr>
        <w:t> </w:t>
      </w:r>
      <w:r>
        <w:rPr/>
        <w:t>la</w:t>
      </w:r>
      <w:r>
        <w:rPr>
          <w:spacing w:val="-6"/>
        </w:rPr>
        <w:t> </w:t>
      </w:r>
      <w:r>
        <w:rPr/>
        <w:t>boca</w:t>
      </w:r>
      <w:r>
        <w:rPr>
          <w:spacing w:val="-6"/>
        </w:rPr>
        <w:t> </w:t>
      </w:r>
      <w:r>
        <w:rPr/>
        <w:t>de</w:t>
      </w:r>
      <w:r>
        <w:rPr>
          <w:spacing w:val="-6"/>
        </w:rPr>
        <w:t> </w:t>
      </w:r>
      <w:r>
        <w:rPr/>
        <w:t>este</w:t>
      </w:r>
      <w:r>
        <w:rPr>
          <w:spacing w:val="-5"/>
        </w:rPr>
        <w:t> </w:t>
      </w:r>
      <w:r>
        <w:rPr/>
        <w:t>tipo</w:t>
      </w:r>
      <w:r>
        <w:rPr>
          <w:spacing w:val="-3"/>
        </w:rPr>
        <w:t> </w:t>
      </w:r>
      <w:r>
        <w:rPr/>
        <w:t>de</w:t>
      </w:r>
      <w:r>
        <w:rPr>
          <w:spacing w:val="-6"/>
        </w:rPr>
        <w:t> </w:t>
      </w:r>
      <w:r>
        <w:rPr/>
        <w:t>pacientes; ahí de la importancia de la endodoncia en el paciente</w:t>
      </w:r>
      <w:r>
        <w:rPr>
          <w:spacing w:val="-25"/>
        </w:rPr>
        <w:t> </w:t>
      </w:r>
      <w:r>
        <w:rPr/>
        <w:t>epiléptico.</w:t>
      </w:r>
    </w:p>
    <w:p>
      <w:pPr>
        <w:spacing w:after="0" w:line="360" w:lineRule="auto"/>
        <w:jc w:val="both"/>
        <w:sectPr>
          <w:pgSz w:w="12240" w:h="15840"/>
          <w:pgMar w:header="749" w:footer="1003" w:top="960" w:bottom="1200" w:left="1300" w:right="1580"/>
        </w:sectPr>
      </w:pPr>
    </w:p>
    <w:p>
      <w:pPr>
        <w:pStyle w:val="BodyText"/>
        <w:rPr>
          <w:sz w:val="20"/>
        </w:rPr>
      </w:pPr>
    </w:p>
    <w:p>
      <w:pPr>
        <w:pStyle w:val="BodyText"/>
        <w:rPr>
          <w:sz w:val="20"/>
        </w:rPr>
      </w:pPr>
    </w:p>
    <w:p>
      <w:pPr>
        <w:pStyle w:val="BodyText"/>
        <w:spacing w:before="5"/>
        <w:rPr>
          <w:sz w:val="17"/>
        </w:rPr>
      </w:pPr>
    </w:p>
    <w:p>
      <w:pPr>
        <w:pStyle w:val="Heading2"/>
        <w:numPr>
          <w:ilvl w:val="0"/>
          <w:numId w:val="14"/>
        </w:numPr>
        <w:tabs>
          <w:tab w:pos="3813" w:val="left" w:leader="none"/>
        </w:tabs>
        <w:spacing w:line="240" w:lineRule="auto" w:before="70" w:after="0"/>
        <w:ind w:left="3813" w:right="0" w:hanging="269"/>
        <w:jc w:val="left"/>
      </w:pPr>
      <w:r>
        <w:rPr/>
        <w:t>CONCLUSIONES.</w:t>
      </w:r>
    </w:p>
    <w:p>
      <w:pPr>
        <w:pStyle w:val="BodyText"/>
        <w:rPr>
          <w:b/>
        </w:rPr>
      </w:pPr>
    </w:p>
    <w:p>
      <w:pPr>
        <w:pStyle w:val="BodyText"/>
        <w:rPr>
          <w:b/>
        </w:rPr>
      </w:pPr>
    </w:p>
    <w:p>
      <w:pPr>
        <w:pStyle w:val="BodyText"/>
        <w:spacing w:before="10"/>
        <w:rPr>
          <w:b/>
          <w:sz w:val="35"/>
        </w:rPr>
      </w:pPr>
    </w:p>
    <w:p>
      <w:pPr>
        <w:pStyle w:val="BodyText"/>
        <w:spacing w:line="360" w:lineRule="auto"/>
        <w:ind w:left="118" w:right="120"/>
        <w:jc w:val="both"/>
      </w:pPr>
      <w:r>
        <w:rPr/>
        <w:t>1.- Contar con los conocimientos y comprensión de la epilepsia, para brindar al paciente con esa patología la atención odontológica pertinente.</w:t>
      </w:r>
    </w:p>
    <w:p>
      <w:pPr>
        <w:pStyle w:val="BodyText"/>
      </w:pPr>
    </w:p>
    <w:p>
      <w:pPr>
        <w:pStyle w:val="BodyText"/>
        <w:spacing w:before="7"/>
        <w:rPr>
          <w:sz w:val="29"/>
        </w:rPr>
      </w:pPr>
    </w:p>
    <w:p>
      <w:pPr>
        <w:pStyle w:val="BodyText"/>
        <w:spacing w:line="360" w:lineRule="auto"/>
        <w:ind w:left="118" w:right="117"/>
        <w:jc w:val="both"/>
      </w:pPr>
      <w:r>
        <w:rPr/>
        <w:t>2.- Realizar el tratamiento de pacientes epilépticos dentro de la consulta endodóntica siempre y cuando se cuente con una historia clínica adecuada y una interconsulta con su médico</w:t>
      </w:r>
      <w:r>
        <w:rPr>
          <w:spacing w:val="-6"/>
        </w:rPr>
        <w:t> </w:t>
      </w:r>
      <w:r>
        <w:rPr/>
        <w:t>tratante.</w:t>
      </w:r>
    </w:p>
    <w:p>
      <w:pPr>
        <w:pStyle w:val="BodyText"/>
      </w:pPr>
    </w:p>
    <w:p>
      <w:pPr>
        <w:pStyle w:val="BodyText"/>
        <w:spacing w:line="360" w:lineRule="auto" w:before="142"/>
        <w:ind w:left="118" w:right="116"/>
        <w:jc w:val="both"/>
      </w:pPr>
      <w:r>
        <w:rPr/>
        <w:t>3.-</w:t>
      </w:r>
      <w:r>
        <w:rPr>
          <w:spacing w:val="-10"/>
        </w:rPr>
        <w:t> </w:t>
      </w:r>
      <w:r>
        <w:rPr/>
        <w:t>Conocer</w:t>
      </w:r>
      <w:r>
        <w:rPr>
          <w:spacing w:val="-10"/>
        </w:rPr>
        <w:t> </w:t>
      </w:r>
      <w:r>
        <w:rPr/>
        <w:t>a</w:t>
      </w:r>
      <w:r>
        <w:rPr>
          <w:spacing w:val="-8"/>
        </w:rPr>
        <w:t> </w:t>
      </w:r>
      <w:r>
        <w:rPr/>
        <w:t>detalladamente;</w:t>
      </w:r>
      <w:r>
        <w:rPr>
          <w:spacing w:val="-9"/>
        </w:rPr>
        <w:t> </w:t>
      </w:r>
      <w:r>
        <w:rPr/>
        <w:t>el</w:t>
      </w:r>
      <w:r>
        <w:rPr>
          <w:spacing w:val="-10"/>
        </w:rPr>
        <w:t> </w:t>
      </w:r>
      <w:r>
        <w:rPr/>
        <w:t>tipo</w:t>
      </w:r>
      <w:r>
        <w:rPr>
          <w:spacing w:val="-11"/>
        </w:rPr>
        <w:t> </w:t>
      </w:r>
      <w:r>
        <w:rPr/>
        <w:t>de</w:t>
      </w:r>
      <w:r>
        <w:rPr>
          <w:spacing w:val="-8"/>
        </w:rPr>
        <w:t> </w:t>
      </w:r>
      <w:r>
        <w:rPr/>
        <w:t>crisis</w:t>
      </w:r>
      <w:r>
        <w:rPr>
          <w:spacing w:val="-10"/>
        </w:rPr>
        <w:t> </w:t>
      </w:r>
      <w:r>
        <w:rPr/>
        <w:t>convulsivas</w:t>
      </w:r>
      <w:r>
        <w:rPr>
          <w:spacing w:val="-9"/>
        </w:rPr>
        <w:t> </w:t>
      </w:r>
      <w:r>
        <w:rPr/>
        <w:t>que</w:t>
      </w:r>
      <w:r>
        <w:rPr>
          <w:spacing w:val="-8"/>
        </w:rPr>
        <w:t> </w:t>
      </w:r>
      <w:r>
        <w:rPr/>
        <w:t>presenta</w:t>
      </w:r>
      <w:r>
        <w:rPr>
          <w:spacing w:val="-6"/>
        </w:rPr>
        <w:t> </w:t>
      </w:r>
      <w:r>
        <w:rPr/>
        <w:t>el</w:t>
      </w:r>
      <w:r>
        <w:rPr>
          <w:spacing w:val="-10"/>
        </w:rPr>
        <w:t> </w:t>
      </w:r>
      <w:r>
        <w:rPr/>
        <w:t>paciente,</w:t>
      </w:r>
      <w:r>
        <w:rPr>
          <w:spacing w:val="-10"/>
        </w:rPr>
        <w:t> </w:t>
      </w:r>
      <w:r>
        <w:rPr/>
        <w:t>la frecuencia y la duración de estas, si presenta un aura, así como el tipo de medicamentos que</w:t>
      </w:r>
      <w:r>
        <w:rPr>
          <w:spacing w:val="-12"/>
        </w:rPr>
        <w:t> </w:t>
      </w:r>
      <w:r>
        <w:rPr/>
        <w:t>consume.</w:t>
      </w:r>
    </w:p>
    <w:p>
      <w:pPr>
        <w:pStyle w:val="BodyText"/>
      </w:pPr>
    </w:p>
    <w:p>
      <w:pPr>
        <w:pStyle w:val="BodyText"/>
        <w:spacing w:line="360" w:lineRule="auto" w:before="142"/>
        <w:ind w:left="118" w:right="115"/>
        <w:jc w:val="both"/>
      </w:pPr>
      <w:r>
        <w:rPr/>
        <w:t>4.- Habrá que estar capacitados para en caso de presentarse una crisis epiléptica, durante la consulta dental podamos brindar al paciente la ayuda pertinente, como eliminar todos los instrumentos que se encuentren en boca, lo más pronto posible, colocar en posición supina y de lado al paciente, si la crisis epiléptica dura más del tiempo que menciona el paciente suele durar su crisis epiléptica; llamar inmediatamente al servicio médico.</w:t>
      </w:r>
    </w:p>
    <w:p>
      <w:pPr>
        <w:pStyle w:val="BodyText"/>
      </w:pPr>
    </w:p>
    <w:p>
      <w:pPr>
        <w:pStyle w:val="BodyText"/>
        <w:spacing w:line="360" w:lineRule="auto" w:before="142"/>
        <w:ind w:left="118" w:right="124"/>
        <w:jc w:val="both"/>
      </w:pPr>
      <w:r>
        <w:rPr/>
        <w:t>5.- Realizar el tratamiento de forma eficiente y rápida, así como siempre llevar a cabo una anestesia profunda, todo esto, para no someter al paciente a un estrés excesivo que pueda generar una crisis epiléptica.</w:t>
      </w:r>
    </w:p>
    <w:p>
      <w:pPr>
        <w:pStyle w:val="BodyText"/>
      </w:pPr>
    </w:p>
    <w:p>
      <w:pPr>
        <w:pStyle w:val="ListParagraph"/>
        <w:numPr>
          <w:ilvl w:val="0"/>
          <w:numId w:val="15"/>
        </w:numPr>
        <w:tabs>
          <w:tab w:pos="414" w:val="left" w:leader="none"/>
        </w:tabs>
        <w:spacing w:line="360" w:lineRule="auto" w:before="142" w:after="0"/>
        <w:ind w:left="118" w:right="126" w:firstLine="0"/>
        <w:jc w:val="both"/>
        <w:rPr>
          <w:sz w:val="24"/>
        </w:rPr>
      </w:pPr>
      <w:r>
        <w:rPr>
          <w:sz w:val="24"/>
        </w:rPr>
        <w:t>Siempre debemos de tratar de dar la atención al paciente mediante citas cortas; para que de esta manera tengamos un mejor control del</w:t>
      </w:r>
      <w:r>
        <w:rPr>
          <w:spacing w:val="-21"/>
          <w:sz w:val="24"/>
        </w:rPr>
        <w:t> </w:t>
      </w:r>
      <w:r>
        <w:rPr>
          <w:sz w:val="24"/>
        </w:rPr>
        <w:t>paciente.</w:t>
      </w:r>
    </w:p>
    <w:p>
      <w:pPr>
        <w:spacing w:after="0" w:line="360" w:lineRule="auto"/>
        <w:jc w:val="both"/>
        <w:rPr>
          <w:sz w:val="24"/>
        </w:rPr>
        <w:sectPr>
          <w:pgSz w:w="12240" w:h="15840"/>
          <w:pgMar w:header="749" w:footer="1003" w:top="960" w:bottom="1200" w:left="1300" w:right="1580"/>
        </w:sectPr>
      </w:pPr>
    </w:p>
    <w:p>
      <w:pPr>
        <w:pStyle w:val="BodyText"/>
        <w:rPr>
          <w:sz w:val="20"/>
        </w:rPr>
      </w:pPr>
    </w:p>
    <w:p>
      <w:pPr>
        <w:pStyle w:val="BodyText"/>
        <w:rPr>
          <w:sz w:val="20"/>
        </w:rPr>
      </w:pPr>
    </w:p>
    <w:p>
      <w:pPr>
        <w:pStyle w:val="BodyText"/>
        <w:spacing w:before="5"/>
        <w:rPr>
          <w:sz w:val="17"/>
        </w:rPr>
      </w:pPr>
    </w:p>
    <w:p>
      <w:pPr>
        <w:pStyle w:val="Heading2"/>
        <w:numPr>
          <w:ilvl w:val="0"/>
          <w:numId w:val="15"/>
        </w:numPr>
        <w:tabs>
          <w:tab w:pos="2853" w:val="left" w:leader="none"/>
        </w:tabs>
        <w:spacing w:line="240" w:lineRule="auto" w:before="70" w:after="0"/>
        <w:ind w:left="2853" w:right="0" w:hanging="269"/>
        <w:jc w:val="left"/>
      </w:pPr>
      <w:r>
        <w:rPr/>
        <w:t>REFERENCIAS</w:t>
      </w:r>
      <w:r>
        <w:rPr>
          <w:spacing w:val="-11"/>
        </w:rPr>
        <w:t> </w:t>
      </w:r>
      <w:r>
        <w:rPr/>
        <w:t>BIBLIOGRAFICAS.</w:t>
      </w:r>
    </w:p>
    <w:p>
      <w:pPr>
        <w:pStyle w:val="BodyText"/>
        <w:spacing w:before="4"/>
        <w:rPr>
          <w:b/>
          <w:sz w:val="29"/>
        </w:rPr>
      </w:pPr>
    </w:p>
    <w:p>
      <w:pPr>
        <w:pStyle w:val="BodyText"/>
        <w:spacing w:line="360" w:lineRule="auto" w:before="1"/>
        <w:ind w:left="118" w:right="116"/>
        <w:jc w:val="both"/>
      </w:pPr>
      <w:r>
        <w:rPr/>
        <w:t>1.- Asociación americana de endodoncia disponible en </w:t>
      </w:r>
      <w:hyperlink r:id="rId64">
        <w:r>
          <w:rPr/>
          <w:t>www.aae.org,</w:t>
        </w:r>
      </w:hyperlink>
      <w:r>
        <w:rPr/>
        <w:t> consultado el 23/04/2015.</w:t>
      </w:r>
    </w:p>
    <w:p>
      <w:pPr>
        <w:pStyle w:val="BodyText"/>
        <w:spacing w:line="360" w:lineRule="auto" w:before="5"/>
        <w:ind w:left="118" w:right="122"/>
        <w:jc w:val="both"/>
      </w:pPr>
      <w:r>
        <w:rPr/>
        <w:t>2.-Organización Mundial de la Salud disponible en </w:t>
      </w:r>
      <w:hyperlink r:id="rId65">
        <w:r>
          <w:rPr/>
          <w:t>http://www.who.int/topics/epilepsy/es/</w:t>
        </w:r>
      </w:hyperlink>
      <w:r>
        <w:rPr/>
        <w:t> consultado el 20/03/15.</w:t>
      </w:r>
    </w:p>
    <w:p>
      <w:pPr>
        <w:pStyle w:val="BodyText"/>
        <w:spacing w:line="360" w:lineRule="auto" w:before="5"/>
        <w:ind w:left="118" w:right="116"/>
        <w:jc w:val="both"/>
      </w:pPr>
      <w:r>
        <w:rPr/>
        <w:t>3.- Rubio F, Epilepsia: Programa prioritario de epilepsia sector salud. Disponible en http: /</w:t>
      </w:r>
      <w:hyperlink r:id="rId66">
        <w:r>
          <w:rPr/>
          <w:t>/www.e</w:t>
        </w:r>
      </w:hyperlink>
      <w:r>
        <w:rPr/>
        <w:t>p</w:t>
      </w:r>
      <w:hyperlink r:id="rId66">
        <w:r>
          <w:rPr/>
          <w:t>ilepsiamexico.gob.mx/seguro/info-medico/libros.htm,</w:t>
        </w:r>
      </w:hyperlink>
      <w:r>
        <w:rPr/>
        <w:t> consultado el día 23/05/14.</w:t>
      </w:r>
    </w:p>
    <w:p>
      <w:pPr>
        <w:spacing w:line="360" w:lineRule="auto" w:before="5"/>
        <w:ind w:left="118" w:right="116" w:firstLine="0"/>
        <w:jc w:val="both"/>
        <w:rPr>
          <w:sz w:val="22"/>
        </w:rPr>
      </w:pPr>
      <w:r>
        <w:rPr>
          <w:sz w:val="22"/>
        </w:rPr>
        <w:t>4. - Warren T. Blume, Hans O. Lüders, Eli Glossary of Descriptive Terminology for Ictal Semiology:</w:t>
      </w:r>
      <w:r>
        <w:rPr>
          <w:spacing w:val="-6"/>
          <w:sz w:val="22"/>
        </w:rPr>
        <w:t> </w:t>
      </w:r>
      <w:r>
        <w:rPr>
          <w:sz w:val="22"/>
        </w:rPr>
        <w:t>Report</w:t>
      </w:r>
      <w:r>
        <w:rPr>
          <w:spacing w:val="-6"/>
          <w:sz w:val="22"/>
        </w:rPr>
        <w:t> </w:t>
      </w:r>
      <w:r>
        <w:rPr>
          <w:sz w:val="22"/>
        </w:rPr>
        <w:t>of</w:t>
      </w:r>
      <w:r>
        <w:rPr>
          <w:spacing w:val="-6"/>
          <w:sz w:val="22"/>
        </w:rPr>
        <w:t> </w:t>
      </w:r>
      <w:r>
        <w:rPr>
          <w:sz w:val="22"/>
        </w:rPr>
        <w:t>the</w:t>
      </w:r>
      <w:r>
        <w:rPr>
          <w:spacing w:val="-10"/>
          <w:sz w:val="22"/>
        </w:rPr>
        <w:t> </w:t>
      </w:r>
      <w:r>
        <w:rPr>
          <w:sz w:val="22"/>
        </w:rPr>
        <w:t>ILAE</w:t>
      </w:r>
      <w:r>
        <w:rPr>
          <w:spacing w:val="-10"/>
          <w:sz w:val="22"/>
        </w:rPr>
        <w:t> </w:t>
      </w:r>
      <w:r>
        <w:rPr>
          <w:sz w:val="22"/>
        </w:rPr>
        <w:t>Task</w:t>
      </w:r>
      <w:r>
        <w:rPr>
          <w:spacing w:val="-7"/>
          <w:sz w:val="22"/>
        </w:rPr>
        <w:t> </w:t>
      </w:r>
      <w:r>
        <w:rPr>
          <w:sz w:val="22"/>
        </w:rPr>
        <w:t>.Force</w:t>
      </w:r>
      <w:r>
        <w:rPr>
          <w:spacing w:val="-7"/>
          <w:sz w:val="22"/>
        </w:rPr>
        <w:t> </w:t>
      </w:r>
      <w:r>
        <w:rPr>
          <w:sz w:val="22"/>
        </w:rPr>
        <w:t>on</w:t>
      </w:r>
      <w:r>
        <w:rPr>
          <w:spacing w:val="-8"/>
          <w:sz w:val="22"/>
        </w:rPr>
        <w:t> </w:t>
      </w:r>
      <w:r>
        <w:rPr>
          <w:sz w:val="22"/>
        </w:rPr>
        <w:t>Classification</w:t>
      </w:r>
      <w:r>
        <w:rPr>
          <w:spacing w:val="-8"/>
          <w:sz w:val="22"/>
        </w:rPr>
        <w:t> </w:t>
      </w:r>
      <w:r>
        <w:rPr>
          <w:sz w:val="22"/>
        </w:rPr>
        <w:t>and</w:t>
      </w:r>
      <w:r>
        <w:rPr>
          <w:spacing w:val="-10"/>
          <w:sz w:val="22"/>
        </w:rPr>
        <w:t> </w:t>
      </w:r>
      <w:r>
        <w:rPr>
          <w:sz w:val="22"/>
        </w:rPr>
        <w:t>Terminology.</w:t>
      </w:r>
      <w:r>
        <w:rPr>
          <w:spacing w:val="-6"/>
          <w:sz w:val="22"/>
        </w:rPr>
        <w:t> </w:t>
      </w:r>
      <w:r>
        <w:rPr>
          <w:sz w:val="22"/>
        </w:rPr>
        <w:t>Epilepsia.</w:t>
      </w:r>
      <w:r>
        <w:rPr>
          <w:spacing w:val="-1"/>
          <w:sz w:val="22"/>
        </w:rPr>
        <w:t> </w:t>
      </w:r>
      <w:r>
        <w:rPr>
          <w:sz w:val="22"/>
        </w:rPr>
        <w:t>42:9: 1212–1218, September</w:t>
      </w:r>
      <w:r>
        <w:rPr>
          <w:spacing w:val="-11"/>
          <w:sz w:val="22"/>
        </w:rPr>
        <w:t> </w:t>
      </w:r>
      <w:r>
        <w:rPr>
          <w:sz w:val="22"/>
        </w:rPr>
        <w:t>2001.</w:t>
      </w:r>
    </w:p>
    <w:p>
      <w:pPr>
        <w:pStyle w:val="ListParagraph"/>
        <w:numPr>
          <w:ilvl w:val="0"/>
          <w:numId w:val="13"/>
        </w:numPr>
        <w:tabs>
          <w:tab w:pos="359" w:val="left" w:leader="none"/>
        </w:tabs>
        <w:spacing w:line="360" w:lineRule="auto" w:before="3" w:after="0"/>
        <w:ind w:left="118" w:right="115" w:firstLine="0"/>
        <w:jc w:val="both"/>
        <w:rPr>
          <w:sz w:val="24"/>
        </w:rPr>
      </w:pPr>
      <w:r>
        <w:rPr>
          <w:sz w:val="24"/>
        </w:rPr>
        <w:t>.- Anne T. Berg, Samuel F. Berkovic, Martin J. Brodie, Jeffrey Buchhalter, et al, Revised terminology and concepts for organization of seizures and epilepsies: Report of the ILAE Commission on Classification and Terminology, 2005–2009 Epilepsia </w:t>
      </w:r>
      <w:hyperlink r:id="rId67">
        <w:r>
          <w:rPr>
            <w:sz w:val="24"/>
            <w:u w:val="single"/>
          </w:rPr>
          <w:t>Volume 51, </w:t>
        </w:r>
        <w:r>
          <w:rPr>
            <w:sz w:val="24"/>
            <w:u w:val="single"/>
          </w:rPr>
          <w:t>Issue 4 </w:t>
        </w:r>
      </w:hyperlink>
      <w:r>
        <w:rPr>
          <w:sz w:val="24"/>
        </w:rPr>
        <w:t>pages 676–685, April</w:t>
      </w:r>
      <w:r>
        <w:rPr>
          <w:spacing w:val="-14"/>
          <w:sz w:val="24"/>
        </w:rPr>
        <w:t> </w:t>
      </w:r>
      <w:r>
        <w:rPr>
          <w:sz w:val="24"/>
        </w:rPr>
        <w:t>2010.</w:t>
      </w:r>
    </w:p>
    <w:p>
      <w:pPr>
        <w:pStyle w:val="ListParagraph"/>
        <w:numPr>
          <w:ilvl w:val="0"/>
          <w:numId w:val="16"/>
        </w:numPr>
        <w:tabs>
          <w:tab w:pos="403" w:val="left" w:leader="none"/>
        </w:tabs>
        <w:spacing w:line="362" w:lineRule="auto" w:before="122" w:after="0"/>
        <w:ind w:left="118" w:right="117" w:firstLine="0"/>
        <w:jc w:val="left"/>
        <w:rPr>
          <w:sz w:val="24"/>
        </w:rPr>
      </w:pPr>
      <w:r>
        <w:rPr>
          <w:sz w:val="24"/>
        </w:rPr>
        <w:t>- Guidelines </w:t>
      </w:r>
      <w:r>
        <w:rPr>
          <w:spacing w:val="2"/>
          <w:sz w:val="24"/>
        </w:rPr>
        <w:t>for </w:t>
      </w:r>
      <w:r>
        <w:rPr>
          <w:sz w:val="24"/>
        </w:rPr>
        <w:t>epidemiologic studies on epilepsy. Commission on Epidemiology and Prognosis, International League Against Epilepsy. Epilepsia </w:t>
      </w:r>
      <w:r>
        <w:rPr>
          <w:spacing w:val="4"/>
          <w:sz w:val="24"/>
        </w:rPr>
        <w:t>1993; </w:t>
      </w:r>
      <w:r>
        <w:rPr>
          <w:sz w:val="24"/>
        </w:rPr>
        <w:t>34(4): </w:t>
      </w:r>
      <w:r>
        <w:rPr>
          <w:spacing w:val="34"/>
          <w:sz w:val="24"/>
        </w:rPr>
        <w:t> </w:t>
      </w:r>
      <w:r>
        <w:rPr>
          <w:sz w:val="24"/>
        </w:rPr>
        <w:t>592–6.</w:t>
      </w:r>
    </w:p>
    <w:p>
      <w:pPr>
        <w:pStyle w:val="ListParagraph"/>
        <w:numPr>
          <w:ilvl w:val="0"/>
          <w:numId w:val="16"/>
        </w:numPr>
        <w:tabs>
          <w:tab w:pos="415" w:val="left" w:leader="none"/>
        </w:tabs>
        <w:spacing w:line="360" w:lineRule="auto" w:before="0" w:after="0"/>
        <w:ind w:left="118" w:right="127" w:firstLine="0"/>
        <w:jc w:val="left"/>
        <w:rPr>
          <w:sz w:val="24"/>
        </w:rPr>
      </w:pPr>
      <w:r>
        <w:rPr>
          <w:sz w:val="24"/>
        </w:rPr>
        <w:t>- Robert S. Carlos A, Alexis A, Alicia B, Helen C, A practical clinical definition of epilepsy. Epilepsia, 55(4):475–482,</w:t>
      </w:r>
      <w:r>
        <w:rPr>
          <w:spacing w:val="-16"/>
          <w:sz w:val="24"/>
        </w:rPr>
        <w:t> </w:t>
      </w:r>
      <w:r>
        <w:rPr>
          <w:sz w:val="24"/>
        </w:rPr>
        <w:t>2014</w:t>
      </w:r>
    </w:p>
    <w:p>
      <w:pPr>
        <w:pStyle w:val="ListParagraph"/>
        <w:numPr>
          <w:ilvl w:val="0"/>
          <w:numId w:val="16"/>
        </w:numPr>
        <w:tabs>
          <w:tab w:pos="436" w:val="left" w:leader="none"/>
        </w:tabs>
        <w:spacing w:line="360" w:lineRule="auto" w:before="2" w:after="0"/>
        <w:ind w:left="118" w:right="124" w:firstLine="0"/>
        <w:jc w:val="left"/>
        <w:rPr>
          <w:sz w:val="24"/>
        </w:rPr>
      </w:pPr>
      <w:r>
        <w:rPr>
          <w:sz w:val="24"/>
        </w:rPr>
        <w:t>- Robert B, Steven M. Management of Dental Patients with Seizure Disorders. Clinicas de Norteamerica 50 (2006)</w:t>
      </w:r>
      <w:r>
        <w:rPr>
          <w:spacing w:val="-12"/>
          <w:sz w:val="24"/>
        </w:rPr>
        <w:t> </w:t>
      </w:r>
      <w:r>
        <w:rPr>
          <w:sz w:val="24"/>
        </w:rPr>
        <w:t>607–623.</w:t>
      </w:r>
    </w:p>
    <w:p>
      <w:pPr>
        <w:pStyle w:val="ListParagraph"/>
        <w:numPr>
          <w:ilvl w:val="0"/>
          <w:numId w:val="16"/>
        </w:numPr>
        <w:tabs>
          <w:tab w:pos="388" w:val="left" w:leader="none"/>
        </w:tabs>
        <w:spacing w:line="360" w:lineRule="auto" w:before="2" w:after="0"/>
        <w:ind w:left="118" w:right="344" w:firstLine="0"/>
        <w:jc w:val="left"/>
        <w:rPr>
          <w:sz w:val="24"/>
        </w:rPr>
      </w:pPr>
      <w:r>
        <w:rPr>
          <w:sz w:val="24"/>
        </w:rPr>
        <w:t>- Robbins. M, Dental Management of Special Needs Patients </w:t>
      </w:r>
      <w:r>
        <w:rPr>
          <w:spacing w:val="2"/>
          <w:sz w:val="24"/>
        </w:rPr>
        <w:t>Who </w:t>
      </w:r>
      <w:r>
        <w:rPr>
          <w:sz w:val="24"/>
        </w:rPr>
        <w:t>Have</w:t>
      </w:r>
      <w:r>
        <w:rPr>
          <w:spacing w:val="-39"/>
          <w:sz w:val="24"/>
        </w:rPr>
        <w:t> </w:t>
      </w:r>
      <w:r>
        <w:rPr>
          <w:sz w:val="24"/>
        </w:rPr>
        <w:t>Epilepsy Dent Clin; 53 (2009)</w:t>
      </w:r>
      <w:r>
        <w:rPr>
          <w:spacing w:val="-10"/>
          <w:sz w:val="24"/>
        </w:rPr>
        <w:t> </w:t>
      </w:r>
      <w:r>
        <w:rPr>
          <w:sz w:val="24"/>
        </w:rPr>
        <w:t>295–309.</w:t>
      </w:r>
    </w:p>
    <w:p>
      <w:pPr>
        <w:pStyle w:val="ListParagraph"/>
        <w:numPr>
          <w:ilvl w:val="0"/>
          <w:numId w:val="16"/>
        </w:numPr>
        <w:tabs>
          <w:tab w:pos="527" w:val="left" w:leader="none"/>
        </w:tabs>
        <w:spacing w:line="360" w:lineRule="auto" w:before="2" w:after="0"/>
        <w:ind w:left="118" w:right="118" w:firstLine="0"/>
        <w:jc w:val="both"/>
        <w:rPr>
          <w:sz w:val="24"/>
        </w:rPr>
      </w:pPr>
      <w:r>
        <w:rPr>
          <w:sz w:val="24"/>
        </w:rPr>
        <w:t>- M. D. Turner and R. S. Glickman, “Epilepsy in the Oral and Maxillofacial Patient: Current Therapy,” </w:t>
      </w:r>
      <w:r>
        <w:rPr>
          <w:i/>
          <w:sz w:val="24"/>
        </w:rPr>
        <w:t>Journal of Oral and Maxillofacial Surgery</w:t>
      </w:r>
      <w:r>
        <w:rPr>
          <w:sz w:val="24"/>
        </w:rPr>
        <w:t>, Vol. 63, No. 7, 2005, pp. 996-1005.</w:t>
      </w:r>
    </w:p>
    <w:p>
      <w:pPr>
        <w:pStyle w:val="ListParagraph"/>
        <w:numPr>
          <w:ilvl w:val="0"/>
          <w:numId w:val="16"/>
        </w:numPr>
        <w:tabs>
          <w:tab w:pos="595" w:val="left" w:leader="none"/>
        </w:tabs>
        <w:spacing w:line="360" w:lineRule="auto" w:before="5" w:after="0"/>
        <w:ind w:left="118" w:right="119" w:firstLine="0"/>
        <w:jc w:val="left"/>
        <w:rPr>
          <w:sz w:val="24"/>
        </w:rPr>
      </w:pPr>
      <w:r>
        <w:rPr>
          <w:sz w:val="24"/>
        </w:rPr>
        <w:t>- G. V. Busschots and B. I. Milzman, “Dental Patients with Neurologic and Psychiatric Concerns,” </w:t>
      </w:r>
      <w:r>
        <w:rPr>
          <w:i/>
          <w:sz w:val="24"/>
        </w:rPr>
        <w:t>Dental Clinics of North America</w:t>
      </w:r>
      <w:r>
        <w:rPr>
          <w:sz w:val="24"/>
        </w:rPr>
        <w:t>, Vol. 43, 1999, pp. 471-483. 12.- Yaltırık M, Özer S, Tonguç S, Kocaelli H.Management of Epileptic Patients in Dentistry </w:t>
      </w:r>
      <w:r>
        <w:rPr>
          <w:i/>
          <w:sz w:val="24"/>
        </w:rPr>
        <w:t>Surgical Science</w:t>
      </w:r>
      <w:r>
        <w:rPr>
          <w:sz w:val="24"/>
        </w:rPr>
        <w:t>, 2012, 3,</w:t>
      </w:r>
      <w:r>
        <w:rPr>
          <w:spacing w:val="-9"/>
          <w:sz w:val="24"/>
        </w:rPr>
        <w:t> </w:t>
      </w:r>
      <w:r>
        <w:rPr>
          <w:sz w:val="24"/>
        </w:rPr>
        <w:t>47-52</w:t>
      </w:r>
    </w:p>
    <w:p>
      <w:pPr>
        <w:spacing w:after="0" w:line="360" w:lineRule="auto"/>
        <w:jc w:val="left"/>
        <w:rPr>
          <w:sz w:val="24"/>
        </w:rPr>
        <w:sectPr>
          <w:pgSz w:w="12240" w:h="15840"/>
          <w:pgMar w:header="749" w:footer="1003" w:top="960" w:bottom="1200" w:left="1300" w:right="1580"/>
        </w:sectPr>
      </w:pPr>
    </w:p>
    <w:p>
      <w:pPr>
        <w:pStyle w:val="BodyText"/>
        <w:rPr>
          <w:sz w:val="20"/>
        </w:rPr>
      </w:pPr>
    </w:p>
    <w:p>
      <w:pPr>
        <w:pStyle w:val="BodyText"/>
        <w:rPr>
          <w:sz w:val="20"/>
        </w:rPr>
      </w:pPr>
    </w:p>
    <w:p>
      <w:pPr>
        <w:pStyle w:val="BodyText"/>
        <w:spacing w:before="5"/>
        <w:rPr>
          <w:sz w:val="17"/>
        </w:rPr>
      </w:pPr>
    </w:p>
    <w:p>
      <w:pPr>
        <w:pStyle w:val="BodyText"/>
        <w:spacing w:line="360" w:lineRule="auto" w:before="70"/>
        <w:ind w:left="118" w:right="194"/>
      </w:pPr>
      <w:r>
        <w:rPr/>
        <w:t>13.- Morales A, Yijen H, Quintero F, Rondón I .Epilepsia y sus implicaciones en el campo odontológico: artículo de revisión.  Acta bioclinica Suplemento 2014</w:t>
      </w:r>
    </w:p>
    <w:p>
      <w:pPr>
        <w:pStyle w:val="BodyText"/>
        <w:spacing w:line="360" w:lineRule="auto" w:before="5"/>
        <w:ind w:left="118" w:right="194"/>
      </w:pPr>
      <w:r>
        <w:rPr/>
        <w:t>14.-Stoopler ET, Sollecito TP, Greenberg MS. Seizure disorders: update of medical and dental considerations. Gen Dent 2003; 51(4):361–6.</w:t>
      </w:r>
    </w:p>
    <w:p>
      <w:pPr>
        <w:pStyle w:val="ListParagraph"/>
        <w:numPr>
          <w:ilvl w:val="0"/>
          <w:numId w:val="17"/>
        </w:numPr>
        <w:tabs>
          <w:tab w:pos="563" w:val="left" w:leader="none"/>
        </w:tabs>
        <w:spacing w:line="360" w:lineRule="auto" w:before="5" w:after="0"/>
        <w:ind w:left="118" w:right="115" w:firstLine="0"/>
        <w:jc w:val="left"/>
        <w:rPr>
          <w:sz w:val="24"/>
        </w:rPr>
      </w:pPr>
      <w:r>
        <w:rPr>
          <w:sz w:val="24"/>
        </w:rPr>
        <w:t>- Sirven JI. Classifying seizures and epilepsy: a synopsis. Semin Neurol 2002; 22(3):237–46.</w:t>
      </w:r>
    </w:p>
    <w:p>
      <w:pPr>
        <w:pStyle w:val="ListParagraph"/>
        <w:numPr>
          <w:ilvl w:val="0"/>
          <w:numId w:val="17"/>
        </w:numPr>
        <w:tabs>
          <w:tab w:pos="523" w:val="left" w:leader="none"/>
        </w:tabs>
        <w:spacing w:line="360" w:lineRule="auto" w:before="5" w:after="0"/>
        <w:ind w:left="118" w:right="614" w:firstLine="0"/>
        <w:jc w:val="left"/>
        <w:rPr>
          <w:sz w:val="24"/>
        </w:rPr>
      </w:pPr>
      <w:r>
        <w:rPr>
          <w:sz w:val="24"/>
        </w:rPr>
        <w:t>- Wolf P, Inoue Y. Therapeutic response of absence seizures in patients of</w:t>
      </w:r>
      <w:r>
        <w:rPr>
          <w:spacing w:val="-38"/>
          <w:sz w:val="24"/>
        </w:rPr>
        <w:t> </w:t>
      </w:r>
      <w:r>
        <w:rPr>
          <w:sz w:val="24"/>
        </w:rPr>
        <w:t>an epilepsy clinic for adolescents and adults. J Neurol 1984;</w:t>
      </w:r>
      <w:r>
        <w:rPr>
          <w:spacing w:val="-20"/>
          <w:sz w:val="24"/>
        </w:rPr>
        <w:t> </w:t>
      </w:r>
      <w:r>
        <w:rPr>
          <w:sz w:val="24"/>
        </w:rPr>
        <w:t>231(4):225–9.</w:t>
      </w:r>
    </w:p>
    <w:p>
      <w:pPr>
        <w:pStyle w:val="ListParagraph"/>
        <w:numPr>
          <w:ilvl w:val="0"/>
          <w:numId w:val="17"/>
        </w:numPr>
        <w:tabs>
          <w:tab w:pos="523" w:val="left" w:leader="none"/>
        </w:tabs>
        <w:spacing w:line="240" w:lineRule="auto" w:before="5" w:after="0"/>
        <w:ind w:left="522" w:right="0" w:hanging="404"/>
        <w:jc w:val="left"/>
        <w:rPr>
          <w:sz w:val="24"/>
        </w:rPr>
      </w:pPr>
      <w:r>
        <w:rPr>
          <w:sz w:val="24"/>
        </w:rPr>
        <w:t>- JA Armijo, </w:t>
      </w:r>
      <w:hyperlink r:id="rId68">
        <w:r>
          <w:rPr>
            <w:sz w:val="24"/>
            <w:u w:val="single"/>
          </w:rPr>
          <w:t>JL Herranz  </w:t>
        </w:r>
      </w:hyperlink>
      <w:r>
        <w:rPr>
          <w:sz w:val="24"/>
        </w:rPr>
        <w:t>Farmacología humana, Capitulo 29,</w:t>
      </w:r>
      <w:r>
        <w:rPr>
          <w:spacing w:val="-22"/>
          <w:sz w:val="24"/>
        </w:rPr>
        <w:t> </w:t>
      </w:r>
      <w:r>
        <w:rPr>
          <w:sz w:val="24"/>
        </w:rPr>
        <w:t>2003</w:t>
      </w:r>
    </w:p>
    <w:p>
      <w:pPr>
        <w:pStyle w:val="ListParagraph"/>
        <w:numPr>
          <w:ilvl w:val="0"/>
          <w:numId w:val="17"/>
        </w:numPr>
        <w:tabs>
          <w:tab w:pos="523" w:val="left" w:leader="none"/>
        </w:tabs>
        <w:spacing w:line="360" w:lineRule="auto" w:before="137" w:after="0"/>
        <w:ind w:left="118" w:right="524" w:firstLine="0"/>
        <w:jc w:val="left"/>
        <w:rPr>
          <w:sz w:val="24"/>
        </w:rPr>
      </w:pPr>
      <w:r>
        <w:rPr>
          <w:sz w:val="24"/>
        </w:rPr>
        <w:t>- Beghi E, Perucca E. The management of epilepsy in the 1990s. Acquisitions, uncertainties and priorities for future research. </w:t>
      </w:r>
      <w:r>
        <w:rPr>
          <w:i/>
          <w:sz w:val="24"/>
        </w:rPr>
        <w:t>Drugs </w:t>
      </w:r>
      <w:r>
        <w:rPr>
          <w:sz w:val="24"/>
        </w:rPr>
        <w:t>1995; 49:</w:t>
      </w:r>
      <w:r>
        <w:rPr>
          <w:spacing w:val="-23"/>
          <w:sz w:val="24"/>
        </w:rPr>
        <w:t> </w:t>
      </w:r>
      <w:r>
        <w:rPr>
          <w:sz w:val="24"/>
        </w:rPr>
        <w:t>680-694.</w:t>
      </w:r>
    </w:p>
    <w:p>
      <w:pPr>
        <w:pStyle w:val="BodyText"/>
        <w:spacing w:line="360" w:lineRule="auto" w:before="5"/>
        <w:ind w:left="118" w:right="194"/>
      </w:pPr>
      <w:r>
        <w:rPr/>
        <w:t>19.- Armijo JA. ¿Se puede individualizar la elección de antiepiléptico en base a su mecanismo de acción? </w:t>
      </w:r>
      <w:r>
        <w:rPr>
          <w:i/>
        </w:rPr>
        <w:t>Rev Neurol (Barc) </w:t>
      </w:r>
      <w:r>
        <w:rPr/>
        <w:t>1994; 22: 358-364.</w:t>
      </w:r>
    </w:p>
    <w:p>
      <w:pPr>
        <w:pStyle w:val="BodyText"/>
        <w:spacing w:line="360" w:lineRule="auto" w:before="5"/>
        <w:ind w:left="118" w:right="194"/>
      </w:pPr>
      <w:r>
        <w:rPr/>
        <w:t>20.-Origen propagación de la crisis epiléptica consultada en agosto 2015, disponible en </w:t>
      </w:r>
      <w:hyperlink r:id="rId69">
        <w:r>
          <w:rPr/>
          <w:t>http://www.biblioteca-medica.com.ar/2012/01/que-es-la-epilepsia.html.</w:t>
        </w:r>
      </w:hyperlink>
    </w:p>
    <w:p>
      <w:pPr>
        <w:pStyle w:val="ListParagraph"/>
        <w:numPr>
          <w:ilvl w:val="0"/>
          <w:numId w:val="18"/>
        </w:numPr>
        <w:tabs>
          <w:tab w:pos="607" w:val="left" w:leader="none"/>
        </w:tabs>
        <w:spacing w:line="240" w:lineRule="auto" w:before="2" w:after="0"/>
        <w:ind w:left="118" w:right="0" w:firstLine="0"/>
        <w:jc w:val="left"/>
        <w:rPr>
          <w:sz w:val="24"/>
        </w:rPr>
      </w:pPr>
      <w:r>
        <w:rPr>
          <w:sz w:val="24"/>
        </w:rPr>
        <w:t>-Byung-In  Lee.  Classification  of  epileptic  seizures  and  epilepsy  </w:t>
      </w:r>
      <w:r>
        <w:rPr>
          <w:spacing w:val="62"/>
          <w:sz w:val="24"/>
        </w:rPr>
        <w:t> </w:t>
      </w:r>
      <w:r>
        <w:rPr>
          <w:sz w:val="24"/>
        </w:rPr>
        <w:t>syndromes.</w:t>
      </w:r>
    </w:p>
    <w:p>
      <w:pPr>
        <w:spacing w:before="137"/>
        <w:ind w:left="118" w:right="194" w:firstLine="0"/>
        <w:jc w:val="left"/>
        <w:rPr>
          <w:i/>
          <w:sz w:val="24"/>
        </w:rPr>
      </w:pPr>
      <w:r>
        <w:rPr>
          <w:i/>
          <w:sz w:val="24"/>
        </w:rPr>
        <w:t>Neurology Asia 2013; 18: 1 – 4</w:t>
      </w:r>
    </w:p>
    <w:p>
      <w:pPr>
        <w:pStyle w:val="ListParagraph"/>
        <w:numPr>
          <w:ilvl w:val="0"/>
          <w:numId w:val="18"/>
        </w:numPr>
        <w:tabs>
          <w:tab w:pos="549" w:val="left" w:leader="none"/>
        </w:tabs>
        <w:spacing w:line="360" w:lineRule="auto" w:before="139" w:after="0"/>
        <w:ind w:left="118" w:right="125" w:firstLine="0"/>
        <w:jc w:val="left"/>
        <w:rPr>
          <w:sz w:val="24"/>
        </w:rPr>
      </w:pPr>
      <w:r>
        <w:rPr>
          <w:sz w:val="24"/>
        </w:rPr>
        <w:t>- Brian J. sanders, James A,Nancy N. Managing Pacientes Who have epilepsy: Disorders dental and medical Issues. JADA,</w:t>
      </w:r>
      <w:r>
        <w:rPr>
          <w:spacing w:val="-13"/>
          <w:sz w:val="24"/>
        </w:rPr>
        <w:t> </w:t>
      </w:r>
      <w:r>
        <w:rPr>
          <w:sz w:val="24"/>
        </w:rPr>
        <w:t>1641.1645.</w:t>
      </w:r>
    </w:p>
    <w:p>
      <w:pPr>
        <w:pStyle w:val="BodyText"/>
        <w:spacing w:before="5"/>
        <w:ind w:left="118" w:right="194"/>
      </w:pPr>
      <w:r>
        <w:rPr/>
        <w:t>23.-Stephen C, Vias de la Pulpa, 10 Ed.  USA: El SERVIER; 2011</w:t>
      </w:r>
    </w:p>
    <w:p>
      <w:pPr>
        <w:pStyle w:val="BodyText"/>
        <w:spacing w:line="360" w:lineRule="auto" w:before="137"/>
        <w:ind w:left="118" w:right="118"/>
      </w:pPr>
      <w:r>
        <w:rPr/>
        <w:t>24.-Karolyhazy</w:t>
      </w:r>
      <w:r>
        <w:rPr>
          <w:spacing w:val="-12"/>
        </w:rPr>
        <w:t> </w:t>
      </w:r>
      <w:r>
        <w:rPr/>
        <w:t>K,</w:t>
      </w:r>
      <w:r>
        <w:rPr>
          <w:spacing w:val="-9"/>
        </w:rPr>
        <w:t> </w:t>
      </w:r>
      <w:r>
        <w:rPr/>
        <w:t>Kovacs</w:t>
      </w:r>
      <w:r>
        <w:rPr>
          <w:spacing w:val="-9"/>
        </w:rPr>
        <w:t> </w:t>
      </w:r>
      <w:r>
        <w:rPr/>
        <w:t>E,</w:t>
      </w:r>
      <w:r>
        <w:rPr>
          <w:spacing w:val="-9"/>
        </w:rPr>
        <w:t> </w:t>
      </w:r>
      <w:r>
        <w:rPr/>
        <w:t>Kivovics</w:t>
      </w:r>
      <w:r>
        <w:rPr>
          <w:spacing w:val="-10"/>
        </w:rPr>
        <w:t> </w:t>
      </w:r>
      <w:r>
        <w:rPr/>
        <w:t>P,</w:t>
      </w:r>
      <w:r>
        <w:rPr>
          <w:spacing w:val="-9"/>
        </w:rPr>
        <w:t> </w:t>
      </w:r>
      <w:r>
        <w:rPr/>
        <w:t>et</w:t>
      </w:r>
      <w:r>
        <w:rPr>
          <w:spacing w:val="-9"/>
        </w:rPr>
        <w:t> </w:t>
      </w:r>
      <w:r>
        <w:rPr/>
        <w:t>al.</w:t>
      </w:r>
      <w:r>
        <w:rPr>
          <w:spacing w:val="-5"/>
        </w:rPr>
        <w:t> </w:t>
      </w:r>
      <w:r>
        <w:rPr/>
        <w:t>Dental</w:t>
      </w:r>
      <w:r>
        <w:rPr>
          <w:spacing w:val="-10"/>
        </w:rPr>
        <w:t> </w:t>
      </w:r>
      <w:r>
        <w:rPr/>
        <w:t>status</w:t>
      </w:r>
      <w:r>
        <w:rPr>
          <w:spacing w:val="-12"/>
        </w:rPr>
        <w:t> </w:t>
      </w:r>
      <w:r>
        <w:rPr/>
        <w:t>and</w:t>
      </w:r>
      <w:r>
        <w:rPr>
          <w:spacing w:val="-11"/>
        </w:rPr>
        <w:t> </w:t>
      </w:r>
      <w:r>
        <w:rPr/>
        <w:t>oral</w:t>
      </w:r>
      <w:r>
        <w:rPr>
          <w:spacing w:val="-12"/>
        </w:rPr>
        <w:t> </w:t>
      </w:r>
      <w:r>
        <w:rPr/>
        <w:t>health</w:t>
      </w:r>
      <w:r>
        <w:rPr>
          <w:spacing w:val="-11"/>
        </w:rPr>
        <w:t> </w:t>
      </w:r>
      <w:r>
        <w:rPr/>
        <w:t>of</w:t>
      </w:r>
      <w:r>
        <w:rPr>
          <w:spacing w:val="-7"/>
        </w:rPr>
        <w:t> </w:t>
      </w:r>
      <w:r>
        <w:rPr/>
        <w:t>patients with epilepsy: an epidemiologic study. Epilepsia 2003;</w:t>
      </w:r>
      <w:r>
        <w:rPr>
          <w:spacing w:val="-24"/>
        </w:rPr>
        <w:t> </w:t>
      </w:r>
      <w:r>
        <w:rPr/>
        <w:t>44(8):1103–8.</w:t>
      </w:r>
    </w:p>
    <w:p>
      <w:pPr>
        <w:pStyle w:val="BodyText"/>
        <w:spacing w:line="360" w:lineRule="auto" w:before="2"/>
        <w:ind w:left="118" w:right="194"/>
      </w:pPr>
      <w:r>
        <w:rPr/>
        <w:t>25. - Velásquez V, Reyes M. Álvarez P; Dental pulp reaction before the presence of decays and dental treatments. Odontologia. Sanmarquina 2010; 13(1):28-31</w:t>
      </w:r>
    </w:p>
    <w:p>
      <w:pPr>
        <w:pStyle w:val="BodyText"/>
        <w:spacing w:line="360" w:lineRule="auto" w:before="2"/>
        <w:ind w:left="118" w:right="118"/>
      </w:pPr>
      <w:r>
        <w:rPr/>
        <w:t>26.- Cohen, S; Burns, R: Vías de la pulpa, Editorial Elsevier, 2004, octava edición. 27.- Seltzer S, Bender I. 1987. Pulpa dental. México. El manual moderno: consultado en agosto 2015, disponible en </w:t>
      </w:r>
      <w:hyperlink r:id="rId70">
        <w:r>
          <w:rPr/>
          <w:t>http://cdigital.uv.mx/bitstream.</w:t>
        </w:r>
      </w:hyperlink>
    </w:p>
    <w:p>
      <w:pPr>
        <w:pStyle w:val="BodyText"/>
        <w:spacing w:line="360" w:lineRule="auto" w:before="5"/>
        <w:ind w:left="118" w:right="121"/>
        <w:jc w:val="both"/>
      </w:pPr>
      <w:r>
        <w:rPr/>
        <w:t>28.- Andre L.Clarissa L, Wendel S, Raphaelli A.Claudio F.The association between periodontal disease and seizure severity in refractory epilepsy patients Seizure 23 (2014) 227–230.</w:t>
      </w:r>
    </w:p>
    <w:p>
      <w:pPr>
        <w:spacing w:after="0" w:line="360" w:lineRule="auto"/>
        <w:jc w:val="both"/>
        <w:sectPr>
          <w:pgSz w:w="12240" w:h="15840"/>
          <w:pgMar w:header="749" w:footer="1003" w:top="960" w:bottom="1200" w:left="1300" w:right="1580"/>
        </w:sectPr>
      </w:pPr>
    </w:p>
    <w:p>
      <w:pPr>
        <w:pStyle w:val="BodyText"/>
        <w:rPr>
          <w:sz w:val="20"/>
        </w:rPr>
      </w:pPr>
    </w:p>
    <w:p>
      <w:pPr>
        <w:pStyle w:val="BodyText"/>
        <w:rPr>
          <w:sz w:val="20"/>
        </w:rPr>
      </w:pPr>
    </w:p>
    <w:p>
      <w:pPr>
        <w:pStyle w:val="BodyText"/>
        <w:spacing w:before="5"/>
        <w:rPr>
          <w:sz w:val="17"/>
        </w:rPr>
      </w:pPr>
    </w:p>
    <w:p>
      <w:pPr>
        <w:pStyle w:val="ListParagraph"/>
        <w:numPr>
          <w:ilvl w:val="0"/>
          <w:numId w:val="19"/>
        </w:numPr>
        <w:tabs>
          <w:tab w:pos="597" w:val="left" w:leader="none"/>
        </w:tabs>
        <w:spacing w:line="360" w:lineRule="auto" w:before="70" w:after="0"/>
        <w:ind w:left="118" w:right="116" w:firstLine="0"/>
        <w:jc w:val="both"/>
        <w:rPr>
          <w:sz w:val="24"/>
        </w:rPr>
      </w:pPr>
      <w:r>
        <w:rPr>
          <w:sz w:val="24"/>
        </w:rPr>
        <w:t>- Harrington, G; Steiner D; Ammons W (2002): The periodontal–endodontic Controversy, Periodontology 2000, Vol. 30,</w:t>
      </w:r>
      <w:r>
        <w:rPr>
          <w:spacing w:val="-17"/>
          <w:sz w:val="24"/>
        </w:rPr>
        <w:t> </w:t>
      </w:r>
      <w:r>
        <w:rPr>
          <w:sz w:val="24"/>
        </w:rPr>
        <w:t>123–130</w:t>
      </w:r>
    </w:p>
    <w:p>
      <w:pPr>
        <w:pStyle w:val="ListParagraph"/>
        <w:numPr>
          <w:ilvl w:val="0"/>
          <w:numId w:val="19"/>
        </w:numPr>
        <w:tabs>
          <w:tab w:pos="547" w:val="left" w:leader="none"/>
        </w:tabs>
        <w:spacing w:line="360" w:lineRule="auto" w:before="5" w:after="0"/>
        <w:ind w:left="118" w:right="120" w:firstLine="0"/>
        <w:jc w:val="both"/>
        <w:rPr>
          <w:sz w:val="24"/>
        </w:rPr>
      </w:pPr>
      <w:r>
        <w:rPr>
          <w:sz w:val="24"/>
        </w:rPr>
        <w:t>- Rishi V., Peter P. Epileptic fits and epilepsy in the elderly: General reflections, specific issues and therapeutic implications</w:t>
      </w:r>
      <w:r>
        <w:rPr>
          <w:color w:val="000066"/>
          <w:sz w:val="24"/>
        </w:rPr>
        <w:t>.</w:t>
      </w:r>
      <w:r>
        <w:rPr>
          <w:sz w:val="24"/>
        </w:rPr>
        <w:t>Clinical Neurology and Neurosurgery 109 (2007)</w:t>
      </w:r>
      <w:r>
        <w:rPr>
          <w:spacing w:val="-7"/>
          <w:sz w:val="24"/>
        </w:rPr>
        <w:t> </w:t>
      </w:r>
      <w:r>
        <w:rPr>
          <w:sz w:val="24"/>
        </w:rPr>
        <w:t>727–743</w:t>
      </w:r>
    </w:p>
    <w:p>
      <w:pPr>
        <w:pStyle w:val="BodyText"/>
        <w:spacing w:line="360" w:lineRule="auto" w:before="2"/>
        <w:ind w:left="118" w:right="116"/>
        <w:jc w:val="both"/>
      </w:pPr>
      <w:r>
        <w:rPr/>
        <w:t>31.- Yazan M. Ahma D, Soukaina M. Ryalat A, Faleh A. Dental students’ knowledge and attitudes toward patients with epilepsy.  Epilepsy &amp; Behavior 36 (2014) 2–5</w:t>
      </w:r>
    </w:p>
    <w:p>
      <w:pPr>
        <w:spacing w:line="362" w:lineRule="auto" w:before="0"/>
        <w:ind w:left="118" w:right="115" w:firstLine="0"/>
        <w:jc w:val="both"/>
        <w:rPr>
          <w:sz w:val="24"/>
        </w:rPr>
      </w:pPr>
      <w:r>
        <w:rPr>
          <w:sz w:val="24"/>
        </w:rPr>
        <w:t>32.- Cutando-Soriano. Manejo clínico odontológico del paciente epiléptico </w:t>
      </w:r>
      <w:r>
        <w:rPr>
          <w:i/>
          <w:sz w:val="24"/>
        </w:rPr>
        <w:t>[Dental </w:t>
      </w:r>
      <w:r>
        <w:rPr>
          <w:i/>
          <w:sz w:val="24"/>
        </w:rPr>
        <w:t>management of epilepsie patients</w:t>
      </w:r>
      <w:r>
        <w:rPr>
          <w:sz w:val="24"/>
        </w:rPr>
        <w:t>]. Med Oral 2003; 8:384.</w:t>
      </w:r>
    </w:p>
    <w:p>
      <w:pPr>
        <w:pStyle w:val="BodyText"/>
        <w:spacing w:line="360" w:lineRule="auto" w:before="2"/>
        <w:ind w:left="118" w:right="124"/>
        <w:jc w:val="both"/>
      </w:pPr>
      <w:r>
        <w:rPr/>
        <w:t>33.-Yaltirik M, Ozer S, Tonguc S, Kocaelli H. Management of epileptic patients in dentistry, surgical science, 2012, 3,47-52</w:t>
      </w:r>
    </w:p>
    <w:p>
      <w:pPr>
        <w:pStyle w:val="ListParagraph"/>
        <w:numPr>
          <w:ilvl w:val="0"/>
          <w:numId w:val="20"/>
        </w:numPr>
        <w:tabs>
          <w:tab w:pos="547" w:val="left" w:leader="none"/>
        </w:tabs>
        <w:spacing w:line="360" w:lineRule="auto" w:before="2" w:after="0"/>
        <w:ind w:left="118" w:right="124" w:firstLine="0"/>
        <w:jc w:val="both"/>
        <w:rPr>
          <w:sz w:val="24"/>
        </w:rPr>
      </w:pPr>
      <w:r>
        <w:rPr>
          <w:sz w:val="24"/>
        </w:rPr>
        <w:t>- Nakken K.O.Which. Seizure-precipitating factors in patients with epilepsy most frecuently report .Epilepsia and Behavior 6 (2005):</w:t>
      </w:r>
      <w:r>
        <w:rPr>
          <w:spacing w:val="-17"/>
          <w:sz w:val="24"/>
        </w:rPr>
        <w:t> </w:t>
      </w:r>
      <w:r>
        <w:rPr>
          <w:sz w:val="24"/>
        </w:rPr>
        <w:t>85-89.</w:t>
      </w:r>
    </w:p>
    <w:p>
      <w:pPr>
        <w:pStyle w:val="ListParagraph"/>
        <w:numPr>
          <w:ilvl w:val="0"/>
          <w:numId w:val="20"/>
        </w:numPr>
        <w:tabs>
          <w:tab w:pos="549" w:val="left" w:leader="none"/>
        </w:tabs>
        <w:spacing w:line="360" w:lineRule="auto" w:before="2" w:after="0"/>
        <w:ind w:left="118" w:right="119" w:firstLine="0"/>
        <w:jc w:val="both"/>
        <w:rPr>
          <w:sz w:val="24"/>
        </w:rPr>
      </w:pPr>
      <w:r>
        <w:rPr>
          <w:sz w:val="24"/>
        </w:rPr>
        <w:t>- Nakken K.O.Which seizure-precipitating factors do patients with epilepsy most frecuently report? Epilepsia and Behavior 6 (2005):</w:t>
      </w:r>
      <w:r>
        <w:rPr>
          <w:spacing w:val="-16"/>
          <w:sz w:val="24"/>
        </w:rPr>
        <w:t> </w:t>
      </w:r>
      <w:r>
        <w:rPr>
          <w:sz w:val="24"/>
        </w:rPr>
        <w:t>85-89.</w:t>
      </w:r>
    </w:p>
    <w:p>
      <w:pPr>
        <w:pStyle w:val="ListParagraph"/>
        <w:numPr>
          <w:ilvl w:val="0"/>
          <w:numId w:val="20"/>
        </w:numPr>
        <w:tabs>
          <w:tab w:pos="513" w:val="left" w:leader="none"/>
        </w:tabs>
        <w:spacing w:line="360" w:lineRule="auto" w:before="2" w:after="0"/>
        <w:ind w:left="118" w:right="117" w:firstLine="0"/>
        <w:jc w:val="both"/>
        <w:rPr>
          <w:sz w:val="24"/>
        </w:rPr>
      </w:pPr>
      <w:r>
        <w:rPr>
          <w:sz w:val="24"/>
        </w:rPr>
        <w:t>-</w:t>
      </w:r>
      <w:r>
        <w:rPr>
          <w:spacing w:val="-11"/>
          <w:sz w:val="24"/>
        </w:rPr>
        <w:t> </w:t>
      </w:r>
      <w:r>
        <w:rPr>
          <w:sz w:val="24"/>
        </w:rPr>
        <w:t>Frucht</w:t>
      </w:r>
      <w:r>
        <w:rPr>
          <w:spacing w:val="-10"/>
          <w:sz w:val="24"/>
        </w:rPr>
        <w:t> </w:t>
      </w:r>
      <w:r>
        <w:rPr>
          <w:sz w:val="24"/>
        </w:rPr>
        <w:t>M.M.</w:t>
      </w:r>
      <w:r>
        <w:rPr>
          <w:spacing w:val="-12"/>
          <w:sz w:val="24"/>
        </w:rPr>
        <w:t> </w:t>
      </w:r>
      <w:r>
        <w:rPr>
          <w:sz w:val="24"/>
        </w:rPr>
        <w:t>Distribution</w:t>
      </w:r>
      <w:r>
        <w:rPr>
          <w:spacing w:val="-12"/>
          <w:sz w:val="24"/>
        </w:rPr>
        <w:t> </w:t>
      </w:r>
      <w:r>
        <w:rPr>
          <w:sz w:val="24"/>
        </w:rPr>
        <w:t>of</w:t>
      </w:r>
      <w:r>
        <w:rPr>
          <w:spacing w:val="-10"/>
          <w:sz w:val="24"/>
        </w:rPr>
        <w:t> </w:t>
      </w:r>
      <w:r>
        <w:rPr>
          <w:sz w:val="24"/>
        </w:rPr>
        <w:t>Precipitants</w:t>
      </w:r>
      <w:r>
        <w:rPr>
          <w:spacing w:val="-12"/>
          <w:sz w:val="24"/>
        </w:rPr>
        <w:t> </w:t>
      </w:r>
      <w:r>
        <w:rPr>
          <w:sz w:val="24"/>
        </w:rPr>
        <w:t>Among</w:t>
      </w:r>
      <w:r>
        <w:rPr>
          <w:spacing w:val="-8"/>
          <w:sz w:val="24"/>
        </w:rPr>
        <w:t> </w:t>
      </w:r>
      <w:r>
        <w:rPr>
          <w:sz w:val="24"/>
        </w:rPr>
        <w:t>Epilepsy</w:t>
      </w:r>
      <w:r>
        <w:rPr>
          <w:spacing w:val="-13"/>
          <w:sz w:val="24"/>
        </w:rPr>
        <w:t> </w:t>
      </w:r>
      <w:r>
        <w:rPr>
          <w:sz w:val="24"/>
        </w:rPr>
        <w:t>Syndromes.Epilepsia,</w:t>
      </w:r>
      <w:r>
        <w:rPr>
          <w:spacing w:val="-12"/>
          <w:sz w:val="24"/>
        </w:rPr>
        <w:t> </w:t>
      </w:r>
      <w:r>
        <w:rPr>
          <w:sz w:val="24"/>
        </w:rPr>
        <w:t>41 (12): 1534-39,</w:t>
      </w:r>
      <w:r>
        <w:rPr>
          <w:spacing w:val="-9"/>
          <w:sz w:val="24"/>
        </w:rPr>
        <w:t> </w:t>
      </w:r>
      <w:r>
        <w:rPr>
          <w:sz w:val="24"/>
        </w:rPr>
        <w:t>2000.</w:t>
      </w:r>
    </w:p>
    <w:p>
      <w:pPr>
        <w:pStyle w:val="BodyText"/>
        <w:spacing w:line="360" w:lineRule="auto" w:before="3"/>
        <w:ind w:left="118" w:right="120"/>
        <w:jc w:val="both"/>
      </w:pPr>
      <w:r>
        <w:rPr/>
        <w:t>37.-</w:t>
      </w:r>
      <w:r>
        <w:rPr>
          <w:spacing w:val="-12"/>
        </w:rPr>
        <w:t> </w:t>
      </w:r>
      <w:r>
        <w:rPr/>
        <w:t>Yi-Chia</w:t>
      </w:r>
      <w:r>
        <w:rPr>
          <w:spacing w:val="-16"/>
        </w:rPr>
        <w:t> </w:t>
      </w:r>
      <w:r>
        <w:rPr>
          <w:spacing w:val="4"/>
        </w:rPr>
        <w:t>W,</w:t>
      </w:r>
      <w:r>
        <w:rPr>
          <w:spacing w:val="-13"/>
        </w:rPr>
        <w:t> </w:t>
      </w:r>
      <w:r>
        <w:rPr/>
        <w:t>I-Hua</w:t>
      </w:r>
      <w:r>
        <w:rPr>
          <w:spacing w:val="-12"/>
        </w:rPr>
        <w:t> </w:t>
      </w:r>
      <w:r>
        <w:rPr/>
        <w:t>L,</w:t>
      </w:r>
      <w:r>
        <w:rPr>
          <w:spacing w:val="-12"/>
        </w:rPr>
        <w:t> </w:t>
      </w:r>
      <w:r>
        <w:rPr/>
        <w:t>Chi-Hsiang</w:t>
      </w:r>
      <w:r>
        <w:rPr>
          <w:spacing w:val="-12"/>
        </w:rPr>
        <w:t> </w:t>
      </w:r>
      <w:r>
        <w:rPr/>
        <w:t>H,</w:t>
      </w:r>
      <w:r>
        <w:rPr>
          <w:spacing w:val="-12"/>
        </w:rPr>
        <w:t> </w:t>
      </w:r>
      <w:r>
        <w:rPr/>
        <w:t>Shou-Zen</w:t>
      </w:r>
      <w:r>
        <w:rPr>
          <w:spacing w:val="-12"/>
        </w:rPr>
        <w:t> </w:t>
      </w:r>
      <w:r>
        <w:rPr/>
        <w:t>F.</w:t>
      </w:r>
      <w:r>
        <w:rPr>
          <w:spacing w:val="-12"/>
        </w:rPr>
        <w:t> </w:t>
      </w:r>
      <w:r>
        <w:rPr/>
        <w:t>Dental</w:t>
      </w:r>
      <w:r>
        <w:rPr>
          <w:spacing w:val="-14"/>
        </w:rPr>
        <w:t> </w:t>
      </w:r>
      <w:r>
        <w:rPr/>
        <w:t>anesthesia</w:t>
      </w:r>
      <w:r>
        <w:rPr>
          <w:spacing w:val="-13"/>
        </w:rPr>
        <w:t> </w:t>
      </w:r>
      <w:r>
        <w:rPr/>
        <w:t>for</w:t>
      </w:r>
      <w:r>
        <w:rPr>
          <w:spacing w:val="-12"/>
        </w:rPr>
        <w:t> </w:t>
      </w:r>
      <w:r>
        <w:rPr/>
        <w:t>patients</w:t>
      </w:r>
      <w:r>
        <w:rPr>
          <w:spacing w:val="-12"/>
        </w:rPr>
        <w:t> </w:t>
      </w:r>
      <w:r>
        <w:rPr/>
        <w:t>with special needs. Acta Anaesthesiologica Taiwanica 50 (2012)</w:t>
      </w:r>
      <w:r>
        <w:rPr>
          <w:spacing w:val="-22"/>
        </w:rPr>
        <w:t> </w:t>
      </w:r>
      <w:r>
        <w:rPr/>
        <w:t>122-125.</w:t>
      </w:r>
    </w:p>
    <w:p>
      <w:pPr>
        <w:spacing w:after="0" w:line="360" w:lineRule="auto"/>
        <w:jc w:val="both"/>
        <w:sectPr>
          <w:pgSz w:w="12240" w:h="15840"/>
          <w:pgMar w:header="749" w:footer="1003" w:top="960" w:bottom="1200" w:left="1300" w:right="1580"/>
        </w:sectPr>
      </w:pPr>
    </w:p>
    <w:p>
      <w:pPr>
        <w:pStyle w:val="BodyText"/>
        <w:rPr>
          <w:sz w:val="20"/>
        </w:rPr>
      </w:pPr>
    </w:p>
    <w:p>
      <w:pPr>
        <w:pStyle w:val="BodyText"/>
        <w:rPr>
          <w:sz w:val="20"/>
        </w:rPr>
      </w:pPr>
    </w:p>
    <w:p>
      <w:pPr>
        <w:pStyle w:val="BodyText"/>
        <w:spacing w:before="5"/>
        <w:rPr>
          <w:sz w:val="17"/>
        </w:rPr>
      </w:pPr>
    </w:p>
    <w:p>
      <w:pPr>
        <w:pStyle w:val="Heading2"/>
        <w:spacing w:before="70"/>
        <w:ind w:left="4038" w:right="194"/>
        <w:jc w:val="left"/>
      </w:pPr>
      <w:r>
        <w:rPr/>
        <w:t>8. ANEXOS</w:t>
      </w:r>
    </w:p>
    <w:p>
      <w:pPr>
        <w:pStyle w:val="BodyText"/>
        <w:spacing w:before="6"/>
        <w:rPr>
          <w:b/>
          <w:sz w:val="29"/>
        </w:rPr>
      </w:pPr>
    </w:p>
    <w:p>
      <w:pPr>
        <w:pStyle w:val="ListParagraph"/>
        <w:numPr>
          <w:ilvl w:val="1"/>
          <w:numId w:val="21"/>
        </w:numPr>
        <w:tabs>
          <w:tab w:pos="539" w:val="left" w:leader="none"/>
        </w:tabs>
        <w:spacing w:line="240" w:lineRule="auto" w:before="0" w:after="0"/>
        <w:ind w:left="538" w:right="0" w:hanging="420"/>
        <w:jc w:val="left"/>
        <w:rPr>
          <w:rFonts w:ascii="Calibri" w:hAnsi="Calibri"/>
          <w:b/>
          <w:sz w:val="28"/>
        </w:rPr>
      </w:pPr>
      <w:r>
        <w:rPr>
          <w:rFonts w:ascii="Calibri" w:hAnsi="Calibri"/>
          <w:b/>
          <w:sz w:val="28"/>
        </w:rPr>
        <w:t>Historia Clínica y Consentimiento</w:t>
      </w:r>
      <w:r>
        <w:rPr>
          <w:rFonts w:ascii="Calibri" w:hAnsi="Calibri"/>
          <w:b/>
          <w:spacing w:val="-17"/>
          <w:sz w:val="28"/>
        </w:rPr>
        <w:t> </w:t>
      </w:r>
      <w:r>
        <w:rPr>
          <w:rFonts w:ascii="Calibri" w:hAnsi="Calibri"/>
          <w:b/>
          <w:sz w:val="28"/>
        </w:rPr>
        <w:t>Informado.</w:t>
      </w:r>
    </w:p>
    <w:p>
      <w:pPr>
        <w:pStyle w:val="BodyText"/>
        <w:spacing w:before="2"/>
        <w:rPr>
          <w:rFonts w:ascii="Calibri"/>
          <w:b/>
          <w:sz w:val="27"/>
        </w:rPr>
      </w:pPr>
      <w:r>
        <w:rPr/>
        <w:drawing>
          <wp:anchor distT="0" distB="0" distL="0" distR="0" allowOverlap="1" layoutInCell="1" locked="0" behindDoc="0" simplePos="0" relativeHeight="3064">
            <wp:simplePos x="0" y="0"/>
            <wp:positionH relativeFrom="page">
              <wp:posOffset>1316736</wp:posOffset>
            </wp:positionH>
            <wp:positionV relativeFrom="paragraph">
              <wp:posOffset>235460</wp:posOffset>
            </wp:positionV>
            <wp:extent cx="4907277" cy="6753891"/>
            <wp:effectExtent l="0" t="0" r="0" b="0"/>
            <wp:wrapTopAndBottom/>
            <wp:docPr id="43" name="image46.jpeg" descr=""/>
            <wp:cNvGraphicFramePr>
              <a:graphicFrameLocks noChangeAspect="1"/>
            </wp:cNvGraphicFramePr>
            <a:graphic>
              <a:graphicData uri="http://schemas.openxmlformats.org/drawingml/2006/picture">
                <pic:pic>
                  <pic:nvPicPr>
                    <pic:cNvPr id="44" name="image46.jpeg"/>
                    <pic:cNvPicPr/>
                  </pic:nvPicPr>
                  <pic:blipFill>
                    <a:blip r:embed="rId71" cstate="print"/>
                    <a:stretch>
                      <a:fillRect/>
                    </a:stretch>
                  </pic:blipFill>
                  <pic:spPr>
                    <a:xfrm>
                      <a:off x="0" y="0"/>
                      <a:ext cx="4907277" cy="6753891"/>
                    </a:xfrm>
                    <a:prstGeom prst="rect">
                      <a:avLst/>
                    </a:prstGeom>
                  </pic:spPr>
                </pic:pic>
              </a:graphicData>
            </a:graphic>
          </wp:anchor>
        </w:drawing>
      </w:r>
    </w:p>
    <w:p>
      <w:pPr>
        <w:spacing w:after="0"/>
        <w:rPr>
          <w:rFonts w:ascii="Calibri"/>
          <w:sz w:val="27"/>
        </w:rPr>
        <w:sectPr>
          <w:pgSz w:w="12240" w:h="15840"/>
          <w:pgMar w:header="749" w:footer="1003" w:top="960" w:bottom="1200" w:left="1300" w:right="1580"/>
        </w:sectPr>
      </w:pPr>
    </w:p>
    <w:p>
      <w:pPr>
        <w:pStyle w:val="BodyText"/>
        <w:rPr>
          <w:rFonts w:ascii="Times New Roman"/>
          <w:sz w:val="20"/>
        </w:rPr>
      </w:pPr>
    </w:p>
    <w:p>
      <w:pPr>
        <w:pStyle w:val="BodyText"/>
        <w:rPr>
          <w:rFonts w:ascii="Times New Roman"/>
          <w:sz w:val="20"/>
        </w:rPr>
      </w:pPr>
    </w:p>
    <w:p>
      <w:pPr>
        <w:pStyle w:val="BodyText"/>
        <w:spacing w:before="7"/>
        <w:rPr>
          <w:rFonts w:ascii="Times New Roman"/>
          <w:sz w:val="23"/>
        </w:rPr>
      </w:pPr>
    </w:p>
    <w:p>
      <w:pPr>
        <w:pStyle w:val="BodyText"/>
        <w:ind w:left="336"/>
        <w:rPr>
          <w:rFonts w:ascii="Times New Roman"/>
          <w:sz w:val="20"/>
        </w:rPr>
      </w:pPr>
      <w:r>
        <w:rPr>
          <w:rFonts w:ascii="Times New Roman"/>
          <w:sz w:val="20"/>
        </w:rPr>
        <w:drawing>
          <wp:inline distT="0" distB="0" distL="0" distR="0">
            <wp:extent cx="5456304" cy="6209157"/>
            <wp:effectExtent l="0" t="0" r="0" b="0"/>
            <wp:docPr id="45" name="image47.jpeg" descr=""/>
            <wp:cNvGraphicFramePr>
              <a:graphicFrameLocks noChangeAspect="1"/>
            </wp:cNvGraphicFramePr>
            <a:graphic>
              <a:graphicData uri="http://schemas.openxmlformats.org/drawingml/2006/picture">
                <pic:pic>
                  <pic:nvPicPr>
                    <pic:cNvPr id="46" name="image47.jpeg"/>
                    <pic:cNvPicPr/>
                  </pic:nvPicPr>
                  <pic:blipFill>
                    <a:blip r:embed="rId72" cstate="print"/>
                    <a:stretch>
                      <a:fillRect/>
                    </a:stretch>
                  </pic:blipFill>
                  <pic:spPr>
                    <a:xfrm>
                      <a:off x="0" y="0"/>
                      <a:ext cx="5456304" cy="6209157"/>
                    </a:xfrm>
                    <a:prstGeom prst="rect">
                      <a:avLst/>
                    </a:prstGeom>
                  </pic:spPr>
                </pic:pic>
              </a:graphicData>
            </a:graphic>
          </wp:inline>
        </w:drawing>
      </w:r>
      <w:r>
        <w:rPr>
          <w:rFonts w:ascii="Times New Roman"/>
          <w:sz w:val="20"/>
        </w:rPr>
      </w:r>
    </w:p>
    <w:p>
      <w:pPr>
        <w:spacing w:after="0"/>
        <w:rPr>
          <w:rFonts w:ascii="Times New Roman"/>
          <w:sz w:val="20"/>
        </w:rPr>
        <w:sectPr>
          <w:pgSz w:w="12240" w:h="15840"/>
          <w:pgMar w:header="749" w:footer="1003" w:top="960" w:bottom="1200" w:left="1300" w:right="1580"/>
        </w:sectPr>
      </w:pPr>
    </w:p>
    <w:p>
      <w:pPr>
        <w:pStyle w:val="BodyText"/>
        <w:rPr>
          <w:rFonts w:ascii="Times New Roman"/>
          <w:sz w:val="20"/>
        </w:rPr>
      </w:pPr>
    </w:p>
    <w:p>
      <w:pPr>
        <w:pStyle w:val="BodyText"/>
        <w:rPr>
          <w:rFonts w:ascii="Times New Roman"/>
          <w:sz w:val="20"/>
        </w:rPr>
      </w:pPr>
    </w:p>
    <w:p>
      <w:pPr>
        <w:pStyle w:val="BodyText"/>
        <w:spacing w:before="7"/>
        <w:rPr>
          <w:rFonts w:ascii="Times New Roman"/>
          <w:sz w:val="23"/>
        </w:rPr>
      </w:pPr>
    </w:p>
    <w:p>
      <w:pPr>
        <w:pStyle w:val="BodyText"/>
        <w:ind w:left="178"/>
        <w:rPr>
          <w:rFonts w:ascii="Times New Roman"/>
          <w:sz w:val="20"/>
        </w:rPr>
      </w:pPr>
      <w:r>
        <w:rPr>
          <w:rFonts w:ascii="Times New Roman"/>
          <w:sz w:val="20"/>
        </w:rPr>
        <w:drawing>
          <wp:inline distT="0" distB="0" distL="0" distR="0">
            <wp:extent cx="5649113" cy="6581870"/>
            <wp:effectExtent l="0" t="0" r="0" b="0"/>
            <wp:docPr id="47" name="image48.jpeg" descr=""/>
            <wp:cNvGraphicFramePr>
              <a:graphicFrameLocks noChangeAspect="1"/>
            </wp:cNvGraphicFramePr>
            <a:graphic>
              <a:graphicData uri="http://schemas.openxmlformats.org/drawingml/2006/picture">
                <pic:pic>
                  <pic:nvPicPr>
                    <pic:cNvPr id="48" name="image48.jpeg"/>
                    <pic:cNvPicPr/>
                  </pic:nvPicPr>
                  <pic:blipFill>
                    <a:blip r:embed="rId73" cstate="print"/>
                    <a:stretch>
                      <a:fillRect/>
                    </a:stretch>
                  </pic:blipFill>
                  <pic:spPr>
                    <a:xfrm>
                      <a:off x="0" y="0"/>
                      <a:ext cx="5649113" cy="6581870"/>
                    </a:xfrm>
                    <a:prstGeom prst="rect">
                      <a:avLst/>
                    </a:prstGeom>
                  </pic:spPr>
                </pic:pic>
              </a:graphicData>
            </a:graphic>
          </wp:inline>
        </w:drawing>
      </w:r>
      <w:r>
        <w:rPr>
          <w:rFonts w:ascii="Times New Roman"/>
          <w:sz w:val="20"/>
        </w:rPr>
      </w:r>
    </w:p>
    <w:p>
      <w:pPr>
        <w:spacing w:after="0"/>
        <w:rPr>
          <w:rFonts w:ascii="Times New Roman"/>
          <w:sz w:val="20"/>
        </w:rPr>
        <w:sectPr>
          <w:pgSz w:w="12240" w:h="15840"/>
          <w:pgMar w:header="749" w:footer="1003" w:top="960" w:bottom="1200" w:left="1300" w:right="1580"/>
        </w:sectPr>
      </w:pPr>
    </w:p>
    <w:p>
      <w:pPr>
        <w:pStyle w:val="BodyText"/>
        <w:rPr>
          <w:rFonts w:ascii="Times New Roman"/>
          <w:sz w:val="20"/>
        </w:rPr>
      </w:pPr>
    </w:p>
    <w:p>
      <w:pPr>
        <w:pStyle w:val="BodyText"/>
        <w:rPr>
          <w:rFonts w:ascii="Times New Roman"/>
          <w:sz w:val="20"/>
        </w:rPr>
      </w:pPr>
    </w:p>
    <w:p>
      <w:pPr>
        <w:pStyle w:val="BodyText"/>
        <w:spacing w:before="7"/>
        <w:rPr>
          <w:rFonts w:ascii="Times New Roman"/>
          <w:sz w:val="23"/>
        </w:rPr>
      </w:pPr>
    </w:p>
    <w:p>
      <w:pPr>
        <w:pStyle w:val="BodyText"/>
        <w:ind w:left="147"/>
        <w:rPr>
          <w:rFonts w:ascii="Times New Roman"/>
          <w:sz w:val="20"/>
        </w:rPr>
      </w:pPr>
      <w:r>
        <w:rPr>
          <w:rFonts w:ascii="Times New Roman"/>
          <w:sz w:val="20"/>
        </w:rPr>
        <w:drawing>
          <wp:inline distT="0" distB="0" distL="0" distR="0">
            <wp:extent cx="5707627" cy="6864477"/>
            <wp:effectExtent l="0" t="0" r="0" b="0"/>
            <wp:docPr id="49" name="image49.jpeg" descr=""/>
            <wp:cNvGraphicFramePr>
              <a:graphicFrameLocks noChangeAspect="1"/>
            </wp:cNvGraphicFramePr>
            <a:graphic>
              <a:graphicData uri="http://schemas.openxmlformats.org/drawingml/2006/picture">
                <pic:pic>
                  <pic:nvPicPr>
                    <pic:cNvPr id="50" name="image49.jpeg"/>
                    <pic:cNvPicPr/>
                  </pic:nvPicPr>
                  <pic:blipFill>
                    <a:blip r:embed="rId75" cstate="print"/>
                    <a:stretch>
                      <a:fillRect/>
                    </a:stretch>
                  </pic:blipFill>
                  <pic:spPr>
                    <a:xfrm>
                      <a:off x="0" y="0"/>
                      <a:ext cx="5707627" cy="6864477"/>
                    </a:xfrm>
                    <a:prstGeom prst="rect">
                      <a:avLst/>
                    </a:prstGeom>
                  </pic:spPr>
                </pic:pic>
              </a:graphicData>
            </a:graphic>
          </wp:inline>
        </w:drawing>
      </w:r>
      <w:r>
        <w:rPr>
          <w:rFonts w:ascii="Times New Roman"/>
          <w:sz w:val="20"/>
        </w:rPr>
      </w:r>
    </w:p>
    <w:p>
      <w:pPr>
        <w:spacing w:after="0"/>
        <w:rPr>
          <w:rFonts w:ascii="Times New Roman"/>
          <w:sz w:val="20"/>
        </w:rPr>
        <w:sectPr>
          <w:footerReference w:type="default" r:id="rId74"/>
          <w:pgSz w:w="12240" w:h="15840"/>
          <w:pgMar w:footer="1003" w:header="749" w:top="960" w:bottom="1200" w:left="1300" w:right="1560"/>
        </w:sectPr>
      </w:pPr>
    </w:p>
    <w:p>
      <w:pPr>
        <w:pStyle w:val="BodyText"/>
        <w:rPr>
          <w:rFonts w:ascii="Times New Roman"/>
          <w:sz w:val="20"/>
        </w:rPr>
      </w:pPr>
    </w:p>
    <w:p>
      <w:pPr>
        <w:pStyle w:val="BodyText"/>
        <w:rPr>
          <w:rFonts w:ascii="Times New Roman"/>
          <w:sz w:val="20"/>
        </w:rPr>
      </w:pPr>
    </w:p>
    <w:p>
      <w:pPr>
        <w:pStyle w:val="BodyText"/>
        <w:spacing w:before="7"/>
        <w:rPr>
          <w:rFonts w:ascii="Times New Roman"/>
          <w:sz w:val="23"/>
        </w:rPr>
      </w:pPr>
    </w:p>
    <w:p>
      <w:pPr>
        <w:pStyle w:val="BodyText"/>
        <w:ind w:left="147"/>
        <w:rPr>
          <w:rFonts w:ascii="Times New Roman"/>
          <w:sz w:val="20"/>
        </w:rPr>
      </w:pPr>
      <w:r>
        <w:rPr>
          <w:rFonts w:ascii="Times New Roman"/>
          <w:sz w:val="20"/>
        </w:rPr>
        <w:drawing>
          <wp:inline distT="0" distB="0" distL="0" distR="0">
            <wp:extent cx="5790930" cy="4919472"/>
            <wp:effectExtent l="0" t="0" r="0" b="0"/>
            <wp:docPr id="51" name="image50.jpeg" descr=""/>
            <wp:cNvGraphicFramePr>
              <a:graphicFrameLocks noChangeAspect="1"/>
            </wp:cNvGraphicFramePr>
            <a:graphic>
              <a:graphicData uri="http://schemas.openxmlformats.org/drawingml/2006/picture">
                <pic:pic>
                  <pic:nvPicPr>
                    <pic:cNvPr id="52" name="image50.jpeg"/>
                    <pic:cNvPicPr/>
                  </pic:nvPicPr>
                  <pic:blipFill>
                    <a:blip r:embed="rId77" cstate="print"/>
                    <a:stretch>
                      <a:fillRect/>
                    </a:stretch>
                  </pic:blipFill>
                  <pic:spPr>
                    <a:xfrm>
                      <a:off x="0" y="0"/>
                      <a:ext cx="5790930" cy="4919472"/>
                    </a:xfrm>
                    <a:prstGeom prst="rect">
                      <a:avLst/>
                    </a:prstGeom>
                  </pic:spPr>
                </pic:pic>
              </a:graphicData>
            </a:graphic>
          </wp:inline>
        </w:drawing>
      </w:r>
      <w:r>
        <w:rPr>
          <w:rFonts w:ascii="Times New Roman"/>
          <w:sz w:val="20"/>
        </w:rPr>
      </w:r>
    </w:p>
    <w:p>
      <w:pPr>
        <w:spacing w:after="0"/>
        <w:rPr>
          <w:rFonts w:ascii="Times New Roman"/>
          <w:sz w:val="20"/>
        </w:rPr>
        <w:sectPr>
          <w:footerReference w:type="default" r:id="rId76"/>
          <w:pgSz w:w="12240" w:h="15840"/>
          <w:pgMar w:footer="1003" w:header="749" w:top="960" w:bottom="1200" w:left="1300" w:right="1560"/>
          <w:pgNumType w:start="71"/>
        </w:sectPr>
      </w:pPr>
    </w:p>
    <w:p>
      <w:pPr>
        <w:pStyle w:val="BodyText"/>
        <w:rPr>
          <w:rFonts w:ascii="Times New Roman"/>
          <w:sz w:val="20"/>
        </w:rPr>
      </w:pPr>
    </w:p>
    <w:p>
      <w:pPr>
        <w:pStyle w:val="BodyText"/>
        <w:rPr>
          <w:rFonts w:ascii="Times New Roman"/>
          <w:sz w:val="20"/>
        </w:rPr>
      </w:pPr>
    </w:p>
    <w:p>
      <w:pPr>
        <w:pStyle w:val="BodyText"/>
        <w:spacing w:before="7"/>
        <w:rPr>
          <w:rFonts w:ascii="Times New Roman"/>
          <w:sz w:val="23"/>
        </w:rPr>
      </w:pPr>
    </w:p>
    <w:p>
      <w:pPr>
        <w:pStyle w:val="BodyText"/>
        <w:ind w:left="147"/>
        <w:rPr>
          <w:rFonts w:ascii="Times New Roman"/>
          <w:sz w:val="20"/>
        </w:rPr>
      </w:pPr>
      <w:r>
        <w:rPr>
          <w:rFonts w:ascii="Times New Roman"/>
          <w:sz w:val="20"/>
        </w:rPr>
        <w:drawing>
          <wp:inline distT="0" distB="0" distL="0" distR="0">
            <wp:extent cx="5704016" cy="6983253"/>
            <wp:effectExtent l="0" t="0" r="0" b="0"/>
            <wp:docPr id="53" name="image51.jpeg" descr=""/>
            <wp:cNvGraphicFramePr>
              <a:graphicFrameLocks noChangeAspect="1"/>
            </wp:cNvGraphicFramePr>
            <a:graphic>
              <a:graphicData uri="http://schemas.openxmlformats.org/drawingml/2006/picture">
                <pic:pic>
                  <pic:nvPicPr>
                    <pic:cNvPr id="54" name="image51.jpeg"/>
                    <pic:cNvPicPr/>
                  </pic:nvPicPr>
                  <pic:blipFill>
                    <a:blip r:embed="rId78" cstate="print"/>
                    <a:stretch>
                      <a:fillRect/>
                    </a:stretch>
                  </pic:blipFill>
                  <pic:spPr>
                    <a:xfrm>
                      <a:off x="0" y="0"/>
                      <a:ext cx="5704016" cy="6983253"/>
                    </a:xfrm>
                    <a:prstGeom prst="rect">
                      <a:avLst/>
                    </a:prstGeom>
                  </pic:spPr>
                </pic:pic>
              </a:graphicData>
            </a:graphic>
          </wp:inline>
        </w:drawing>
      </w:r>
      <w:r>
        <w:rPr>
          <w:rFonts w:ascii="Times New Roman"/>
          <w:sz w:val="20"/>
        </w:rPr>
      </w:r>
    </w:p>
    <w:p>
      <w:pPr>
        <w:spacing w:after="0"/>
        <w:rPr>
          <w:rFonts w:ascii="Times New Roman"/>
          <w:sz w:val="20"/>
        </w:rPr>
        <w:sectPr>
          <w:pgSz w:w="12240" w:h="15840"/>
          <w:pgMar w:header="749" w:footer="1003" w:top="960" w:bottom="1200" w:left="1300" w:right="1560"/>
        </w:sectPr>
      </w:pPr>
    </w:p>
    <w:p>
      <w:pPr>
        <w:pStyle w:val="BodyText"/>
        <w:rPr>
          <w:rFonts w:ascii="Times New Roman"/>
          <w:sz w:val="20"/>
        </w:rPr>
      </w:pPr>
    </w:p>
    <w:p>
      <w:pPr>
        <w:pStyle w:val="BodyText"/>
        <w:rPr>
          <w:rFonts w:ascii="Times New Roman"/>
          <w:sz w:val="20"/>
        </w:rPr>
      </w:pPr>
    </w:p>
    <w:p>
      <w:pPr>
        <w:pStyle w:val="BodyText"/>
        <w:spacing w:before="7"/>
        <w:rPr>
          <w:rFonts w:ascii="Times New Roman"/>
          <w:sz w:val="23"/>
        </w:rPr>
      </w:pPr>
    </w:p>
    <w:p>
      <w:pPr>
        <w:pStyle w:val="BodyText"/>
        <w:ind w:left="147"/>
        <w:rPr>
          <w:rFonts w:ascii="Times New Roman"/>
          <w:sz w:val="20"/>
        </w:rPr>
      </w:pPr>
      <w:r>
        <w:rPr>
          <w:rFonts w:ascii="Times New Roman"/>
          <w:sz w:val="20"/>
        </w:rPr>
        <w:drawing>
          <wp:inline distT="0" distB="0" distL="0" distR="0">
            <wp:extent cx="5708147" cy="7855648"/>
            <wp:effectExtent l="0" t="0" r="0" b="0"/>
            <wp:docPr id="55" name="image52.jpeg" descr=""/>
            <wp:cNvGraphicFramePr>
              <a:graphicFrameLocks noChangeAspect="1"/>
            </wp:cNvGraphicFramePr>
            <a:graphic>
              <a:graphicData uri="http://schemas.openxmlformats.org/drawingml/2006/picture">
                <pic:pic>
                  <pic:nvPicPr>
                    <pic:cNvPr id="56" name="image52.jpeg"/>
                    <pic:cNvPicPr/>
                  </pic:nvPicPr>
                  <pic:blipFill>
                    <a:blip r:embed="rId79" cstate="print"/>
                    <a:stretch>
                      <a:fillRect/>
                    </a:stretch>
                  </pic:blipFill>
                  <pic:spPr>
                    <a:xfrm>
                      <a:off x="0" y="0"/>
                      <a:ext cx="5708147" cy="7855648"/>
                    </a:xfrm>
                    <a:prstGeom prst="rect">
                      <a:avLst/>
                    </a:prstGeom>
                  </pic:spPr>
                </pic:pic>
              </a:graphicData>
            </a:graphic>
          </wp:inline>
        </w:drawing>
      </w:r>
      <w:r>
        <w:rPr>
          <w:rFonts w:ascii="Times New Roman"/>
          <w:sz w:val="20"/>
        </w:rPr>
      </w:r>
    </w:p>
    <w:p>
      <w:pPr>
        <w:spacing w:after="0"/>
        <w:rPr>
          <w:rFonts w:ascii="Times New Roman"/>
          <w:sz w:val="20"/>
        </w:rPr>
        <w:sectPr>
          <w:pgSz w:w="12240" w:h="15840"/>
          <w:pgMar w:header="749" w:footer="1003" w:top="960" w:bottom="1200" w:left="1300" w:right="1560"/>
        </w:sectPr>
      </w:pPr>
    </w:p>
    <w:p>
      <w:pPr>
        <w:pStyle w:val="BodyText"/>
        <w:rPr>
          <w:rFonts w:ascii="Times New Roman"/>
          <w:sz w:val="20"/>
        </w:rPr>
      </w:pPr>
    </w:p>
    <w:p>
      <w:pPr>
        <w:pStyle w:val="BodyText"/>
        <w:rPr>
          <w:rFonts w:ascii="Times New Roman"/>
          <w:sz w:val="20"/>
        </w:rPr>
      </w:pPr>
    </w:p>
    <w:p>
      <w:pPr>
        <w:pStyle w:val="BodyText"/>
        <w:spacing w:before="7"/>
        <w:rPr>
          <w:rFonts w:ascii="Times New Roman"/>
          <w:sz w:val="23"/>
        </w:rPr>
      </w:pPr>
    </w:p>
    <w:p>
      <w:pPr>
        <w:pStyle w:val="BodyText"/>
        <w:ind w:left="147"/>
        <w:rPr>
          <w:rFonts w:ascii="Times New Roman"/>
          <w:sz w:val="20"/>
        </w:rPr>
      </w:pPr>
      <w:r>
        <w:rPr>
          <w:rFonts w:ascii="Times New Roman"/>
          <w:sz w:val="20"/>
        </w:rPr>
        <w:drawing>
          <wp:inline distT="0" distB="0" distL="0" distR="0">
            <wp:extent cx="5706096" cy="7302722"/>
            <wp:effectExtent l="0" t="0" r="0" b="0"/>
            <wp:docPr id="57" name="image53.jpeg" descr=""/>
            <wp:cNvGraphicFramePr>
              <a:graphicFrameLocks noChangeAspect="1"/>
            </wp:cNvGraphicFramePr>
            <a:graphic>
              <a:graphicData uri="http://schemas.openxmlformats.org/drawingml/2006/picture">
                <pic:pic>
                  <pic:nvPicPr>
                    <pic:cNvPr id="58" name="image53.jpeg"/>
                    <pic:cNvPicPr/>
                  </pic:nvPicPr>
                  <pic:blipFill>
                    <a:blip r:embed="rId80" cstate="print"/>
                    <a:stretch>
                      <a:fillRect/>
                    </a:stretch>
                  </pic:blipFill>
                  <pic:spPr>
                    <a:xfrm>
                      <a:off x="0" y="0"/>
                      <a:ext cx="5706096" cy="7302722"/>
                    </a:xfrm>
                    <a:prstGeom prst="rect">
                      <a:avLst/>
                    </a:prstGeom>
                  </pic:spPr>
                </pic:pic>
              </a:graphicData>
            </a:graphic>
          </wp:inline>
        </w:drawing>
      </w:r>
      <w:r>
        <w:rPr>
          <w:rFonts w:ascii="Times New Roman"/>
          <w:sz w:val="20"/>
        </w:rPr>
      </w:r>
    </w:p>
    <w:p>
      <w:pPr>
        <w:spacing w:after="0"/>
        <w:rPr>
          <w:rFonts w:ascii="Times New Roman"/>
          <w:sz w:val="20"/>
        </w:rPr>
        <w:sectPr>
          <w:pgSz w:w="12240" w:h="15840"/>
          <w:pgMar w:header="749" w:footer="1003" w:top="960" w:bottom="1200" w:left="1300" w:right="1560"/>
        </w:sectPr>
      </w:pPr>
    </w:p>
    <w:p>
      <w:pPr>
        <w:pStyle w:val="BodyText"/>
        <w:rPr>
          <w:rFonts w:ascii="Times New Roman"/>
          <w:sz w:val="20"/>
        </w:rPr>
      </w:pPr>
    </w:p>
    <w:p>
      <w:pPr>
        <w:pStyle w:val="BodyText"/>
        <w:rPr>
          <w:rFonts w:ascii="Times New Roman"/>
          <w:sz w:val="20"/>
        </w:rPr>
      </w:pPr>
    </w:p>
    <w:p>
      <w:pPr>
        <w:pStyle w:val="BodyText"/>
        <w:spacing w:before="7"/>
        <w:rPr>
          <w:rFonts w:ascii="Times New Roman"/>
          <w:sz w:val="23"/>
        </w:rPr>
      </w:pPr>
    </w:p>
    <w:p>
      <w:pPr>
        <w:pStyle w:val="BodyText"/>
        <w:ind w:left="147"/>
        <w:rPr>
          <w:rFonts w:ascii="Times New Roman"/>
          <w:sz w:val="20"/>
        </w:rPr>
      </w:pPr>
      <w:r>
        <w:rPr>
          <w:rFonts w:ascii="Times New Roman"/>
          <w:sz w:val="20"/>
        </w:rPr>
        <w:drawing>
          <wp:inline distT="0" distB="0" distL="0" distR="0">
            <wp:extent cx="5706449" cy="6458997"/>
            <wp:effectExtent l="0" t="0" r="0" b="0"/>
            <wp:docPr id="59" name="image54.jpeg" descr=""/>
            <wp:cNvGraphicFramePr>
              <a:graphicFrameLocks noChangeAspect="1"/>
            </wp:cNvGraphicFramePr>
            <a:graphic>
              <a:graphicData uri="http://schemas.openxmlformats.org/drawingml/2006/picture">
                <pic:pic>
                  <pic:nvPicPr>
                    <pic:cNvPr id="60" name="image54.jpeg"/>
                    <pic:cNvPicPr/>
                  </pic:nvPicPr>
                  <pic:blipFill>
                    <a:blip r:embed="rId81" cstate="print"/>
                    <a:stretch>
                      <a:fillRect/>
                    </a:stretch>
                  </pic:blipFill>
                  <pic:spPr>
                    <a:xfrm>
                      <a:off x="0" y="0"/>
                      <a:ext cx="5706449" cy="6458997"/>
                    </a:xfrm>
                    <a:prstGeom prst="rect">
                      <a:avLst/>
                    </a:prstGeom>
                  </pic:spPr>
                </pic:pic>
              </a:graphicData>
            </a:graphic>
          </wp:inline>
        </w:drawing>
      </w:r>
      <w:r>
        <w:rPr>
          <w:rFonts w:ascii="Times New Roman"/>
          <w:sz w:val="20"/>
        </w:rPr>
      </w:r>
    </w:p>
    <w:p>
      <w:pPr>
        <w:spacing w:after="0"/>
        <w:rPr>
          <w:rFonts w:ascii="Times New Roman"/>
          <w:sz w:val="20"/>
        </w:rPr>
        <w:sectPr>
          <w:pgSz w:w="12240" w:h="15840"/>
          <w:pgMar w:header="749" w:footer="1003" w:top="960" w:bottom="1200" w:left="1300" w:right="1560"/>
        </w:sectPr>
      </w:pPr>
    </w:p>
    <w:p>
      <w:pPr>
        <w:pStyle w:val="BodyText"/>
        <w:rPr>
          <w:rFonts w:ascii="Times New Roman"/>
          <w:sz w:val="20"/>
        </w:rPr>
      </w:pPr>
    </w:p>
    <w:p>
      <w:pPr>
        <w:pStyle w:val="BodyText"/>
        <w:rPr>
          <w:rFonts w:ascii="Times New Roman"/>
          <w:sz w:val="20"/>
        </w:rPr>
      </w:pPr>
    </w:p>
    <w:p>
      <w:pPr>
        <w:pStyle w:val="BodyText"/>
        <w:spacing w:before="7"/>
        <w:rPr>
          <w:rFonts w:ascii="Times New Roman"/>
          <w:sz w:val="23"/>
        </w:rPr>
      </w:pPr>
    </w:p>
    <w:p>
      <w:pPr>
        <w:pStyle w:val="BodyText"/>
        <w:ind w:left="147"/>
        <w:rPr>
          <w:rFonts w:ascii="Times New Roman"/>
          <w:sz w:val="20"/>
        </w:rPr>
      </w:pPr>
      <w:r>
        <w:rPr>
          <w:rFonts w:ascii="Times New Roman"/>
          <w:sz w:val="20"/>
        </w:rPr>
        <w:drawing>
          <wp:inline distT="0" distB="0" distL="0" distR="0">
            <wp:extent cx="5707588" cy="7642669"/>
            <wp:effectExtent l="0" t="0" r="0" b="0"/>
            <wp:docPr id="61" name="image55.jpeg" descr=""/>
            <wp:cNvGraphicFramePr>
              <a:graphicFrameLocks noChangeAspect="1"/>
            </wp:cNvGraphicFramePr>
            <a:graphic>
              <a:graphicData uri="http://schemas.openxmlformats.org/drawingml/2006/picture">
                <pic:pic>
                  <pic:nvPicPr>
                    <pic:cNvPr id="62" name="image55.jpeg"/>
                    <pic:cNvPicPr/>
                  </pic:nvPicPr>
                  <pic:blipFill>
                    <a:blip r:embed="rId82" cstate="print"/>
                    <a:stretch>
                      <a:fillRect/>
                    </a:stretch>
                  </pic:blipFill>
                  <pic:spPr>
                    <a:xfrm>
                      <a:off x="0" y="0"/>
                      <a:ext cx="5707588" cy="7642669"/>
                    </a:xfrm>
                    <a:prstGeom prst="rect">
                      <a:avLst/>
                    </a:prstGeom>
                  </pic:spPr>
                </pic:pic>
              </a:graphicData>
            </a:graphic>
          </wp:inline>
        </w:drawing>
      </w:r>
      <w:r>
        <w:rPr>
          <w:rFonts w:ascii="Times New Roman"/>
          <w:sz w:val="20"/>
        </w:rPr>
      </w:r>
    </w:p>
    <w:p>
      <w:pPr>
        <w:spacing w:after="0"/>
        <w:rPr>
          <w:rFonts w:ascii="Times New Roman"/>
          <w:sz w:val="20"/>
        </w:rPr>
        <w:sectPr>
          <w:pgSz w:w="12240" w:h="15840"/>
          <w:pgMar w:header="749" w:footer="1003" w:top="960" w:bottom="1200" w:left="1300" w:right="1560"/>
        </w:sectPr>
      </w:pPr>
    </w:p>
    <w:p>
      <w:pPr>
        <w:pStyle w:val="BodyText"/>
        <w:rPr>
          <w:rFonts w:ascii="Times New Roman"/>
          <w:sz w:val="20"/>
        </w:rPr>
      </w:pPr>
    </w:p>
    <w:p>
      <w:pPr>
        <w:pStyle w:val="BodyText"/>
        <w:rPr>
          <w:rFonts w:ascii="Times New Roman"/>
          <w:sz w:val="20"/>
        </w:rPr>
      </w:pPr>
    </w:p>
    <w:p>
      <w:pPr>
        <w:pStyle w:val="BodyText"/>
        <w:spacing w:before="9"/>
        <w:rPr>
          <w:rFonts w:ascii="Times New Roman"/>
          <w:sz w:val="19"/>
        </w:rPr>
      </w:pPr>
    </w:p>
    <w:p>
      <w:pPr>
        <w:pStyle w:val="Heading1"/>
        <w:numPr>
          <w:ilvl w:val="1"/>
          <w:numId w:val="21"/>
        </w:numPr>
        <w:tabs>
          <w:tab w:pos="539" w:val="left" w:leader="none"/>
        </w:tabs>
        <w:spacing w:line="240" w:lineRule="auto" w:before="44" w:after="0"/>
        <w:ind w:left="538" w:right="0" w:hanging="420"/>
        <w:jc w:val="left"/>
      </w:pPr>
      <w:r>
        <w:rPr/>
        <w:t>Cuestionario Paciente</w:t>
      </w:r>
      <w:r>
        <w:rPr>
          <w:spacing w:val="-11"/>
        </w:rPr>
        <w:t> </w:t>
      </w:r>
      <w:r>
        <w:rPr/>
        <w:t>Epiléptico.</w:t>
      </w:r>
    </w:p>
    <w:p>
      <w:pPr>
        <w:pStyle w:val="BodyText"/>
        <w:spacing w:before="2"/>
        <w:rPr>
          <w:rFonts w:ascii="Calibri"/>
          <w:b/>
          <w:sz w:val="27"/>
        </w:rPr>
      </w:pPr>
      <w:r>
        <w:rPr/>
        <w:drawing>
          <wp:anchor distT="0" distB="0" distL="0" distR="0" allowOverlap="1" layoutInCell="1" locked="0" behindDoc="0" simplePos="0" relativeHeight="3088">
            <wp:simplePos x="0" y="0"/>
            <wp:positionH relativeFrom="page">
              <wp:posOffset>918972</wp:posOffset>
            </wp:positionH>
            <wp:positionV relativeFrom="paragraph">
              <wp:posOffset>235461</wp:posOffset>
            </wp:positionV>
            <wp:extent cx="5704678" cy="5516975"/>
            <wp:effectExtent l="0" t="0" r="0" b="0"/>
            <wp:wrapTopAndBottom/>
            <wp:docPr id="63" name="image56.jpeg" descr=""/>
            <wp:cNvGraphicFramePr>
              <a:graphicFrameLocks noChangeAspect="1"/>
            </wp:cNvGraphicFramePr>
            <a:graphic>
              <a:graphicData uri="http://schemas.openxmlformats.org/drawingml/2006/picture">
                <pic:pic>
                  <pic:nvPicPr>
                    <pic:cNvPr id="64" name="image56.jpeg"/>
                    <pic:cNvPicPr/>
                  </pic:nvPicPr>
                  <pic:blipFill>
                    <a:blip r:embed="rId83" cstate="print"/>
                    <a:stretch>
                      <a:fillRect/>
                    </a:stretch>
                  </pic:blipFill>
                  <pic:spPr>
                    <a:xfrm>
                      <a:off x="0" y="0"/>
                      <a:ext cx="5704678" cy="5516975"/>
                    </a:xfrm>
                    <a:prstGeom prst="rect">
                      <a:avLst/>
                    </a:prstGeom>
                  </pic:spPr>
                </pic:pic>
              </a:graphicData>
            </a:graphic>
          </wp:anchor>
        </w:drawing>
      </w:r>
    </w:p>
    <w:p>
      <w:pPr>
        <w:spacing w:after="0"/>
        <w:rPr>
          <w:rFonts w:ascii="Calibri"/>
          <w:sz w:val="27"/>
        </w:rPr>
        <w:sectPr>
          <w:pgSz w:w="12240" w:h="15840"/>
          <w:pgMar w:header="749" w:footer="1003" w:top="960" w:bottom="1200" w:left="1300" w:right="1560"/>
        </w:sectPr>
      </w:pPr>
    </w:p>
    <w:p>
      <w:pPr>
        <w:pStyle w:val="BodyText"/>
        <w:rPr>
          <w:rFonts w:ascii="Calibri"/>
          <w:b/>
          <w:sz w:val="20"/>
        </w:rPr>
      </w:pPr>
    </w:p>
    <w:p>
      <w:pPr>
        <w:pStyle w:val="BodyText"/>
        <w:rPr>
          <w:rFonts w:ascii="Calibri"/>
          <w:b/>
          <w:sz w:val="20"/>
        </w:rPr>
      </w:pPr>
    </w:p>
    <w:p>
      <w:pPr>
        <w:pStyle w:val="BodyText"/>
        <w:spacing w:before="4"/>
        <w:rPr>
          <w:rFonts w:ascii="Calibri"/>
          <w:b/>
          <w:sz w:val="16"/>
        </w:rPr>
      </w:pPr>
    </w:p>
    <w:p>
      <w:pPr>
        <w:pStyle w:val="ListParagraph"/>
        <w:numPr>
          <w:ilvl w:val="1"/>
          <w:numId w:val="21"/>
        </w:numPr>
        <w:tabs>
          <w:tab w:pos="539" w:val="left" w:leader="none"/>
        </w:tabs>
        <w:spacing w:line="240" w:lineRule="auto" w:before="44" w:after="0"/>
        <w:ind w:left="538" w:right="0" w:hanging="420"/>
        <w:jc w:val="left"/>
        <w:rPr>
          <w:rFonts w:ascii="Calibri" w:hAnsi="Calibri"/>
          <w:b/>
          <w:sz w:val="28"/>
        </w:rPr>
      </w:pPr>
      <w:r>
        <w:rPr>
          <w:rFonts w:ascii="Calibri" w:hAnsi="Calibri"/>
          <w:b/>
          <w:sz w:val="28"/>
        </w:rPr>
        <w:t>Participación en</w:t>
      </w:r>
      <w:r>
        <w:rPr>
          <w:rFonts w:ascii="Calibri" w:hAnsi="Calibri"/>
          <w:b/>
          <w:spacing w:val="-11"/>
          <w:sz w:val="28"/>
        </w:rPr>
        <w:t> </w:t>
      </w:r>
      <w:r>
        <w:rPr>
          <w:rFonts w:ascii="Calibri" w:hAnsi="Calibri"/>
          <w:b/>
          <w:sz w:val="28"/>
        </w:rPr>
        <w:t>eventos.</w:t>
      </w: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spacing w:before="2"/>
        <w:rPr>
          <w:rFonts w:ascii="Calibri"/>
          <w:b/>
          <w:sz w:val="26"/>
        </w:rPr>
      </w:pPr>
      <w:r>
        <w:rPr/>
        <w:drawing>
          <wp:anchor distT="0" distB="0" distL="0" distR="0" allowOverlap="1" layoutInCell="1" locked="0" behindDoc="0" simplePos="0" relativeHeight="3112">
            <wp:simplePos x="0" y="0"/>
            <wp:positionH relativeFrom="page">
              <wp:posOffset>900683</wp:posOffset>
            </wp:positionH>
            <wp:positionV relativeFrom="paragraph">
              <wp:posOffset>227573</wp:posOffset>
            </wp:positionV>
            <wp:extent cx="6038087" cy="5152644"/>
            <wp:effectExtent l="0" t="0" r="0" b="0"/>
            <wp:wrapTopAndBottom/>
            <wp:docPr id="65" name="image57.jpeg" descr=""/>
            <wp:cNvGraphicFramePr>
              <a:graphicFrameLocks noChangeAspect="1"/>
            </wp:cNvGraphicFramePr>
            <a:graphic>
              <a:graphicData uri="http://schemas.openxmlformats.org/drawingml/2006/picture">
                <pic:pic>
                  <pic:nvPicPr>
                    <pic:cNvPr id="66" name="image57.jpeg"/>
                    <pic:cNvPicPr/>
                  </pic:nvPicPr>
                  <pic:blipFill>
                    <a:blip r:embed="rId84" cstate="print"/>
                    <a:stretch>
                      <a:fillRect/>
                    </a:stretch>
                  </pic:blipFill>
                  <pic:spPr>
                    <a:xfrm>
                      <a:off x="0" y="0"/>
                      <a:ext cx="6038087" cy="5152644"/>
                    </a:xfrm>
                    <a:prstGeom prst="rect">
                      <a:avLst/>
                    </a:prstGeom>
                  </pic:spPr>
                </pic:pic>
              </a:graphicData>
            </a:graphic>
          </wp:anchor>
        </w:drawing>
      </w:r>
    </w:p>
    <w:p>
      <w:pPr>
        <w:spacing w:after="0"/>
        <w:rPr>
          <w:rFonts w:ascii="Calibri"/>
          <w:sz w:val="26"/>
        </w:rPr>
        <w:sectPr>
          <w:pgSz w:w="12240" w:h="15840"/>
          <w:pgMar w:header="749" w:footer="1003" w:top="960" w:bottom="1200" w:left="1300" w:right="120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7"/>
        <w:rPr>
          <w:rFonts w:ascii="Times New Roman"/>
          <w:sz w:val="29"/>
        </w:rPr>
      </w:pPr>
    </w:p>
    <w:p>
      <w:pPr>
        <w:pStyle w:val="BodyText"/>
        <w:ind w:left="125"/>
        <w:rPr>
          <w:rFonts w:ascii="Times New Roman"/>
          <w:sz w:val="20"/>
        </w:rPr>
      </w:pPr>
      <w:r>
        <w:rPr>
          <w:rFonts w:ascii="Times New Roman"/>
          <w:sz w:val="20"/>
        </w:rPr>
        <w:drawing>
          <wp:inline distT="0" distB="0" distL="0" distR="0">
            <wp:extent cx="6198164" cy="4366069"/>
            <wp:effectExtent l="0" t="0" r="0" b="0"/>
            <wp:docPr id="67" name="image58.jpeg" descr=""/>
            <wp:cNvGraphicFramePr>
              <a:graphicFrameLocks noChangeAspect="1"/>
            </wp:cNvGraphicFramePr>
            <a:graphic>
              <a:graphicData uri="http://schemas.openxmlformats.org/drawingml/2006/picture">
                <pic:pic>
                  <pic:nvPicPr>
                    <pic:cNvPr id="68" name="image58.jpeg"/>
                    <pic:cNvPicPr/>
                  </pic:nvPicPr>
                  <pic:blipFill>
                    <a:blip r:embed="rId85" cstate="print"/>
                    <a:stretch>
                      <a:fillRect/>
                    </a:stretch>
                  </pic:blipFill>
                  <pic:spPr>
                    <a:xfrm>
                      <a:off x="0" y="0"/>
                      <a:ext cx="6198164" cy="4366069"/>
                    </a:xfrm>
                    <a:prstGeom prst="rect">
                      <a:avLst/>
                    </a:prstGeom>
                  </pic:spPr>
                </pic:pic>
              </a:graphicData>
            </a:graphic>
          </wp:inline>
        </w:drawing>
      </w:r>
      <w:r>
        <w:rPr>
          <w:rFonts w:ascii="Times New Roman"/>
          <w:sz w:val="20"/>
        </w:rPr>
      </w:r>
    </w:p>
    <w:p>
      <w:pPr>
        <w:spacing w:after="0"/>
        <w:rPr>
          <w:rFonts w:ascii="Times New Roman"/>
          <w:sz w:val="20"/>
        </w:rPr>
        <w:sectPr>
          <w:pgSz w:w="12240" w:h="15840"/>
          <w:pgMar w:header="749" w:footer="1003" w:top="960" w:bottom="1200" w:left="1300" w:right="800"/>
        </w:sectPr>
      </w:pPr>
    </w:p>
    <w:p>
      <w:pPr>
        <w:pStyle w:val="BodyText"/>
        <w:rPr>
          <w:rFonts w:ascii="Times New Roman"/>
          <w:sz w:val="20"/>
        </w:rPr>
      </w:pPr>
    </w:p>
    <w:p>
      <w:pPr>
        <w:pStyle w:val="BodyText"/>
        <w:rPr>
          <w:rFonts w:ascii="Times New Roman"/>
          <w:sz w:val="20"/>
        </w:rPr>
      </w:pPr>
    </w:p>
    <w:p>
      <w:pPr>
        <w:pStyle w:val="BodyText"/>
        <w:spacing w:before="7"/>
        <w:rPr>
          <w:rFonts w:ascii="Times New Roman"/>
          <w:sz w:val="23"/>
        </w:rPr>
      </w:pPr>
    </w:p>
    <w:p>
      <w:pPr>
        <w:pStyle w:val="BodyText"/>
        <w:ind w:left="147"/>
        <w:rPr>
          <w:rFonts w:ascii="Times New Roman"/>
          <w:sz w:val="20"/>
        </w:rPr>
      </w:pPr>
      <w:r>
        <w:rPr>
          <w:rFonts w:ascii="Times New Roman"/>
          <w:sz w:val="20"/>
        </w:rPr>
        <w:drawing>
          <wp:inline distT="0" distB="0" distL="0" distR="0">
            <wp:extent cx="5708147" cy="7855648"/>
            <wp:effectExtent l="0" t="0" r="0" b="0"/>
            <wp:docPr id="69" name="image59.jpeg" descr=""/>
            <wp:cNvGraphicFramePr>
              <a:graphicFrameLocks noChangeAspect="1"/>
            </wp:cNvGraphicFramePr>
            <a:graphic>
              <a:graphicData uri="http://schemas.openxmlformats.org/drawingml/2006/picture">
                <pic:pic>
                  <pic:nvPicPr>
                    <pic:cNvPr id="70" name="image59.jpeg"/>
                    <pic:cNvPicPr/>
                  </pic:nvPicPr>
                  <pic:blipFill>
                    <a:blip r:embed="rId87" cstate="print"/>
                    <a:stretch>
                      <a:fillRect/>
                    </a:stretch>
                  </pic:blipFill>
                  <pic:spPr>
                    <a:xfrm>
                      <a:off x="0" y="0"/>
                      <a:ext cx="5708147" cy="7855648"/>
                    </a:xfrm>
                    <a:prstGeom prst="rect">
                      <a:avLst/>
                    </a:prstGeom>
                  </pic:spPr>
                </pic:pic>
              </a:graphicData>
            </a:graphic>
          </wp:inline>
        </w:drawing>
      </w:r>
      <w:r>
        <w:rPr>
          <w:rFonts w:ascii="Times New Roman"/>
          <w:sz w:val="20"/>
        </w:rPr>
      </w:r>
    </w:p>
    <w:p>
      <w:pPr>
        <w:spacing w:after="0"/>
        <w:rPr>
          <w:rFonts w:ascii="Times New Roman"/>
          <w:sz w:val="20"/>
        </w:rPr>
        <w:sectPr>
          <w:footerReference w:type="default" r:id="rId86"/>
          <w:pgSz w:w="12240" w:h="15840"/>
          <w:pgMar w:footer="1003" w:header="749" w:top="960" w:bottom="1200" w:left="1300" w:right="1560"/>
        </w:sectPr>
      </w:pPr>
    </w:p>
    <w:p>
      <w:pPr>
        <w:pStyle w:val="BodyText"/>
        <w:rPr>
          <w:rFonts w:ascii="Times New Roman"/>
          <w:sz w:val="20"/>
        </w:rPr>
      </w:pPr>
    </w:p>
    <w:p>
      <w:pPr>
        <w:pStyle w:val="BodyText"/>
        <w:rPr>
          <w:rFonts w:ascii="Times New Roman"/>
          <w:sz w:val="20"/>
        </w:rPr>
      </w:pPr>
    </w:p>
    <w:p>
      <w:pPr>
        <w:pStyle w:val="BodyText"/>
        <w:spacing w:before="7"/>
        <w:rPr>
          <w:rFonts w:ascii="Times New Roman"/>
          <w:sz w:val="23"/>
        </w:rPr>
      </w:pPr>
    </w:p>
    <w:p>
      <w:pPr>
        <w:pStyle w:val="BodyText"/>
        <w:ind w:left="135"/>
        <w:rPr>
          <w:rFonts w:ascii="Times New Roman"/>
          <w:sz w:val="20"/>
        </w:rPr>
      </w:pPr>
      <w:r>
        <w:rPr>
          <w:rFonts w:ascii="Times New Roman"/>
          <w:sz w:val="20"/>
        </w:rPr>
        <w:drawing>
          <wp:inline distT="0" distB="0" distL="0" distR="0">
            <wp:extent cx="5704306" cy="4144899"/>
            <wp:effectExtent l="0" t="0" r="0" b="0"/>
            <wp:docPr id="71" name="image60.jpeg" descr=""/>
            <wp:cNvGraphicFramePr>
              <a:graphicFrameLocks noChangeAspect="1"/>
            </wp:cNvGraphicFramePr>
            <a:graphic>
              <a:graphicData uri="http://schemas.openxmlformats.org/drawingml/2006/picture">
                <pic:pic>
                  <pic:nvPicPr>
                    <pic:cNvPr id="72" name="image60.jpeg"/>
                    <pic:cNvPicPr/>
                  </pic:nvPicPr>
                  <pic:blipFill>
                    <a:blip r:embed="rId89" cstate="print"/>
                    <a:stretch>
                      <a:fillRect/>
                    </a:stretch>
                  </pic:blipFill>
                  <pic:spPr>
                    <a:xfrm>
                      <a:off x="0" y="0"/>
                      <a:ext cx="5704306" cy="4144899"/>
                    </a:xfrm>
                    <a:prstGeom prst="rect">
                      <a:avLst/>
                    </a:prstGeom>
                  </pic:spPr>
                </pic:pic>
              </a:graphicData>
            </a:graphic>
          </wp:inline>
        </w:drawing>
      </w:r>
      <w:r>
        <w:rPr>
          <w:rFonts w:ascii="Times New Roman"/>
          <w:sz w:val="20"/>
        </w:rPr>
      </w:r>
    </w:p>
    <w:p>
      <w:pPr>
        <w:spacing w:after="0"/>
        <w:rPr>
          <w:rFonts w:ascii="Times New Roman"/>
          <w:sz w:val="20"/>
        </w:rPr>
        <w:sectPr>
          <w:footerReference w:type="default" r:id="rId88"/>
          <w:pgSz w:w="12240" w:h="15840"/>
          <w:pgMar w:footer="1003" w:header="749" w:top="960" w:bottom="1200" w:left="1300" w:right="1580"/>
          <w:pgNumType w:start="81"/>
        </w:sectPr>
      </w:pPr>
    </w:p>
    <w:p>
      <w:pPr>
        <w:pStyle w:val="BodyText"/>
        <w:rPr>
          <w:rFonts w:ascii="Times New Roman"/>
          <w:sz w:val="20"/>
        </w:rPr>
      </w:pPr>
    </w:p>
    <w:p>
      <w:pPr>
        <w:pStyle w:val="BodyText"/>
        <w:rPr>
          <w:rFonts w:ascii="Times New Roman"/>
          <w:sz w:val="20"/>
        </w:rPr>
      </w:pPr>
    </w:p>
    <w:p>
      <w:pPr>
        <w:pStyle w:val="BodyText"/>
        <w:spacing w:before="7"/>
        <w:rPr>
          <w:rFonts w:ascii="Times New Roman"/>
          <w:sz w:val="23"/>
        </w:rPr>
      </w:pPr>
    </w:p>
    <w:p>
      <w:pPr>
        <w:pStyle w:val="BodyText"/>
        <w:ind w:left="132"/>
        <w:rPr>
          <w:rFonts w:ascii="Times New Roman"/>
          <w:sz w:val="20"/>
        </w:rPr>
      </w:pPr>
      <w:r>
        <w:rPr>
          <w:rFonts w:ascii="Times New Roman"/>
          <w:sz w:val="20"/>
        </w:rPr>
        <w:drawing>
          <wp:inline distT="0" distB="0" distL="0" distR="0">
            <wp:extent cx="5769494" cy="4280058"/>
            <wp:effectExtent l="0" t="0" r="0" b="0"/>
            <wp:docPr id="73" name="image61.jpeg" descr=""/>
            <wp:cNvGraphicFramePr>
              <a:graphicFrameLocks noChangeAspect="1"/>
            </wp:cNvGraphicFramePr>
            <a:graphic>
              <a:graphicData uri="http://schemas.openxmlformats.org/drawingml/2006/picture">
                <pic:pic>
                  <pic:nvPicPr>
                    <pic:cNvPr id="74" name="image61.jpeg"/>
                    <pic:cNvPicPr/>
                  </pic:nvPicPr>
                  <pic:blipFill>
                    <a:blip r:embed="rId90" cstate="print"/>
                    <a:stretch>
                      <a:fillRect/>
                    </a:stretch>
                  </pic:blipFill>
                  <pic:spPr>
                    <a:xfrm>
                      <a:off x="0" y="0"/>
                      <a:ext cx="5769494" cy="4280058"/>
                    </a:xfrm>
                    <a:prstGeom prst="rect">
                      <a:avLst/>
                    </a:prstGeom>
                  </pic:spPr>
                </pic:pic>
              </a:graphicData>
            </a:graphic>
          </wp:inline>
        </w:drawing>
      </w:r>
      <w:r>
        <w:rPr>
          <w:rFonts w:ascii="Times New Roman"/>
          <w:sz w:val="20"/>
        </w:rPr>
      </w:r>
    </w:p>
    <w:p>
      <w:pPr>
        <w:spacing w:after="0"/>
        <w:rPr>
          <w:rFonts w:ascii="Times New Roman"/>
          <w:sz w:val="20"/>
        </w:rPr>
        <w:sectPr>
          <w:pgSz w:w="12240" w:h="15840"/>
          <w:pgMar w:header="749" w:footer="1003" w:top="960" w:bottom="1200" w:left="1300" w:right="1500"/>
        </w:sectPr>
      </w:pPr>
    </w:p>
    <w:p>
      <w:pPr>
        <w:pStyle w:val="BodyText"/>
        <w:rPr>
          <w:rFonts w:ascii="Times New Roman"/>
          <w:sz w:val="20"/>
        </w:rPr>
      </w:pPr>
    </w:p>
    <w:p>
      <w:pPr>
        <w:pStyle w:val="BodyText"/>
        <w:rPr>
          <w:rFonts w:ascii="Times New Roman"/>
          <w:sz w:val="20"/>
        </w:rPr>
      </w:pPr>
    </w:p>
    <w:p>
      <w:pPr>
        <w:pStyle w:val="BodyText"/>
        <w:spacing w:before="7"/>
        <w:rPr>
          <w:rFonts w:ascii="Times New Roman"/>
          <w:sz w:val="23"/>
        </w:rPr>
      </w:pPr>
    </w:p>
    <w:p>
      <w:pPr>
        <w:pStyle w:val="BodyText"/>
        <w:ind w:left="118"/>
        <w:rPr>
          <w:rFonts w:ascii="Times New Roman"/>
          <w:sz w:val="20"/>
        </w:rPr>
      </w:pPr>
      <w:r>
        <w:rPr>
          <w:rFonts w:ascii="Times New Roman"/>
          <w:sz w:val="20"/>
        </w:rPr>
        <w:drawing>
          <wp:inline distT="0" distB="0" distL="0" distR="0">
            <wp:extent cx="5668587" cy="7794307"/>
            <wp:effectExtent l="0" t="0" r="0" b="0"/>
            <wp:docPr id="75" name="image62.jpeg" descr=""/>
            <wp:cNvGraphicFramePr>
              <a:graphicFrameLocks noChangeAspect="1"/>
            </wp:cNvGraphicFramePr>
            <a:graphic>
              <a:graphicData uri="http://schemas.openxmlformats.org/drawingml/2006/picture">
                <pic:pic>
                  <pic:nvPicPr>
                    <pic:cNvPr id="76" name="image62.jpeg"/>
                    <pic:cNvPicPr/>
                  </pic:nvPicPr>
                  <pic:blipFill>
                    <a:blip r:embed="rId91" cstate="print"/>
                    <a:stretch>
                      <a:fillRect/>
                    </a:stretch>
                  </pic:blipFill>
                  <pic:spPr>
                    <a:xfrm>
                      <a:off x="0" y="0"/>
                      <a:ext cx="5668587" cy="7794307"/>
                    </a:xfrm>
                    <a:prstGeom prst="rect">
                      <a:avLst/>
                    </a:prstGeom>
                  </pic:spPr>
                </pic:pic>
              </a:graphicData>
            </a:graphic>
          </wp:inline>
        </w:drawing>
      </w:r>
      <w:r>
        <w:rPr>
          <w:rFonts w:ascii="Times New Roman"/>
          <w:sz w:val="20"/>
        </w:rPr>
      </w:r>
    </w:p>
    <w:p>
      <w:pPr>
        <w:spacing w:after="0"/>
        <w:rPr>
          <w:rFonts w:ascii="Times New Roman"/>
          <w:sz w:val="20"/>
        </w:rPr>
        <w:sectPr>
          <w:pgSz w:w="12240" w:h="15840"/>
          <w:pgMar w:header="749" w:footer="1003" w:top="960" w:bottom="1200" w:left="1300" w:right="1580"/>
        </w:sectPr>
      </w:pPr>
    </w:p>
    <w:p>
      <w:pPr>
        <w:pStyle w:val="BodyText"/>
        <w:rPr>
          <w:rFonts w:ascii="Times New Roman"/>
          <w:sz w:val="20"/>
        </w:rPr>
      </w:pPr>
    </w:p>
    <w:p>
      <w:pPr>
        <w:pStyle w:val="BodyText"/>
        <w:rPr>
          <w:rFonts w:ascii="Times New Roman"/>
          <w:sz w:val="20"/>
        </w:rPr>
      </w:pPr>
    </w:p>
    <w:p>
      <w:pPr>
        <w:pStyle w:val="BodyText"/>
        <w:spacing w:before="7"/>
        <w:rPr>
          <w:rFonts w:ascii="Times New Roman"/>
          <w:sz w:val="23"/>
        </w:rPr>
      </w:pPr>
    </w:p>
    <w:p>
      <w:pPr>
        <w:pStyle w:val="BodyText"/>
        <w:ind w:left="118"/>
        <w:rPr>
          <w:rFonts w:ascii="Times New Roman"/>
          <w:sz w:val="20"/>
        </w:rPr>
      </w:pPr>
      <w:r>
        <w:rPr>
          <w:rFonts w:ascii="Times New Roman"/>
          <w:sz w:val="20"/>
        </w:rPr>
        <w:drawing>
          <wp:inline distT="0" distB="0" distL="0" distR="0">
            <wp:extent cx="5668587" cy="7794307"/>
            <wp:effectExtent l="0" t="0" r="0" b="0"/>
            <wp:docPr id="77" name="image63.jpeg" descr=""/>
            <wp:cNvGraphicFramePr>
              <a:graphicFrameLocks noChangeAspect="1"/>
            </wp:cNvGraphicFramePr>
            <a:graphic>
              <a:graphicData uri="http://schemas.openxmlformats.org/drawingml/2006/picture">
                <pic:pic>
                  <pic:nvPicPr>
                    <pic:cNvPr id="78" name="image63.jpeg"/>
                    <pic:cNvPicPr/>
                  </pic:nvPicPr>
                  <pic:blipFill>
                    <a:blip r:embed="rId92" cstate="print"/>
                    <a:stretch>
                      <a:fillRect/>
                    </a:stretch>
                  </pic:blipFill>
                  <pic:spPr>
                    <a:xfrm>
                      <a:off x="0" y="0"/>
                      <a:ext cx="5668587" cy="7794307"/>
                    </a:xfrm>
                    <a:prstGeom prst="rect">
                      <a:avLst/>
                    </a:prstGeom>
                  </pic:spPr>
                </pic:pic>
              </a:graphicData>
            </a:graphic>
          </wp:inline>
        </w:drawing>
      </w:r>
      <w:r>
        <w:rPr>
          <w:rFonts w:ascii="Times New Roman"/>
          <w:sz w:val="20"/>
        </w:rPr>
      </w:r>
    </w:p>
    <w:p>
      <w:pPr>
        <w:spacing w:after="0"/>
        <w:rPr>
          <w:rFonts w:ascii="Times New Roman"/>
          <w:sz w:val="20"/>
        </w:rPr>
        <w:sectPr>
          <w:pgSz w:w="12240" w:h="15840"/>
          <w:pgMar w:header="749" w:footer="1003" w:top="960" w:bottom="1200" w:left="1300" w:right="1580"/>
        </w:sectPr>
      </w:pPr>
    </w:p>
    <w:p>
      <w:pPr>
        <w:pStyle w:val="BodyText"/>
        <w:rPr>
          <w:rFonts w:ascii="Times New Roman"/>
          <w:sz w:val="20"/>
        </w:rPr>
      </w:pPr>
    </w:p>
    <w:p>
      <w:pPr>
        <w:pStyle w:val="BodyText"/>
        <w:rPr>
          <w:rFonts w:ascii="Times New Roman"/>
          <w:sz w:val="20"/>
        </w:rPr>
      </w:pPr>
    </w:p>
    <w:p>
      <w:pPr>
        <w:pStyle w:val="BodyText"/>
        <w:spacing w:before="7"/>
        <w:rPr>
          <w:rFonts w:ascii="Times New Roman"/>
          <w:sz w:val="23"/>
        </w:rPr>
      </w:pPr>
    </w:p>
    <w:p>
      <w:pPr>
        <w:pStyle w:val="BodyText"/>
        <w:ind w:left="118"/>
        <w:rPr>
          <w:rFonts w:ascii="Times New Roman"/>
          <w:sz w:val="20"/>
        </w:rPr>
      </w:pPr>
      <w:r>
        <w:rPr>
          <w:rFonts w:ascii="Times New Roman"/>
          <w:sz w:val="20"/>
        </w:rPr>
        <w:drawing>
          <wp:inline distT="0" distB="0" distL="0" distR="0">
            <wp:extent cx="5668587" cy="7794307"/>
            <wp:effectExtent l="0" t="0" r="0" b="0"/>
            <wp:docPr id="79" name="image64.jpeg" descr=""/>
            <wp:cNvGraphicFramePr>
              <a:graphicFrameLocks noChangeAspect="1"/>
            </wp:cNvGraphicFramePr>
            <a:graphic>
              <a:graphicData uri="http://schemas.openxmlformats.org/drawingml/2006/picture">
                <pic:pic>
                  <pic:nvPicPr>
                    <pic:cNvPr id="80" name="image64.jpeg"/>
                    <pic:cNvPicPr/>
                  </pic:nvPicPr>
                  <pic:blipFill>
                    <a:blip r:embed="rId93" cstate="print"/>
                    <a:stretch>
                      <a:fillRect/>
                    </a:stretch>
                  </pic:blipFill>
                  <pic:spPr>
                    <a:xfrm>
                      <a:off x="0" y="0"/>
                      <a:ext cx="5668587" cy="7794307"/>
                    </a:xfrm>
                    <a:prstGeom prst="rect">
                      <a:avLst/>
                    </a:prstGeom>
                  </pic:spPr>
                </pic:pic>
              </a:graphicData>
            </a:graphic>
          </wp:inline>
        </w:drawing>
      </w:r>
      <w:r>
        <w:rPr>
          <w:rFonts w:ascii="Times New Roman"/>
          <w:sz w:val="20"/>
        </w:rPr>
      </w:r>
    </w:p>
    <w:sectPr>
      <w:pgSz w:w="12240" w:h="15840"/>
      <w:pgMar w:header="749" w:footer="1003" w:top="960" w:bottom="1200" w:left="1300" w:right="158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Calibri">
    <w:altName w:val="Calibri"/>
    <w:charset w:val="0"/>
    <w:family w:val="swiss"/>
    <w:pitch w:val="variable"/>
  </w:font>
  <w:font w:name="Wingdings">
    <w:altName w:val="Wingdings"/>
    <w:charset w:val="2"/>
    <w:family w:val="auto"/>
    <w:pitch w:val="variable"/>
  </w:font>
  <w:font w:name="Symbol">
    <w:altName w:val="Symbol"/>
    <w:charset w:val="2"/>
    <w:family w:val="roman"/>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9.5pt;margin-top:730.856018pt;width:9.6pt;height:13.05pt;mso-position-horizontal-relative:page;mso-position-vertical-relative:page;z-index:-58720"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w w:val="100"/>
                    <w:sz w:val="22"/>
                  </w:rPr>
                  <w:instrText> PAGE </w:instrText>
                </w:r>
                <w:r>
                  <w:rPr/>
                  <w:fldChar w:fldCharType="separate"/>
                </w:r>
                <w:r>
                  <w:rPr/>
                  <w:t>1</w:t>
                </w:r>
                <w:r>
                  <w:rPr/>
                  <w:fldChar w:fldCharType="end"/>
                </w:r>
              </w:p>
            </w:txbxContent>
          </v:textbox>
          <w10:wrap type="none"/>
        </v:shape>
      </w:pict>
    </w: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4.859985pt;margin-top:730.856018pt;width:13.3pt;height:13.05pt;mso-position-horizontal-relative:page;mso-position-vertical-relative:page;z-index:-58504" type="#_x0000_t202" filled="false" stroked="false">
          <v:textbox inset="0,0,0,0">
            <w:txbxContent>
              <w:p>
                <w:pPr>
                  <w:spacing w:line="245" w:lineRule="exact" w:before="0"/>
                  <w:ind w:left="20" w:right="0" w:firstLine="0"/>
                  <w:jc w:val="left"/>
                  <w:rPr>
                    <w:rFonts w:ascii="Calibri"/>
                    <w:sz w:val="22"/>
                  </w:rPr>
                </w:pPr>
                <w:r>
                  <w:rPr>
                    <w:rFonts w:ascii="Calibri"/>
                    <w:sz w:val="22"/>
                  </w:rPr>
                  <w:t>50</w:t>
                </w:r>
              </w:p>
            </w:txbxContent>
          </v:textbox>
          <w10:wrap type="none"/>
        </v:shape>
      </w:pict>
    </w: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3.859985pt;margin-top:730.856018pt;width:15.3pt;height:13.05pt;mso-position-horizontal-relative:page;mso-position-vertical-relative:page;z-index:-58480"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51</w:t>
                </w:r>
                <w:r>
                  <w:rPr/>
                  <w:fldChar w:fldCharType="end"/>
                </w:r>
              </w:p>
            </w:txbxContent>
          </v:textbox>
          <w10:wrap type="none"/>
        </v:shape>
      </w:pict>
    </w:r>
  </w:p>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4.859985pt;margin-top:730.856018pt;width:13.3pt;height:13.05pt;mso-position-horizontal-relative:page;mso-position-vertical-relative:page;z-index:-58456" type="#_x0000_t202" filled="false" stroked="false">
          <v:textbox inset="0,0,0,0">
            <w:txbxContent>
              <w:p>
                <w:pPr>
                  <w:spacing w:line="245" w:lineRule="exact" w:before="0"/>
                  <w:ind w:left="20" w:right="0" w:firstLine="0"/>
                  <w:jc w:val="left"/>
                  <w:rPr>
                    <w:rFonts w:ascii="Calibri"/>
                    <w:sz w:val="22"/>
                  </w:rPr>
                </w:pPr>
                <w:r>
                  <w:rPr>
                    <w:rFonts w:ascii="Calibri"/>
                    <w:sz w:val="22"/>
                  </w:rPr>
                  <w:t>60</w:t>
                </w:r>
              </w:p>
            </w:txbxContent>
          </v:textbox>
          <w10:wrap type="none"/>
        </v:shape>
      </w:pict>
    </w:r>
  </w:p>
</w:ftr>
</file>

<file path=word/footer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3.859985pt;margin-top:730.856018pt;width:15.3pt;height:13.05pt;mso-position-horizontal-relative:page;mso-position-vertical-relative:page;z-index:-58432"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61</w:t>
                </w:r>
                <w:r>
                  <w:rPr/>
                  <w:fldChar w:fldCharType="end"/>
                </w:r>
              </w:p>
            </w:txbxContent>
          </v:textbox>
          <w10:wrap type="none"/>
        </v:shape>
      </w:pict>
    </w:r>
  </w:p>
</w:ftr>
</file>

<file path=word/footer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4.859985pt;margin-top:730.856018pt;width:13.3pt;height:13.05pt;mso-position-horizontal-relative:page;mso-position-vertical-relative:page;z-index:-58408" type="#_x0000_t202" filled="false" stroked="false">
          <v:textbox inset="0,0,0,0">
            <w:txbxContent>
              <w:p>
                <w:pPr>
                  <w:spacing w:line="245" w:lineRule="exact" w:before="0"/>
                  <w:ind w:left="20" w:right="0" w:firstLine="0"/>
                  <w:jc w:val="left"/>
                  <w:rPr>
                    <w:rFonts w:ascii="Calibri"/>
                    <w:sz w:val="22"/>
                  </w:rPr>
                </w:pPr>
                <w:r>
                  <w:rPr>
                    <w:rFonts w:ascii="Calibri"/>
                    <w:sz w:val="22"/>
                  </w:rPr>
                  <w:t>70</w:t>
                </w:r>
              </w:p>
            </w:txbxContent>
          </v:textbox>
          <w10:wrap type="none"/>
        </v:shape>
      </w:pict>
    </w:r>
  </w:p>
</w:ftr>
</file>

<file path=word/footer1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3.859985pt;margin-top:730.856018pt;width:15.3pt;height:13.05pt;mso-position-horizontal-relative:page;mso-position-vertical-relative:page;z-index:-58384"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71</w:t>
                </w:r>
                <w:r>
                  <w:rPr/>
                  <w:fldChar w:fldCharType="end"/>
                </w:r>
              </w:p>
            </w:txbxContent>
          </v:textbox>
          <w10:wrap type="none"/>
        </v:shape>
      </w:pict>
    </w:r>
  </w:p>
</w:ftr>
</file>

<file path=word/footer1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4.859985pt;margin-top:730.856018pt;width:13.3pt;height:13.05pt;mso-position-horizontal-relative:page;mso-position-vertical-relative:page;z-index:-58360" type="#_x0000_t202" filled="false" stroked="false">
          <v:textbox inset="0,0,0,0">
            <w:txbxContent>
              <w:p>
                <w:pPr>
                  <w:spacing w:line="245" w:lineRule="exact" w:before="0"/>
                  <w:ind w:left="20" w:right="0" w:firstLine="0"/>
                  <w:jc w:val="left"/>
                  <w:rPr>
                    <w:rFonts w:ascii="Calibri"/>
                    <w:sz w:val="22"/>
                  </w:rPr>
                </w:pPr>
                <w:r>
                  <w:rPr>
                    <w:rFonts w:ascii="Calibri"/>
                    <w:sz w:val="22"/>
                  </w:rPr>
                  <w:t>80</w:t>
                </w:r>
              </w:p>
            </w:txbxContent>
          </v:textbox>
          <w10:wrap type="none"/>
        </v:shape>
      </w:pict>
    </w:r>
  </w:p>
</w:ftr>
</file>

<file path=word/footer1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3.859985pt;margin-top:730.856018pt;width:15.3pt;height:13.05pt;mso-position-horizontal-relative:page;mso-position-vertical-relative:page;z-index:-58336"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81</w:t>
                </w:r>
                <w:r>
                  <w:rPr/>
                  <w:fldChar w:fldCharType="end"/>
                </w:r>
              </w:p>
            </w:txbxContent>
          </v:textbox>
          <w10:wrap type="non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4.859985pt;margin-top:730.856018pt;width:13.3pt;height:13.05pt;mso-position-horizontal-relative:page;mso-position-vertical-relative:page;z-index:-58696" type="#_x0000_t202" filled="false" stroked="false">
          <v:textbox inset="0,0,0,0">
            <w:txbxContent>
              <w:p>
                <w:pPr>
                  <w:spacing w:line="245" w:lineRule="exact" w:before="0"/>
                  <w:ind w:left="20" w:right="0" w:firstLine="0"/>
                  <w:jc w:val="left"/>
                  <w:rPr>
                    <w:rFonts w:ascii="Calibri"/>
                    <w:sz w:val="22"/>
                  </w:rPr>
                </w:pPr>
                <w:r>
                  <w:rPr>
                    <w:rFonts w:ascii="Calibri"/>
                    <w:sz w:val="22"/>
                  </w:rPr>
                  <w:t>10</w:t>
                </w:r>
              </w:p>
            </w:txbxContent>
          </v:textbox>
          <w10:wrap type="none"/>
        </v:shape>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3.859985pt;margin-top:730.856018pt;width:15.3pt;height:13.05pt;mso-position-horizontal-relative:page;mso-position-vertical-relative:page;z-index:-58672"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11</w:t>
                </w:r>
                <w:r>
                  <w:rPr/>
                  <w:fldChar w:fldCharType="end"/>
                </w:r>
              </w:p>
            </w:txbxContent>
          </v:textbox>
          <w10:wrap type="none"/>
        </v:shape>
      </w:pict>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4.859985pt;margin-top:730.856018pt;width:13.3pt;height:13.05pt;mso-position-horizontal-relative:page;mso-position-vertical-relative:page;z-index:-58648" type="#_x0000_t202" filled="false" stroked="false">
          <v:textbox inset="0,0,0,0">
            <w:txbxContent>
              <w:p>
                <w:pPr>
                  <w:spacing w:line="245" w:lineRule="exact" w:before="0"/>
                  <w:ind w:left="20" w:right="0" w:firstLine="0"/>
                  <w:jc w:val="left"/>
                  <w:rPr>
                    <w:rFonts w:ascii="Calibri"/>
                    <w:sz w:val="22"/>
                  </w:rPr>
                </w:pPr>
                <w:r>
                  <w:rPr>
                    <w:rFonts w:ascii="Calibri"/>
                    <w:sz w:val="22"/>
                  </w:rPr>
                  <w:t>20</w:t>
                </w:r>
              </w:p>
            </w:txbxContent>
          </v:textbox>
          <w10:wrap type="none"/>
        </v:shape>
      </w:pict>
    </w: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3.859985pt;margin-top:730.856018pt;width:15.3pt;height:13.05pt;mso-position-horizontal-relative:page;mso-position-vertical-relative:page;z-index:-58624"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21</w:t>
                </w:r>
                <w:r>
                  <w:rPr/>
                  <w:fldChar w:fldCharType="end"/>
                </w:r>
              </w:p>
            </w:txbxContent>
          </v:textbox>
          <w10:wrap type="none"/>
        </v:shape>
      </w:pict>
    </w: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4.859985pt;margin-top:730.856018pt;width:13.3pt;height:13.05pt;mso-position-horizontal-relative:page;mso-position-vertical-relative:page;z-index:-58600" type="#_x0000_t202" filled="false" stroked="false">
          <v:textbox inset="0,0,0,0">
            <w:txbxContent>
              <w:p>
                <w:pPr>
                  <w:spacing w:line="245" w:lineRule="exact" w:before="0"/>
                  <w:ind w:left="20" w:right="0" w:firstLine="0"/>
                  <w:jc w:val="left"/>
                  <w:rPr>
                    <w:rFonts w:ascii="Calibri"/>
                    <w:sz w:val="22"/>
                  </w:rPr>
                </w:pPr>
                <w:r>
                  <w:rPr>
                    <w:rFonts w:ascii="Calibri"/>
                    <w:sz w:val="22"/>
                  </w:rPr>
                  <w:t>30</w:t>
                </w:r>
              </w:p>
            </w:txbxContent>
          </v:textbox>
          <w10:wrap type="none"/>
        </v:shape>
      </w:pict>
    </w: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3.859985pt;margin-top:730.856018pt;width:15.3pt;height:13.05pt;mso-position-horizontal-relative:page;mso-position-vertical-relative:page;z-index:-58576"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31</w:t>
                </w:r>
                <w:r>
                  <w:rPr/>
                  <w:fldChar w:fldCharType="end"/>
                </w:r>
              </w:p>
            </w:txbxContent>
          </v:textbox>
          <w10:wrap type="none"/>
        </v:shape>
      </w:pict>
    </w: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4.859985pt;margin-top:730.856018pt;width:13.3pt;height:13.05pt;mso-position-horizontal-relative:page;mso-position-vertical-relative:page;z-index:-58552" type="#_x0000_t202" filled="false" stroked="false">
          <v:textbox inset="0,0,0,0">
            <w:txbxContent>
              <w:p>
                <w:pPr>
                  <w:spacing w:line="245" w:lineRule="exact" w:before="0"/>
                  <w:ind w:left="20" w:right="0" w:firstLine="0"/>
                  <w:jc w:val="left"/>
                  <w:rPr>
                    <w:rFonts w:ascii="Calibri"/>
                    <w:sz w:val="22"/>
                  </w:rPr>
                </w:pPr>
                <w:r>
                  <w:rPr>
                    <w:rFonts w:ascii="Calibri"/>
                    <w:sz w:val="22"/>
                  </w:rPr>
                  <w:t>40</w:t>
                </w:r>
              </w:p>
            </w:txbxContent>
          </v:textbox>
          <w10:wrap type="none"/>
        </v:shape>
      </w:pict>
    </w: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3.859985pt;margin-top:730.856018pt;width:15.3pt;height:13.05pt;mso-position-horizontal-relative:page;mso-position-vertical-relative:page;z-index:-58528"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41</w:t>
                </w:r>
                <w:r>
                  <w:rPr/>
                  <w:fldChar w:fldCharType="end"/>
                </w:r>
              </w:p>
            </w:txbxContent>
          </v:textbox>
          <w10:wrap type="none"/>
        </v:shape>
      </w:pict>
    </w:r>
  </w:p>
</w:ftr>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19"/>
      </w:rPr>
    </w:pPr>
    <w:r>
      <w:rPr/>
      <w:pict>
        <v:shapetype id="_x0000_t202" o:spt="202" coordsize="21600,21600" path="m,l,21600r21600,l21600,xe">
          <v:stroke joinstyle="miter"/>
          <v:path gradientshapeok="t" o:connecttype="rect"/>
        </v:shapetype>
        <v:shape style="position:absolute;margin-left:69.944pt;margin-top:36.439999pt;width:280.150pt;height:13.05pt;mso-position-horizontal-relative:page;mso-position-vertical-relative:page;z-index:-58744" type="#_x0000_t202" filled="false" stroked="false">
          <v:textbox inset="0,0,0,0">
            <w:txbxContent>
              <w:p>
                <w:pPr>
                  <w:spacing w:line="245" w:lineRule="exact" w:before="0"/>
                  <w:ind w:left="20" w:right="-1" w:firstLine="0"/>
                  <w:jc w:val="left"/>
                  <w:rPr>
                    <w:rFonts w:ascii="Calibri" w:hAnsi="Calibri"/>
                    <w:sz w:val="22"/>
                  </w:rPr>
                </w:pPr>
                <w:r>
                  <w:rPr>
                    <w:rFonts w:ascii="Calibri" w:hAnsi="Calibri"/>
                    <w:sz w:val="22"/>
                  </w:rPr>
                  <w:t>Manejo Endodóntico del paciente epiléptico: Reporte de caso.</w:t>
                </w:r>
              </w:p>
            </w:txbxContent>
          </v:textbox>
          <w10:wrap type="none"/>
        </v:shape>
      </w:pic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20">
    <w:multiLevelType w:val="hybridMultilevel"/>
    <w:lvl w:ilvl="0">
      <w:start w:val="8"/>
      <w:numFmt w:val="decimal"/>
      <w:lvlText w:val="%1"/>
      <w:lvlJc w:val="left"/>
      <w:pPr>
        <w:ind w:left="538" w:hanging="420"/>
        <w:jc w:val="left"/>
      </w:pPr>
      <w:rPr>
        <w:rFonts w:hint="default"/>
      </w:rPr>
    </w:lvl>
    <w:lvl w:ilvl="1">
      <w:start w:val="1"/>
      <w:numFmt w:val="decimal"/>
      <w:lvlText w:val="%1.%2"/>
      <w:lvlJc w:val="left"/>
      <w:pPr>
        <w:ind w:left="538" w:hanging="420"/>
        <w:jc w:val="left"/>
      </w:pPr>
      <w:rPr>
        <w:rFonts w:hint="default" w:ascii="Calibri" w:hAnsi="Calibri" w:eastAsia="Calibri" w:cs="Calibri"/>
        <w:b/>
        <w:bCs/>
        <w:spacing w:val="-1"/>
        <w:w w:val="100"/>
        <w:sz w:val="28"/>
        <w:szCs w:val="28"/>
      </w:rPr>
    </w:lvl>
    <w:lvl w:ilvl="2">
      <w:start w:val="1"/>
      <w:numFmt w:val="bullet"/>
      <w:lvlText w:val="•"/>
      <w:lvlJc w:val="left"/>
      <w:pPr>
        <w:ind w:left="2304" w:hanging="420"/>
      </w:pPr>
      <w:rPr>
        <w:rFonts w:hint="default"/>
      </w:rPr>
    </w:lvl>
    <w:lvl w:ilvl="3">
      <w:start w:val="1"/>
      <w:numFmt w:val="bullet"/>
      <w:lvlText w:val="•"/>
      <w:lvlJc w:val="left"/>
      <w:pPr>
        <w:ind w:left="3186" w:hanging="420"/>
      </w:pPr>
      <w:rPr>
        <w:rFonts w:hint="default"/>
      </w:rPr>
    </w:lvl>
    <w:lvl w:ilvl="4">
      <w:start w:val="1"/>
      <w:numFmt w:val="bullet"/>
      <w:lvlText w:val="•"/>
      <w:lvlJc w:val="left"/>
      <w:pPr>
        <w:ind w:left="4068" w:hanging="420"/>
      </w:pPr>
      <w:rPr>
        <w:rFonts w:hint="default"/>
      </w:rPr>
    </w:lvl>
    <w:lvl w:ilvl="5">
      <w:start w:val="1"/>
      <w:numFmt w:val="bullet"/>
      <w:lvlText w:val="•"/>
      <w:lvlJc w:val="left"/>
      <w:pPr>
        <w:ind w:left="4950" w:hanging="420"/>
      </w:pPr>
      <w:rPr>
        <w:rFonts w:hint="default"/>
      </w:rPr>
    </w:lvl>
    <w:lvl w:ilvl="6">
      <w:start w:val="1"/>
      <w:numFmt w:val="bullet"/>
      <w:lvlText w:val="•"/>
      <w:lvlJc w:val="left"/>
      <w:pPr>
        <w:ind w:left="5832" w:hanging="420"/>
      </w:pPr>
      <w:rPr>
        <w:rFonts w:hint="default"/>
      </w:rPr>
    </w:lvl>
    <w:lvl w:ilvl="7">
      <w:start w:val="1"/>
      <w:numFmt w:val="bullet"/>
      <w:lvlText w:val="•"/>
      <w:lvlJc w:val="left"/>
      <w:pPr>
        <w:ind w:left="6714" w:hanging="420"/>
      </w:pPr>
      <w:rPr>
        <w:rFonts w:hint="default"/>
      </w:rPr>
    </w:lvl>
    <w:lvl w:ilvl="8">
      <w:start w:val="1"/>
      <w:numFmt w:val="bullet"/>
      <w:lvlText w:val="•"/>
      <w:lvlJc w:val="left"/>
      <w:pPr>
        <w:ind w:left="7596" w:hanging="420"/>
      </w:pPr>
      <w:rPr>
        <w:rFonts w:hint="default"/>
      </w:rPr>
    </w:lvl>
  </w:abstractNum>
  <w:abstractNum w:abstractNumId="19">
    <w:multiLevelType w:val="hybridMultilevel"/>
    <w:lvl w:ilvl="0">
      <w:start w:val="34"/>
      <w:numFmt w:val="decimal"/>
      <w:lvlText w:val="%1."/>
      <w:lvlJc w:val="left"/>
      <w:pPr>
        <w:ind w:left="118" w:hanging="428"/>
        <w:jc w:val="left"/>
      </w:pPr>
      <w:rPr>
        <w:rFonts w:hint="default" w:ascii="Arial" w:hAnsi="Arial" w:eastAsia="Arial" w:cs="Arial"/>
        <w:w w:val="99"/>
        <w:sz w:val="24"/>
        <w:szCs w:val="24"/>
      </w:rPr>
    </w:lvl>
    <w:lvl w:ilvl="1">
      <w:start w:val="1"/>
      <w:numFmt w:val="bullet"/>
      <w:lvlText w:val="•"/>
      <w:lvlJc w:val="left"/>
      <w:pPr>
        <w:ind w:left="4300" w:hanging="428"/>
      </w:pPr>
      <w:rPr>
        <w:rFonts w:hint="default"/>
      </w:rPr>
    </w:lvl>
    <w:lvl w:ilvl="2">
      <w:start w:val="1"/>
      <w:numFmt w:val="bullet"/>
      <w:lvlText w:val="•"/>
      <w:lvlJc w:val="left"/>
      <w:pPr>
        <w:ind w:left="4862" w:hanging="428"/>
      </w:pPr>
      <w:rPr>
        <w:rFonts w:hint="default"/>
      </w:rPr>
    </w:lvl>
    <w:lvl w:ilvl="3">
      <w:start w:val="1"/>
      <w:numFmt w:val="bullet"/>
      <w:lvlText w:val="•"/>
      <w:lvlJc w:val="left"/>
      <w:pPr>
        <w:ind w:left="5424" w:hanging="428"/>
      </w:pPr>
      <w:rPr>
        <w:rFonts w:hint="default"/>
      </w:rPr>
    </w:lvl>
    <w:lvl w:ilvl="4">
      <w:start w:val="1"/>
      <w:numFmt w:val="bullet"/>
      <w:lvlText w:val="•"/>
      <w:lvlJc w:val="left"/>
      <w:pPr>
        <w:ind w:left="5986" w:hanging="428"/>
      </w:pPr>
      <w:rPr>
        <w:rFonts w:hint="default"/>
      </w:rPr>
    </w:lvl>
    <w:lvl w:ilvl="5">
      <w:start w:val="1"/>
      <w:numFmt w:val="bullet"/>
      <w:lvlText w:val="•"/>
      <w:lvlJc w:val="left"/>
      <w:pPr>
        <w:ind w:left="6548" w:hanging="428"/>
      </w:pPr>
      <w:rPr>
        <w:rFonts w:hint="default"/>
      </w:rPr>
    </w:lvl>
    <w:lvl w:ilvl="6">
      <w:start w:val="1"/>
      <w:numFmt w:val="bullet"/>
      <w:lvlText w:val="•"/>
      <w:lvlJc w:val="left"/>
      <w:pPr>
        <w:ind w:left="7111" w:hanging="428"/>
      </w:pPr>
      <w:rPr>
        <w:rFonts w:hint="default"/>
      </w:rPr>
    </w:lvl>
    <w:lvl w:ilvl="7">
      <w:start w:val="1"/>
      <w:numFmt w:val="bullet"/>
      <w:lvlText w:val="•"/>
      <w:lvlJc w:val="left"/>
      <w:pPr>
        <w:ind w:left="7673" w:hanging="428"/>
      </w:pPr>
      <w:rPr>
        <w:rFonts w:hint="default"/>
      </w:rPr>
    </w:lvl>
    <w:lvl w:ilvl="8">
      <w:start w:val="1"/>
      <w:numFmt w:val="bullet"/>
      <w:lvlText w:val="•"/>
      <w:lvlJc w:val="left"/>
      <w:pPr>
        <w:ind w:left="8235" w:hanging="428"/>
      </w:pPr>
      <w:rPr>
        <w:rFonts w:hint="default"/>
      </w:rPr>
    </w:lvl>
  </w:abstractNum>
  <w:abstractNum w:abstractNumId="18">
    <w:multiLevelType w:val="hybridMultilevel"/>
    <w:lvl w:ilvl="0">
      <w:start w:val="29"/>
      <w:numFmt w:val="decimal"/>
      <w:lvlText w:val="%1."/>
      <w:lvlJc w:val="left"/>
      <w:pPr>
        <w:ind w:left="118" w:hanging="478"/>
        <w:jc w:val="left"/>
      </w:pPr>
      <w:rPr>
        <w:rFonts w:hint="default" w:ascii="Arial" w:hAnsi="Arial" w:eastAsia="Arial" w:cs="Arial"/>
        <w:w w:val="99"/>
        <w:sz w:val="24"/>
        <w:szCs w:val="24"/>
      </w:rPr>
    </w:lvl>
    <w:lvl w:ilvl="1">
      <w:start w:val="1"/>
      <w:numFmt w:val="bullet"/>
      <w:lvlText w:val="•"/>
      <w:lvlJc w:val="left"/>
      <w:pPr>
        <w:ind w:left="1044" w:hanging="478"/>
      </w:pPr>
      <w:rPr>
        <w:rFonts w:hint="default"/>
      </w:rPr>
    </w:lvl>
    <w:lvl w:ilvl="2">
      <w:start w:val="1"/>
      <w:numFmt w:val="bullet"/>
      <w:lvlText w:val="•"/>
      <w:lvlJc w:val="left"/>
      <w:pPr>
        <w:ind w:left="1968" w:hanging="478"/>
      </w:pPr>
      <w:rPr>
        <w:rFonts w:hint="default"/>
      </w:rPr>
    </w:lvl>
    <w:lvl w:ilvl="3">
      <w:start w:val="1"/>
      <w:numFmt w:val="bullet"/>
      <w:lvlText w:val="•"/>
      <w:lvlJc w:val="left"/>
      <w:pPr>
        <w:ind w:left="2892" w:hanging="478"/>
      </w:pPr>
      <w:rPr>
        <w:rFonts w:hint="default"/>
      </w:rPr>
    </w:lvl>
    <w:lvl w:ilvl="4">
      <w:start w:val="1"/>
      <w:numFmt w:val="bullet"/>
      <w:lvlText w:val="•"/>
      <w:lvlJc w:val="left"/>
      <w:pPr>
        <w:ind w:left="3816" w:hanging="478"/>
      </w:pPr>
      <w:rPr>
        <w:rFonts w:hint="default"/>
      </w:rPr>
    </w:lvl>
    <w:lvl w:ilvl="5">
      <w:start w:val="1"/>
      <w:numFmt w:val="bullet"/>
      <w:lvlText w:val="•"/>
      <w:lvlJc w:val="left"/>
      <w:pPr>
        <w:ind w:left="4740" w:hanging="478"/>
      </w:pPr>
      <w:rPr>
        <w:rFonts w:hint="default"/>
      </w:rPr>
    </w:lvl>
    <w:lvl w:ilvl="6">
      <w:start w:val="1"/>
      <w:numFmt w:val="bullet"/>
      <w:lvlText w:val="•"/>
      <w:lvlJc w:val="left"/>
      <w:pPr>
        <w:ind w:left="5664" w:hanging="478"/>
      </w:pPr>
      <w:rPr>
        <w:rFonts w:hint="default"/>
      </w:rPr>
    </w:lvl>
    <w:lvl w:ilvl="7">
      <w:start w:val="1"/>
      <w:numFmt w:val="bullet"/>
      <w:lvlText w:val="•"/>
      <w:lvlJc w:val="left"/>
      <w:pPr>
        <w:ind w:left="6588" w:hanging="478"/>
      </w:pPr>
      <w:rPr>
        <w:rFonts w:hint="default"/>
      </w:rPr>
    </w:lvl>
    <w:lvl w:ilvl="8">
      <w:start w:val="1"/>
      <w:numFmt w:val="bullet"/>
      <w:lvlText w:val="•"/>
      <w:lvlJc w:val="left"/>
      <w:pPr>
        <w:ind w:left="7512" w:hanging="478"/>
      </w:pPr>
      <w:rPr>
        <w:rFonts w:hint="default"/>
      </w:rPr>
    </w:lvl>
  </w:abstractNum>
  <w:abstractNum w:abstractNumId="17">
    <w:multiLevelType w:val="hybridMultilevel"/>
    <w:lvl w:ilvl="0">
      <w:start w:val="21"/>
      <w:numFmt w:val="decimal"/>
      <w:lvlText w:val="%1."/>
      <w:lvlJc w:val="left"/>
      <w:pPr>
        <w:ind w:left="118" w:hanging="488"/>
        <w:jc w:val="left"/>
      </w:pPr>
      <w:rPr>
        <w:rFonts w:hint="default" w:ascii="Arial" w:hAnsi="Arial" w:eastAsia="Arial" w:cs="Arial"/>
        <w:w w:val="99"/>
        <w:sz w:val="24"/>
        <w:szCs w:val="24"/>
      </w:rPr>
    </w:lvl>
    <w:lvl w:ilvl="1">
      <w:start w:val="1"/>
      <w:numFmt w:val="bullet"/>
      <w:lvlText w:val="•"/>
      <w:lvlJc w:val="left"/>
      <w:pPr>
        <w:ind w:left="1044" w:hanging="488"/>
      </w:pPr>
      <w:rPr>
        <w:rFonts w:hint="default"/>
      </w:rPr>
    </w:lvl>
    <w:lvl w:ilvl="2">
      <w:start w:val="1"/>
      <w:numFmt w:val="bullet"/>
      <w:lvlText w:val="•"/>
      <w:lvlJc w:val="left"/>
      <w:pPr>
        <w:ind w:left="1968" w:hanging="488"/>
      </w:pPr>
      <w:rPr>
        <w:rFonts w:hint="default"/>
      </w:rPr>
    </w:lvl>
    <w:lvl w:ilvl="3">
      <w:start w:val="1"/>
      <w:numFmt w:val="bullet"/>
      <w:lvlText w:val="•"/>
      <w:lvlJc w:val="left"/>
      <w:pPr>
        <w:ind w:left="2892" w:hanging="488"/>
      </w:pPr>
      <w:rPr>
        <w:rFonts w:hint="default"/>
      </w:rPr>
    </w:lvl>
    <w:lvl w:ilvl="4">
      <w:start w:val="1"/>
      <w:numFmt w:val="bullet"/>
      <w:lvlText w:val="•"/>
      <w:lvlJc w:val="left"/>
      <w:pPr>
        <w:ind w:left="3816" w:hanging="488"/>
      </w:pPr>
      <w:rPr>
        <w:rFonts w:hint="default"/>
      </w:rPr>
    </w:lvl>
    <w:lvl w:ilvl="5">
      <w:start w:val="1"/>
      <w:numFmt w:val="bullet"/>
      <w:lvlText w:val="•"/>
      <w:lvlJc w:val="left"/>
      <w:pPr>
        <w:ind w:left="4740" w:hanging="488"/>
      </w:pPr>
      <w:rPr>
        <w:rFonts w:hint="default"/>
      </w:rPr>
    </w:lvl>
    <w:lvl w:ilvl="6">
      <w:start w:val="1"/>
      <w:numFmt w:val="bullet"/>
      <w:lvlText w:val="•"/>
      <w:lvlJc w:val="left"/>
      <w:pPr>
        <w:ind w:left="5664" w:hanging="488"/>
      </w:pPr>
      <w:rPr>
        <w:rFonts w:hint="default"/>
      </w:rPr>
    </w:lvl>
    <w:lvl w:ilvl="7">
      <w:start w:val="1"/>
      <w:numFmt w:val="bullet"/>
      <w:lvlText w:val="•"/>
      <w:lvlJc w:val="left"/>
      <w:pPr>
        <w:ind w:left="6588" w:hanging="488"/>
      </w:pPr>
      <w:rPr>
        <w:rFonts w:hint="default"/>
      </w:rPr>
    </w:lvl>
    <w:lvl w:ilvl="8">
      <w:start w:val="1"/>
      <w:numFmt w:val="bullet"/>
      <w:lvlText w:val="•"/>
      <w:lvlJc w:val="left"/>
      <w:pPr>
        <w:ind w:left="7512" w:hanging="488"/>
      </w:pPr>
      <w:rPr>
        <w:rFonts w:hint="default"/>
      </w:rPr>
    </w:lvl>
  </w:abstractNum>
  <w:abstractNum w:abstractNumId="16">
    <w:multiLevelType w:val="hybridMultilevel"/>
    <w:lvl w:ilvl="0">
      <w:start w:val="15"/>
      <w:numFmt w:val="decimal"/>
      <w:lvlText w:val="%1."/>
      <w:lvlJc w:val="left"/>
      <w:pPr>
        <w:ind w:left="118" w:hanging="444"/>
        <w:jc w:val="left"/>
      </w:pPr>
      <w:rPr>
        <w:rFonts w:hint="default" w:ascii="Arial" w:hAnsi="Arial" w:eastAsia="Arial" w:cs="Arial"/>
        <w:w w:val="99"/>
        <w:sz w:val="24"/>
        <w:szCs w:val="24"/>
      </w:rPr>
    </w:lvl>
    <w:lvl w:ilvl="1">
      <w:start w:val="1"/>
      <w:numFmt w:val="bullet"/>
      <w:lvlText w:val="•"/>
      <w:lvlJc w:val="left"/>
      <w:pPr>
        <w:ind w:left="1044" w:hanging="444"/>
      </w:pPr>
      <w:rPr>
        <w:rFonts w:hint="default"/>
      </w:rPr>
    </w:lvl>
    <w:lvl w:ilvl="2">
      <w:start w:val="1"/>
      <w:numFmt w:val="bullet"/>
      <w:lvlText w:val="•"/>
      <w:lvlJc w:val="left"/>
      <w:pPr>
        <w:ind w:left="1968" w:hanging="444"/>
      </w:pPr>
      <w:rPr>
        <w:rFonts w:hint="default"/>
      </w:rPr>
    </w:lvl>
    <w:lvl w:ilvl="3">
      <w:start w:val="1"/>
      <w:numFmt w:val="bullet"/>
      <w:lvlText w:val="•"/>
      <w:lvlJc w:val="left"/>
      <w:pPr>
        <w:ind w:left="2892" w:hanging="444"/>
      </w:pPr>
      <w:rPr>
        <w:rFonts w:hint="default"/>
      </w:rPr>
    </w:lvl>
    <w:lvl w:ilvl="4">
      <w:start w:val="1"/>
      <w:numFmt w:val="bullet"/>
      <w:lvlText w:val="•"/>
      <w:lvlJc w:val="left"/>
      <w:pPr>
        <w:ind w:left="3816" w:hanging="444"/>
      </w:pPr>
      <w:rPr>
        <w:rFonts w:hint="default"/>
      </w:rPr>
    </w:lvl>
    <w:lvl w:ilvl="5">
      <w:start w:val="1"/>
      <w:numFmt w:val="bullet"/>
      <w:lvlText w:val="•"/>
      <w:lvlJc w:val="left"/>
      <w:pPr>
        <w:ind w:left="4740" w:hanging="444"/>
      </w:pPr>
      <w:rPr>
        <w:rFonts w:hint="default"/>
      </w:rPr>
    </w:lvl>
    <w:lvl w:ilvl="6">
      <w:start w:val="1"/>
      <w:numFmt w:val="bullet"/>
      <w:lvlText w:val="•"/>
      <w:lvlJc w:val="left"/>
      <w:pPr>
        <w:ind w:left="5664" w:hanging="444"/>
      </w:pPr>
      <w:rPr>
        <w:rFonts w:hint="default"/>
      </w:rPr>
    </w:lvl>
    <w:lvl w:ilvl="7">
      <w:start w:val="1"/>
      <w:numFmt w:val="bullet"/>
      <w:lvlText w:val="•"/>
      <w:lvlJc w:val="left"/>
      <w:pPr>
        <w:ind w:left="6588" w:hanging="444"/>
      </w:pPr>
      <w:rPr>
        <w:rFonts w:hint="default"/>
      </w:rPr>
    </w:lvl>
    <w:lvl w:ilvl="8">
      <w:start w:val="1"/>
      <w:numFmt w:val="bullet"/>
      <w:lvlText w:val="•"/>
      <w:lvlJc w:val="left"/>
      <w:pPr>
        <w:ind w:left="7512" w:hanging="444"/>
      </w:pPr>
      <w:rPr>
        <w:rFonts w:hint="default"/>
      </w:rPr>
    </w:lvl>
  </w:abstractNum>
  <w:abstractNum w:abstractNumId="15">
    <w:multiLevelType w:val="hybridMultilevel"/>
    <w:lvl w:ilvl="0">
      <w:start w:val="6"/>
      <w:numFmt w:val="decimal"/>
      <w:lvlText w:val="%1."/>
      <w:lvlJc w:val="left"/>
      <w:pPr>
        <w:ind w:left="118" w:hanging="284"/>
        <w:jc w:val="left"/>
      </w:pPr>
      <w:rPr>
        <w:rFonts w:hint="default" w:ascii="Arial" w:hAnsi="Arial" w:eastAsia="Arial" w:cs="Arial"/>
        <w:w w:val="99"/>
        <w:sz w:val="24"/>
        <w:szCs w:val="24"/>
      </w:rPr>
    </w:lvl>
    <w:lvl w:ilvl="1">
      <w:start w:val="1"/>
      <w:numFmt w:val="bullet"/>
      <w:lvlText w:val="•"/>
      <w:lvlJc w:val="left"/>
      <w:pPr>
        <w:ind w:left="1044" w:hanging="284"/>
      </w:pPr>
      <w:rPr>
        <w:rFonts w:hint="default"/>
      </w:rPr>
    </w:lvl>
    <w:lvl w:ilvl="2">
      <w:start w:val="1"/>
      <w:numFmt w:val="bullet"/>
      <w:lvlText w:val="•"/>
      <w:lvlJc w:val="left"/>
      <w:pPr>
        <w:ind w:left="1968" w:hanging="284"/>
      </w:pPr>
      <w:rPr>
        <w:rFonts w:hint="default"/>
      </w:rPr>
    </w:lvl>
    <w:lvl w:ilvl="3">
      <w:start w:val="1"/>
      <w:numFmt w:val="bullet"/>
      <w:lvlText w:val="•"/>
      <w:lvlJc w:val="left"/>
      <w:pPr>
        <w:ind w:left="2892" w:hanging="284"/>
      </w:pPr>
      <w:rPr>
        <w:rFonts w:hint="default"/>
      </w:rPr>
    </w:lvl>
    <w:lvl w:ilvl="4">
      <w:start w:val="1"/>
      <w:numFmt w:val="bullet"/>
      <w:lvlText w:val="•"/>
      <w:lvlJc w:val="left"/>
      <w:pPr>
        <w:ind w:left="3816" w:hanging="284"/>
      </w:pPr>
      <w:rPr>
        <w:rFonts w:hint="default"/>
      </w:rPr>
    </w:lvl>
    <w:lvl w:ilvl="5">
      <w:start w:val="1"/>
      <w:numFmt w:val="bullet"/>
      <w:lvlText w:val="•"/>
      <w:lvlJc w:val="left"/>
      <w:pPr>
        <w:ind w:left="4740" w:hanging="284"/>
      </w:pPr>
      <w:rPr>
        <w:rFonts w:hint="default"/>
      </w:rPr>
    </w:lvl>
    <w:lvl w:ilvl="6">
      <w:start w:val="1"/>
      <w:numFmt w:val="bullet"/>
      <w:lvlText w:val="•"/>
      <w:lvlJc w:val="left"/>
      <w:pPr>
        <w:ind w:left="5664" w:hanging="284"/>
      </w:pPr>
      <w:rPr>
        <w:rFonts w:hint="default"/>
      </w:rPr>
    </w:lvl>
    <w:lvl w:ilvl="7">
      <w:start w:val="1"/>
      <w:numFmt w:val="bullet"/>
      <w:lvlText w:val="•"/>
      <w:lvlJc w:val="left"/>
      <w:pPr>
        <w:ind w:left="6588" w:hanging="284"/>
      </w:pPr>
      <w:rPr>
        <w:rFonts w:hint="default"/>
      </w:rPr>
    </w:lvl>
    <w:lvl w:ilvl="8">
      <w:start w:val="1"/>
      <w:numFmt w:val="bullet"/>
      <w:lvlText w:val="•"/>
      <w:lvlJc w:val="left"/>
      <w:pPr>
        <w:ind w:left="7512" w:hanging="284"/>
      </w:pPr>
      <w:rPr>
        <w:rFonts w:hint="default"/>
      </w:rPr>
    </w:lvl>
  </w:abstractNum>
  <w:abstractNum w:abstractNumId="14">
    <w:multiLevelType w:val="hybridMultilevel"/>
    <w:lvl w:ilvl="0">
      <w:start w:val="6"/>
      <w:numFmt w:val="decimal"/>
      <w:lvlText w:val="%1."/>
      <w:lvlJc w:val="left"/>
      <w:pPr>
        <w:ind w:left="118" w:hanging="295"/>
        <w:jc w:val="right"/>
      </w:pPr>
      <w:rPr>
        <w:rFonts w:hint="default"/>
        <w:w w:val="99"/>
      </w:rPr>
    </w:lvl>
    <w:lvl w:ilvl="1">
      <w:start w:val="1"/>
      <w:numFmt w:val="bullet"/>
      <w:lvlText w:val="•"/>
      <w:lvlJc w:val="left"/>
      <w:pPr>
        <w:ind w:left="1044" w:hanging="295"/>
      </w:pPr>
      <w:rPr>
        <w:rFonts w:hint="default"/>
      </w:rPr>
    </w:lvl>
    <w:lvl w:ilvl="2">
      <w:start w:val="1"/>
      <w:numFmt w:val="bullet"/>
      <w:lvlText w:val="•"/>
      <w:lvlJc w:val="left"/>
      <w:pPr>
        <w:ind w:left="1968" w:hanging="295"/>
      </w:pPr>
      <w:rPr>
        <w:rFonts w:hint="default"/>
      </w:rPr>
    </w:lvl>
    <w:lvl w:ilvl="3">
      <w:start w:val="1"/>
      <w:numFmt w:val="bullet"/>
      <w:lvlText w:val="•"/>
      <w:lvlJc w:val="left"/>
      <w:pPr>
        <w:ind w:left="2892" w:hanging="295"/>
      </w:pPr>
      <w:rPr>
        <w:rFonts w:hint="default"/>
      </w:rPr>
    </w:lvl>
    <w:lvl w:ilvl="4">
      <w:start w:val="1"/>
      <w:numFmt w:val="bullet"/>
      <w:lvlText w:val="•"/>
      <w:lvlJc w:val="left"/>
      <w:pPr>
        <w:ind w:left="3816" w:hanging="295"/>
      </w:pPr>
      <w:rPr>
        <w:rFonts w:hint="default"/>
      </w:rPr>
    </w:lvl>
    <w:lvl w:ilvl="5">
      <w:start w:val="1"/>
      <w:numFmt w:val="bullet"/>
      <w:lvlText w:val="•"/>
      <w:lvlJc w:val="left"/>
      <w:pPr>
        <w:ind w:left="4740" w:hanging="295"/>
      </w:pPr>
      <w:rPr>
        <w:rFonts w:hint="default"/>
      </w:rPr>
    </w:lvl>
    <w:lvl w:ilvl="6">
      <w:start w:val="1"/>
      <w:numFmt w:val="bullet"/>
      <w:lvlText w:val="•"/>
      <w:lvlJc w:val="left"/>
      <w:pPr>
        <w:ind w:left="5664" w:hanging="295"/>
      </w:pPr>
      <w:rPr>
        <w:rFonts w:hint="default"/>
      </w:rPr>
    </w:lvl>
    <w:lvl w:ilvl="7">
      <w:start w:val="1"/>
      <w:numFmt w:val="bullet"/>
      <w:lvlText w:val="•"/>
      <w:lvlJc w:val="left"/>
      <w:pPr>
        <w:ind w:left="6588" w:hanging="295"/>
      </w:pPr>
      <w:rPr>
        <w:rFonts w:hint="default"/>
      </w:rPr>
    </w:lvl>
    <w:lvl w:ilvl="8">
      <w:start w:val="1"/>
      <w:numFmt w:val="bullet"/>
      <w:lvlText w:val="•"/>
      <w:lvlJc w:val="left"/>
      <w:pPr>
        <w:ind w:left="7512" w:hanging="295"/>
      </w:pPr>
      <w:rPr>
        <w:rFonts w:hint="default"/>
      </w:rPr>
    </w:lvl>
  </w:abstractNum>
  <w:abstractNum w:abstractNumId="13">
    <w:multiLevelType w:val="hybridMultilevel"/>
    <w:lvl w:ilvl="0">
      <w:start w:val="5"/>
      <w:numFmt w:val="decimal"/>
      <w:lvlText w:val="%1."/>
      <w:lvlJc w:val="left"/>
      <w:pPr>
        <w:ind w:left="4146" w:hanging="269"/>
        <w:jc w:val="right"/>
      </w:pPr>
      <w:rPr>
        <w:rFonts w:hint="default" w:ascii="Arial" w:hAnsi="Arial" w:eastAsia="Arial" w:cs="Arial"/>
        <w:b/>
        <w:bCs/>
        <w:w w:val="99"/>
        <w:sz w:val="24"/>
        <w:szCs w:val="24"/>
      </w:rPr>
    </w:lvl>
    <w:lvl w:ilvl="1">
      <w:start w:val="1"/>
      <w:numFmt w:val="bullet"/>
      <w:lvlText w:val="•"/>
      <w:lvlJc w:val="left"/>
      <w:pPr>
        <w:ind w:left="4662" w:hanging="269"/>
      </w:pPr>
      <w:rPr>
        <w:rFonts w:hint="default"/>
      </w:rPr>
    </w:lvl>
    <w:lvl w:ilvl="2">
      <w:start w:val="1"/>
      <w:numFmt w:val="bullet"/>
      <w:lvlText w:val="•"/>
      <w:lvlJc w:val="left"/>
      <w:pPr>
        <w:ind w:left="5184" w:hanging="269"/>
      </w:pPr>
      <w:rPr>
        <w:rFonts w:hint="default"/>
      </w:rPr>
    </w:lvl>
    <w:lvl w:ilvl="3">
      <w:start w:val="1"/>
      <w:numFmt w:val="bullet"/>
      <w:lvlText w:val="•"/>
      <w:lvlJc w:val="left"/>
      <w:pPr>
        <w:ind w:left="5706" w:hanging="269"/>
      </w:pPr>
      <w:rPr>
        <w:rFonts w:hint="default"/>
      </w:rPr>
    </w:lvl>
    <w:lvl w:ilvl="4">
      <w:start w:val="1"/>
      <w:numFmt w:val="bullet"/>
      <w:lvlText w:val="•"/>
      <w:lvlJc w:val="left"/>
      <w:pPr>
        <w:ind w:left="6228" w:hanging="269"/>
      </w:pPr>
      <w:rPr>
        <w:rFonts w:hint="default"/>
      </w:rPr>
    </w:lvl>
    <w:lvl w:ilvl="5">
      <w:start w:val="1"/>
      <w:numFmt w:val="bullet"/>
      <w:lvlText w:val="•"/>
      <w:lvlJc w:val="left"/>
      <w:pPr>
        <w:ind w:left="6750" w:hanging="269"/>
      </w:pPr>
      <w:rPr>
        <w:rFonts w:hint="default"/>
      </w:rPr>
    </w:lvl>
    <w:lvl w:ilvl="6">
      <w:start w:val="1"/>
      <w:numFmt w:val="bullet"/>
      <w:lvlText w:val="•"/>
      <w:lvlJc w:val="left"/>
      <w:pPr>
        <w:ind w:left="7272" w:hanging="269"/>
      </w:pPr>
      <w:rPr>
        <w:rFonts w:hint="default"/>
      </w:rPr>
    </w:lvl>
    <w:lvl w:ilvl="7">
      <w:start w:val="1"/>
      <w:numFmt w:val="bullet"/>
      <w:lvlText w:val="•"/>
      <w:lvlJc w:val="left"/>
      <w:pPr>
        <w:ind w:left="7794" w:hanging="269"/>
      </w:pPr>
      <w:rPr>
        <w:rFonts w:hint="default"/>
      </w:rPr>
    </w:lvl>
    <w:lvl w:ilvl="8">
      <w:start w:val="1"/>
      <w:numFmt w:val="bullet"/>
      <w:lvlText w:val="•"/>
      <w:lvlJc w:val="left"/>
      <w:pPr>
        <w:ind w:left="8316" w:hanging="269"/>
      </w:pPr>
      <w:rPr>
        <w:rFonts w:hint="default"/>
      </w:rPr>
    </w:lvl>
  </w:abstractNum>
  <w:abstractNum w:abstractNumId="12">
    <w:multiLevelType w:val="hybridMultilevel"/>
    <w:lvl w:ilvl="0">
      <w:start w:val="4"/>
      <w:numFmt w:val="decimal"/>
      <w:lvlText w:val="%1"/>
      <w:lvlJc w:val="left"/>
      <w:pPr>
        <w:ind w:left="118" w:hanging="403"/>
        <w:jc w:val="left"/>
      </w:pPr>
      <w:rPr>
        <w:rFonts w:hint="default"/>
      </w:rPr>
    </w:lvl>
    <w:lvl w:ilvl="1">
      <w:start w:val="4"/>
      <w:numFmt w:val="decimal"/>
      <w:lvlText w:val="%1.%2"/>
      <w:lvlJc w:val="left"/>
      <w:pPr>
        <w:ind w:left="521" w:hanging="403"/>
        <w:jc w:val="left"/>
      </w:pPr>
      <w:rPr>
        <w:rFonts w:hint="default"/>
        <w:b/>
        <w:bCs/>
        <w:w w:val="99"/>
      </w:rPr>
    </w:lvl>
    <w:lvl w:ilvl="2">
      <w:start w:val="1"/>
      <w:numFmt w:val="bullet"/>
      <w:lvlText w:val=""/>
      <w:lvlJc w:val="left"/>
      <w:pPr>
        <w:ind w:left="838" w:hanging="360"/>
      </w:pPr>
      <w:rPr>
        <w:rFonts w:hint="default" w:ascii="Wingdings" w:hAnsi="Wingdings" w:eastAsia="Wingdings" w:cs="Wingdings"/>
        <w:w w:val="100"/>
        <w:sz w:val="24"/>
        <w:szCs w:val="24"/>
      </w:rPr>
    </w:lvl>
    <w:lvl w:ilvl="3">
      <w:start w:val="1"/>
      <w:numFmt w:val="bullet"/>
      <w:lvlText w:val="•"/>
      <w:lvlJc w:val="left"/>
      <w:pPr>
        <w:ind w:left="1905" w:hanging="360"/>
      </w:pPr>
      <w:rPr>
        <w:rFonts w:hint="default"/>
      </w:rPr>
    </w:lvl>
    <w:lvl w:ilvl="4">
      <w:start w:val="1"/>
      <w:numFmt w:val="bullet"/>
      <w:lvlText w:val="•"/>
      <w:lvlJc w:val="left"/>
      <w:pPr>
        <w:ind w:left="2970" w:hanging="360"/>
      </w:pPr>
      <w:rPr>
        <w:rFonts w:hint="default"/>
      </w:rPr>
    </w:lvl>
    <w:lvl w:ilvl="5">
      <w:start w:val="1"/>
      <w:numFmt w:val="bullet"/>
      <w:lvlText w:val="•"/>
      <w:lvlJc w:val="left"/>
      <w:pPr>
        <w:ind w:left="4035" w:hanging="360"/>
      </w:pPr>
      <w:rPr>
        <w:rFonts w:hint="default"/>
      </w:rPr>
    </w:lvl>
    <w:lvl w:ilvl="6">
      <w:start w:val="1"/>
      <w:numFmt w:val="bullet"/>
      <w:lvlText w:val="•"/>
      <w:lvlJc w:val="left"/>
      <w:pPr>
        <w:ind w:left="5100" w:hanging="360"/>
      </w:pPr>
      <w:rPr>
        <w:rFonts w:hint="default"/>
      </w:rPr>
    </w:lvl>
    <w:lvl w:ilvl="7">
      <w:start w:val="1"/>
      <w:numFmt w:val="bullet"/>
      <w:lvlText w:val="•"/>
      <w:lvlJc w:val="left"/>
      <w:pPr>
        <w:ind w:left="6165" w:hanging="360"/>
      </w:pPr>
      <w:rPr>
        <w:rFonts w:hint="default"/>
      </w:rPr>
    </w:lvl>
    <w:lvl w:ilvl="8">
      <w:start w:val="1"/>
      <w:numFmt w:val="bullet"/>
      <w:lvlText w:val="•"/>
      <w:lvlJc w:val="left"/>
      <w:pPr>
        <w:ind w:left="7230" w:hanging="360"/>
      </w:pPr>
      <w:rPr>
        <w:rFonts w:hint="default"/>
      </w:rPr>
    </w:lvl>
  </w:abstractNum>
  <w:abstractNum w:abstractNumId="11">
    <w:multiLevelType w:val="hybridMultilevel"/>
    <w:lvl w:ilvl="0">
      <w:start w:val="4"/>
      <w:numFmt w:val="decimal"/>
      <w:lvlText w:val="%1"/>
      <w:lvlJc w:val="left"/>
      <w:pPr>
        <w:ind w:left="723" w:hanging="605"/>
        <w:jc w:val="left"/>
      </w:pPr>
      <w:rPr>
        <w:rFonts w:hint="default"/>
      </w:rPr>
    </w:lvl>
    <w:lvl w:ilvl="1">
      <w:start w:val="3"/>
      <w:numFmt w:val="decimal"/>
      <w:lvlText w:val="%1.%2"/>
      <w:lvlJc w:val="left"/>
      <w:pPr>
        <w:ind w:left="723" w:hanging="605"/>
        <w:jc w:val="left"/>
      </w:pPr>
      <w:rPr>
        <w:rFonts w:hint="default"/>
      </w:rPr>
    </w:lvl>
    <w:lvl w:ilvl="2">
      <w:start w:val="1"/>
      <w:numFmt w:val="decimal"/>
      <w:lvlText w:val="%1.%2.%3"/>
      <w:lvlJc w:val="left"/>
      <w:pPr>
        <w:ind w:left="723" w:hanging="605"/>
        <w:jc w:val="left"/>
      </w:pPr>
      <w:rPr>
        <w:rFonts w:hint="default" w:ascii="Arial" w:hAnsi="Arial" w:eastAsia="Arial" w:cs="Arial"/>
        <w:b/>
        <w:bCs/>
        <w:spacing w:val="-2"/>
        <w:w w:val="99"/>
        <w:sz w:val="24"/>
        <w:szCs w:val="24"/>
      </w:rPr>
    </w:lvl>
    <w:lvl w:ilvl="3">
      <w:start w:val="1"/>
      <w:numFmt w:val="bullet"/>
      <w:lvlText w:val="•"/>
      <w:lvlJc w:val="left"/>
      <w:pPr>
        <w:ind w:left="3312" w:hanging="605"/>
      </w:pPr>
      <w:rPr>
        <w:rFonts w:hint="default"/>
      </w:rPr>
    </w:lvl>
    <w:lvl w:ilvl="4">
      <w:start w:val="1"/>
      <w:numFmt w:val="bullet"/>
      <w:lvlText w:val="•"/>
      <w:lvlJc w:val="left"/>
      <w:pPr>
        <w:ind w:left="4176" w:hanging="605"/>
      </w:pPr>
      <w:rPr>
        <w:rFonts w:hint="default"/>
      </w:rPr>
    </w:lvl>
    <w:lvl w:ilvl="5">
      <w:start w:val="1"/>
      <w:numFmt w:val="bullet"/>
      <w:lvlText w:val="•"/>
      <w:lvlJc w:val="left"/>
      <w:pPr>
        <w:ind w:left="5040" w:hanging="605"/>
      </w:pPr>
      <w:rPr>
        <w:rFonts w:hint="default"/>
      </w:rPr>
    </w:lvl>
    <w:lvl w:ilvl="6">
      <w:start w:val="1"/>
      <w:numFmt w:val="bullet"/>
      <w:lvlText w:val="•"/>
      <w:lvlJc w:val="left"/>
      <w:pPr>
        <w:ind w:left="5904" w:hanging="605"/>
      </w:pPr>
      <w:rPr>
        <w:rFonts w:hint="default"/>
      </w:rPr>
    </w:lvl>
    <w:lvl w:ilvl="7">
      <w:start w:val="1"/>
      <w:numFmt w:val="bullet"/>
      <w:lvlText w:val="•"/>
      <w:lvlJc w:val="left"/>
      <w:pPr>
        <w:ind w:left="6768" w:hanging="605"/>
      </w:pPr>
      <w:rPr>
        <w:rFonts w:hint="default"/>
      </w:rPr>
    </w:lvl>
    <w:lvl w:ilvl="8">
      <w:start w:val="1"/>
      <w:numFmt w:val="bullet"/>
      <w:lvlText w:val="•"/>
      <w:lvlJc w:val="left"/>
      <w:pPr>
        <w:ind w:left="7632" w:hanging="605"/>
      </w:pPr>
      <w:rPr>
        <w:rFonts w:hint="default"/>
      </w:rPr>
    </w:lvl>
  </w:abstractNum>
  <w:abstractNum w:abstractNumId="10">
    <w:multiLevelType w:val="hybridMultilevel"/>
    <w:lvl w:ilvl="0">
      <w:start w:val="3"/>
      <w:numFmt w:val="decimal"/>
      <w:lvlText w:val="%1"/>
      <w:lvlJc w:val="left"/>
      <w:pPr>
        <w:ind w:left="521" w:hanging="403"/>
        <w:jc w:val="left"/>
      </w:pPr>
      <w:rPr>
        <w:rFonts w:hint="default"/>
      </w:rPr>
    </w:lvl>
    <w:lvl w:ilvl="1">
      <w:start w:val="1"/>
      <w:numFmt w:val="decimal"/>
      <w:lvlText w:val="%1.%2"/>
      <w:lvlJc w:val="left"/>
      <w:pPr>
        <w:ind w:left="521" w:hanging="403"/>
        <w:jc w:val="left"/>
      </w:pPr>
      <w:rPr>
        <w:rFonts w:hint="default" w:ascii="Arial" w:hAnsi="Arial" w:eastAsia="Arial" w:cs="Arial"/>
        <w:b/>
        <w:bCs/>
        <w:w w:val="99"/>
        <w:sz w:val="24"/>
        <w:szCs w:val="24"/>
      </w:rPr>
    </w:lvl>
    <w:lvl w:ilvl="2">
      <w:start w:val="1"/>
      <w:numFmt w:val="bullet"/>
      <w:lvlText w:val=""/>
      <w:lvlJc w:val="left"/>
      <w:pPr>
        <w:ind w:left="838" w:hanging="360"/>
      </w:pPr>
      <w:rPr>
        <w:rFonts w:hint="default" w:ascii="Symbol" w:hAnsi="Symbol" w:eastAsia="Symbol" w:cs="Symbol"/>
        <w:w w:val="100"/>
        <w:sz w:val="24"/>
        <w:szCs w:val="24"/>
      </w:rPr>
    </w:lvl>
    <w:lvl w:ilvl="3">
      <w:start w:val="1"/>
      <w:numFmt w:val="bullet"/>
      <w:lvlText w:val="•"/>
      <w:lvlJc w:val="left"/>
      <w:pPr>
        <w:ind w:left="2733" w:hanging="360"/>
      </w:pPr>
      <w:rPr>
        <w:rFonts w:hint="default"/>
      </w:rPr>
    </w:lvl>
    <w:lvl w:ilvl="4">
      <w:start w:val="1"/>
      <w:numFmt w:val="bullet"/>
      <w:lvlText w:val="•"/>
      <w:lvlJc w:val="left"/>
      <w:pPr>
        <w:ind w:left="3680" w:hanging="360"/>
      </w:pPr>
      <w:rPr>
        <w:rFonts w:hint="default"/>
      </w:rPr>
    </w:lvl>
    <w:lvl w:ilvl="5">
      <w:start w:val="1"/>
      <w:numFmt w:val="bullet"/>
      <w:lvlText w:val="•"/>
      <w:lvlJc w:val="left"/>
      <w:pPr>
        <w:ind w:left="4626" w:hanging="360"/>
      </w:pPr>
      <w:rPr>
        <w:rFonts w:hint="default"/>
      </w:rPr>
    </w:lvl>
    <w:lvl w:ilvl="6">
      <w:start w:val="1"/>
      <w:numFmt w:val="bullet"/>
      <w:lvlText w:val="•"/>
      <w:lvlJc w:val="left"/>
      <w:pPr>
        <w:ind w:left="5573" w:hanging="360"/>
      </w:pPr>
      <w:rPr>
        <w:rFonts w:hint="default"/>
      </w:rPr>
    </w:lvl>
    <w:lvl w:ilvl="7">
      <w:start w:val="1"/>
      <w:numFmt w:val="bullet"/>
      <w:lvlText w:val="•"/>
      <w:lvlJc w:val="left"/>
      <w:pPr>
        <w:ind w:left="6520" w:hanging="360"/>
      </w:pPr>
      <w:rPr>
        <w:rFonts w:hint="default"/>
      </w:rPr>
    </w:lvl>
    <w:lvl w:ilvl="8">
      <w:start w:val="1"/>
      <w:numFmt w:val="bullet"/>
      <w:lvlText w:val="•"/>
      <w:lvlJc w:val="left"/>
      <w:pPr>
        <w:ind w:left="7466" w:hanging="360"/>
      </w:pPr>
      <w:rPr>
        <w:rFonts w:hint="default"/>
      </w:rPr>
    </w:lvl>
  </w:abstractNum>
  <w:abstractNum w:abstractNumId="9">
    <w:multiLevelType w:val="hybridMultilevel"/>
    <w:lvl w:ilvl="0">
      <w:start w:val="2"/>
      <w:numFmt w:val="decimal"/>
      <w:lvlText w:val="%1"/>
      <w:lvlJc w:val="left"/>
      <w:pPr>
        <w:ind w:left="721" w:hanging="603"/>
        <w:jc w:val="left"/>
      </w:pPr>
      <w:rPr>
        <w:rFonts w:hint="default"/>
      </w:rPr>
    </w:lvl>
    <w:lvl w:ilvl="1">
      <w:start w:val="3"/>
      <w:numFmt w:val="decimal"/>
      <w:lvlText w:val="%1.%2"/>
      <w:lvlJc w:val="left"/>
      <w:pPr>
        <w:ind w:left="721" w:hanging="603"/>
        <w:jc w:val="left"/>
      </w:pPr>
      <w:rPr>
        <w:rFonts w:hint="default"/>
      </w:rPr>
    </w:lvl>
    <w:lvl w:ilvl="2">
      <w:start w:val="4"/>
      <w:numFmt w:val="decimal"/>
      <w:lvlText w:val="%1.%2.%3"/>
      <w:lvlJc w:val="left"/>
      <w:pPr>
        <w:ind w:left="721" w:hanging="603"/>
        <w:jc w:val="left"/>
      </w:pPr>
      <w:rPr>
        <w:rFonts w:hint="default" w:ascii="Arial" w:hAnsi="Arial" w:eastAsia="Arial" w:cs="Arial"/>
        <w:b/>
        <w:bCs/>
        <w:spacing w:val="-2"/>
        <w:w w:val="99"/>
        <w:sz w:val="24"/>
        <w:szCs w:val="24"/>
      </w:rPr>
    </w:lvl>
    <w:lvl w:ilvl="3">
      <w:start w:val="1"/>
      <w:numFmt w:val="bullet"/>
      <w:lvlText w:val="•"/>
      <w:lvlJc w:val="left"/>
      <w:pPr>
        <w:ind w:left="3312" w:hanging="603"/>
      </w:pPr>
      <w:rPr>
        <w:rFonts w:hint="default"/>
      </w:rPr>
    </w:lvl>
    <w:lvl w:ilvl="4">
      <w:start w:val="1"/>
      <w:numFmt w:val="bullet"/>
      <w:lvlText w:val="•"/>
      <w:lvlJc w:val="left"/>
      <w:pPr>
        <w:ind w:left="4176" w:hanging="603"/>
      </w:pPr>
      <w:rPr>
        <w:rFonts w:hint="default"/>
      </w:rPr>
    </w:lvl>
    <w:lvl w:ilvl="5">
      <w:start w:val="1"/>
      <w:numFmt w:val="bullet"/>
      <w:lvlText w:val="•"/>
      <w:lvlJc w:val="left"/>
      <w:pPr>
        <w:ind w:left="5040" w:hanging="603"/>
      </w:pPr>
      <w:rPr>
        <w:rFonts w:hint="default"/>
      </w:rPr>
    </w:lvl>
    <w:lvl w:ilvl="6">
      <w:start w:val="1"/>
      <w:numFmt w:val="bullet"/>
      <w:lvlText w:val="•"/>
      <w:lvlJc w:val="left"/>
      <w:pPr>
        <w:ind w:left="5904" w:hanging="603"/>
      </w:pPr>
      <w:rPr>
        <w:rFonts w:hint="default"/>
      </w:rPr>
    </w:lvl>
    <w:lvl w:ilvl="7">
      <w:start w:val="1"/>
      <w:numFmt w:val="bullet"/>
      <w:lvlText w:val="•"/>
      <w:lvlJc w:val="left"/>
      <w:pPr>
        <w:ind w:left="6768" w:hanging="603"/>
      </w:pPr>
      <w:rPr>
        <w:rFonts w:hint="default"/>
      </w:rPr>
    </w:lvl>
    <w:lvl w:ilvl="8">
      <w:start w:val="1"/>
      <w:numFmt w:val="bullet"/>
      <w:lvlText w:val="•"/>
      <w:lvlJc w:val="left"/>
      <w:pPr>
        <w:ind w:left="7632" w:hanging="603"/>
      </w:pPr>
      <w:rPr>
        <w:rFonts w:hint="default"/>
      </w:rPr>
    </w:lvl>
  </w:abstractNum>
  <w:abstractNum w:abstractNumId="8">
    <w:multiLevelType w:val="hybridMultilevel"/>
    <w:lvl w:ilvl="0">
      <w:start w:val="2"/>
      <w:numFmt w:val="decimal"/>
      <w:lvlText w:val="%1"/>
      <w:lvlJc w:val="left"/>
      <w:pPr>
        <w:ind w:left="522" w:hanging="404"/>
        <w:jc w:val="left"/>
      </w:pPr>
      <w:rPr>
        <w:rFonts w:hint="default"/>
      </w:rPr>
    </w:lvl>
    <w:lvl w:ilvl="1">
      <w:start w:val="3"/>
      <w:numFmt w:val="decimal"/>
      <w:lvlText w:val="%1.%2"/>
      <w:lvlJc w:val="left"/>
      <w:pPr>
        <w:ind w:left="522" w:hanging="404"/>
        <w:jc w:val="left"/>
      </w:pPr>
      <w:rPr>
        <w:rFonts w:hint="default" w:ascii="Arial" w:hAnsi="Arial" w:eastAsia="Arial" w:cs="Arial"/>
        <w:b/>
        <w:bCs/>
        <w:w w:val="99"/>
        <w:sz w:val="24"/>
        <w:szCs w:val="24"/>
      </w:rPr>
    </w:lvl>
    <w:lvl w:ilvl="2">
      <w:start w:val="1"/>
      <w:numFmt w:val="decimal"/>
      <w:lvlText w:val="%1.%2.%3"/>
      <w:lvlJc w:val="left"/>
      <w:pPr>
        <w:ind w:left="118" w:hanging="603"/>
        <w:jc w:val="left"/>
      </w:pPr>
      <w:rPr>
        <w:rFonts w:hint="default" w:ascii="Arial" w:hAnsi="Arial" w:eastAsia="Arial" w:cs="Arial"/>
        <w:b/>
        <w:bCs/>
        <w:spacing w:val="-2"/>
        <w:w w:val="99"/>
        <w:sz w:val="24"/>
        <w:szCs w:val="24"/>
      </w:rPr>
    </w:lvl>
    <w:lvl w:ilvl="3">
      <w:start w:val="1"/>
      <w:numFmt w:val="lowerLetter"/>
      <w:lvlText w:val="%4)"/>
      <w:lvlJc w:val="left"/>
      <w:pPr>
        <w:ind w:left="838" w:hanging="360"/>
        <w:jc w:val="left"/>
      </w:pPr>
      <w:rPr>
        <w:rFonts w:hint="default" w:ascii="Arial" w:hAnsi="Arial" w:eastAsia="Arial" w:cs="Arial"/>
        <w:w w:val="99"/>
        <w:sz w:val="24"/>
        <w:szCs w:val="24"/>
      </w:rPr>
    </w:lvl>
    <w:lvl w:ilvl="4">
      <w:start w:val="1"/>
      <w:numFmt w:val="bullet"/>
      <w:lvlText w:val="•"/>
      <w:lvlJc w:val="left"/>
      <w:pPr>
        <w:ind w:left="2970" w:hanging="360"/>
      </w:pPr>
      <w:rPr>
        <w:rFonts w:hint="default"/>
      </w:rPr>
    </w:lvl>
    <w:lvl w:ilvl="5">
      <w:start w:val="1"/>
      <w:numFmt w:val="bullet"/>
      <w:lvlText w:val="•"/>
      <w:lvlJc w:val="left"/>
      <w:pPr>
        <w:ind w:left="4035" w:hanging="360"/>
      </w:pPr>
      <w:rPr>
        <w:rFonts w:hint="default"/>
      </w:rPr>
    </w:lvl>
    <w:lvl w:ilvl="6">
      <w:start w:val="1"/>
      <w:numFmt w:val="bullet"/>
      <w:lvlText w:val="•"/>
      <w:lvlJc w:val="left"/>
      <w:pPr>
        <w:ind w:left="5100" w:hanging="360"/>
      </w:pPr>
      <w:rPr>
        <w:rFonts w:hint="default"/>
      </w:rPr>
    </w:lvl>
    <w:lvl w:ilvl="7">
      <w:start w:val="1"/>
      <w:numFmt w:val="bullet"/>
      <w:lvlText w:val="•"/>
      <w:lvlJc w:val="left"/>
      <w:pPr>
        <w:ind w:left="6165" w:hanging="360"/>
      </w:pPr>
      <w:rPr>
        <w:rFonts w:hint="default"/>
      </w:rPr>
    </w:lvl>
    <w:lvl w:ilvl="8">
      <w:start w:val="1"/>
      <w:numFmt w:val="bullet"/>
      <w:lvlText w:val="•"/>
      <w:lvlJc w:val="left"/>
      <w:pPr>
        <w:ind w:left="7230" w:hanging="360"/>
      </w:pPr>
      <w:rPr>
        <w:rFonts w:hint="default"/>
      </w:rPr>
    </w:lvl>
  </w:abstractNum>
  <w:abstractNum w:abstractNumId="7">
    <w:multiLevelType w:val="hybridMultilevel"/>
    <w:lvl w:ilvl="0">
      <w:start w:val="2"/>
      <w:numFmt w:val="decimal"/>
      <w:lvlText w:val="%1"/>
      <w:lvlJc w:val="left"/>
      <w:pPr>
        <w:ind w:left="521" w:hanging="403"/>
        <w:jc w:val="left"/>
      </w:pPr>
      <w:rPr>
        <w:rFonts w:hint="default"/>
      </w:rPr>
    </w:lvl>
    <w:lvl w:ilvl="1">
      <w:start w:val="2"/>
      <w:numFmt w:val="decimal"/>
      <w:lvlText w:val="%1.%2"/>
      <w:lvlJc w:val="left"/>
      <w:pPr>
        <w:ind w:left="521" w:hanging="403"/>
        <w:jc w:val="left"/>
      </w:pPr>
      <w:rPr>
        <w:rFonts w:hint="default" w:ascii="Arial" w:hAnsi="Arial" w:eastAsia="Arial" w:cs="Arial"/>
        <w:b/>
        <w:bCs/>
        <w:w w:val="99"/>
        <w:sz w:val="24"/>
        <w:szCs w:val="24"/>
      </w:rPr>
    </w:lvl>
    <w:lvl w:ilvl="2">
      <w:start w:val="1"/>
      <w:numFmt w:val="decimal"/>
      <w:lvlText w:val="%1.%2.%3"/>
      <w:lvlJc w:val="left"/>
      <w:pPr>
        <w:ind w:left="721" w:hanging="603"/>
        <w:jc w:val="left"/>
      </w:pPr>
      <w:rPr>
        <w:rFonts w:hint="default" w:ascii="Arial" w:hAnsi="Arial" w:eastAsia="Arial" w:cs="Arial"/>
        <w:b/>
        <w:bCs/>
        <w:spacing w:val="-2"/>
        <w:w w:val="99"/>
        <w:sz w:val="24"/>
        <w:szCs w:val="24"/>
      </w:rPr>
    </w:lvl>
    <w:lvl w:ilvl="3">
      <w:start w:val="1"/>
      <w:numFmt w:val="decimal"/>
      <w:lvlText w:val="%1.%2.%3.%4"/>
      <w:lvlJc w:val="left"/>
      <w:pPr>
        <w:ind w:left="920" w:hanging="802"/>
        <w:jc w:val="left"/>
      </w:pPr>
      <w:rPr>
        <w:rFonts w:hint="default"/>
        <w:spacing w:val="-2"/>
        <w:w w:val="99"/>
        <w:u w:val="single" w:color="000000"/>
      </w:rPr>
    </w:lvl>
    <w:lvl w:ilvl="4">
      <w:start w:val="1"/>
      <w:numFmt w:val="bullet"/>
      <w:lvlText w:val="•"/>
      <w:lvlJc w:val="left"/>
      <w:pPr>
        <w:ind w:left="3030" w:hanging="802"/>
      </w:pPr>
      <w:rPr>
        <w:rFonts w:hint="default"/>
      </w:rPr>
    </w:lvl>
    <w:lvl w:ilvl="5">
      <w:start w:val="1"/>
      <w:numFmt w:val="bullet"/>
      <w:lvlText w:val="•"/>
      <w:lvlJc w:val="left"/>
      <w:pPr>
        <w:ind w:left="4085" w:hanging="802"/>
      </w:pPr>
      <w:rPr>
        <w:rFonts w:hint="default"/>
      </w:rPr>
    </w:lvl>
    <w:lvl w:ilvl="6">
      <w:start w:val="1"/>
      <w:numFmt w:val="bullet"/>
      <w:lvlText w:val="•"/>
      <w:lvlJc w:val="left"/>
      <w:pPr>
        <w:ind w:left="5140" w:hanging="802"/>
      </w:pPr>
      <w:rPr>
        <w:rFonts w:hint="default"/>
      </w:rPr>
    </w:lvl>
    <w:lvl w:ilvl="7">
      <w:start w:val="1"/>
      <w:numFmt w:val="bullet"/>
      <w:lvlText w:val="•"/>
      <w:lvlJc w:val="left"/>
      <w:pPr>
        <w:ind w:left="6195" w:hanging="802"/>
      </w:pPr>
      <w:rPr>
        <w:rFonts w:hint="default"/>
      </w:rPr>
    </w:lvl>
    <w:lvl w:ilvl="8">
      <w:start w:val="1"/>
      <w:numFmt w:val="bullet"/>
      <w:lvlText w:val="•"/>
      <w:lvlJc w:val="left"/>
      <w:pPr>
        <w:ind w:left="7250" w:hanging="802"/>
      </w:pPr>
      <w:rPr>
        <w:rFonts w:hint="default"/>
      </w:rPr>
    </w:lvl>
  </w:abstractNum>
  <w:abstractNum w:abstractNumId="6">
    <w:multiLevelType w:val="hybridMultilevel"/>
    <w:lvl w:ilvl="0">
      <w:start w:val="2"/>
      <w:numFmt w:val="decimal"/>
      <w:lvlText w:val="%1"/>
      <w:lvlJc w:val="left"/>
      <w:pPr>
        <w:ind w:left="721" w:hanging="603"/>
        <w:jc w:val="left"/>
      </w:pPr>
      <w:rPr>
        <w:rFonts w:hint="default"/>
      </w:rPr>
    </w:lvl>
    <w:lvl w:ilvl="1">
      <w:start w:val="1"/>
      <w:numFmt w:val="decimal"/>
      <w:lvlText w:val="%1.%2"/>
      <w:lvlJc w:val="left"/>
      <w:pPr>
        <w:ind w:left="721" w:hanging="603"/>
        <w:jc w:val="left"/>
      </w:pPr>
      <w:rPr>
        <w:rFonts w:hint="default"/>
      </w:rPr>
    </w:lvl>
    <w:lvl w:ilvl="2">
      <w:start w:val="7"/>
      <w:numFmt w:val="decimal"/>
      <w:lvlText w:val="%1.%2.%3"/>
      <w:lvlJc w:val="left"/>
      <w:pPr>
        <w:ind w:left="721" w:hanging="603"/>
        <w:jc w:val="left"/>
      </w:pPr>
      <w:rPr>
        <w:rFonts w:hint="default" w:ascii="Arial" w:hAnsi="Arial" w:eastAsia="Arial" w:cs="Arial"/>
        <w:b/>
        <w:bCs/>
        <w:spacing w:val="-2"/>
        <w:w w:val="99"/>
        <w:sz w:val="24"/>
        <w:szCs w:val="24"/>
      </w:rPr>
    </w:lvl>
    <w:lvl w:ilvl="3">
      <w:start w:val="1"/>
      <w:numFmt w:val="bullet"/>
      <w:lvlText w:val=""/>
      <w:lvlJc w:val="left"/>
      <w:pPr>
        <w:ind w:left="858" w:hanging="360"/>
      </w:pPr>
      <w:rPr>
        <w:rFonts w:hint="default" w:ascii="Symbol" w:hAnsi="Symbol" w:eastAsia="Symbol" w:cs="Symbol"/>
        <w:w w:val="100"/>
        <w:sz w:val="24"/>
        <w:szCs w:val="24"/>
      </w:rPr>
    </w:lvl>
    <w:lvl w:ilvl="4">
      <w:start w:val="1"/>
      <w:numFmt w:val="bullet"/>
      <w:lvlText w:val="•"/>
      <w:lvlJc w:val="left"/>
      <w:pPr>
        <w:ind w:left="3693" w:hanging="360"/>
      </w:pPr>
      <w:rPr>
        <w:rFonts w:hint="default"/>
      </w:rPr>
    </w:lvl>
    <w:lvl w:ilvl="5">
      <w:start w:val="1"/>
      <w:numFmt w:val="bullet"/>
      <w:lvlText w:val="•"/>
      <w:lvlJc w:val="left"/>
      <w:pPr>
        <w:ind w:left="4637" w:hanging="360"/>
      </w:pPr>
      <w:rPr>
        <w:rFonts w:hint="default"/>
      </w:rPr>
    </w:lvl>
    <w:lvl w:ilvl="6">
      <w:start w:val="1"/>
      <w:numFmt w:val="bullet"/>
      <w:lvlText w:val="•"/>
      <w:lvlJc w:val="left"/>
      <w:pPr>
        <w:ind w:left="5582" w:hanging="360"/>
      </w:pPr>
      <w:rPr>
        <w:rFonts w:hint="default"/>
      </w:rPr>
    </w:lvl>
    <w:lvl w:ilvl="7">
      <w:start w:val="1"/>
      <w:numFmt w:val="bullet"/>
      <w:lvlText w:val="•"/>
      <w:lvlJc w:val="left"/>
      <w:pPr>
        <w:ind w:left="6526" w:hanging="360"/>
      </w:pPr>
      <w:rPr>
        <w:rFonts w:hint="default"/>
      </w:rPr>
    </w:lvl>
    <w:lvl w:ilvl="8">
      <w:start w:val="1"/>
      <w:numFmt w:val="bullet"/>
      <w:lvlText w:val="•"/>
      <w:lvlJc w:val="left"/>
      <w:pPr>
        <w:ind w:left="7471" w:hanging="360"/>
      </w:pPr>
      <w:rPr>
        <w:rFonts w:hint="default"/>
      </w:rPr>
    </w:lvl>
  </w:abstractNum>
  <w:abstractNum w:abstractNumId="5">
    <w:multiLevelType w:val="hybridMultilevel"/>
    <w:lvl w:ilvl="0">
      <w:start w:val="2"/>
      <w:numFmt w:val="decimal"/>
      <w:lvlText w:val="%1"/>
      <w:lvlJc w:val="left"/>
      <w:pPr>
        <w:ind w:left="919" w:hanging="801"/>
        <w:jc w:val="left"/>
      </w:pPr>
      <w:rPr>
        <w:rFonts w:hint="default"/>
      </w:rPr>
    </w:lvl>
    <w:lvl w:ilvl="1">
      <w:start w:val="1"/>
      <w:numFmt w:val="decimal"/>
      <w:lvlText w:val="%1.%2"/>
      <w:lvlJc w:val="left"/>
      <w:pPr>
        <w:ind w:left="919" w:hanging="801"/>
        <w:jc w:val="left"/>
      </w:pPr>
      <w:rPr>
        <w:rFonts w:hint="default"/>
      </w:rPr>
    </w:lvl>
    <w:lvl w:ilvl="2">
      <w:start w:val="6"/>
      <w:numFmt w:val="decimal"/>
      <w:lvlText w:val="%1.%2.%3"/>
      <w:lvlJc w:val="left"/>
      <w:pPr>
        <w:ind w:left="919" w:hanging="801"/>
        <w:jc w:val="left"/>
      </w:pPr>
      <w:rPr>
        <w:rFonts w:hint="default"/>
      </w:rPr>
    </w:lvl>
    <w:lvl w:ilvl="3">
      <w:start w:val="1"/>
      <w:numFmt w:val="decimal"/>
      <w:lvlText w:val="%1.%2.%3.%4"/>
      <w:lvlJc w:val="left"/>
      <w:pPr>
        <w:ind w:left="919" w:hanging="801"/>
        <w:jc w:val="left"/>
      </w:pPr>
      <w:rPr>
        <w:rFonts w:hint="default"/>
        <w:spacing w:val="-2"/>
        <w:w w:val="99"/>
        <w:u w:val="single" w:color="000000"/>
      </w:rPr>
    </w:lvl>
    <w:lvl w:ilvl="4">
      <w:start w:val="1"/>
      <w:numFmt w:val="bullet"/>
      <w:lvlText w:val="•"/>
      <w:lvlJc w:val="left"/>
      <w:pPr>
        <w:ind w:left="4296" w:hanging="801"/>
      </w:pPr>
      <w:rPr>
        <w:rFonts w:hint="default"/>
      </w:rPr>
    </w:lvl>
    <w:lvl w:ilvl="5">
      <w:start w:val="1"/>
      <w:numFmt w:val="bullet"/>
      <w:lvlText w:val="•"/>
      <w:lvlJc w:val="left"/>
      <w:pPr>
        <w:ind w:left="5140" w:hanging="801"/>
      </w:pPr>
      <w:rPr>
        <w:rFonts w:hint="default"/>
      </w:rPr>
    </w:lvl>
    <w:lvl w:ilvl="6">
      <w:start w:val="1"/>
      <w:numFmt w:val="bullet"/>
      <w:lvlText w:val="•"/>
      <w:lvlJc w:val="left"/>
      <w:pPr>
        <w:ind w:left="5984" w:hanging="801"/>
      </w:pPr>
      <w:rPr>
        <w:rFonts w:hint="default"/>
      </w:rPr>
    </w:lvl>
    <w:lvl w:ilvl="7">
      <w:start w:val="1"/>
      <w:numFmt w:val="bullet"/>
      <w:lvlText w:val="•"/>
      <w:lvlJc w:val="left"/>
      <w:pPr>
        <w:ind w:left="6828" w:hanging="801"/>
      </w:pPr>
      <w:rPr>
        <w:rFonts w:hint="default"/>
      </w:rPr>
    </w:lvl>
    <w:lvl w:ilvl="8">
      <w:start w:val="1"/>
      <w:numFmt w:val="bullet"/>
      <w:lvlText w:val="•"/>
      <w:lvlJc w:val="left"/>
      <w:pPr>
        <w:ind w:left="7672" w:hanging="801"/>
      </w:pPr>
      <w:rPr>
        <w:rFonts w:hint="default"/>
      </w:rPr>
    </w:lvl>
  </w:abstractNum>
  <w:abstractNum w:abstractNumId="4">
    <w:multiLevelType w:val="hybridMultilevel"/>
    <w:lvl w:ilvl="0">
      <w:start w:val="1"/>
      <w:numFmt w:val="lowerLetter"/>
      <w:lvlText w:val="%1)"/>
      <w:lvlJc w:val="left"/>
      <w:pPr>
        <w:ind w:left="118" w:hanging="281"/>
        <w:jc w:val="left"/>
      </w:pPr>
      <w:rPr>
        <w:rFonts w:hint="default" w:ascii="Arial" w:hAnsi="Arial" w:eastAsia="Arial" w:cs="Arial"/>
        <w:spacing w:val="-4"/>
        <w:w w:val="99"/>
        <w:sz w:val="24"/>
        <w:szCs w:val="24"/>
      </w:rPr>
    </w:lvl>
    <w:lvl w:ilvl="1">
      <w:start w:val="1"/>
      <w:numFmt w:val="bullet"/>
      <w:lvlText w:val="•"/>
      <w:lvlJc w:val="left"/>
      <w:pPr>
        <w:ind w:left="1044" w:hanging="281"/>
      </w:pPr>
      <w:rPr>
        <w:rFonts w:hint="default"/>
      </w:rPr>
    </w:lvl>
    <w:lvl w:ilvl="2">
      <w:start w:val="1"/>
      <w:numFmt w:val="bullet"/>
      <w:lvlText w:val="•"/>
      <w:lvlJc w:val="left"/>
      <w:pPr>
        <w:ind w:left="1968" w:hanging="281"/>
      </w:pPr>
      <w:rPr>
        <w:rFonts w:hint="default"/>
      </w:rPr>
    </w:lvl>
    <w:lvl w:ilvl="3">
      <w:start w:val="1"/>
      <w:numFmt w:val="bullet"/>
      <w:lvlText w:val="•"/>
      <w:lvlJc w:val="left"/>
      <w:pPr>
        <w:ind w:left="2892" w:hanging="281"/>
      </w:pPr>
      <w:rPr>
        <w:rFonts w:hint="default"/>
      </w:rPr>
    </w:lvl>
    <w:lvl w:ilvl="4">
      <w:start w:val="1"/>
      <w:numFmt w:val="bullet"/>
      <w:lvlText w:val="•"/>
      <w:lvlJc w:val="left"/>
      <w:pPr>
        <w:ind w:left="3816" w:hanging="281"/>
      </w:pPr>
      <w:rPr>
        <w:rFonts w:hint="default"/>
      </w:rPr>
    </w:lvl>
    <w:lvl w:ilvl="5">
      <w:start w:val="1"/>
      <w:numFmt w:val="bullet"/>
      <w:lvlText w:val="•"/>
      <w:lvlJc w:val="left"/>
      <w:pPr>
        <w:ind w:left="4740" w:hanging="281"/>
      </w:pPr>
      <w:rPr>
        <w:rFonts w:hint="default"/>
      </w:rPr>
    </w:lvl>
    <w:lvl w:ilvl="6">
      <w:start w:val="1"/>
      <w:numFmt w:val="bullet"/>
      <w:lvlText w:val="•"/>
      <w:lvlJc w:val="left"/>
      <w:pPr>
        <w:ind w:left="5664" w:hanging="281"/>
      </w:pPr>
      <w:rPr>
        <w:rFonts w:hint="default"/>
      </w:rPr>
    </w:lvl>
    <w:lvl w:ilvl="7">
      <w:start w:val="1"/>
      <w:numFmt w:val="bullet"/>
      <w:lvlText w:val="•"/>
      <w:lvlJc w:val="left"/>
      <w:pPr>
        <w:ind w:left="6588" w:hanging="281"/>
      </w:pPr>
      <w:rPr>
        <w:rFonts w:hint="default"/>
      </w:rPr>
    </w:lvl>
    <w:lvl w:ilvl="8">
      <w:start w:val="1"/>
      <w:numFmt w:val="bullet"/>
      <w:lvlText w:val="•"/>
      <w:lvlJc w:val="left"/>
      <w:pPr>
        <w:ind w:left="7512" w:hanging="281"/>
      </w:pPr>
      <w:rPr>
        <w:rFonts w:hint="default"/>
      </w:rPr>
    </w:lvl>
  </w:abstractNum>
  <w:abstractNum w:abstractNumId="3">
    <w:multiLevelType w:val="hybridMultilevel"/>
    <w:lvl w:ilvl="0">
      <w:start w:val="1"/>
      <w:numFmt w:val="lowerLetter"/>
      <w:lvlText w:val="%1)"/>
      <w:lvlJc w:val="left"/>
      <w:pPr>
        <w:ind w:left="399" w:hanging="281"/>
        <w:jc w:val="left"/>
      </w:pPr>
      <w:rPr>
        <w:rFonts w:hint="default" w:ascii="Arial" w:hAnsi="Arial" w:eastAsia="Arial" w:cs="Arial"/>
        <w:spacing w:val="-3"/>
        <w:w w:val="99"/>
        <w:sz w:val="24"/>
        <w:szCs w:val="24"/>
      </w:rPr>
    </w:lvl>
    <w:lvl w:ilvl="1">
      <w:start w:val="1"/>
      <w:numFmt w:val="bullet"/>
      <w:lvlText w:val="•"/>
      <w:lvlJc w:val="left"/>
      <w:pPr>
        <w:ind w:left="1296" w:hanging="281"/>
      </w:pPr>
      <w:rPr>
        <w:rFonts w:hint="default"/>
      </w:rPr>
    </w:lvl>
    <w:lvl w:ilvl="2">
      <w:start w:val="1"/>
      <w:numFmt w:val="bullet"/>
      <w:lvlText w:val="•"/>
      <w:lvlJc w:val="left"/>
      <w:pPr>
        <w:ind w:left="2192" w:hanging="281"/>
      </w:pPr>
      <w:rPr>
        <w:rFonts w:hint="default"/>
      </w:rPr>
    </w:lvl>
    <w:lvl w:ilvl="3">
      <w:start w:val="1"/>
      <w:numFmt w:val="bullet"/>
      <w:lvlText w:val="•"/>
      <w:lvlJc w:val="left"/>
      <w:pPr>
        <w:ind w:left="3088" w:hanging="281"/>
      </w:pPr>
      <w:rPr>
        <w:rFonts w:hint="default"/>
      </w:rPr>
    </w:lvl>
    <w:lvl w:ilvl="4">
      <w:start w:val="1"/>
      <w:numFmt w:val="bullet"/>
      <w:lvlText w:val="•"/>
      <w:lvlJc w:val="left"/>
      <w:pPr>
        <w:ind w:left="3984" w:hanging="281"/>
      </w:pPr>
      <w:rPr>
        <w:rFonts w:hint="default"/>
      </w:rPr>
    </w:lvl>
    <w:lvl w:ilvl="5">
      <w:start w:val="1"/>
      <w:numFmt w:val="bullet"/>
      <w:lvlText w:val="•"/>
      <w:lvlJc w:val="left"/>
      <w:pPr>
        <w:ind w:left="4880" w:hanging="281"/>
      </w:pPr>
      <w:rPr>
        <w:rFonts w:hint="default"/>
      </w:rPr>
    </w:lvl>
    <w:lvl w:ilvl="6">
      <w:start w:val="1"/>
      <w:numFmt w:val="bullet"/>
      <w:lvlText w:val="•"/>
      <w:lvlJc w:val="left"/>
      <w:pPr>
        <w:ind w:left="5776" w:hanging="281"/>
      </w:pPr>
      <w:rPr>
        <w:rFonts w:hint="default"/>
      </w:rPr>
    </w:lvl>
    <w:lvl w:ilvl="7">
      <w:start w:val="1"/>
      <w:numFmt w:val="bullet"/>
      <w:lvlText w:val="•"/>
      <w:lvlJc w:val="left"/>
      <w:pPr>
        <w:ind w:left="6672" w:hanging="281"/>
      </w:pPr>
      <w:rPr>
        <w:rFonts w:hint="default"/>
      </w:rPr>
    </w:lvl>
    <w:lvl w:ilvl="8">
      <w:start w:val="1"/>
      <w:numFmt w:val="bullet"/>
      <w:lvlText w:val="•"/>
      <w:lvlJc w:val="left"/>
      <w:pPr>
        <w:ind w:left="7568" w:hanging="281"/>
      </w:pPr>
      <w:rPr>
        <w:rFonts w:hint="default"/>
      </w:rPr>
    </w:lvl>
  </w:abstractNum>
  <w:abstractNum w:abstractNumId="2">
    <w:multiLevelType w:val="hybridMultilevel"/>
    <w:lvl w:ilvl="0">
      <w:start w:val="1"/>
      <w:numFmt w:val="lowerLetter"/>
      <w:lvlText w:val="%1)"/>
      <w:lvlJc w:val="left"/>
      <w:pPr>
        <w:ind w:left="118" w:hanging="332"/>
        <w:jc w:val="left"/>
      </w:pPr>
      <w:rPr>
        <w:rFonts w:hint="default" w:ascii="Arial" w:hAnsi="Arial" w:eastAsia="Arial" w:cs="Arial"/>
        <w:w w:val="99"/>
        <w:sz w:val="24"/>
        <w:szCs w:val="24"/>
      </w:rPr>
    </w:lvl>
    <w:lvl w:ilvl="1">
      <w:start w:val="1"/>
      <w:numFmt w:val="bullet"/>
      <w:lvlText w:val=""/>
      <w:lvlJc w:val="left"/>
      <w:pPr>
        <w:ind w:left="838" w:hanging="360"/>
      </w:pPr>
      <w:rPr>
        <w:rFonts w:hint="default" w:ascii="Wingdings" w:hAnsi="Wingdings" w:eastAsia="Wingdings" w:cs="Wingdings"/>
        <w:w w:val="100"/>
        <w:sz w:val="24"/>
        <w:szCs w:val="24"/>
      </w:rPr>
    </w:lvl>
    <w:lvl w:ilvl="2">
      <w:start w:val="1"/>
      <w:numFmt w:val="bullet"/>
      <w:lvlText w:val="•"/>
      <w:lvlJc w:val="left"/>
      <w:pPr>
        <w:ind w:left="1786" w:hanging="360"/>
      </w:pPr>
      <w:rPr>
        <w:rFonts w:hint="default"/>
      </w:rPr>
    </w:lvl>
    <w:lvl w:ilvl="3">
      <w:start w:val="1"/>
      <w:numFmt w:val="bullet"/>
      <w:lvlText w:val="•"/>
      <w:lvlJc w:val="left"/>
      <w:pPr>
        <w:ind w:left="2733" w:hanging="360"/>
      </w:pPr>
      <w:rPr>
        <w:rFonts w:hint="default"/>
      </w:rPr>
    </w:lvl>
    <w:lvl w:ilvl="4">
      <w:start w:val="1"/>
      <w:numFmt w:val="bullet"/>
      <w:lvlText w:val="•"/>
      <w:lvlJc w:val="left"/>
      <w:pPr>
        <w:ind w:left="3680" w:hanging="360"/>
      </w:pPr>
      <w:rPr>
        <w:rFonts w:hint="default"/>
      </w:rPr>
    </w:lvl>
    <w:lvl w:ilvl="5">
      <w:start w:val="1"/>
      <w:numFmt w:val="bullet"/>
      <w:lvlText w:val="•"/>
      <w:lvlJc w:val="left"/>
      <w:pPr>
        <w:ind w:left="4626" w:hanging="360"/>
      </w:pPr>
      <w:rPr>
        <w:rFonts w:hint="default"/>
      </w:rPr>
    </w:lvl>
    <w:lvl w:ilvl="6">
      <w:start w:val="1"/>
      <w:numFmt w:val="bullet"/>
      <w:lvlText w:val="•"/>
      <w:lvlJc w:val="left"/>
      <w:pPr>
        <w:ind w:left="5573" w:hanging="360"/>
      </w:pPr>
      <w:rPr>
        <w:rFonts w:hint="default"/>
      </w:rPr>
    </w:lvl>
    <w:lvl w:ilvl="7">
      <w:start w:val="1"/>
      <w:numFmt w:val="bullet"/>
      <w:lvlText w:val="•"/>
      <w:lvlJc w:val="left"/>
      <w:pPr>
        <w:ind w:left="6520" w:hanging="360"/>
      </w:pPr>
      <w:rPr>
        <w:rFonts w:hint="default"/>
      </w:rPr>
    </w:lvl>
    <w:lvl w:ilvl="8">
      <w:start w:val="1"/>
      <w:numFmt w:val="bullet"/>
      <w:lvlText w:val="•"/>
      <w:lvlJc w:val="left"/>
      <w:pPr>
        <w:ind w:left="7466" w:hanging="360"/>
      </w:pPr>
      <w:rPr>
        <w:rFonts w:hint="default"/>
      </w:rPr>
    </w:lvl>
  </w:abstractNum>
  <w:abstractNum w:abstractNumId="1">
    <w:multiLevelType w:val="hybridMultilevel"/>
    <w:lvl w:ilvl="0">
      <w:start w:val="2"/>
      <w:numFmt w:val="decimal"/>
      <w:lvlText w:val="%1"/>
      <w:lvlJc w:val="left"/>
      <w:pPr>
        <w:ind w:left="522" w:hanging="404"/>
        <w:jc w:val="left"/>
      </w:pPr>
      <w:rPr>
        <w:rFonts w:hint="default"/>
      </w:rPr>
    </w:lvl>
    <w:lvl w:ilvl="1">
      <w:start w:val="1"/>
      <w:numFmt w:val="decimal"/>
      <w:lvlText w:val="%1.%2"/>
      <w:lvlJc w:val="left"/>
      <w:pPr>
        <w:ind w:left="522" w:hanging="404"/>
        <w:jc w:val="left"/>
      </w:pPr>
      <w:rPr>
        <w:rFonts w:hint="default" w:ascii="Arial" w:hAnsi="Arial" w:eastAsia="Arial" w:cs="Arial"/>
        <w:b/>
        <w:bCs/>
        <w:w w:val="99"/>
        <w:sz w:val="24"/>
        <w:szCs w:val="24"/>
      </w:rPr>
    </w:lvl>
    <w:lvl w:ilvl="2">
      <w:start w:val="1"/>
      <w:numFmt w:val="decimal"/>
      <w:lvlText w:val="%1.%2.%3"/>
      <w:lvlJc w:val="left"/>
      <w:pPr>
        <w:ind w:left="654" w:hanging="536"/>
        <w:jc w:val="left"/>
      </w:pPr>
      <w:rPr>
        <w:rFonts w:hint="default" w:ascii="Arial" w:hAnsi="Arial" w:eastAsia="Arial" w:cs="Arial"/>
        <w:b/>
        <w:bCs/>
        <w:spacing w:val="-2"/>
        <w:w w:val="99"/>
        <w:sz w:val="24"/>
        <w:szCs w:val="24"/>
      </w:rPr>
    </w:lvl>
    <w:lvl w:ilvl="3">
      <w:start w:val="1"/>
      <w:numFmt w:val="decimal"/>
      <w:lvlText w:val="%1.%2.%3.%4"/>
      <w:lvlJc w:val="left"/>
      <w:pPr>
        <w:ind w:left="858" w:hanging="740"/>
        <w:jc w:val="left"/>
      </w:pPr>
      <w:rPr>
        <w:rFonts w:hint="default"/>
        <w:w w:val="99"/>
        <w:u w:val="single" w:color="000000"/>
      </w:rPr>
    </w:lvl>
    <w:lvl w:ilvl="4">
      <w:start w:val="1"/>
      <w:numFmt w:val="bullet"/>
      <w:lvlText w:val="•"/>
      <w:lvlJc w:val="left"/>
      <w:pPr>
        <w:ind w:left="2985" w:hanging="740"/>
      </w:pPr>
      <w:rPr>
        <w:rFonts w:hint="default"/>
      </w:rPr>
    </w:lvl>
    <w:lvl w:ilvl="5">
      <w:start w:val="1"/>
      <w:numFmt w:val="bullet"/>
      <w:lvlText w:val="•"/>
      <w:lvlJc w:val="left"/>
      <w:pPr>
        <w:ind w:left="4047" w:hanging="740"/>
      </w:pPr>
      <w:rPr>
        <w:rFonts w:hint="default"/>
      </w:rPr>
    </w:lvl>
    <w:lvl w:ilvl="6">
      <w:start w:val="1"/>
      <w:numFmt w:val="bullet"/>
      <w:lvlText w:val="•"/>
      <w:lvlJc w:val="left"/>
      <w:pPr>
        <w:ind w:left="5110" w:hanging="740"/>
      </w:pPr>
      <w:rPr>
        <w:rFonts w:hint="default"/>
      </w:rPr>
    </w:lvl>
    <w:lvl w:ilvl="7">
      <w:start w:val="1"/>
      <w:numFmt w:val="bullet"/>
      <w:lvlText w:val="•"/>
      <w:lvlJc w:val="left"/>
      <w:pPr>
        <w:ind w:left="6172" w:hanging="740"/>
      </w:pPr>
      <w:rPr>
        <w:rFonts w:hint="default"/>
      </w:rPr>
    </w:lvl>
    <w:lvl w:ilvl="8">
      <w:start w:val="1"/>
      <w:numFmt w:val="bullet"/>
      <w:lvlText w:val="•"/>
      <w:lvlJc w:val="left"/>
      <w:pPr>
        <w:ind w:left="7235" w:hanging="740"/>
      </w:pPr>
      <w:rPr>
        <w:rFonts w:hint="default"/>
      </w:rPr>
    </w:lvl>
  </w:abstractNum>
  <w:abstractNum w:abstractNumId="0">
    <w:multiLevelType w:val="hybridMultilevel"/>
    <w:lvl w:ilvl="0">
      <w:start w:val="1"/>
      <w:numFmt w:val="decimal"/>
      <w:lvlText w:val="%1."/>
      <w:lvlJc w:val="left"/>
      <w:pPr>
        <w:ind w:left="3879" w:hanging="269"/>
        <w:jc w:val="right"/>
      </w:pPr>
      <w:rPr>
        <w:rFonts w:hint="default" w:ascii="Arial" w:hAnsi="Arial" w:eastAsia="Arial" w:cs="Arial"/>
        <w:b/>
        <w:bCs/>
        <w:spacing w:val="-1"/>
        <w:w w:val="99"/>
        <w:sz w:val="24"/>
        <w:szCs w:val="24"/>
      </w:rPr>
    </w:lvl>
    <w:lvl w:ilvl="1">
      <w:start w:val="1"/>
      <w:numFmt w:val="bullet"/>
      <w:lvlText w:val="•"/>
      <w:lvlJc w:val="left"/>
      <w:pPr>
        <w:ind w:left="4428" w:hanging="269"/>
      </w:pPr>
      <w:rPr>
        <w:rFonts w:hint="default"/>
      </w:rPr>
    </w:lvl>
    <w:lvl w:ilvl="2">
      <w:start w:val="1"/>
      <w:numFmt w:val="bullet"/>
      <w:lvlText w:val="•"/>
      <w:lvlJc w:val="left"/>
      <w:pPr>
        <w:ind w:left="4976" w:hanging="269"/>
      </w:pPr>
      <w:rPr>
        <w:rFonts w:hint="default"/>
      </w:rPr>
    </w:lvl>
    <w:lvl w:ilvl="3">
      <w:start w:val="1"/>
      <w:numFmt w:val="bullet"/>
      <w:lvlText w:val="•"/>
      <w:lvlJc w:val="left"/>
      <w:pPr>
        <w:ind w:left="5524" w:hanging="269"/>
      </w:pPr>
      <w:rPr>
        <w:rFonts w:hint="default"/>
      </w:rPr>
    </w:lvl>
    <w:lvl w:ilvl="4">
      <w:start w:val="1"/>
      <w:numFmt w:val="bullet"/>
      <w:lvlText w:val="•"/>
      <w:lvlJc w:val="left"/>
      <w:pPr>
        <w:ind w:left="6072" w:hanging="269"/>
      </w:pPr>
      <w:rPr>
        <w:rFonts w:hint="default"/>
      </w:rPr>
    </w:lvl>
    <w:lvl w:ilvl="5">
      <w:start w:val="1"/>
      <w:numFmt w:val="bullet"/>
      <w:lvlText w:val="•"/>
      <w:lvlJc w:val="left"/>
      <w:pPr>
        <w:ind w:left="6620" w:hanging="269"/>
      </w:pPr>
      <w:rPr>
        <w:rFonts w:hint="default"/>
      </w:rPr>
    </w:lvl>
    <w:lvl w:ilvl="6">
      <w:start w:val="1"/>
      <w:numFmt w:val="bullet"/>
      <w:lvlText w:val="•"/>
      <w:lvlJc w:val="left"/>
      <w:pPr>
        <w:ind w:left="7168" w:hanging="269"/>
      </w:pPr>
      <w:rPr>
        <w:rFonts w:hint="default"/>
      </w:rPr>
    </w:lvl>
    <w:lvl w:ilvl="7">
      <w:start w:val="1"/>
      <w:numFmt w:val="bullet"/>
      <w:lvlText w:val="•"/>
      <w:lvlJc w:val="left"/>
      <w:pPr>
        <w:ind w:left="7716" w:hanging="269"/>
      </w:pPr>
      <w:rPr>
        <w:rFonts w:hint="default"/>
      </w:rPr>
    </w:lvl>
    <w:lvl w:ilvl="8">
      <w:start w:val="1"/>
      <w:numFmt w:val="bullet"/>
      <w:lvlText w:val="•"/>
      <w:lvlJc w:val="left"/>
      <w:pPr>
        <w:ind w:left="8264" w:hanging="269"/>
      </w:pPr>
      <w:rPr>
        <w:rFonts w:hint="default"/>
      </w:rPr>
    </w:lvl>
  </w:abstractNum>
  <w:num w:numId="21">
    <w:abstractNumId w:val="20"/>
  </w:num>
  <w:num w:numId="20">
    <w:abstractNumId w:val="19"/>
  </w:num>
  <w:num w:numId="19">
    <w:abstractNumId w:val="18"/>
  </w:num>
  <w:num w:numId="18">
    <w:abstractNumId w:val="17"/>
  </w:num>
  <w:num w:numId="17">
    <w:abstractNumId w:val="16"/>
  </w:num>
  <w:num w:numId="16">
    <w:abstractNumId w:val="15"/>
  </w:num>
  <w:num w:numId="15">
    <w:abstractNumId w:val="14"/>
  </w:num>
  <w:num w:numId="14">
    <w:abstractNumId w:val="13"/>
  </w:num>
  <w:num w:numId="13">
    <w:abstractNumId w:val="12"/>
  </w:num>
  <w:num w:numId="12">
    <w:abstractNumId w:val="11"/>
  </w:num>
  <w:num w:numId="11">
    <w:abstractNumId w:val="10"/>
  </w:num>
  <w:num w:numId="10">
    <w:abstractNumId w:val="9"/>
  </w:num>
  <w:num w:numId="9">
    <w:abstractNumId w:val="8"/>
  </w:num>
  <w:num w:numId="8">
    <w:abstractNumId w:val="7"/>
  </w:num>
  <w:num w:numId="7">
    <w:abstractNumId w:val="6"/>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Arial" w:hAnsi="Arial" w:eastAsia="Arial" w:cs="Arial"/>
    </w:rPr>
  </w:style>
  <w:style w:styleId="BodyText" w:type="paragraph">
    <w:name w:val="Body Text"/>
    <w:basedOn w:val="Normal"/>
    <w:uiPriority w:val="1"/>
    <w:qFormat/>
    <w:pPr/>
    <w:rPr>
      <w:rFonts w:ascii="Arial" w:hAnsi="Arial" w:eastAsia="Arial" w:cs="Arial"/>
      <w:sz w:val="24"/>
      <w:szCs w:val="24"/>
    </w:rPr>
  </w:style>
  <w:style w:styleId="Heading1" w:type="paragraph">
    <w:name w:val="Heading 1"/>
    <w:basedOn w:val="Normal"/>
    <w:uiPriority w:val="1"/>
    <w:qFormat/>
    <w:pPr>
      <w:spacing w:before="44"/>
      <w:ind w:left="538" w:hanging="420"/>
      <w:outlineLvl w:val="1"/>
    </w:pPr>
    <w:rPr>
      <w:rFonts w:ascii="Calibri" w:hAnsi="Calibri" w:eastAsia="Calibri" w:cs="Calibri"/>
      <w:b/>
      <w:bCs/>
      <w:sz w:val="28"/>
      <w:szCs w:val="28"/>
    </w:rPr>
  </w:style>
  <w:style w:styleId="Heading2" w:type="paragraph">
    <w:name w:val="Heading 2"/>
    <w:basedOn w:val="Normal"/>
    <w:uiPriority w:val="1"/>
    <w:qFormat/>
    <w:pPr>
      <w:ind w:left="721"/>
      <w:jc w:val="both"/>
      <w:outlineLvl w:val="2"/>
    </w:pPr>
    <w:rPr>
      <w:rFonts w:ascii="Arial" w:hAnsi="Arial" w:eastAsia="Arial" w:cs="Arial"/>
      <w:b/>
      <w:bCs/>
      <w:sz w:val="24"/>
      <w:szCs w:val="24"/>
    </w:rPr>
  </w:style>
  <w:style w:styleId="ListParagraph" w:type="paragraph">
    <w:name w:val="List Paragraph"/>
    <w:basedOn w:val="Normal"/>
    <w:uiPriority w:val="1"/>
    <w:qFormat/>
    <w:pPr>
      <w:ind w:left="118" w:hanging="360"/>
      <w:jc w:val="both"/>
    </w:pPr>
    <w:rPr>
      <w:rFonts w:ascii="Arial" w:hAnsi="Arial" w:eastAsia="Arial" w:cs="Arial"/>
    </w:rPr>
  </w:style>
  <w:style w:styleId="TableParagraph" w:type="paragraph">
    <w:name w:val="Table Paragraph"/>
    <w:basedOn w:val="Normal"/>
    <w:uiPriority w:val="1"/>
    <w:qFormat/>
    <w:pPr>
      <w:ind w:left="200"/>
    </w:pPr>
    <w:rPr>
      <w:rFonts w:ascii="Arial" w:hAnsi="Arial" w:eastAsia="Arial" w:cs="Arial"/>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header" Target="header1.xml"/><Relationship Id="rId6" Type="http://schemas.openxmlformats.org/officeDocument/2006/relationships/image" Target="media/image1.jpeg"/><Relationship Id="rId7" Type="http://schemas.openxmlformats.org/officeDocument/2006/relationships/image" Target="media/image2.jpeg"/><Relationship Id="rId8" Type="http://schemas.openxmlformats.org/officeDocument/2006/relationships/footer" Target="footer1.xml"/><Relationship Id="rId9" Type="http://schemas.openxmlformats.org/officeDocument/2006/relationships/image" Target="media/image3.jpeg"/><Relationship Id="rId10" Type="http://schemas.openxmlformats.org/officeDocument/2006/relationships/image" Target="media/image4.jpeg"/><Relationship Id="rId11" Type="http://schemas.openxmlformats.org/officeDocument/2006/relationships/footer" Target="footer2.xml"/><Relationship Id="rId12" Type="http://schemas.openxmlformats.org/officeDocument/2006/relationships/image" Target="media/image5.jpeg"/><Relationship Id="rId13" Type="http://schemas.openxmlformats.org/officeDocument/2006/relationships/footer" Target="footer3.xml"/><Relationship Id="rId14" Type="http://schemas.openxmlformats.org/officeDocument/2006/relationships/image" Target="media/image6.jpeg"/><Relationship Id="rId15" Type="http://schemas.openxmlformats.org/officeDocument/2006/relationships/image" Target="media/image7.png"/><Relationship Id="rId16" Type="http://schemas.openxmlformats.org/officeDocument/2006/relationships/image" Target="media/image8.jpeg"/><Relationship Id="rId17" Type="http://schemas.openxmlformats.org/officeDocument/2006/relationships/image" Target="media/image9.png"/><Relationship Id="rId18" Type="http://schemas.openxmlformats.org/officeDocument/2006/relationships/footer" Target="footer4.xml"/><Relationship Id="rId19" Type="http://schemas.openxmlformats.org/officeDocument/2006/relationships/footer" Target="footer5.xml"/><Relationship Id="rId20" Type="http://schemas.openxmlformats.org/officeDocument/2006/relationships/image" Target="media/image10.png"/><Relationship Id="rId21" Type="http://schemas.openxmlformats.org/officeDocument/2006/relationships/image" Target="media/image11.jpeg"/><Relationship Id="rId22" Type="http://schemas.openxmlformats.org/officeDocument/2006/relationships/image" Target="media/image12.jpeg"/><Relationship Id="rId23" Type="http://schemas.openxmlformats.org/officeDocument/2006/relationships/footer" Target="footer6.xml"/><Relationship Id="rId24" Type="http://schemas.openxmlformats.org/officeDocument/2006/relationships/image" Target="media/image13.jpeg"/><Relationship Id="rId25" Type="http://schemas.openxmlformats.org/officeDocument/2006/relationships/image" Target="media/image14.jpeg"/><Relationship Id="rId26" Type="http://schemas.openxmlformats.org/officeDocument/2006/relationships/footer" Target="footer7.xml"/><Relationship Id="rId27" Type="http://schemas.openxmlformats.org/officeDocument/2006/relationships/image" Target="media/image15.jpeg"/><Relationship Id="rId28" Type="http://schemas.openxmlformats.org/officeDocument/2006/relationships/image" Target="media/image16.jpeg"/><Relationship Id="rId29" Type="http://schemas.openxmlformats.org/officeDocument/2006/relationships/image" Target="media/image17.jpeg"/><Relationship Id="rId30" Type="http://schemas.openxmlformats.org/officeDocument/2006/relationships/footer" Target="footer8.xml"/><Relationship Id="rId31" Type="http://schemas.openxmlformats.org/officeDocument/2006/relationships/footer" Target="footer9.xml"/><Relationship Id="rId32" Type="http://schemas.openxmlformats.org/officeDocument/2006/relationships/image" Target="media/image18.png"/><Relationship Id="rId33" Type="http://schemas.openxmlformats.org/officeDocument/2006/relationships/image" Target="media/image19.jpeg"/><Relationship Id="rId34" Type="http://schemas.openxmlformats.org/officeDocument/2006/relationships/image" Target="media/image20.png"/><Relationship Id="rId35" Type="http://schemas.openxmlformats.org/officeDocument/2006/relationships/image" Target="media/image21.jpeg"/><Relationship Id="rId36" Type="http://schemas.openxmlformats.org/officeDocument/2006/relationships/footer" Target="footer10.xml"/><Relationship Id="rId37" Type="http://schemas.openxmlformats.org/officeDocument/2006/relationships/image" Target="media/image22.png"/><Relationship Id="rId38" Type="http://schemas.openxmlformats.org/officeDocument/2006/relationships/image" Target="media/image23.png"/><Relationship Id="rId39" Type="http://schemas.openxmlformats.org/officeDocument/2006/relationships/footer" Target="footer11.xml"/><Relationship Id="rId40" Type="http://schemas.openxmlformats.org/officeDocument/2006/relationships/image" Target="media/image24.jpeg"/><Relationship Id="rId41" Type="http://schemas.openxmlformats.org/officeDocument/2006/relationships/image" Target="media/image25.jpeg"/><Relationship Id="rId42" Type="http://schemas.openxmlformats.org/officeDocument/2006/relationships/image" Target="media/image26.png"/><Relationship Id="rId43" Type="http://schemas.openxmlformats.org/officeDocument/2006/relationships/image" Target="media/image27.png"/><Relationship Id="rId44" Type="http://schemas.openxmlformats.org/officeDocument/2006/relationships/image" Target="media/image28.png"/><Relationship Id="rId45" Type="http://schemas.openxmlformats.org/officeDocument/2006/relationships/image" Target="media/image29.jpeg"/><Relationship Id="rId46" Type="http://schemas.openxmlformats.org/officeDocument/2006/relationships/image" Target="media/image30.png"/><Relationship Id="rId47" Type="http://schemas.openxmlformats.org/officeDocument/2006/relationships/image" Target="media/image31.jpeg"/><Relationship Id="rId48" Type="http://schemas.openxmlformats.org/officeDocument/2006/relationships/image" Target="media/image32.png"/><Relationship Id="rId49" Type="http://schemas.openxmlformats.org/officeDocument/2006/relationships/image" Target="media/image33.png"/><Relationship Id="rId50" Type="http://schemas.openxmlformats.org/officeDocument/2006/relationships/image" Target="media/image34.png"/><Relationship Id="rId51" Type="http://schemas.openxmlformats.org/officeDocument/2006/relationships/image" Target="media/image35.png"/><Relationship Id="rId52" Type="http://schemas.openxmlformats.org/officeDocument/2006/relationships/image" Target="media/image36.png"/><Relationship Id="rId53" Type="http://schemas.openxmlformats.org/officeDocument/2006/relationships/image" Target="media/image37.png"/><Relationship Id="rId54" Type="http://schemas.openxmlformats.org/officeDocument/2006/relationships/image" Target="media/image38.png"/><Relationship Id="rId55" Type="http://schemas.openxmlformats.org/officeDocument/2006/relationships/image" Target="media/image39.png"/><Relationship Id="rId56" Type="http://schemas.openxmlformats.org/officeDocument/2006/relationships/image" Target="media/image40.png"/><Relationship Id="rId57" Type="http://schemas.openxmlformats.org/officeDocument/2006/relationships/image" Target="media/image41.png"/><Relationship Id="rId58" Type="http://schemas.openxmlformats.org/officeDocument/2006/relationships/image" Target="media/image42.png"/><Relationship Id="rId59" Type="http://schemas.openxmlformats.org/officeDocument/2006/relationships/image" Target="media/image43.png"/><Relationship Id="rId60" Type="http://schemas.openxmlformats.org/officeDocument/2006/relationships/image" Target="media/image44.png"/><Relationship Id="rId61" Type="http://schemas.openxmlformats.org/officeDocument/2006/relationships/image" Target="media/image45.jpeg"/><Relationship Id="rId62" Type="http://schemas.openxmlformats.org/officeDocument/2006/relationships/footer" Target="footer12.xml"/><Relationship Id="rId63" Type="http://schemas.openxmlformats.org/officeDocument/2006/relationships/footer" Target="footer13.xml"/><Relationship Id="rId64" Type="http://schemas.openxmlformats.org/officeDocument/2006/relationships/hyperlink" Target="http://www.aae.org/" TargetMode="External"/><Relationship Id="rId65" Type="http://schemas.openxmlformats.org/officeDocument/2006/relationships/hyperlink" Target="http://www.who.int/topics/epilepsy/es/" TargetMode="External"/><Relationship Id="rId66" Type="http://schemas.openxmlformats.org/officeDocument/2006/relationships/hyperlink" Target="http://www.epilepsiamexico.gob.mx/seguro/info-medico/libros.htm" TargetMode="External"/><Relationship Id="rId67" Type="http://schemas.openxmlformats.org/officeDocument/2006/relationships/hyperlink" Target="http://onlinelibrary.wiley.com/doi/10.1111/epi.2010.51.issue-4/issuetoc" TargetMode="External"/><Relationship Id="rId68" Type="http://schemas.openxmlformats.org/officeDocument/2006/relationships/hyperlink" Target="https://scholar.google.com.mx/citations?user=dwO_HxUAAAAJ&amp;amp;hl=es&amp;amp;oi=sra" TargetMode="External"/><Relationship Id="rId69" Type="http://schemas.openxmlformats.org/officeDocument/2006/relationships/hyperlink" Target="http://www.biblioteca-medica.com.ar/2012/01/que-es-la-epilepsia.html" TargetMode="External"/><Relationship Id="rId70" Type="http://schemas.openxmlformats.org/officeDocument/2006/relationships/hyperlink" Target="http://cdigital.uv.mx/bitstream" TargetMode="External"/><Relationship Id="rId71" Type="http://schemas.openxmlformats.org/officeDocument/2006/relationships/image" Target="media/image46.jpeg"/><Relationship Id="rId72" Type="http://schemas.openxmlformats.org/officeDocument/2006/relationships/image" Target="media/image47.jpeg"/><Relationship Id="rId73" Type="http://schemas.openxmlformats.org/officeDocument/2006/relationships/image" Target="media/image48.jpeg"/><Relationship Id="rId74" Type="http://schemas.openxmlformats.org/officeDocument/2006/relationships/footer" Target="footer14.xml"/><Relationship Id="rId75" Type="http://schemas.openxmlformats.org/officeDocument/2006/relationships/image" Target="media/image49.jpeg"/><Relationship Id="rId76" Type="http://schemas.openxmlformats.org/officeDocument/2006/relationships/footer" Target="footer15.xml"/><Relationship Id="rId77" Type="http://schemas.openxmlformats.org/officeDocument/2006/relationships/image" Target="media/image50.jpeg"/><Relationship Id="rId78" Type="http://schemas.openxmlformats.org/officeDocument/2006/relationships/image" Target="media/image51.jpeg"/><Relationship Id="rId79" Type="http://schemas.openxmlformats.org/officeDocument/2006/relationships/image" Target="media/image52.jpeg"/><Relationship Id="rId80" Type="http://schemas.openxmlformats.org/officeDocument/2006/relationships/image" Target="media/image53.jpeg"/><Relationship Id="rId81" Type="http://schemas.openxmlformats.org/officeDocument/2006/relationships/image" Target="media/image54.jpeg"/><Relationship Id="rId82" Type="http://schemas.openxmlformats.org/officeDocument/2006/relationships/image" Target="media/image55.jpeg"/><Relationship Id="rId83" Type="http://schemas.openxmlformats.org/officeDocument/2006/relationships/image" Target="media/image56.jpeg"/><Relationship Id="rId84" Type="http://schemas.openxmlformats.org/officeDocument/2006/relationships/image" Target="media/image57.jpeg"/><Relationship Id="rId85" Type="http://schemas.openxmlformats.org/officeDocument/2006/relationships/image" Target="media/image58.jpeg"/><Relationship Id="rId86" Type="http://schemas.openxmlformats.org/officeDocument/2006/relationships/footer" Target="footer16.xml"/><Relationship Id="rId87" Type="http://schemas.openxmlformats.org/officeDocument/2006/relationships/image" Target="media/image59.jpeg"/><Relationship Id="rId88" Type="http://schemas.openxmlformats.org/officeDocument/2006/relationships/footer" Target="footer17.xml"/><Relationship Id="rId89" Type="http://schemas.openxmlformats.org/officeDocument/2006/relationships/image" Target="media/image60.jpeg"/><Relationship Id="rId90" Type="http://schemas.openxmlformats.org/officeDocument/2006/relationships/image" Target="media/image61.jpeg"/><Relationship Id="rId91" Type="http://schemas.openxmlformats.org/officeDocument/2006/relationships/image" Target="media/image62.jpeg"/><Relationship Id="rId92" Type="http://schemas.openxmlformats.org/officeDocument/2006/relationships/image" Target="media/image63.jpeg"/><Relationship Id="rId93" Type="http://schemas.openxmlformats.org/officeDocument/2006/relationships/image" Target="media/image64.jpeg"/><Relationship Id="rId94"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Centor</dc:creator>
  <dcterms:created xsi:type="dcterms:W3CDTF">2017-05-27T02:18:33Z</dcterms:created>
  <dcterms:modified xsi:type="dcterms:W3CDTF">2017-05-27T02:18:33Z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2015-11-26T00:00:00Z</vt:filetime>
  </property>
  <property fmtid="{D5CDD505-2E9C-101B-9397-08002B2CF9AE}" pid="3" name="Creator">
    <vt:lpwstr>Microsoft® Word 2013</vt:lpwstr>
  </property>
  <property fmtid="{D5CDD505-2E9C-101B-9397-08002B2CF9AE}" pid="4" name="LastSaved">
    <vt:filetime>2017-05-27T00:00:00Z</vt:filetime>
  </property>
</Properties>
</file>