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png" ContentType="image/png"/>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rPr>
          <w:rFonts w:ascii="Times New Roman"/>
          <w:sz w:val="20"/>
        </w:rPr>
      </w:pPr>
    </w:p>
    <w:p>
      <w:pPr>
        <w:pStyle w:val="Heading1"/>
        <w:spacing w:line="571" w:lineRule="auto"/>
        <w:ind w:left="4014" w:hanging="1268"/>
      </w:pPr>
      <w:r>
        <w:rPr/>
        <w:drawing>
          <wp:anchor distT="0" distB="0" distL="0" distR="0" allowOverlap="1" layoutInCell="1" locked="0" behindDoc="0" simplePos="0" relativeHeight="0">
            <wp:simplePos x="0" y="0"/>
            <wp:positionH relativeFrom="page">
              <wp:posOffset>525144</wp:posOffset>
            </wp:positionH>
            <wp:positionV relativeFrom="paragraph">
              <wp:posOffset>-153468</wp:posOffset>
            </wp:positionV>
            <wp:extent cx="1140460" cy="102870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40460" cy="1028700"/>
                    </a:xfrm>
                    <a:prstGeom prst="rect">
                      <a:avLst/>
                    </a:prstGeom>
                  </pic:spPr>
                </pic:pic>
              </a:graphicData>
            </a:graphic>
          </wp:anchor>
        </w:drawing>
      </w:r>
      <w:r>
        <w:rPr/>
        <w:t>UNIVERSIDAD AUTÓNOMA DEL ESTADO DE MÉXICO FACULTAD DE ODONTOLOGÍA</w:t>
      </w:r>
    </w:p>
    <w:p>
      <w:pPr>
        <w:pStyle w:val="BodyText"/>
        <w:rPr>
          <w:b/>
        </w:rPr>
      </w:pPr>
    </w:p>
    <w:p>
      <w:pPr>
        <w:spacing w:before="163"/>
        <w:ind w:left="2685" w:right="1861" w:firstLine="0"/>
        <w:jc w:val="center"/>
        <w:rPr>
          <w:b/>
          <w:sz w:val="24"/>
        </w:rPr>
      </w:pPr>
      <w:r>
        <w:rPr/>
        <w:pict>
          <v:line style="position:absolute;mso-position-horizontal-relative:page;mso-position-vertical-relative:paragraph;z-index:1048" from="80.300003pt,11.365857pt" to="80.300003pt,478.415857pt" stroked="true" strokeweight="2.25pt" strokecolor="#000000">
            <w10:wrap type="none"/>
          </v:line>
        </w:pict>
      </w:r>
      <w:r>
        <w:rPr>
          <w:b/>
          <w:sz w:val="24"/>
        </w:rPr>
        <w:t>CENTRO DE INVESTIGACIÓN</w:t>
      </w:r>
    </w:p>
    <w:p>
      <w:pPr>
        <w:pStyle w:val="BodyText"/>
        <w:spacing w:before="5"/>
        <w:rPr>
          <w:b/>
          <w:sz w:val="29"/>
        </w:rPr>
      </w:pPr>
    </w:p>
    <w:p>
      <w:pPr>
        <w:spacing w:line="535" w:lineRule="auto" w:before="0"/>
        <w:ind w:left="2697" w:right="1861" w:firstLine="0"/>
        <w:jc w:val="center"/>
        <w:rPr>
          <w:b/>
          <w:sz w:val="24"/>
        </w:rPr>
      </w:pPr>
      <w:r>
        <w:rPr>
          <w:b/>
          <w:sz w:val="24"/>
        </w:rPr>
        <w:t>Y ESTUDIOS AVANZADOS EN ODONTOLOGÍA “DR. KEISABURO MIYATA”</w:t>
      </w:r>
    </w:p>
    <w:p>
      <w:pPr>
        <w:pStyle w:val="BodyText"/>
        <w:spacing w:before="6"/>
        <w:rPr>
          <w:b/>
          <w:sz w:val="28"/>
        </w:rPr>
      </w:pPr>
    </w:p>
    <w:p>
      <w:pPr>
        <w:spacing w:line="276" w:lineRule="auto" w:before="70"/>
        <w:ind w:left="3275" w:right="1317" w:hanging="452"/>
        <w:jc w:val="left"/>
        <w:rPr>
          <w:b/>
          <w:sz w:val="24"/>
        </w:rPr>
      </w:pPr>
      <w:r>
        <w:rPr>
          <w:b/>
          <w:sz w:val="24"/>
        </w:rPr>
        <w:t>INFLUENCIA DE LA LACTANCIA MATERNA EN LA OCLUSIÓN EN LA DENTICIÓN TEMPORAL</w:t>
      </w:r>
    </w:p>
    <w:p>
      <w:pPr>
        <w:pStyle w:val="BodyText"/>
        <w:rPr>
          <w:b/>
          <w:sz w:val="20"/>
        </w:rPr>
      </w:pPr>
    </w:p>
    <w:p>
      <w:pPr>
        <w:pStyle w:val="BodyText"/>
        <w:rPr>
          <w:b/>
          <w:sz w:val="20"/>
        </w:rPr>
      </w:pPr>
    </w:p>
    <w:p>
      <w:pPr>
        <w:pStyle w:val="BodyText"/>
        <w:spacing w:before="5"/>
        <w:rPr>
          <w:b/>
          <w:sz w:val="25"/>
        </w:rPr>
      </w:pPr>
    </w:p>
    <w:p>
      <w:pPr>
        <w:spacing w:before="69"/>
        <w:ind w:left="2684" w:right="1861" w:firstLine="0"/>
        <w:jc w:val="center"/>
        <w:rPr>
          <w:b/>
          <w:sz w:val="24"/>
        </w:rPr>
      </w:pPr>
      <w:r>
        <w:rPr>
          <w:b/>
          <w:sz w:val="24"/>
        </w:rPr>
        <w:t>PROYECTO TERMINAL</w:t>
      </w:r>
    </w:p>
    <w:p>
      <w:pPr>
        <w:pStyle w:val="BodyText"/>
        <w:spacing w:before="4"/>
        <w:rPr>
          <w:b/>
          <w:sz w:val="29"/>
        </w:rPr>
      </w:pPr>
    </w:p>
    <w:p>
      <w:pPr>
        <w:spacing w:line="535" w:lineRule="auto" w:before="1"/>
        <w:ind w:left="3097" w:right="2261" w:hanging="3"/>
        <w:jc w:val="center"/>
        <w:rPr>
          <w:b/>
          <w:sz w:val="24"/>
        </w:rPr>
      </w:pPr>
      <w:r>
        <w:rPr>
          <w:b/>
          <w:sz w:val="24"/>
        </w:rPr>
        <w:t>QUE PARA OBTENER EL DIPLOMA DE: ESPECIALISTA EN ODONTOPEDIATRÍA</w:t>
      </w:r>
    </w:p>
    <w:p>
      <w:pPr>
        <w:pStyle w:val="BodyText"/>
        <w:rPr>
          <w:b/>
        </w:rPr>
      </w:pPr>
    </w:p>
    <w:p>
      <w:pPr>
        <w:pStyle w:val="BodyText"/>
        <w:spacing w:before="8"/>
        <w:rPr>
          <w:b/>
          <w:sz w:val="29"/>
        </w:rPr>
      </w:pPr>
    </w:p>
    <w:p>
      <w:pPr>
        <w:spacing w:before="0"/>
        <w:ind w:left="2690" w:right="1861" w:firstLine="0"/>
        <w:jc w:val="center"/>
        <w:rPr>
          <w:b/>
          <w:sz w:val="24"/>
        </w:rPr>
      </w:pPr>
      <w:r>
        <w:rPr>
          <w:b/>
          <w:sz w:val="24"/>
        </w:rPr>
        <w:t>PRESENTA:</w:t>
      </w:r>
    </w:p>
    <w:p>
      <w:pPr>
        <w:pStyle w:val="BodyText"/>
        <w:spacing w:before="10"/>
        <w:rPr>
          <w:b/>
          <w:sz w:val="29"/>
        </w:rPr>
      </w:pPr>
    </w:p>
    <w:p>
      <w:pPr>
        <w:pStyle w:val="BodyText"/>
        <w:ind w:left="2691" w:right="1861"/>
        <w:jc w:val="center"/>
      </w:pPr>
      <w:r>
        <w:rPr/>
        <w:t>CD.ALEJANDRA REQUENA MENDOZA</w:t>
      </w:r>
    </w:p>
    <w:p>
      <w:pPr>
        <w:pStyle w:val="BodyText"/>
        <w:rPr>
          <w:sz w:val="29"/>
        </w:rPr>
      </w:pPr>
    </w:p>
    <w:p>
      <w:pPr>
        <w:pStyle w:val="Heading1"/>
        <w:spacing w:before="0"/>
        <w:ind w:left="2697" w:right="1859"/>
        <w:jc w:val="center"/>
      </w:pPr>
      <w:r>
        <w:rPr/>
        <w:t>DIRECTOR:</w:t>
      </w:r>
    </w:p>
    <w:p>
      <w:pPr>
        <w:pStyle w:val="BodyText"/>
        <w:spacing w:before="10"/>
        <w:rPr>
          <w:b/>
          <w:sz w:val="29"/>
        </w:rPr>
      </w:pPr>
    </w:p>
    <w:p>
      <w:pPr>
        <w:pStyle w:val="ListParagraph"/>
        <w:numPr>
          <w:ilvl w:val="0"/>
          <w:numId w:val="1"/>
        </w:numPr>
        <w:tabs>
          <w:tab w:pos="3136" w:val="left" w:leader="none"/>
        </w:tabs>
        <w:spacing w:line="240" w:lineRule="auto" w:before="0" w:after="0"/>
        <w:ind w:left="3135" w:right="0" w:hanging="331"/>
        <w:jc w:val="center"/>
        <w:rPr>
          <w:sz w:val="24"/>
        </w:rPr>
      </w:pPr>
      <w:r>
        <w:rPr>
          <w:sz w:val="24"/>
        </w:rPr>
        <w:t>en ED. NORMA LETICIA ROBLES</w:t>
      </w:r>
      <w:r>
        <w:rPr>
          <w:spacing w:val="-13"/>
          <w:sz w:val="24"/>
        </w:rPr>
        <w:t> </w:t>
      </w:r>
      <w:r>
        <w:rPr>
          <w:sz w:val="24"/>
        </w:rPr>
        <w:t>BERMEO</w:t>
      </w:r>
    </w:p>
    <w:p>
      <w:pPr>
        <w:pStyle w:val="BodyText"/>
        <w:rPr>
          <w:sz w:val="29"/>
        </w:rPr>
      </w:pPr>
    </w:p>
    <w:p>
      <w:pPr>
        <w:pStyle w:val="Heading1"/>
        <w:spacing w:before="0"/>
        <w:ind w:left="2690" w:right="1861"/>
        <w:jc w:val="center"/>
      </w:pPr>
      <w:r>
        <w:rPr/>
        <w:t>ASESOR:</w:t>
      </w:r>
    </w:p>
    <w:p>
      <w:pPr>
        <w:pStyle w:val="BodyText"/>
        <w:spacing w:before="9"/>
        <w:rPr>
          <w:b/>
          <w:sz w:val="29"/>
        </w:rPr>
      </w:pPr>
    </w:p>
    <w:p>
      <w:pPr>
        <w:pStyle w:val="BodyText"/>
        <w:ind w:left="2564" w:right="1861"/>
        <w:jc w:val="center"/>
      </w:pPr>
      <w:r>
        <w:rPr/>
        <w:t>DRA. en C.S. EDITH LARA CARRILLO</w:t>
      </w:r>
    </w:p>
    <w:p>
      <w:pPr>
        <w:pStyle w:val="BodyText"/>
        <w:spacing w:before="5"/>
        <w:rPr>
          <w:sz w:val="29"/>
        </w:rPr>
      </w:pPr>
    </w:p>
    <w:p>
      <w:pPr>
        <w:pStyle w:val="ListParagraph"/>
        <w:numPr>
          <w:ilvl w:val="1"/>
          <w:numId w:val="1"/>
        </w:numPr>
        <w:tabs>
          <w:tab w:pos="3957" w:val="left" w:leader="none"/>
        </w:tabs>
        <w:spacing w:line="240" w:lineRule="auto" w:before="0" w:after="0"/>
        <w:ind w:left="3956" w:right="0" w:hanging="331"/>
        <w:jc w:val="left"/>
        <w:rPr>
          <w:sz w:val="24"/>
        </w:rPr>
      </w:pPr>
      <w:r>
        <w:rPr/>
        <w:drawing>
          <wp:anchor distT="0" distB="0" distL="0" distR="0" allowOverlap="1" layoutInCell="1" locked="0" behindDoc="0" simplePos="0" relativeHeight="1072">
            <wp:simplePos x="0" y="0"/>
            <wp:positionH relativeFrom="page">
              <wp:posOffset>445134</wp:posOffset>
            </wp:positionH>
            <wp:positionV relativeFrom="paragraph">
              <wp:posOffset>120978</wp:posOffset>
            </wp:positionV>
            <wp:extent cx="972185" cy="129984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72185" cy="1299845"/>
                    </a:xfrm>
                    <a:prstGeom prst="rect">
                      <a:avLst/>
                    </a:prstGeom>
                  </pic:spPr>
                </pic:pic>
              </a:graphicData>
            </a:graphic>
          </wp:anchor>
        </w:drawing>
      </w:r>
      <w:r>
        <w:rPr>
          <w:sz w:val="24"/>
        </w:rPr>
        <w:t>en F.P. GABRIELA GASCA</w:t>
      </w:r>
      <w:r>
        <w:rPr>
          <w:spacing w:val="-12"/>
          <w:sz w:val="24"/>
        </w:rPr>
        <w:t> </w:t>
      </w:r>
      <w:r>
        <w:rPr>
          <w:sz w:val="24"/>
        </w:rPr>
        <w:t>ARGUETA</w:t>
      </w:r>
    </w:p>
    <w:p>
      <w:pPr>
        <w:spacing w:after="0" w:line="240" w:lineRule="auto"/>
        <w:jc w:val="left"/>
        <w:rPr>
          <w:sz w:val="24"/>
        </w:rPr>
        <w:sectPr>
          <w:type w:val="continuous"/>
          <w:pgSz w:w="12240" w:h="15840"/>
          <w:pgMar w:top="1380" w:bottom="0" w:left="600" w:right="1720"/>
        </w:sectPr>
      </w:pPr>
    </w:p>
    <w:p>
      <w:pPr>
        <w:pStyle w:val="BodyText"/>
        <w:spacing w:before="1"/>
        <w:rPr>
          <w:sz w:val="10"/>
        </w:rPr>
      </w:pPr>
    </w:p>
    <w:p>
      <w:pPr>
        <w:pStyle w:val="Heading1"/>
        <w:spacing w:line="535" w:lineRule="auto" w:after="44"/>
        <w:ind w:left="4470" w:right="1658" w:hanging="2463"/>
      </w:pPr>
      <w:r>
        <w:rPr/>
        <w:t>TOLUCA, ESTADO DE MÉXICO, NOVIEMBRE 2014 INDICE</w:t>
      </w: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13"/>
        <w:gridCol w:w="2837"/>
      </w:tblGrid>
      <w:tr>
        <w:trPr>
          <w:trHeight w:val="900" w:hRule="exact"/>
        </w:trPr>
        <w:tc>
          <w:tcPr>
            <w:tcW w:w="6113" w:type="dxa"/>
          </w:tcPr>
          <w:p>
            <w:pPr>
              <w:pStyle w:val="TableParagraph"/>
              <w:spacing w:line="245" w:lineRule="exact"/>
              <w:ind w:left="200"/>
              <w:rPr>
                <w:b/>
                <w:sz w:val="24"/>
              </w:rPr>
            </w:pPr>
            <w:r>
              <w:rPr>
                <w:b/>
                <w:sz w:val="24"/>
              </w:rPr>
              <w:t>Contenido</w:t>
            </w:r>
          </w:p>
        </w:tc>
        <w:tc>
          <w:tcPr>
            <w:tcW w:w="2837" w:type="dxa"/>
          </w:tcPr>
          <w:p>
            <w:pPr>
              <w:pStyle w:val="TableParagraph"/>
              <w:spacing w:line="245" w:lineRule="exact"/>
              <w:ind w:left="1851"/>
              <w:rPr>
                <w:b/>
                <w:sz w:val="24"/>
              </w:rPr>
            </w:pPr>
            <w:r>
              <w:rPr>
                <w:b/>
                <w:sz w:val="24"/>
              </w:rPr>
              <w:t>No.</w:t>
            </w:r>
          </w:p>
          <w:p>
            <w:pPr>
              <w:pStyle w:val="TableParagraph"/>
              <w:spacing w:line="240" w:lineRule="auto" w:before="137"/>
              <w:ind w:left="1851"/>
              <w:rPr>
                <w:b/>
                <w:sz w:val="24"/>
              </w:rPr>
            </w:pPr>
            <w:r>
              <w:rPr>
                <w:b/>
                <w:sz w:val="24"/>
              </w:rPr>
              <w:t>Página</w:t>
            </w:r>
          </w:p>
        </w:tc>
      </w:tr>
      <w:tr>
        <w:trPr>
          <w:trHeight w:val="756" w:hRule="exact"/>
        </w:trPr>
        <w:tc>
          <w:tcPr>
            <w:tcW w:w="6113" w:type="dxa"/>
          </w:tcPr>
          <w:p>
            <w:pPr>
              <w:pStyle w:val="TableParagraph"/>
              <w:spacing w:line="240" w:lineRule="auto" w:before="9"/>
              <w:ind w:left="0"/>
              <w:rPr>
                <w:b/>
                <w:sz w:val="18"/>
              </w:rPr>
            </w:pPr>
          </w:p>
          <w:p>
            <w:pPr>
              <w:pStyle w:val="TableParagraph"/>
              <w:tabs>
                <w:tab w:pos="1280" w:val="left" w:leader="none"/>
              </w:tabs>
              <w:spacing w:line="240" w:lineRule="auto"/>
              <w:ind w:left="560"/>
              <w:rPr>
                <w:sz w:val="24"/>
              </w:rPr>
            </w:pPr>
            <w:r>
              <w:rPr>
                <w:sz w:val="24"/>
              </w:rPr>
              <w:t>I.</w:t>
              <w:tab/>
              <w:t>Introducción</w:t>
            </w:r>
          </w:p>
        </w:tc>
        <w:tc>
          <w:tcPr>
            <w:tcW w:w="2837" w:type="dxa"/>
          </w:tcPr>
          <w:p>
            <w:pPr>
              <w:pStyle w:val="TableParagraph"/>
              <w:spacing w:line="240" w:lineRule="auto" w:before="9"/>
              <w:ind w:left="0"/>
              <w:rPr>
                <w:b/>
                <w:sz w:val="18"/>
              </w:rPr>
            </w:pPr>
          </w:p>
          <w:p>
            <w:pPr>
              <w:pStyle w:val="TableParagraph"/>
              <w:spacing w:line="240" w:lineRule="auto"/>
              <w:ind w:left="1851"/>
              <w:rPr>
                <w:sz w:val="24"/>
              </w:rPr>
            </w:pPr>
            <w:r>
              <w:rPr>
                <w:w w:val="99"/>
                <w:sz w:val="24"/>
              </w:rPr>
              <w:t>3</w:t>
            </w:r>
          </w:p>
        </w:tc>
      </w:tr>
      <w:tr>
        <w:trPr>
          <w:trHeight w:val="778" w:hRule="exact"/>
        </w:trPr>
        <w:tc>
          <w:tcPr>
            <w:tcW w:w="6113" w:type="dxa"/>
          </w:tcPr>
          <w:p>
            <w:pPr>
              <w:pStyle w:val="TableParagraph"/>
              <w:spacing w:line="240" w:lineRule="auto" w:before="8"/>
              <w:ind w:left="0"/>
              <w:rPr>
                <w:b/>
                <w:sz w:val="20"/>
              </w:rPr>
            </w:pPr>
          </w:p>
          <w:p>
            <w:pPr>
              <w:pStyle w:val="TableParagraph"/>
              <w:tabs>
                <w:tab w:pos="1280" w:val="left" w:leader="none"/>
              </w:tabs>
              <w:spacing w:line="240" w:lineRule="auto"/>
              <w:ind w:left="560"/>
              <w:rPr>
                <w:sz w:val="24"/>
              </w:rPr>
            </w:pPr>
            <w:r>
              <w:rPr>
                <w:sz w:val="24"/>
              </w:rPr>
              <w:t>II.</w:t>
              <w:tab/>
              <w:t>Antecedentes</w:t>
            </w:r>
          </w:p>
        </w:tc>
        <w:tc>
          <w:tcPr>
            <w:tcW w:w="2837" w:type="dxa"/>
          </w:tcPr>
          <w:p>
            <w:pPr>
              <w:pStyle w:val="TableParagraph"/>
              <w:spacing w:line="240" w:lineRule="auto" w:before="8"/>
              <w:ind w:left="0"/>
              <w:rPr>
                <w:b/>
                <w:sz w:val="20"/>
              </w:rPr>
            </w:pPr>
          </w:p>
          <w:p>
            <w:pPr>
              <w:pStyle w:val="TableParagraph"/>
              <w:spacing w:line="240" w:lineRule="auto"/>
              <w:ind w:left="1851"/>
              <w:rPr>
                <w:sz w:val="24"/>
              </w:rPr>
            </w:pPr>
            <w:r>
              <w:rPr>
                <w:w w:val="99"/>
                <w:sz w:val="24"/>
              </w:rPr>
              <w:t>4</w:t>
            </w:r>
          </w:p>
        </w:tc>
      </w:tr>
      <w:tr>
        <w:trPr>
          <w:trHeight w:val="775" w:hRule="exact"/>
        </w:trPr>
        <w:tc>
          <w:tcPr>
            <w:tcW w:w="6113" w:type="dxa"/>
          </w:tcPr>
          <w:p>
            <w:pPr>
              <w:pStyle w:val="TableParagraph"/>
              <w:spacing w:line="240" w:lineRule="auto" w:before="8"/>
              <w:ind w:left="0"/>
              <w:rPr>
                <w:b/>
                <w:sz w:val="20"/>
              </w:rPr>
            </w:pPr>
          </w:p>
          <w:p>
            <w:pPr>
              <w:pStyle w:val="TableParagraph"/>
              <w:tabs>
                <w:tab w:pos="1280" w:val="left" w:leader="none"/>
              </w:tabs>
              <w:spacing w:line="240" w:lineRule="auto"/>
              <w:ind w:left="560"/>
              <w:rPr>
                <w:sz w:val="24"/>
              </w:rPr>
            </w:pPr>
            <w:r>
              <w:rPr>
                <w:sz w:val="24"/>
              </w:rPr>
              <w:t>III.</w:t>
              <w:tab/>
              <w:t>Planteamiento del</w:t>
            </w:r>
            <w:r>
              <w:rPr>
                <w:spacing w:val="-16"/>
                <w:sz w:val="24"/>
              </w:rPr>
              <w:t> </w:t>
            </w:r>
            <w:r>
              <w:rPr>
                <w:sz w:val="24"/>
              </w:rPr>
              <w:t>problema</w:t>
            </w:r>
          </w:p>
        </w:tc>
        <w:tc>
          <w:tcPr>
            <w:tcW w:w="2837" w:type="dxa"/>
          </w:tcPr>
          <w:p>
            <w:pPr>
              <w:pStyle w:val="TableParagraph"/>
              <w:spacing w:line="240" w:lineRule="auto" w:before="8"/>
              <w:ind w:left="0"/>
              <w:rPr>
                <w:b/>
                <w:sz w:val="20"/>
              </w:rPr>
            </w:pPr>
          </w:p>
          <w:p>
            <w:pPr>
              <w:pStyle w:val="TableParagraph"/>
              <w:spacing w:line="240" w:lineRule="auto"/>
              <w:ind w:left="1851"/>
              <w:rPr>
                <w:sz w:val="24"/>
              </w:rPr>
            </w:pPr>
            <w:r>
              <w:rPr>
                <w:sz w:val="24"/>
              </w:rPr>
              <w:t>16</w:t>
            </w:r>
          </w:p>
        </w:tc>
      </w:tr>
      <w:tr>
        <w:trPr>
          <w:trHeight w:val="775" w:hRule="exact"/>
        </w:trPr>
        <w:tc>
          <w:tcPr>
            <w:tcW w:w="6113" w:type="dxa"/>
          </w:tcPr>
          <w:p>
            <w:pPr>
              <w:pStyle w:val="TableParagraph"/>
              <w:spacing w:line="240" w:lineRule="auto" w:before="5"/>
              <w:ind w:left="0"/>
              <w:rPr>
                <w:b/>
                <w:sz w:val="20"/>
              </w:rPr>
            </w:pPr>
          </w:p>
          <w:p>
            <w:pPr>
              <w:pStyle w:val="TableParagraph"/>
              <w:tabs>
                <w:tab w:pos="1280" w:val="left" w:leader="none"/>
              </w:tabs>
              <w:spacing w:line="240" w:lineRule="auto"/>
              <w:ind w:left="560"/>
              <w:rPr>
                <w:sz w:val="24"/>
              </w:rPr>
            </w:pPr>
            <w:r>
              <w:rPr>
                <w:sz w:val="24"/>
              </w:rPr>
              <w:t>IV.</w:t>
              <w:tab/>
              <w:t>Hipótesis</w:t>
            </w:r>
          </w:p>
        </w:tc>
        <w:tc>
          <w:tcPr>
            <w:tcW w:w="2837" w:type="dxa"/>
          </w:tcPr>
          <w:p>
            <w:pPr>
              <w:pStyle w:val="TableParagraph"/>
              <w:spacing w:line="240" w:lineRule="auto" w:before="5"/>
              <w:ind w:left="0"/>
              <w:rPr>
                <w:b/>
                <w:sz w:val="20"/>
              </w:rPr>
            </w:pPr>
          </w:p>
          <w:p>
            <w:pPr>
              <w:pStyle w:val="TableParagraph"/>
              <w:spacing w:line="240" w:lineRule="auto"/>
              <w:ind w:left="1851"/>
              <w:rPr>
                <w:sz w:val="24"/>
              </w:rPr>
            </w:pPr>
            <w:r>
              <w:rPr>
                <w:sz w:val="24"/>
              </w:rPr>
              <w:t>17</w:t>
            </w:r>
          </w:p>
        </w:tc>
      </w:tr>
      <w:tr>
        <w:trPr>
          <w:trHeight w:val="778" w:hRule="exact"/>
        </w:trPr>
        <w:tc>
          <w:tcPr>
            <w:tcW w:w="6113" w:type="dxa"/>
          </w:tcPr>
          <w:p>
            <w:pPr>
              <w:pStyle w:val="TableParagraph"/>
              <w:spacing w:line="240" w:lineRule="auto" w:before="8"/>
              <w:ind w:left="0"/>
              <w:rPr>
                <w:b/>
                <w:sz w:val="20"/>
              </w:rPr>
            </w:pPr>
          </w:p>
          <w:p>
            <w:pPr>
              <w:pStyle w:val="TableParagraph"/>
              <w:tabs>
                <w:tab w:pos="1280" w:val="left" w:leader="none"/>
              </w:tabs>
              <w:spacing w:line="240" w:lineRule="auto"/>
              <w:ind w:left="560"/>
              <w:rPr>
                <w:sz w:val="24"/>
              </w:rPr>
            </w:pPr>
            <w:r>
              <w:rPr>
                <w:sz w:val="24"/>
              </w:rPr>
              <w:t>V.</w:t>
              <w:tab/>
              <w:t>Objetivos</w:t>
            </w:r>
          </w:p>
        </w:tc>
        <w:tc>
          <w:tcPr>
            <w:tcW w:w="2837" w:type="dxa"/>
          </w:tcPr>
          <w:p>
            <w:pPr>
              <w:pStyle w:val="TableParagraph"/>
              <w:spacing w:line="240" w:lineRule="auto" w:before="8"/>
              <w:ind w:left="0"/>
              <w:rPr>
                <w:b/>
                <w:sz w:val="20"/>
              </w:rPr>
            </w:pPr>
          </w:p>
          <w:p>
            <w:pPr>
              <w:pStyle w:val="TableParagraph"/>
              <w:spacing w:line="240" w:lineRule="auto"/>
              <w:ind w:left="1851"/>
              <w:rPr>
                <w:sz w:val="24"/>
              </w:rPr>
            </w:pPr>
            <w:r>
              <w:rPr>
                <w:sz w:val="24"/>
              </w:rPr>
              <w:t>18</w:t>
            </w:r>
          </w:p>
        </w:tc>
      </w:tr>
      <w:tr>
        <w:trPr>
          <w:trHeight w:val="775" w:hRule="exact"/>
        </w:trPr>
        <w:tc>
          <w:tcPr>
            <w:tcW w:w="6113" w:type="dxa"/>
          </w:tcPr>
          <w:p>
            <w:pPr>
              <w:pStyle w:val="TableParagraph"/>
              <w:spacing w:line="240" w:lineRule="auto" w:before="8"/>
              <w:ind w:left="0"/>
              <w:rPr>
                <w:b/>
                <w:sz w:val="20"/>
              </w:rPr>
            </w:pPr>
          </w:p>
          <w:p>
            <w:pPr>
              <w:pStyle w:val="TableParagraph"/>
              <w:tabs>
                <w:tab w:pos="1280" w:val="left" w:leader="none"/>
              </w:tabs>
              <w:spacing w:line="240" w:lineRule="auto"/>
              <w:ind w:left="560"/>
              <w:rPr>
                <w:sz w:val="24"/>
              </w:rPr>
            </w:pPr>
            <w:r>
              <w:rPr>
                <w:sz w:val="24"/>
              </w:rPr>
              <w:t>VI.</w:t>
              <w:tab/>
              <w:t>Justificación</w:t>
            </w:r>
          </w:p>
        </w:tc>
        <w:tc>
          <w:tcPr>
            <w:tcW w:w="2837" w:type="dxa"/>
          </w:tcPr>
          <w:p>
            <w:pPr>
              <w:pStyle w:val="TableParagraph"/>
              <w:spacing w:line="240" w:lineRule="auto" w:before="8"/>
              <w:ind w:left="0"/>
              <w:rPr>
                <w:b/>
                <w:sz w:val="20"/>
              </w:rPr>
            </w:pPr>
          </w:p>
          <w:p>
            <w:pPr>
              <w:pStyle w:val="TableParagraph"/>
              <w:spacing w:line="240" w:lineRule="auto"/>
              <w:ind w:left="1851"/>
              <w:rPr>
                <w:sz w:val="24"/>
              </w:rPr>
            </w:pPr>
            <w:r>
              <w:rPr>
                <w:sz w:val="24"/>
              </w:rPr>
              <w:t>19</w:t>
            </w:r>
          </w:p>
        </w:tc>
      </w:tr>
      <w:tr>
        <w:trPr>
          <w:trHeight w:val="775" w:hRule="exact"/>
        </w:trPr>
        <w:tc>
          <w:tcPr>
            <w:tcW w:w="6113" w:type="dxa"/>
          </w:tcPr>
          <w:p>
            <w:pPr>
              <w:pStyle w:val="TableParagraph"/>
              <w:spacing w:line="240" w:lineRule="auto" w:before="5"/>
              <w:ind w:left="0"/>
              <w:rPr>
                <w:b/>
                <w:sz w:val="20"/>
              </w:rPr>
            </w:pPr>
          </w:p>
          <w:p>
            <w:pPr>
              <w:pStyle w:val="TableParagraph"/>
              <w:tabs>
                <w:tab w:pos="1280" w:val="left" w:leader="none"/>
              </w:tabs>
              <w:spacing w:line="240" w:lineRule="auto" w:before="1"/>
              <w:ind w:left="560"/>
              <w:rPr>
                <w:sz w:val="24"/>
              </w:rPr>
            </w:pPr>
            <w:r>
              <w:rPr>
                <w:sz w:val="24"/>
              </w:rPr>
              <w:t>VII.</w:t>
              <w:tab/>
              <w:t>Materiales y</w:t>
            </w:r>
            <w:r>
              <w:rPr>
                <w:spacing w:val="-7"/>
                <w:sz w:val="24"/>
              </w:rPr>
              <w:t> </w:t>
            </w:r>
            <w:r>
              <w:rPr>
                <w:sz w:val="24"/>
              </w:rPr>
              <w:t>Métodos</w:t>
            </w:r>
          </w:p>
        </w:tc>
        <w:tc>
          <w:tcPr>
            <w:tcW w:w="2837" w:type="dxa"/>
          </w:tcPr>
          <w:p>
            <w:pPr>
              <w:pStyle w:val="TableParagraph"/>
              <w:spacing w:line="240" w:lineRule="auto" w:before="5"/>
              <w:ind w:left="0"/>
              <w:rPr>
                <w:b/>
                <w:sz w:val="20"/>
              </w:rPr>
            </w:pPr>
          </w:p>
          <w:p>
            <w:pPr>
              <w:pStyle w:val="TableParagraph"/>
              <w:spacing w:line="240" w:lineRule="auto" w:before="1"/>
              <w:ind w:left="1851"/>
              <w:rPr>
                <w:sz w:val="24"/>
              </w:rPr>
            </w:pPr>
            <w:r>
              <w:rPr>
                <w:sz w:val="24"/>
              </w:rPr>
              <w:t>20</w:t>
            </w:r>
          </w:p>
        </w:tc>
      </w:tr>
      <w:tr>
        <w:trPr>
          <w:trHeight w:val="778" w:hRule="exact"/>
        </w:trPr>
        <w:tc>
          <w:tcPr>
            <w:tcW w:w="6113" w:type="dxa"/>
          </w:tcPr>
          <w:p>
            <w:pPr>
              <w:pStyle w:val="TableParagraph"/>
              <w:spacing w:line="240" w:lineRule="auto" w:before="8"/>
              <w:ind w:left="0"/>
              <w:rPr>
                <w:b/>
                <w:sz w:val="20"/>
              </w:rPr>
            </w:pPr>
          </w:p>
          <w:p>
            <w:pPr>
              <w:pStyle w:val="TableParagraph"/>
              <w:tabs>
                <w:tab w:pos="1280" w:val="left" w:leader="none"/>
              </w:tabs>
              <w:spacing w:line="240" w:lineRule="auto"/>
              <w:ind w:left="560"/>
              <w:rPr>
                <w:sz w:val="24"/>
              </w:rPr>
            </w:pPr>
            <w:r>
              <w:rPr>
                <w:sz w:val="24"/>
              </w:rPr>
              <w:t>VIII.</w:t>
              <w:tab/>
              <w:t>Resultados</w:t>
            </w:r>
          </w:p>
        </w:tc>
        <w:tc>
          <w:tcPr>
            <w:tcW w:w="2837" w:type="dxa"/>
          </w:tcPr>
          <w:p>
            <w:pPr>
              <w:pStyle w:val="TableParagraph"/>
              <w:spacing w:line="240" w:lineRule="auto" w:before="8"/>
              <w:ind w:left="0"/>
              <w:rPr>
                <w:b/>
                <w:sz w:val="20"/>
              </w:rPr>
            </w:pPr>
          </w:p>
          <w:p>
            <w:pPr>
              <w:pStyle w:val="TableParagraph"/>
              <w:spacing w:line="240" w:lineRule="auto"/>
              <w:ind w:left="1851"/>
              <w:rPr>
                <w:sz w:val="24"/>
              </w:rPr>
            </w:pPr>
            <w:r>
              <w:rPr>
                <w:sz w:val="24"/>
              </w:rPr>
              <w:t>29</w:t>
            </w:r>
          </w:p>
        </w:tc>
      </w:tr>
      <w:tr>
        <w:trPr>
          <w:trHeight w:val="799" w:hRule="exact"/>
        </w:trPr>
        <w:tc>
          <w:tcPr>
            <w:tcW w:w="6113" w:type="dxa"/>
          </w:tcPr>
          <w:p>
            <w:pPr>
              <w:pStyle w:val="TableParagraph"/>
              <w:spacing w:line="240" w:lineRule="auto" w:before="8"/>
              <w:ind w:left="0"/>
              <w:rPr>
                <w:b/>
                <w:sz w:val="20"/>
              </w:rPr>
            </w:pPr>
          </w:p>
          <w:p>
            <w:pPr>
              <w:pStyle w:val="TableParagraph"/>
              <w:tabs>
                <w:tab w:pos="1280" w:val="left" w:leader="none"/>
              </w:tabs>
              <w:spacing w:line="240" w:lineRule="auto"/>
              <w:ind w:left="560"/>
              <w:rPr>
                <w:sz w:val="24"/>
              </w:rPr>
            </w:pPr>
            <w:r>
              <w:rPr>
                <w:sz w:val="24"/>
              </w:rPr>
              <w:t>IX.</w:t>
              <w:tab/>
              <w:t>Discusión</w:t>
            </w:r>
          </w:p>
        </w:tc>
        <w:tc>
          <w:tcPr>
            <w:tcW w:w="2837" w:type="dxa"/>
          </w:tcPr>
          <w:p>
            <w:pPr>
              <w:pStyle w:val="TableParagraph"/>
              <w:spacing w:line="240" w:lineRule="auto" w:before="8"/>
              <w:ind w:left="0"/>
              <w:rPr>
                <w:b/>
                <w:sz w:val="20"/>
              </w:rPr>
            </w:pPr>
          </w:p>
          <w:p>
            <w:pPr>
              <w:pStyle w:val="TableParagraph"/>
              <w:spacing w:line="240" w:lineRule="auto"/>
              <w:ind w:left="1851"/>
              <w:rPr>
                <w:sz w:val="24"/>
              </w:rPr>
            </w:pPr>
            <w:r>
              <w:rPr>
                <w:sz w:val="24"/>
              </w:rPr>
              <w:t>38</w:t>
            </w:r>
          </w:p>
        </w:tc>
      </w:tr>
      <w:tr>
        <w:trPr>
          <w:trHeight w:val="823" w:hRule="exact"/>
        </w:trPr>
        <w:tc>
          <w:tcPr>
            <w:tcW w:w="6113" w:type="dxa"/>
          </w:tcPr>
          <w:p>
            <w:pPr>
              <w:pStyle w:val="TableParagraph"/>
              <w:spacing w:line="240" w:lineRule="auto" w:before="6"/>
              <w:ind w:left="0"/>
              <w:rPr>
                <w:b/>
                <w:sz w:val="22"/>
              </w:rPr>
            </w:pPr>
          </w:p>
          <w:p>
            <w:pPr>
              <w:pStyle w:val="TableParagraph"/>
              <w:tabs>
                <w:tab w:pos="1347" w:val="left" w:leader="none"/>
              </w:tabs>
              <w:spacing w:line="240" w:lineRule="auto"/>
              <w:ind w:left="560"/>
              <w:rPr>
                <w:sz w:val="24"/>
              </w:rPr>
            </w:pPr>
            <w:r>
              <w:rPr>
                <w:sz w:val="24"/>
              </w:rPr>
              <w:t>X.</w:t>
              <w:tab/>
              <w:t>Conclusiones</w:t>
            </w:r>
          </w:p>
        </w:tc>
        <w:tc>
          <w:tcPr>
            <w:tcW w:w="2837" w:type="dxa"/>
          </w:tcPr>
          <w:p>
            <w:pPr>
              <w:pStyle w:val="TableParagraph"/>
              <w:spacing w:line="240" w:lineRule="auto" w:before="6"/>
              <w:ind w:left="0"/>
              <w:rPr>
                <w:b/>
                <w:sz w:val="22"/>
              </w:rPr>
            </w:pPr>
          </w:p>
          <w:p>
            <w:pPr>
              <w:pStyle w:val="TableParagraph"/>
              <w:spacing w:line="240" w:lineRule="auto"/>
              <w:ind w:left="1851"/>
              <w:rPr>
                <w:sz w:val="24"/>
              </w:rPr>
            </w:pPr>
            <w:r>
              <w:rPr>
                <w:sz w:val="24"/>
              </w:rPr>
              <w:t>40</w:t>
            </w:r>
          </w:p>
        </w:tc>
      </w:tr>
      <w:tr>
        <w:trPr>
          <w:trHeight w:val="826" w:hRule="exact"/>
        </w:trPr>
        <w:tc>
          <w:tcPr>
            <w:tcW w:w="6113" w:type="dxa"/>
          </w:tcPr>
          <w:p>
            <w:pPr>
              <w:pStyle w:val="TableParagraph"/>
              <w:spacing w:line="240" w:lineRule="auto" w:before="9"/>
              <w:ind w:left="0"/>
              <w:rPr>
                <w:b/>
                <w:sz w:val="22"/>
              </w:rPr>
            </w:pPr>
          </w:p>
          <w:p>
            <w:pPr>
              <w:pStyle w:val="TableParagraph"/>
              <w:tabs>
                <w:tab w:pos="1347" w:val="left" w:leader="none"/>
              </w:tabs>
              <w:spacing w:line="240" w:lineRule="auto"/>
              <w:ind w:left="560"/>
              <w:rPr>
                <w:sz w:val="24"/>
              </w:rPr>
            </w:pPr>
            <w:r>
              <w:rPr>
                <w:sz w:val="24"/>
              </w:rPr>
              <w:t>XI.</w:t>
              <w:tab/>
              <w:t>Referencias</w:t>
            </w:r>
            <w:r>
              <w:rPr>
                <w:spacing w:val="-8"/>
                <w:sz w:val="24"/>
              </w:rPr>
              <w:t> </w:t>
            </w:r>
            <w:r>
              <w:rPr>
                <w:sz w:val="24"/>
              </w:rPr>
              <w:t>Bibliográficas</w:t>
            </w:r>
          </w:p>
        </w:tc>
        <w:tc>
          <w:tcPr>
            <w:tcW w:w="2837" w:type="dxa"/>
          </w:tcPr>
          <w:p>
            <w:pPr>
              <w:pStyle w:val="TableParagraph"/>
              <w:spacing w:line="240" w:lineRule="auto" w:before="9"/>
              <w:ind w:left="0"/>
              <w:rPr>
                <w:b/>
                <w:sz w:val="22"/>
              </w:rPr>
            </w:pPr>
          </w:p>
          <w:p>
            <w:pPr>
              <w:pStyle w:val="TableParagraph"/>
              <w:spacing w:line="240" w:lineRule="auto"/>
              <w:ind w:left="1851"/>
              <w:rPr>
                <w:sz w:val="24"/>
              </w:rPr>
            </w:pPr>
            <w:r>
              <w:rPr>
                <w:sz w:val="24"/>
              </w:rPr>
              <w:t>41</w:t>
            </w:r>
          </w:p>
        </w:tc>
      </w:tr>
      <w:tr>
        <w:trPr>
          <w:trHeight w:val="533" w:hRule="exact"/>
        </w:trPr>
        <w:tc>
          <w:tcPr>
            <w:tcW w:w="6113" w:type="dxa"/>
          </w:tcPr>
          <w:p>
            <w:pPr>
              <w:pStyle w:val="TableParagraph"/>
              <w:spacing w:line="240" w:lineRule="auto" w:before="9"/>
              <w:ind w:left="0"/>
              <w:rPr>
                <w:b/>
                <w:sz w:val="22"/>
              </w:rPr>
            </w:pPr>
          </w:p>
          <w:p>
            <w:pPr>
              <w:pStyle w:val="TableParagraph"/>
              <w:tabs>
                <w:tab w:pos="1347" w:val="left" w:leader="none"/>
              </w:tabs>
              <w:spacing w:line="240" w:lineRule="auto"/>
              <w:ind w:left="560"/>
              <w:rPr>
                <w:sz w:val="24"/>
              </w:rPr>
            </w:pPr>
            <w:r>
              <w:rPr>
                <w:sz w:val="24"/>
              </w:rPr>
              <w:t>XII.</w:t>
              <w:tab/>
              <w:t>Anexos</w:t>
            </w:r>
          </w:p>
        </w:tc>
        <w:tc>
          <w:tcPr>
            <w:tcW w:w="2837" w:type="dxa"/>
          </w:tcPr>
          <w:p>
            <w:pPr>
              <w:pStyle w:val="TableParagraph"/>
              <w:spacing w:line="240" w:lineRule="auto" w:before="9"/>
              <w:ind w:left="0"/>
              <w:rPr>
                <w:b/>
                <w:sz w:val="22"/>
              </w:rPr>
            </w:pPr>
          </w:p>
          <w:p>
            <w:pPr>
              <w:pStyle w:val="TableParagraph"/>
              <w:spacing w:line="240" w:lineRule="auto"/>
              <w:ind w:left="1851"/>
              <w:rPr>
                <w:sz w:val="24"/>
              </w:rPr>
            </w:pPr>
            <w:r>
              <w:rPr>
                <w:sz w:val="24"/>
              </w:rPr>
              <w:t>44</w:t>
            </w:r>
          </w:p>
        </w:tc>
      </w:tr>
    </w:tbl>
    <w:p>
      <w:pPr>
        <w:spacing w:after="0" w:line="240" w:lineRule="auto"/>
        <w:rPr>
          <w:sz w:val="24"/>
        </w:rPr>
        <w:sectPr>
          <w:footerReference w:type="default" r:id="rId7"/>
          <w:pgSz w:w="12240" w:h="15840"/>
          <w:pgMar w:footer="1002" w:header="0" w:top="1500" w:bottom="1200" w:left="1100" w:right="1720"/>
          <w:pgNumType w:start="2"/>
        </w:sectPr>
      </w:pPr>
    </w:p>
    <w:p>
      <w:pPr>
        <w:pStyle w:val="BodyText"/>
        <w:spacing w:before="1"/>
        <w:rPr>
          <w:b/>
          <w:sz w:val="10"/>
        </w:rPr>
      </w:pPr>
    </w:p>
    <w:p>
      <w:pPr>
        <w:pStyle w:val="ListParagraph"/>
        <w:numPr>
          <w:ilvl w:val="2"/>
          <w:numId w:val="1"/>
        </w:numPr>
        <w:tabs>
          <w:tab w:pos="4495" w:val="left" w:leader="none"/>
          <w:tab w:pos="4496" w:val="left" w:leader="none"/>
        </w:tabs>
        <w:spacing w:line="240" w:lineRule="auto" w:before="69" w:after="0"/>
        <w:ind w:left="4496" w:right="0" w:hanging="788"/>
        <w:jc w:val="left"/>
        <w:rPr>
          <w:b/>
          <w:sz w:val="24"/>
        </w:rPr>
      </w:pPr>
      <w:r>
        <w:rPr>
          <w:b/>
          <w:sz w:val="24"/>
        </w:rPr>
        <w:t>INTRODUCCION</w:t>
      </w:r>
    </w:p>
    <w:p>
      <w:pPr>
        <w:pStyle w:val="BodyText"/>
        <w:spacing w:before="3"/>
        <w:rPr>
          <w:b/>
          <w:sz w:val="30"/>
        </w:rPr>
      </w:pPr>
    </w:p>
    <w:p>
      <w:pPr>
        <w:pStyle w:val="BodyText"/>
        <w:spacing w:line="360" w:lineRule="auto"/>
        <w:ind w:left="116" w:right="127"/>
        <w:jc w:val="both"/>
      </w:pPr>
      <w:r>
        <w:rPr>
          <w:color w:val="333333"/>
        </w:rPr>
        <w:t>Los cambios en el estilo de vida de las sociedades avanzadas han provocado nuevos comportamientos que conllevan trasformaciones en los hábitos alimentarios de la infancia.</w:t>
      </w:r>
    </w:p>
    <w:p>
      <w:pPr>
        <w:pStyle w:val="BodyText"/>
        <w:spacing w:line="355" w:lineRule="auto" w:before="209"/>
        <w:ind w:left="116" w:right="130"/>
        <w:jc w:val="both"/>
      </w:pPr>
      <w:r>
        <w:rPr>
          <w:color w:val="333333"/>
        </w:rPr>
        <w:t>La nutrición afecta a los dientes en desarrollo y cualquier tipo de malnutrición puede alterar la salud oral.</w:t>
      </w:r>
    </w:p>
    <w:p>
      <w:pPr>
        <w:pStyle w:val="BodyText"/>
        <w:spacing w:line="357" w:lineRule="auto" w:before="214"/>
        <w:ind w:left="116" w:right="116"/>
        <w:jc w:val="both"/>
      </w:pPr>
      <w:r>
        <w:rPr/>
        <w:t>La lactancia materna constituye uno de los pilares fundamentales de la promoción de la salud, se ha comprobado que la leche </w:t>
      </w:r>
      <w:r>
        <w:rPr>
          <w:spacing w:val="-2"/>
        </w:rPr>
        <w:t>humana </w:t>
      </w:r>
      <w:r>
        <w:rPr/>
        <w:t>tiene gran valor en la prevención  de enfermedades sobretodo en la</w:t>
      </w:r>
      <w:r>
        <w:rPr>
          <w:spacing w:val="-15"/>
        </w:rPr>
        <w:t> </w:t>
      </w:r>
      <w:r>
        <w:rPr/>
        <w:t>niñez.</w:t>
      </w:r>
    </w:p>
    <w:p>
      <w:pPr>
        <w:pStyle w:val="BodyText"/>
        <w:spacing w:line="355" w:lineRule="auto" w:before="212"/>
        <w:ind w:left="116" w:right="127"/>
        <w:jc w:val="both"/>
      </w:pPr>
      <w:r>
        <w:rPr/>
        <w:t>El tipo de lactancia puede influir sobre la morfología de los maxilares y la oclusión dentaria.</w:t>
      </w:r>
    </w:p>
    <w:p>
      <w:pPr>
        <w:pStyle w:val="BodyText"/>
        <w:spacing w:line="360" w:lineRule="auto" w:before="215"/>
        <w:ind w:left="116" w:right="114"/>
        <w:jc w:val="both"/>
      </w:pPr>
      <w:r>
        <w:rPr/>
        <w:t>Todas las funciones que se llevan a cabo en la cavidad oral: respiración, succión, deglución, masticación, fonación estimulan el crecimiento y desarrollo del tercio inferior de la cara.</w:t>
      </w:r>
    </w:p>
    <w:p>
      <w:pPr>
        <w:pStyle w:val="BodyText"/>
        <w:spacing w:line="355" w:lineRule="auto" w:before="209"/>
        <w:ind w:left="116" w:right="127"/>
        <w:jc w:val="both"/>
      </w:pPr>
      <w:r>
        <w:rPr/>
        <w:t>Las alteraciones dentofaciales son de etiología multifactorial, presentan uno o más agentes causales conjugados entre sí.</w:t>
      </w:r>
    </w:p>
    <w:p>
      <w:pPr>
        <w:pStyle w:val="BodyText"/>
        <w:spacing w:line="355" w:lineRule="auto" w:before="215"/>
        <w:ind w:left="116" w:right="120"/>
        <w:jc w:val="both"/>
      </w:pPr>
      <w:r>
        <w:rPr/>
        <w:t>Se han reportado baja prevalencia y severidad de maloculsiones en niños amamantados, en comparación con aquellos que fueron alimentados con biberón.</w:t>
      </w:r>
    </w:p>
    <w:p>
      <w:pPr>
        <w:pStyle w:val="BodyText"/>
        <w:spacing w:line="360" w:lineRule="auto" w:before="214"/>
        <w:ind w:left="116" w:right="115"/>
        <w:jc w:val="both"/>
      </w:pPr>
      <w:r>
        <w:rPr/>
        <w:t>Los estudios odontológicos en la última década tienden a indicar que la falta de lactancia materna o un periodo corto de ésta se asocia con la presencia de anomalías</w:t>
      </w:r>
      <w:r>
        <w:rPr>
          <w:spacing w:val="-8"/>
        </w:rPr>
        <w:t> </w:t>
      </w:r>
      <w:r>
        <w:rPr/>
        <w:t>dentofaciales.</w:t>
      </w:r>
    </w:p>
    <w:p>
      <w:pPr>
        <w:pStyle w:val="BodyText"/>
        <w:spacing w:line="360" w:lineRule="auto" w:before="204"/>
        <w:ind w:left="116" w:right="118"/>
        <w:jc w:val="both"/>
      </w:pPr>
      <w:r>
        <w:rPr/>
        <w:t>En México no se cuenta con estudios sobre el tema, por lo que con el presente trabajo se pretende responder si la lactancia materna tiene influencia en el desarrollo de la oclusión de la dentición temporal.</w:t>
      </w:r>
    </w:p>
    <w:p>
      <w:pPr>
        <w:pStyle w:val="BodyText"/>
        <w:spacing w:line="360" w:lineRule="auto" w:before="209"/>
        <w:ind w:left="116" w:right="114"/>
        <w:jc w:val="both"/>
      </w:pPr>
      <w:r>
        <w:rPr/>
        <w:t>Este fue un estudio prospectivo, descriptivo y transversal, en el que se observó la oclusión y los hábitos alimenticios en los primeros meses de vida de los alumnos  del</w:t>
      </w:r>
    </w:p>
    <w:p>
      <w:pPr>
        <w:spacing w:after="0" w:line="360" w:lineRule="auto"/>
        <w:jc w:val="both"/>
        <w:sectPr>
          <w:pgSz w:w="12240" w:h="15840"/>
          <w:pgMar w:header="0" w:footer="1002" w:top="1500" w:bottom="1200" w:left="1300" w:right="1580"/>
        </w:sectPr>
      </w:pPr>
    </w:p>
    <w:p>
      <w:pPr>
        <w:pStyle w:val="BodyText"/>
        <w:spacing w:before="10"/>
        <w:rPr>
          <w:sz w:val="10"/>
        </w:rPr>
      </w:pPr>
    </w:p>
    <w:p>
      <w:pPr>
        <w:pStyle w:val="BodyText"/>
        <w:spacing w:line="360" w:lineRule="auto" w:before="70"/>
        <w:ind w:left="116" w:right="115"/>
        <w:jc w:val="both"/>
      </w:pPr>
      <w:r>
        <w:rPr/>
        <w:t>Jardín de Niños “Consuelo Rodríguez de Fernández Albarrán” perteneciente al DIF, cuya edad fue de 3 a 5años; que presentaron dentición temporal completa y sus padres o tutores aceptaron participar en el estudio; durante el periodo de Junio- Agosto 2013.</w:t>
      </w:r>
    </w:p>
    <w:p>
      <w:pPr>
        <w:spacing w:after="0" w:line="360" w:lineRule="auto"/>
        <w:jc w:val="both"/>
        <w:sectPr>
          <w:pgSz w:w="12240" w:h="15840"/>
          <w:pgMar w:header="0" w:footer="1002" w:top="1500" w:bottom="1200" w:left="1300" w:right="1580"/>
        </w:sectPr>
      </w:pPr>
    </w:p>
    <w:p>
      <w:pPr>
        <w:pStyle w:val="BodyText"/>
        <w:spacing w:before="1"/>
        <w:rPr>
          <w:sz w:val="10"/>
        </w:rPr>
      </w:pPr>
    </w:p>
    <w:p>
      <w:pPr>
        <w:pStyle w:val="Heading1"/>
        <w:numPr>
          <w:ilvl w:val="2"/>
          <w:numId w:val="1"/>
        </w:numPr>
        <w:tabs>
          <w:tab w:pos="4419" w:val="left" w:leader="none"/>
          <w:tab w:pos="4420" w:val="left" w:leader="none"/>
        </w:tabs>
        <w:spacing w:line="240" w:lineRule="auto" w:before="69" w:after="0"/>
        <w:ind w:left="4419" w:right="0" w:hanging="721"/>
        <w:jc w:val="left"/>
      </w:pPr>
      <w:r>
        <w:rPr/>
        <w:t>ANTECEDENTES</w:t>
      </w:r>
    </w:p>
    <w:p>
      <w:pPr>
        <w:pStyle w:val="BodyText"/>
        <w:spacing w:before="5"/>
        <w:rPr>
          <w:b/>
          <w:sz w:val="23"/>
        </w:rPr>
      </w:pPr>
    </w:p>
    <w:p>
      <w:pPr>
        <w:spacing w:before="69"/>
        <w:ind w:left="116" w:right="0" w:firstLine="0"/>
        <w:jc w:val="both"/>
        <w:rPr>
          <w:b/>
          <w:sz w:val="24"/>
        </w:rPr>
      </w:pPr>
      <w:r>
        <w:rPr>
          <w:b/>
          <w:sz w:val="24"/>
        </w:rPr>
        <w:t>Capitulo 1. Lactancia Materna</w:t>
      </w:r>
    </w:p>
    <w:p>
      <w:pPr>
        <w:pStyle w:val="BodyText"/>
        <w:spacing w:before="3"/>
        <w:rPr>
          <w:b/>
          <w:sz w:val="30"/>
        </w:rPr>
      </w:pPr>
    </w:p>
    <w:p>
      <w:pPr>
        <w:pStyle w:val="BodyText"/>
        <w:spacing w:line="360" w:lineRule="auto"/>
        <w:ind w:left="116" w:right="117"/>
        <w:jc w:val="both"/>
      </w:pPr>
      <w:r>
        <w:rPr/>
        <w:t>La nutrición constituye un factor determinante en el crecimiento y desarrollo de una persona. La lactancia materna o artificial es el principal medio de nutrición posterior  al</w:t>
      </w:r>
      <w:r>
        <w:rPr>
          <w:spacing w:val="-5"/>
        </w:rPr>
        <w:t> </w:t>
      </w:r>
      <w:r>
        <w:rPr/>
        <w:t>nacimiento.</w:t>
      </w:r>
    </w:p>
    <w:p>
      <w:pPr>
        <w:pStyle w:val="Heading1"/>
        <w:numPr>
          <w:ilvl w:val="1"/>
          <w:numId w:val="2"/>
        </w:numPr>
        <w:tabs>
          <w:tab w:pos="587" w:val="left" w:leader="none"/>
        </w:tabs>
        <w:spacing w:line="240" w:lineRule="auto" w:before="199" w:after="0"/>
        <w:ind w:left="586" w:right="0" w:hanging="470"/>
        <w:jc w:val="both"/>
      </w:pPr>
      <w:r>
        <w:rPr/>
        <w:t>Lactancia</w:t>
      </w:r>
      <w:r>
        <w:rPr>
          <w:spacing w:val="-10"/>
        </w:rPr>
        <w:t> </w:t>
      </w:r>
      <w:r>
        <w:rPr/>
        <w:t>Materna</w:t>
      </w:r>
    </w:p>
    <w:p>
      <w:pPr>
        <w:pStyle w:val="BodyText"/>
        <w:spacing w:before="9"/>
        <w:rPr>
          <w:b/>
          <w:sz w:val="29"/>
        </w:rPr>
      </w:pPr>
    </w:p>
    <w:p>
      <w:pPr>
        <w:pStyle w:val="BodyText"/>
        <w:spacing w:line="362" w:lineRule="auto"/>
        <w:ind w:left="116" w:right="120"/>
        <w:jc w:val="both"/>
      </w:pPr>
      <w:r>
        <w:rPr/>
        <w:t>Se entiende como la alimentación del niño durante los primeros meses de vida, de modo exclusivo mamando directamente del pecho de la madre trae beneficios desde el  punto  de  vista  inmunológico,  nutritivo,  afectivo  y  psicológico;  pero  son   poco</w:t>
      </w:r>
    </w:p>
    <w:p>
      <w:pPr>
        <w:pStyle w:val="BodyText"/>
        <w:spacing w:line="324" w:lineRule="auto"/>
        <w:ind w:left="116" w:right="120"/>
        <w:jc w:val="both"/>
        <w:rPr>
          <w:sz w:val="16"/>
        </w:rPr>
      </w:pPr>
      <w:r>
        <w:rPr/>
        <w:t>conocidos los efectos que tiene el amamantamiento en el desarrollo del aparato estomatognático y sus posibles alteraciones. </w:t>
      </w:r>
      <w:r>
        <w:rPr>
          <w:position w:val="11"/>
          <w:sz w:val="16"/>
        </w:rPr>
        <w:t>1-4.</w:t>
      </w:r>
    </w:p>
    <w:p>
      <w:pPr>
        <w:pStyle w:val="BodyText"/>
        <w:spacing w:line="343" w:lineRule="auto" w:before="236"/>
        <w:ind w:left="116" w:right="129"/>
        <w:jc w:val="both"/>
        <w:rPr>
          <w:sz w:val="16"/>
        </w:rPr>
      </w:pPr>
      <w:r>
        <w:rPr/>
        <w:t>Las ventajas y beneficios de la lactancia materna han sido ampliamente valorados por médicos, odontólogos, sociólogos, quienes aprecian sus cualidades como </w:t>
      </w:r>
      <w:r>
        <w:rPr>
          <w:spacing w:val="-3"/>
        </w:rPr>
        <w:t>muy </w:t>
      </w:r>
      <w:r>
        <w:rPr/>
        <w:t>positivas para el lactante y la</w:t>
      </w:r>
      <w:r>
        <w:rPr>
          <w:spacing w:val="-11"/>
        </w:rPr>
        <w:t> </w:t>
      </w:r>
      <w:r>
        <w:rPr/>
        <w:t>madre.</w:t>
      </w:r>
      <w:r>
        <w:rPr>
          <w:position w:val="11"/>
          <w:sz w:val="16"/>
        </w:rPr>
        <w:t>4</w:t>
      </w:r>
    </w:p>
    <w:p>
      <w:pPr>
        <w:pStyle w:val="BodyText"/>
        <w:spacing w:line="348" w:lineRule="auto" w:before="212"/>
        <w:ind w:left="116" w:right="115"/>
        <w:jc w:val="both"/>
        <w:rPr>
          <w:sz w:val="16"/>
        </w:rPr>
      </w:pPr>
      <w:r>
        <w:rPr/>
        <w:t>La OMS (Organización Mundial de la Salud) estima que pueden salvarse más de un millón de vidas infantiles al año, si todas las madres alimentaran exclusivamente con leche materna a sus hijos durante los primeros 4 a 6 meses de vida, y como alimentación complementaria durante los primeros dos años de vida. </w:t>
      </w:r>
      <w:r>
        <w:rPr>
          <w:position w:val="11"/>
          <w:sz w:val="16"/>
        </w:rPr>
        <w:t>5-7</w:t>
      </w:r>
    </w:p>
    <w:p>
      <w:pPr>
        <w:pStyle w:val="BodyText"/>
        <w:spacing w:line="362" w:lineRule="auto" w:before="201"/>
        <w:ind w:left="116" w:right="117"/>
        <w:jc w:val="both"/>
      </w:pPr>
      <w:r>
        <w:rPr/>
        <w:t>En marzo de 2004 la OMS y la UNICEF (Fondo de las Naciones Unidas para la Infancia) presentaron la “Estrategia Mundial para la Alimentación del Lactante y del</w:t>
      </w:r>
    </w:p>
    <w:p>
      <w:pPr>
        <w:pStyle w:val="BodyText"/>
        <w:spacing w:line="324" w:lineRule="auto"/>
        <w:ind w:left="116" w:right="123"/>
        <w:jc w:val="both"/>
        <w:rPr>
          <w:sz w:val="16"/>
        </w:rPr>
      </w:pPr>
      <w:r>
        <w:rPr/>
        <w:t>Niño Pequeño”, destacando la lactancia materna como fundamental para la supervivencia infantil.</w:t>
      </w:r>
      <w:r>
        <w:rPr>
          <w:position w:val="11"/>
          <w:sz w:val="16"/>
        </w:rPr>
        <w:t>3</w:t>
      </w:r>
    </w:p>
    <w:p>
      <w:pPr>
        <w:pStyle w:val="BodyText"/>
        <w:spacing w:line="362" w:lineRule="auto" w:before="236"/>
        <w:ind w:left="116" w:right="123"/>
        <w:jc w:val="both"/>
      </w:pPr>
      <w:r>
        <w:rPr/>
        <w:t>El amamantamiento es una función fisiológica, compleja y coordinada, regido por arcos reflejos tanto en la musculatura del bebé como en la glándula mamaria de la madre. La producción de leche en ambos pechos no es la misma, el mecanismo</w:t>
      </w:r>
      <w:r>
        <w:rPr>
          <w:spacing w:val="65"/>
        </w:rPr>
        <w:t> </w:t>
      </w:r>
      <w:r>
        <w:rPr/>
        <w:t>que</w:t>
      </w:r>
    </w:p>
    <w:p>
      <w:pPr>
        <w:pStyle w:val="BodyText"/>
        <w:spacing w:line="324" w:lineRule="auto"/>
        <w:ind w:left="116" w:right="123"/>
        <w:jc w:val="both"/>
        <w:rPr>
          <w:sz w:val="16"/>
        </w:rPr>
      </w:pPr>
      <w:r>
        <w:rPr/>
        <w:t>influye de forma decisiva en la secreción de leche es el frecuente y energético movimiento que ejerce el bebé sobre el pezón</w:t>
      </w:r>
      <w:r>
        <w:rPr>
          <w:position w:val="11"/>
          <w:sz w:val="16"/>
        </w:rPr>
        <w:t>1, 5,4.</w:t>
      </w:r>
    </w:p>
    <w:p>
      <w:pPr>
        <w:spacing w:after="0" w:line="324" w:lineRule="auto"/>
        <w:jc w:val="both"/>
        <w:rPr>
          <w:sz w:val="16"/>
        </w:rPr>
        <w:sectPr>
          <w:pgSz w:w="12240" w:h="15840"/>
          <w:pgMar w:header="0" w:footer="1002" w:top="1500" w:bottom="1200" w:left="1300" w:right="1580"/>
        </w:sectPr>
      </w:pPr>
    </w:p>
    <w:p>
      <w:pPr>
        <w:pStyle w:val="BodyText"/>
        <w:spacing w:before="10"/>
        <w:rPr>
          <w:sz w:val="10"/>
        </w:rPr>
      </w:pPr>
    </w:p>
    <w:p>
      <w:pPr>
        <w:pStyle w:val="BodyText"/>
        <w:spacing w:before="70"/>
        <w:ind w:left="116"/>
        <w:jc w:val="both"/>
      </w:pPr>
      <w:r>
        <w:rPr/>
        <w:t>A las 16 semanas de vida intrauterina el feto esboza el movimiento de mamar y a  las</w:t>
      </w:r>
    </w:p>
    <w:p>
      <w:pPr>
        <w:pStyle w:val="BodyText"/>
        <w:spacing w:line="324" w:lineRule="auto" w:before="142"/>
        <w:ind w:left="116" w:right="125"/>
        <w:jc w:val="both"/>
        <w:rPr>
          <w:sz w:val="16"/>
        </w:rPr>
      </w:pPr>
      <w:r>
        <w:rPr/>
        <w:t>27 semanas algunos se chupan el dedo, este acto intenta preparar la boca del  infante para la función primordial del amamantamiento.</w:t>
      </w:r>
      <w:r>
        <w:rPr>
          <w:position w:val="11"/>
          <w:sz w:val="16"/>
        </w:rPr>
        <w:t>1,</w:t>
      </w:r>
      <w:r>
        <w:rPr>
          <w:spacing w:val="-22"/>
          <w:position w:val="11"/>
          <w:sz w:val="16"/>
        </w:rPr>
        <w:t> </w:t>
      </w:r>
      <w:r>
        <w:rPr>
          <w:position w:val="11"/>
          <w:sz w:val="16"/>
        </w:rPr>
        <w:t>3,5</w:t>
      </w:r>
    </w:p>
    <w:p>
      <w:pPr>
        <w:pStyle w:val="BodyText"/>
        <w:spacing w:line="357" w:lineRule="auto" w:before="236"/>
        <w:ind w:left="116" w:right="114"/>
        <w:jc w:val="both"/>
      </w:pPr>
      <w:r>
        <w:rPr/>
        <w:t>La alimentación a seno materno tiene efectos positivos en el desarrollo y crecimiento mandibular y las diferentes estructuras que conforman el sistema estomatognático; reduciendo el riesgo de maloclusiones, desórdenes de lenguaje y respiratorios.</w:t>
      </w:r>
    </w:p>
    <w:p>
      <w:pPr>
        <w:pStyle w:val="BodyText"/>
        <w:spacing w:line="360" w:lineRule="auto" w:before="212"/>
        <w:ind w:left="116" w:right="116"/>
        <w:jc w:val="both"/>
      </w:pPr>
      <w:r>
        <w:rPr/>
        <w:t>Durante el amamantamiento se producen los estímulos nerviosos a los centros propioceptivos de labios, lengua, mejillas, músculos, ATM (Articulación Temporomandibular), activa y crea fisiológicamente los circuitos nerviosos que proporcionan las respuestas paratípicas de crecimiento y desarrollo, la estimulación de la musculatura bucal; todo esto influye en el desarrollo del aparato estomatognático.</w:t>
      </w:r>
    </w:p>
    <w:p>
      <w:pPr>
        <w:pStyle w:val="BodyText"/>
        <w:spacing w:line="362" w:lineRule="auto" w:before="209"/>
        <w:ind w:left="116" w:right="119"/>
        <w:jc w:val="both"/>
      </w:pPr>
      <w:r>
        <w:rPr/>
        <w:t>El desarrollo de la musculatura con el amamantamiento implica el control y dirección del  crecimiento  facial,  control  de  la  dimensión  vertical,  equilibrio  y  forma  de las</w:t>
      </w:r>
    </w:p>
    <w:p>
      <w:pPr>
        <w:pStyle w:val="BodyText"/>
        <w:spacing w:line="324" w:lineRule="auto"/>
        <w:ind w:left="116" w:right="122"/>
        <w:jc w:val="both"/>
        <w:rPr>
          <w:sz w:val="16"/>
        </w:rPr>
      </w:pPr>
      <w:r>
        <w:rPr/>
        <w:t>arcadas. Además favorece el avance mandibular hacia distal con respecto al maxilar superior; el primer avance fisiológico.</w:t>
      </w:r>
      <w:r>
        <w:rPr>
          <w:position w:val="11"/>
          <w:sz w:val="16"/>
        </w:rPr>
        <w:t>1- 3,6.</w:t>
      </w:r>
    </w:p>
    <w:p>
      <w:pPr>
        <w:pStyle w:val="BodyText"/>
        <w:spacing w:before="231"/>
        <w:ind w:left="116"/>
        <w:jc w:val="both"/>
      </w:pPr>
      <w:r>
        <w:rPr/>
        <w:t>Durante el acto de mamar se dan dos acciones:</w:t>
      </w:r>
    </w:p>
    <w:p>
      <w:pPr>
        <w:pStyle w:val="BodyText"/>
        <w:spacing w:before="10"/>
        <w:rPr>
          <w:sz w:val="29"/>
        </w:rPr>
      </w:pPr>
    </w:p>
    <w:p>
      <w:pPr>
        <w:pStyle w:val="ListParagraph"/>
        <w:numPr>
          <w:ilvl w:val="0"/>
          <w:numId w:val="3"/>
        </w:numPr>
        <w:tabs>
          <w:tab w:pos="837" w:val="left" w:leader="none"/>
        </w:tabs>
        <w:spacing w:line="240" w:lineRule="auto" w:before="0" w:after="0"/>
        <w:ind w:left="837" w:right="0" w:hanging="361"/>
        <w:jc w:val="left"/>
        <w:rPr>
          <w:sz w:val="24"/>
        </w:rPr>
      </w:pPr>
      <w:r>
        <w:rPr>
          <w:sz w:val="24"/>
        </w:rPr>
        <w:t>Succión: intervienen labios, lengua, carrillos, paladar blando y</w:t>
      </w:r>
      <w:r>
        <w:rPr>
          <w:spacing w:val="-34"/>
          <w:sz w:val="24"/>
        </w:rPr>
        <w:t> </w:t>
      </w:r>
      <w:r>
        <w:rPr>
          <w:sz w:val="24"/>
        </w:rPr>
        <w:t>mandíbula</w:t>
      </w:r>
    </w:p>
    <w:p>
      <w:pPr>
        <w:pStyle w:val="ListParagraph"/>
        <w:numPr>
          <w:ilvl w:val="0"/>
          <w:numId w:val="3"/>
        </w:numPr>
        <w:tabs>
          <w:tab w:pos="837" w:val="left" w:leader="none"/>
        </w:tabs>
        <w:spacing w:line="240" w:lineRule="auto" w:before="132" w:after="0"/>
        <w:ind w:left="837" w:right="0" w:hanging="361"/>
        <w:jc w:val="left"/>
        <w:rPr>
          <w:sz w:val="24"/>
        </w:rPr>
      </w:pPr>
      <w:r>
        <w:rPr>
          <w:sz w:val="24"/>
        </w:rPr>
        <w:t>Deglución: interviene faringe, laringe, hueso hioides y piso de</w:t>
      </w:r>
      <w:r>
        <w:rPr>
          <w:spacing w:val="-31"/>
          <w:sz w:val="24"/>
        </w:rPr>
        <w:t> </w:t>
      </w:r>
      <w:r>
        <w:rPr>
          <w:sz w:val="24"/>
        </w:rPr>
        <w:t>boca</w:t>
      </w:r>
    </w:p>
    <w:p>
      <w:pPr>
        <w:pStyle w:val="BodyText"/>
        <w:spacing w:before="9"/>
        <w:rPr>
          <w:sz w:val="29"/>
        </w:rPr>
      </w:pPr>
    </w:p>
    <w:p>
      <w:pPr>
        <w:pStyle w:val="BodyText"/>
        <w:spacing w:line="357" w:lineRule="auto"/>
        <w:ind w:left="116" w:right="116"/>
        <w:jc w:val="both"/>
      </w:pPr>
      <w:r>
        <w:rPr/>
        <w:t>En ambos casos intervienen una diversidad de músculos de la cara, cuello y espalda; toda esta dinámica produce estímulos funcionales para un armonioso desarrollo del órgano bucal.</w:t>
      </w:r>
    </w:p>
    <w:p>
      <w:pPr>
        <w:pStyle w:val="BodyText"/>
        <w:spacing w:line="360" w:lineRule="auto" w:before="212"/>
        <w:ind w:left="116" w:right="117"/>
        <w:jc w:val="both"/>
      </w:pPr>
      <w:r>
        <w:rPr/>
        <w:t>Los movimientos de avance mandibular que realiza el niño cuando hace los movimientos de succión y deglución ejercita los músculos masticadores y faciales, disminuyendo en un 50% los indicadores de maloclusión dentaria. Además durante el amamantamiento el lactante debe aprender a manejar la respiración a la par de los</w:t>
      </w:r>
    </w:p>
    <w:p>
      <w:pPr>
        <w:spacing w:after="0" w:line="360" w:lineRule="auto"/>
        <w:jc w:val="both"/>
        <w:sectPr>
          <w:pgSz w:w="12240" w:h="15840"/>
          <w:pgMar w:header="0" w:footer="1002" w:top="1500" w:bottom="1200" w:left="1300" w:right="1580"/>
        </w:sectPr>
      </w:pPr>
    </w:p>
    <w:p>
      <w:pPr>
        <w:pStyle w:val="BodyText"/>
        <w:spacing w:before="10"/>
        <w:rPr>
          <w:sz w:val="10"/>
        </w:rPr>
      </w:pPr>
    </w:p>
    <w:p>
      <w:pPr>
        <w:pStyle w:val="BodyText"/>
        <w:spacing w:line="328" w:lineRule="auto" w:before="70"/>
        <w:ind w:left="116" w:right="124"/>
        <w:jc w:val="both"/>
        <w:rPr>
          <w:sz w:val="16"/>
        </w:rPr>
      </w:pPr>
      <w:r>
        <w:rPr/>
        <w:t>movimientos de lactancia, esto contribuye al desarrollo de la respiración nasal evitando la respiración bucal.</w:t>
      </w:r>
      <w:r>
        <w:rPr>
          <w:position w:val="11"/>
          <w:sz w:val="16"/>
        </w:rPr>
        <w:t>1, 3,7</w:t>
      </w:r>
    </w:p>
    <w:p>
      <w:pPr>
        <w:pStyle w:val="BodyText"/>
        <w:spacing w:before="225"/>
        <w:ind w:left="116"/>
        <w:jc w:val="both"/>
      </w:pPr>
      <w:r>
        <w:rPr/>
        <w:t>Ventajas de la lactancia Materna para la salud Bucodental:</w:t>
      </w:r>
    </w:p>
    <w:p>
      <w:pPr>
        <w:pStyle w:val="BodyText"/>
        <w:spacing w:before="3"/>
        <w:rPr>
          <w:sz w:val="29"/>
        </w:rPr>
      </w:pPr>
    </w:p>
    <w:p>
      <w:pPr>
        <w:pStyle w:val="ListParagraph"/>
        <w:numPr>
          <w:ilvl w:val="0"/>
          <w:numId w:val="4"/>
        </w:numPr>
        <w:tabs>
          <w:tab w:pos="837" w:val="left" w:leader="none"/>
        </w:tabs>
        <w:spacing w:line="355" w:lineRule="auto" w:before="0" w:after="0"/>
        <w:ind w:left="837" w:right="119" w:hanging="361"/>
        <w:jc w:val="both"/>
        <w:rPr>
          <w:sz w:val="24"/>
        </w:rPr>
      </w:pPr>
      <w:r>
        <w:rPr>
          <w:sz w:val="24"/>
        </w:rPr>
        <w:t>Disminuye la infección por estreptococos, lo que contribuye a la disminución del índice de caries</w:t>
      </w:r>
      <w:r>
        <w:rPr>
          <w:spacing w:val="-8"/>
          <w:sz w:val="24"/>
        </w:rPr>
        <w:t> </w:t>
      </w:r>
      <w:r>
        <w:rPr>
          <w:sz w:val="24"/>
        </w:rPr>
        <w:t>dentales</w:t>
      </w:r>
    </w:p>
    <w:p>
      <w:pPr>
        <w:pStyle w:val="ListParagraph"/>
        <w:numPr>
          <w:ilvl w:val="0"/>
          <w:numId w:val="4"/>
        </w:numPr>
        <w:tabs>
          <w:tab w:pos="837" w:val="left" w:leader="none"/>
        </w:tabs>
        <w:spacing w:line="355" w:lineRule="auto" w:before="6" w:after="0"/>
        <w:ind w:left="837" w:right="130" w:hanging="361"/>
        <w:jc w:val="both"/>
        <w:rPr>
          <w:sz w:val="24"/>
        </w:rPr>
      </w:pPr>
      <w:r>
        <w:rPr>
          <w:sz w:val="24"/>
        </w:rPr>
        <w:t>Incrementa la resistencia de los tejidos duros del diente, por la </w:t>
      </w:r>
      <w:r>
        <w:rPr>
          <w:spacing w:val="-3"/>
          <w:sz w:val="24"/>
        </w:rPr>
        <w:t>mejor  </w:t>
      </w:r>
      <w:r>
        <w:rPr>
          <w:sz w:val="24"/>
        </w:rPr>
        <w:t>absorción de calcio y</w:t>
      </w:r>
      <w:r>
        <w:rPr>
          <w:spacing w:val="-11"/>
          <w:sz w:val="24"/>
        </w:rPr>
        <w:t> </w:t>
      </w:r>
      <w:r>
        <w:rPr>
          <w:sz w:val="24"/>
        </w:rPr>
        <w:t>flúor</w:t>
      </w:r>
    </w:p>
    <w:p>
      <w:pPr>
        <w:pStyle w:val="ListParagraph"/>
        <w:numPr>
          <w:ilvl w:val="0"/>
          <w:numId w:val="4"/>
        </w:numPr>
        <w:tabs>
          <w:tab w:pos="836" w:val="left" w:leader="none"/>
          <w:tab w:pos="837" w:val="left" w:leader="none"/>
        </w:tabs>
        <w:spacing w:line="240" w:lineRule="auto" w:before="6" w:after="0"/>
        <w:ind w:left="837" w:right="0" w:hanging="361"/>
        <w:jc w:val="left"/>
        <w:rPr>
          <w:sz w:val="24"/>
        </w:rPr>
      </w:pPr>
      <w:r>
        <w:rPr>
          <w:sz w:val="24"/>
        </w:rPr>
        <w:t>Aumento de la secreción salival, manteniendo un pH</w:t>
      </w:r>
      <w:r>
        <w:rPr>
          <w:spacing w:val="-21"/>
          <w:sz w:val="24"/>
        </w:rPr>
        <w:t> </w:t>
      </w:r>
      <w:r>
        <w:rPr>
          <w:sz w:val="24"/>
        </w:rPr>
        <w:t>adecuado</w:t>
      </w:r>
    </w:p>
    <w:p>
      <w:pPr>
        <w:pStyle w:val="ListParagraph"/>
        <w:numPr>
          <w:ilvl w:val="0"/>
          <w:numId w:val="4"/>
        </w:numPr>
        <w:tabs>
          <w:tab w:pos="837" w:val="left" w:leader="none"/>
        </w:tabs>
        <w:spacing w:line="350" w:lineRule="auto" w:before="138" w:after="0"/>
        <w:ind w:left="837" w:right="118" w:hanging="361"/>
        <w:jc w:val="both"/>
        <w:rPr>
          <w:sz w:val="24"/>
        </w:rPr>
      </w:pPr>
      <w:r>
        <w:rPr>
          <w:sz w:val="24"/>
        </w:rPr>
        <w:t>Aparece una adecuada posición y función lingual facilitando el equilibrio dentario</w:t>
      </w:r>
    </w:p>
    <w:p>
      <w:pPr>
        <w:pStyle w:val="ListParagraph"/>
        <w:numPr>
          <w:ilvl w:val="0"/>
          <w:numId w:val="4"/>
        </w:numPr>
        <w:tabs>
          <w:tab w:pos="837" w:val="left" w:leader="none"/>
        </w:tabs>
        <w:spacing w:line="350" w:lineRule="auto" w:before="16" w:after="0"/>
        <w:ind w:left="837" w:right="127" w:hanging="361"/>
        <w:jc w:val="both"/>
        <w:rPr>
          <w:sz w:val="24"/>
        </w:rPr>
      </w:pPr>
      <w:r>
        <w:rPr>
          <w:sz w:val="24"/>
        </w:rPr>
        <w:t>La función muscular favorece el mejor desarrollo de los maxilares y facilita la erupción y alineación de los</w:t>
      </w:r>
      <w:r>
        <w:rPr>
          <w:spacing w:val="-12"/>
          <w:sz w:val="24"/>
        </w:rPr>
        <w:t> </w:t>
      </w:r>
      <w:r>
        <w:rPr>
          <w:sz w:val="24"/>
        </w:rPr>
        <w:t>dientes</w:t>
      </w:r>
    </w:p>
    <w:p>
      <w:pPr>
        <w:pStyle w:val="ListParagraph"/>
        <w:numPr>
          <w:ilvl w:val="0"/>
          <w:numId w:val="4"/>
        </w:numPr>
        <w:tabs>
          <w:tab w:pos="837" w:val="left" w:leader="none"/>
        </w:tabs>
        <w:spacing w:line="338" w:lineRule="auto" w:before="11" w:after="0"/>
        <w:ind w:left="837" w:right="131" w:hanging="361"/>
        <w:jc w:val="both"/>
        <w:rPr>
          <w:sz w:val="16"/>
        </w:rPr>
      </w:pPr>
      <w:r>
        <w:rPr>
          <w:sz w:val="24"/>
        </w:rPr>
        <w:t>El movimiento mandibular durante la lactancia, evita retrognatismos mandibulares, obteniéndose una mejor relación entre mandíbula y </w:t>
      </w:r>
      <w:r>
        <w:rPr>
          <w:position w:val="-10"/>
          <w:sz w:val="24"/>
        </w:rPr>
        <w:t>maxilar.</w:t>
      </w:r>
      <w:r>
        <w:rPr>
          <w:sz w:val="16"/>
        </w:rPr>
        <w:t>2,5,10,11</w:t>
      </w:r>
    </w:p>
    <w:p>
      <w:pPr>
        <w:pStyle w:val="BodyText"/>
        <w:spacing w:line="343" w:lineRule="auto" w:before="218"/>
        <w:ind w:left="116" w:right="129"/>
        <w:jc w:val="both"/>
        <w:rPr>
          <w:sz w:val="16"/>
        </w:rPr>
      </w:pPr>
      <w:r>
        <w:rPr/>
        <w:t>En los últimos años diversas investigaciones indican que la lactancia materna ayuda a evitar muchas anomalías dentomaxilares que se producen en edades tempranas y se manifiestan en los primeros años de vida.</w:t>
      </w:r>
      <w:r>
        <w:rPr>
          <w:position w:val="11"/>
          <w:sz w:val="16"/>
        </w:rPr>
        <w:t>1,</w:t>
      </w:r>
      <w:r>
        <w:rPr>
          <w:spacing w:val="-17"/>
          <w:position w:val="11"/>
          <w:sz w:val="16"/>
        </w:rPr>
        <w:t> </w:t>
      </w:r>
      <w:r>
        <w:rPr>
          <w:position w:val="11"/>
          <w:sz w:val="16"/>
        </w:rPr>
        <w:t>2-10</w:t>
      </w:r>
    </w:p>
    <w:p>
      <w:pPr>
        <w:pStyle w:val="Heading1"/>
        <w:numPr>
          <w:ilvl w:val="1"/>
          <w:numId w:val="2"/>
        </w:numPr>
        <w:tabs>
          <w:tab w:pos="587" w:val="left" w:leader="none"/>
        </w:tabs>
        <w:spacing w:line="240" w:lineRule="auto" w:before="202" w:after="0"/>
        <w:ind w:left="586" w:right="0" w:hanging="470"/>
        <w:jc w:val="both"/>
      </w:pPr>
      <w:r>
        <w:rPr/>
        <w:t>Lactancia</w:t>
      </w:r>
      <w:r>
        <w:rPr>
          <w:spacing w:val="-6"/>
        </w:rPr>
        <w:t> </w:t>
      </w:r>
      <w:r>
        <w:rPr/>
        <w:t>Artificial</w:t>
      </w:r>
    </w:p>
    <w:p>
      <w:pPr>
        <w:pStyle w:val="BodyText"/>
        <w:spacing w:before="3"/>
        <w:rPr>
          <w:b/>
          <w:sz w:val="30"/>
        </w:rPr>
      </w:pPr>
    </w:p>
    <w:p>
      <w:pPr>
        <w:pStyle w:val="BodyText"/>
        <w:spacing w:line="350" w:lineRule="auto"/>
        <w:ind w:left="116" w:right="116"/>
        <w:jc w:val="both"/>
        <w:rPr>
          <w:sz w:val="16"/>
        </w:rPr>
      </w:pPr>
      <w:r>
        <w:rPr/>
        <w:t>La lactancia artificial consiste en alimentar al bebé con fórmulas lácteas adaptadas a base de leche de vaca y con ayuda de un biberón. Antes de iniciar la lactancia artificial es necesario escoger el biberón y la tetina adecuada, es importante que los biberones sean fáciles de limpiar y resistentes; las tetinas pueden ser de caucho o silicona lo más parecido posible al pezón de la madre.</w:t>
      </w:r>
      <w:r>
        <w:rPr>
          <w:position w:val="11"/>
          <w:sz w:val="16"/>
        </w:rPr>
        <w:t>4</w:t>
      </w:r>
    </w:p>
    <w:p>
      <w:pPr>
        <w:pStyle w:val="BodyText"/>
        <w:spacing w:line="360" w:lineRule="auto" w:before="198"/>
        <w:ind w:left="116" w:right="116"/>
        <w:jc w:val="both"/>
      </w:pPr>
      <w:r>
        <w:rPr/>
        <w:t>Con el uso del biberón, el lactante no cierra los labios con tanta fuerza, la acción de  la lengua se ve afectada, por lo regular el flujo excesivo de leche trae como consecuencia una menor excitación a nivel de la musculatura bucal y no</w:t>
      </w:r>
      <w:r>
        <w:rPr>
          <w:spacing w:val="50"/>
        </w:rPr>
        <w:t> </w:t>
      </w:r>
      <w:r>
        <w:rPr/>
        <w:t>favorecerán</w:t>
      </w:r>
    </w:p>
    <w:p>
      <w:pPr>
        <w:spacing w:after="0" w:line="360" w:lineRule="auto"/>
        <w:jc w:val="both"/>
        <w:sectPr>
          <w:pgSz w:w="12240" w:h="15840"/>
          <w:pgMar w:header="0" w:footer="1002" w:top="1500" w:bottom="1200" w:left="1300" w:right="1580"/>
        </w:sectPr>
      </w:pPr>
    </w:p>
    <w:p>
      <w:pPr>
        <w:pStyle w:val="BodyText"/>
        <w:spacing w:before="10"/>
        <w:rPr>
          <w:sz w:val="10"/>
        </w:rPr>
      </w:pPr>
    </w:p>
    <w:p>
      <w:pPr>
        <w:pStyle w:val="BodyText"/>
        <w:spacing w:line="343" w:lineRule="auto" w:before="70"/>
        <w:ind w:left="116" w:right="119"/>
        <w:jc w:val="both"/>
        <w:rPr>
          <w:sz w:val="16"/>
        </w:rPr>
      </w:pPr>
      <w:r>
        <w:rPr/>
        <w:t>el crecimiento y desarrollo mandibular, por lo tanto habrá repercusión en la oclusión dentaria. Además favorecerá la aparición de pereza masticatoria y la aparición de estímulos nocivos.</w:t>
      </w:r>
      <w:r>
        <w:rPr>
          <w:position w:val="11"/>
          <w:sz w:val="16"/>
        </w:rPr>
        <w:t>3, 4</w:t>
      </w:r>
    </w:p>
    <w:p>
      <w:pPr>
        <w:pStyle w:val="BodyText"/>
        <w:spacing w:line="340" w:lineRule="auto" w:before="211"/>
        <w:ind w:left="116" w:right="116"/>
        <w:jc w:val="both"/>
        <w:rPr>
          <w:sz w:val="16"/>
        </w:rPr>
      </w:pPr>
      <w:r>
        <w:rPr/>
        <w:t>Panells en 1999 considera la lactancia artificial como un factor etiológico principal en el desarrollo de hábitos que posteriormente tendrán como consecuencias anomalías dentofaciales. </w:t>
      </w:r>
      <w:r>
        <w:rPr>
          <w:position w:val="11"/>
          <w:sz w:val="16"/>
        </w:rPr>
        <w:t>3</w:t>
      </w:r>
    </w:p>
    <w:p>
      <w:pPr>
        <w:pStyle w:val="BodyText"/>
        <w:spacing w:line="343" w:lineRule="auto" w:before="215"/>
        <w:ind w:left="116" w:right="116"/>
        <w:jc w:val="both"/>
        <w:rPr>
          <w:sz w:val="16"/>
        </w:rPr>
      </w:pPr>
      <w:r>
        <w:rPr/>
        <w:t>Si no se estimula el crecimiento de las arcadas dentarias antes de los 6 años y sobre todo en los primeros meses de vida, con una adecuada alimentación y masticación puede que los maxilares no logren un correcto crecimiento transversal y sagital. </w:t>
      </w:r>
      <w:r>
        <w:rPr>
          <w:position w:val="11"/>
          <w:sz w:val="16"/>
        </w:rPr>
        <w:t>12</w:t>
      </w:r>
    </w:p>
    <w:p>
      <w:pPr>
        <w:pStyle w:val="BodyText"/>
        <w:spacing w:line="343" w:lineRule="auto" w:before="211"/>
        <w:ind w:left="116" w:right="113"/>
        <w:jc w:val="both"/>
        <w:rPr>
          <w:sz w:val="16"/>
        </w:rPr>
      </w:pPr>
      <w:r>
        <w:rPr/>
        <w:t>Si la alimentación durante los primeros meses de vida no es satisfactoria, el niño desarrollará hábitos sustitutos como chuparse el dedo, morderse las uñas, el brazo, el labio, el pelo, objetos y dichos hábitos favorecen el desarrollo de </w:t>
      </w:r>
      <w:r>
        <w:rPr>
          <w:spacing w:val="-3"/>
        </w:rPr>
        <w:t>mal  </w:t>
      </w:r>
      <w:r>
        <w:rPr>
          <w:spacing w:val="-2"/>
        </w:rPr>
        <w:t> </w:t>
      </w:r>
      <w:r>
        <w:rPr/>
        <w:t>oclusiones.</w:t>
      </w:r>
      <w:r>
        <w:rPr>
          <w:position w:val="11"/>
          <w:sz w:val="16"/>
        </w:rPr>
        <w:t>2,</w:t>
      </w:r>
    </w:p>
    <w:p>
      <w:pPr>
        <w:spacing w:line="149" w:lineRule="exact" w:before="0"/>
        <w:ind w:left="116" w:right="0" w:firstLine="0"/>
        <w:jc w:val="both"/>
        <w:rPr>
          <w:sz w:val="16"/>
        </w:rPr>
      </w:pPr>
      <w:r>
        <w:rPr>
          <w:sz w:val="16"/>
        </w:rPr>
        <w:t>3, 5, 7, 9-11</w:t>
      </w:r>
    </w:p>
    <w:p>
      <w:pPr>
        <w:pStyle w:val="BodyText"/>
        <w:rPr>
          <w:sz w:val="16"/>
        </w:rPr>
      </w:pPr>
    </w:p>
    <w:p>
      <w:pPr>
        <w:pStyle w:val="BodyText"/>
        <w:rPr>
          <w:sz w:val="16"/>
        </w:rPr>
      </w:pPr>
    </w:p>
    <w:p>
      <w:pPr>
        <w:pStyle w:val="BodyText"/>
        <w:spacing w:line="360" w:lineRule="auto" w:before="102"/>
        <w:ind w:left="116" w:right="116"/>
        <w:jc w:val="both"/>
      </w:pPr>
      <w:r>
        <w:rPr/>
        <w:t>Los niños que han sido amamantados durante más de 6 meses han desarrollarlo planos terminales rectos lo que favorece una oclusión ideal en edades maduras. Además los niños que han sido alimentados a seno materno por periodos que va de los primeros 4 meses al año de edad tienden en menor probabilidad de desarrollar</w:t>
      </w:r>
    </w:p>
    <w:p>
      <w:pPr>
        <w:pStyle w:val="BodyText"/>
        <w:spacing w:line="324" w:lineRule="auto" w:before="2"/>
        <w:ind w:left="116" w:right="122"/>
        <w:jc w:val="both"/>
        <w:rPr>
          <w:sz w:val="16"/>
        </w:rPr>
      </w:pPr>
      <w:r>
        <w:rPr/>
        <w:t>hábitos de succión no nutritivos en comparación con los niños que no fueron alimentados a seno materno.</w:t>
      </w:r>
      <w:r>
        <w:rPr>
          <w:position w:val="11"/>
          <w:sz w:val="16"/>
        </w:rPr>
        <w:t>5-12, 13-21</w:t>
      </w:r>
    </w:p>
    <w:p>
      <w:pPr>
        <w:pStyle w:val="BodyText"/>
        <w:spacing w:line="362" w:lineRule="auto" w:before="236"/>
        <w:ind w:left="116" w:right="117"/>
        <w:jc w:val="both"/>
      </w:pPr>
      <w:r>
        <w:rPr/>
        <w:t>El porcentaje de niños alimentados a seno materno ha disminuido considerablemente ya que se enfrenta a un obstáculo; el fenómeno de urbanización, la incorporación de la mujer a la fuerza laboral  y al  aumento de la   comercialización de           leches de</w:t>
      </w:r>
    </w:p>
    <w:p>
      <w:pPr>
        <w:pStyle w:val="BodyText"/>
        <w:spacing w:line="324" w:lineRule="auto"/>
        <w:ind w:left="116" w:right="135"/>
        <w:jc w:val="both"/>
        <w:rPr>
          <w:sz w:val="16"/>
        </w:rPr>
      </w:pPr>
      <w:r>
        <w:rPr/>
        <w:t>fórmula. Esto coincide con el incremento en el porcentaje de maloclusiones a nivel mundial.</w:t>
      </w:r>
      <w:r>
        <w:rPr>
          <w:position w:val="11"/>
          <w:sz w:val="16"/>
        </w:rPr>
        <w:t>22</w:t>
      </w:r>
    </w:p>
    <w:p>
      <w:pPr>
        <w:spacing w:after="0" w:line="324" w:lineRule="auto"/>
        <w:jc w:val="both"/>
        <w:rPr>
          <w:sz w:val="16"/>
        </w:rPr>
        <w:sectPr>
          <w:pgSz w:w="12240" w:h="15840"/>
          <w:pgMar w:header="0" w:footer="1002" w:top="1500" w:bottom="1200" w:left="1300" w:right="1580"/>
        </w:sectPr>
      </w:pPr>
    </w:p>
    <w:p>
      <w:pPr>
        <w:pStyle w:val="BodyText"/>
        <w:spacing w:before="1"/>
        <w:rPr>
          <w:sz w:val="10"/>
        </w:rPr>
      </w:pPr>
    </w:p>
    <w:p>
      <w:pPr>
        <w:pStyle w:val="Heading1"/>
        <w:ind w:left="116"/>
        <w:jc w:val="both"/>
      </w:pPr>
      <w:r>
        <w:rPr/>
        <w:t>Capitulo 2. Oclusión Dental de la Dentición Temporal</w:t>
      </w:r>
    </w:p>
    <w:p>
      <w:pPr>
        <w:pStyle w:val="BodyText"/>
        <w:spacing w:before="3"/>
        <w:rPr>
          <w:b/>
          <w:sz w:val="30"/>
        </w:rPr>
      </w:pPr>
    </w:p>
    <w:p>
      <w:pPr>
        <w:pStyle w:val="BodyText"/>
        <w:spacing w:line="345" w:lineRule="auto"/>
        <w:ind w:left="116" w:right="130"/>
        <w:jc w:val="both"/>
        <w:rPr>
          <w:sz w:val="16"/>
        </w:rPr>
      </w:pPr>
      <w:r>
        <w:rPr/>
        <w:t>El desarrollo de la oclusión dentaria es un proceso largo y complejo que inicia en la vida embrionaria y se alarga durante toda la vida, ya que no permanece estable y va cambiando por factores generales y locales que actúan sobre ella.</w:t>
      </w:r>
      <w:r>
        <w:rPr>
          <w:position w:val="11"/>
          <w:sz w:val="16"/>
        </w:rPr>
        <w:t>23</w:t>
      </w:r>
    </w:p>
    <w:p>
      <w:pPr>
        <w:pStyle w:val="BodyText"/>
        <w:spacing w:before="8"/>
        <w:rPr>
          <w:sz w:val="35"/>
        </w:rPr>
      </w:pPr>
    </w:p>
    <w:p>
      <w:pPr>
        <w:pStyle w:val="Heading1"/>
        <w:spacing w:before="0"/>
        <w:ind w:right="6"/>
      </w:pPr>
      <w:r>
        <w:rPr/>
        <w:t>2.1 Desarrollo de la Oclusión en la Vida Intrauterina</w:t>
      </w:r>
    </w:p>
    <w:p>
      <w:pPr>
        <w:pStyle w:val="BodyText"/>
        <w:rPr>
          <w:b/>
        </w:rPr>
      </w:pPr>
    </w:p>
    <w:p>
      <w:pPr>
        <w:pStyle w:val="BodyText"/>
        <w:spacing w:before="7"/>
        <w:rPr>
          <w:b/>
        </w:rPr>
      </w:pPr>
    </w:p>
    <w:p>
      <w:pPr>
        <w:pStyle w:val="BodyText"/>
        <w:spacing w:line="360" w:lineRule="auto"/>
        <w:ind w:left="116" w:right="119"/>
        <w:jc w:val="both"/>
      </w:pPr>
      <w:r>
        <w:rPr/>
        <w:t>En la séptima semana de vida intrauterina, surgen de la lámina dental los primeros gérmenes dentales de la dentición primaria. Su dirección no es totalmente perpendicular ni ordenada. Si lo observamos oclusalmente veremos que los centrales primarios  superiores  se  forman  en  una  posición  más  labial;  los  laterales   hacia</w:t>
      </w:r>
    </w:p>
    <w:p>
      <w:pPr>
        <w:pStyle w:val="BodyText"/>
        <w:spacing w:line="328" w:lineRule="auto" w:before="7"/>
        <w:ind w:left="116" w:right="123"/>
        <w:jc w:val="both"/>
        <w:rPr>
          <w:sz w:val="16"/>
        </w:rPr>
      </w:pPr>
      <w:r>
        <w:rPr/>
        <w:t>palatino; los caninos hacia vestibular; en la mandíbula ocurre lo mismo, excepto los cuatro incisivos quienes se dirigen hacia una dirección lingual</w:t>
      </w:r>
      <w:r>
        <w:rPr>
          <w:position w:val="11"/>
          <w:sz w:val="16"/>
        </w:rPr>
        <w:t>.</w:t>
      </w:r>
    </w:p>
    <w:p>
      <w:pPr>
        <w:pStyle w:val="BodyText"/>
        <w:spacing w:before="11"/>
        <w:rPr>
          <w:sz w:val="37"/>
        </w:rPr>
      </w:pPr>
    </w:p>
    <w:p>
      <w:pPr>
        <w:pStyle w:val="BodyText"/>
        <w:spacing w:line="355" w:lineRule="auto"/>
        <w:ind w:left="116" w:right="116"/>
        <w:jc w:val="both"/>
        <w:rPr>
          <w:sz w:val="16"/>
        </w:rPr>
      </w:pPr>
      <w:r>
        <w:rPr/>
        <w:t>Hacia el séptimo </w:t>
      </w:r>
      <w:r>
        <w:rPr>
          <w:spacing w:val="-3"/>
        </w:rPr>
        <w:t>mes </w:t>
      </w:r>
      <w:r>
        <w:rPr/>
        <w:t>de vida intrauterina hay un apiñamiento tanto en el maxilar como en la mandíbula, pero se conserva cierto patrón morfológico: Los incisivos superiores e inferiores se encuentran apiñados, los laterales se ubican hacia lingual y los centrales superiores son los que conservan con </w:t>
      </w:r>
      <w:r>
        <w:rPr>
          <w:spacing w:val="-3"/>
        </w:rPr>
        <w:t>más </w:t>
      </w:r>
      <w:r>
        <w:rPr/>
        <w:t>frecuencia una posición regular. Los molares se solapan y superponen, como escamas, </w:t>
      </w:r>
      <w:r>
        <w:rPr>
          <w:spacing w:val="3"/>
        </w:rPr>
        <w:t>con </w:t>
      </w:r>
      <w:r>
        <w:rPr/>
        <w:t>diferentes  niveles de implantación</w:t>
      </w:r>
      <w:r>
        <w:rPr>
          <w:spacing w:val="-9"/>
        </w:rPr>
        <w:t> </w:t>
      </w:r>
      <w:r>
        <w:rPr/>
        <w:t>vertical.</w:t>
      </w:r>
      <w:r>
        <w:rPr>
          <w:position w:val="11"/>
          <w:sz w:val="16"/>
        </w:rPr>
        <w:t>23</w:t>
      </w:r>
    </w:p>
    <w:p>
      <w:pPr>
        <w:pStyle w:val="Heading1"/>
        <w:numPr>
          <w:ilvl w:val="1"/>
          <w:numId w:val="5"/>
        </w:numPr>
        <w:tabs>
          <w:tab w:pos="1196" w:val="left" w:leader="none"/>
          <w:tab w:pos="1197" w:val="left" w:leader="none"/>
        </w:tabs>
        <w:spacing w:line="261" w:lineRule="exact" w:before="0" w:after="0"/>
        <w:ind w:left="1197" w:right="0" w:hanging="721"/>
        <w:jc w:val="left"/>
      </w:pPr>
      <w:r>
        <w:rPr/>
        <w:t>Características de la Boca del Recién</w:t>
      </w:r>
      <w:r>
        <w:rPr>
          <w:spacing w:val="-14"/>
        </w:rPr>
        <w:t> </w:t>
      </w:r>
      <w:r>
        <w:rPr/>
        <w:t>Nacido</w:t>
      </w:r>
    </w:p>
    <w:p>
      <w:pPr>
        <w:pStyle w:val="BodyText"/>
        <w:rPr>
          <w:b/>
        </w:rPr>
      </w:pPr>
    </w:p>
    <w:p>
      <w:pPr>
        <w:pStyle w:val="BodyText"/>
        <w:spacing w:before="2"/>
        <w:rPr>
          <w:b/>
        </w:rPr>
      </w:pPr>
    </w:p>
    <w:p>
      <w:pPr>
        <w:pStyle w:val="BodyText"/>
        <w:spacing w:line="362" w:lineRule="auto"/>
        <w:ind w:left="116" w:right="129"/>
        <w:jc w:val="both"/>
      </w:pPr>
      <w:r>
        <w:rPr/>
        <w:t>Al nacimiento los arcos son muy pequeños comparados con el tamaño de los gérmenes dentales dentro ellos y por consiguiente los dientes en los procesos alveolares se encuentran muy juntos e incluso apiñados; y su posición en el arco   va</w:t>
      </w:r>
    </w:p>
    <w:p>
      <w:pPr>
        <w:pStyle w:val="BodyText"/>
        <w:spacing w:line="324" w:lineRule="auto"/>
        <w:ind w:left="116" w:right="130"/>
        <w:jc w:val="both"/>
        <w:rPr>
          <w:sz w:val="16"/>
        </w:rPr>
      </w:pPr>
      <w:r>
        <w:rPr/>
        <w:t>a depender del crecimiento maxilar y mandibular los cuales se logran mediante los movimientos de succión durante la lactancia.</w:t>
      </w:r>
      <w:r>
        <w:rPr>
          <w:position w:val="11"/>
          <w:sz w:val="16"/>
        </w:rPr>
        <w:t>3, 4</w:t>
      </w:r>
    </w:p>
    <w:p>
      <w:pPr>
        <w:pStyle w:val="BodyText"/>
        <w:spacing w:line="362" w:lineRule="auto" w:before="237"/>
        <w:ind w:left="116" w:right="131"/>
        <w:jc w:val="both"/>
      </w:pPr>
      <w:r>
        <w:rPr/>
        <w:t>Este crecimiento se da de forma considerable durante los primeros 6 a 8 meses de vida postnatal, y un desarrollo significativo tiene lugar durante el primer año.</w:t>
      </w:r>
    </w:p>
    <w:p>
      <w:pPr>
        <w:spacing w:after="0" w:line="362" w:lineRule="auto"/>
        <w:jc w:val="both"/>
        <w:sectPr>
          <w:pgSz w:w="12240" w:h="15840"/>
          <w:pgMar w:header="0" w:footer="1002" w:top="1500" w:bottom="1200" w:left="1300" w:right="1580"/>
        </w:sectPr>
      </w:pPr>
    </w:p>
    <w:p>
      <w:pPr>
        <w:pStyle w:val="BodyText"/>
        <w:spacing w:before="10"/>
        <w:rPr>
          <w:sz w:val="10"/>
        </w:rPr>
      </w:pPr>
    </w:p>
    <w:p>
      <w:pPr>
        <w:pStyle w:val="BodyText"/>
        <w:spacing w:line="355" w:lineRule="auto" w:before="70"/>
        <w:ind w:left="116" w:right="118"/>
        <w:jc w:val="both"/>
        <w:rPr>
          <w:sz w:val="16"/>
        </w:rPr>
      </w:pPr>
      <w:r>
        <w:rPr/>
        <w:t>Al nacer, los procesos alveolares están cubiertos por las almohadillas gingivales, las que pronto son segmentadas para indicar los </w:t>
      </w:r>
      <w:r>
        <w:rPr>
          <w:spacing w:val="2"/>
        </w:rPr>
        <w:t>sitios </w:t>
      </w:r>
      <w:r>
        <w:rPr/>
        <w:t>de los dientes en desarrollo. Las encías son firmes, como en la boca de un adulto desdentado; Su forma está determinada en la vida intrauterina, tienen </w:t>
      </w:r>
      <w:r>
        <w:rPr>
          <w:spacing w:val="-3"/>
        </w:rPr>
        <w:t>forma </w:t>
      </w:r>
      <w:r>
        <w:rPr/>
        <w:t>de herradura (semielíptica) en una vista sagital la inferior se observa por detrás de la superior cuando entran en contacto, tienden a extenderse bucal y labialmente </w:t>
      </w:r>
      <w:r>
        <w:rPr>
          <w:spacing w:val="-3"/>
        </w:rPr>
        <w:t>más </w:t>
      </w:r>
      <w:r>
        <w:rPr>
          <w:spacing w:val="2"/>
        </w:rPr>
        <w:t>allá </w:t>
      </w:r>
      <w:r>
        <w:rPr/>
        <w:t>del hueso</w:t>
      </w:r>
      <w:r>
        <w:rPr>
          <w:spacing w:val="-18"/>
        </w:rPr>
        <w:t> </w:t>
      </w:r>
      <w:r>
        <w:rPr/>
        <w:t>alveolar.</w:t>
      </w:r>
      <w:r>
        <w:rPr>
          <w:position w:val="11"/>
          <w:sz w:val="16"/>
        </w:rPr>
        <w:t>23</w:t>
      </w:r>
    </w:p>
    <w:p>
      <w:pPr>
        <w:pStyle w:val="BodyText"/>
        <w:rPr>
          <w:sz w:val="35"/>
        </w:rPr>
      </w:pPr>
    </w:p>
    <w:p>
      <w:pPr>
        <w:pStyle w:val="BodyText"/>
        <w:spacing w:line="360" w:lineRule="auto"/>
        <w:ind w:left="116" w:right="115"/>
        <w:jc w:val="both"/>
      </w:pPr>
      <w:r>
        <w:rPr/>
        <w:t>Los procesos alveolares no son lisos: por el contrario, se hallan recubiertos  de crestas y surcos. En sus lados externos se observan eminencias correspondientes a los gérmenes de los incisivos, y a menudo presentan una incurvación de modo que no contactan en su posición anterior cuando se cierran y el contacto se hace únicamente en la región posterior. En una vista oclusal, sobre las regiones de los incisivos y caninos y en los bordes libres de los rodetes, existe un cordón fibroso de Robin y Magitot, el cual está bien desarrollado en el recién nacido y desaparece en la época  de  la  erupción  dentaria,  ellos  cumplen  la  función  de  facilitar  la</w:t>
      </w:r>
      <w:r>
        <w:rPr>
          <w:spacing w:val="-17"/>
        </w:rPr>
        <w:t> </w:t>
      </w:r>
      <w:r>
        <w:rPr/>
        <w:t>deglución</w:t>
      </w:r>
    </w:p>
    <w:p>
      <w:pPr>
        <w:pStyle w:val="BodyText"/>
        <w:spacing w:line="279" w:lineRule="exact"/>
        <w:ind w:left="116"/>
        <w:jc w:val="both"/>
        <w:rPr>
          <w:sz w:val="16"/>
        </w:rPr>
      </w:pPr>
      <w:r>
        <w:rPr/>
        <w:t>durante el amamantamiento.</w:t>
      </w:r>
      <w:r>
        <w:rPr>
          <w:position w:val="11"/>
          <w:sz w:val="16"/>
        </w:rPr>
        <w:t>23, 24</w:t>
      </w:r>
    </w:p>
    <w:p>
      <w:pPr>
        <w:pStyle w:val="BodyText"/>
        <w:rPr>
          <w:sz w:val="28"/>
        </w:rPr>
      </w:pPr>
    </w:p>
    <w:p>
      <w:pPr>
        <w:pStyle w:val="BodyText"/>
        <w:spacing w:before="4"/>
        <w:rPr>
          <w:sz w:val="37"/>
        </w:rPr>
      </w:pPr>
    </w:p>
    <w:p>
      <w:pPr>
        <w:pStyle w:val="BodyText"/>
        <w:spacing w:line="360" w:lineRule="auto"/>
        <w:ind w:left="116" w:right="116"/>
        <w:jc w:val="both"/>
      </w:pPr>
      <w:r>
        <w:rPr/>
        <w:t>Los labios y carrillos presentan pequeñas vellosidades, que son zonas muy sensibles e irrigadas, los maxilares semejan flecos muy irrigados y eréctiles cuya principal función es rodear al pezón contribuyendo al cierre hermético para que se produzca la succión de leche; el paladar es plano y permite encajonar el pezón y la aureola con ayuda de los burletes palatinos; la bola adiposa de Bichat sirve como amortiguador muscular durante el amamantamiento; la ATM tiene forma aplanada con    abundante</w:t>
      </w:r>
    </w:p>
    <w:p>
      <w:pPr>
        <w:pStyle w:val="BodyText"/>
        <w:spacing w:line="324" w:lineRule="auto" w:before="8"/>
        <w:ind w:left="116" w:right="121"/>
        <w:jc w:val="both"/>
        <w:rPr>
          <w:sz w:val="16"/>
        </w:rPr>
      </w:pPr>
      <w:r>
        <w:rPr/>
        <w:t>tejido conectivo que sirve como almohadilla para amortiguar los movimientos de avance y retroceso durante el acto de amamantar.</w:t>
      </w:r>
      <w:r>
        <w:rPr>
          <w:position w:val="11"/>
          <w:sz w:val="16"/>
        </w:rPr>
        <w:t>3,4</w:t>
      </w:r>
    </w:p>
    <w:p>
      <w:pPr>
        <w:pStyle w:val="BodyText"/>
        <w:spacing w:line="340" w:lineRule="auto" w:before="236"/>
        <w:ind w:left="116" w:right="115"/>
        <w:jc w:val="both"/>
        <w:rPr>
          <w:sz w:val="16"/>
        </w:rPr>
      </w:pPr>
      <w:r>
        <w:rPr/>
        <w:t>En el lactante los labios, maxilares, encías, lengua, los cojinetes grasos de las mejillas, el paladar duro y blando y la epiglotis, constituyen una estructura anatómico- funcional adaptada para el amamantamiento.</w:t>
      </w:r>
      <w:r>
        <w:rPr>
          <w:position w:val="11"/>
          <w:sz w:val="16"/>
        </w:rPr>
        <w:t>3, 4</w:t>
      </w:r>
    </w:p>
    <w:p>
      <w:pPr>
        <w:spacing w:after="0" w:line="340" w:lineRule="auto"/>
        <w:jc w:val="both"/>
        <w:rPr>
          <w:sz w:val="16"/>
        </w:rPr>
        <w:sectPr>
          <w:footerReference w:type="default" r:id="rId8"/>
          <w:pgSz w:w="12240" w:h="15840"/>
          <w:pgMar w:footer="1002" w:header="0" w:top="1500" w:bottom="1200" w:left="1300" w:right="1580"/>
        </w:sectPr>
      </w:pPr>
    </w:p>
    <w:p>
      <w:pPr>
        <w:pStyle w:val="BodyText"/>
        <w:spacing w:before="10"/>
        <w:rPr>
          <w:sz w:val="10"/>
        </w:rPr>
      </w:pPr>
    </w:p>
    <w:p>
      <w:pPr>
        <w:pStyle w:val="BodyText"/>
        <w:spacing w:line="362" w:lineRule="auto" w:before="70"/>
        <w:ind w:left="116" w:right="129"/>
        <w:jc w:val="both"/>
      </w:pPr>
      <w:r>
        <w:rPr/>
        <w:t>La forma de los arcos es semielíptica, las relaciones entre las almohadillas superior e inferior, ellas contactan en buena parte de la circunferencia del arco, pero de ninguna manera es en forma precisa y regular</w:t>
      </w:r>
    </w:p>
    <w:p>
      <w:pPr>
        <w:pStyle w:val="BodyText"/>
        <w:spacing w:before="10"/>
        <w:rPr>
          <w:sz w:val="35"/>
        </w:rPr>
      </w:pPr>
    </w:p>
    <w:p>
      <w:pPr>
        <w:pStyle w:val="BodyText"/>
        <w:spacing w:line="362" w:lineRule="auto"/>
        <w:ind w:left="116" w:right="131"/>
        <w:jc w:val="both"/>
      </w:pPr>
      <w:r>
        <w:rPr/>
        <w:t>En el recién nacido la mandíbula se encuentra retraída con respecto al maxilar superior,  la   posición   mandibular   al   nacer  es  1cm  detrás  del   maxilar;   con</w:t>
      </w:r>
      <w:r>
        <w:rPr>
          <w:spacing w:val="62"/>
        </w:rPr>
        <w:t> </w:t>
      </w:r>
      <w:r>
        <w:rPr/>
        <w:t>el</w:t>
      </w:r>
    </w:p>
    <w:p>
      <w:pPr>
        <w:pStyle w:val="BodyText"/>
        <w:spacing w:line="324" w:lineRule="auto"/>
        <w:ind w:left="116" w:right="133"/>
        <w:jc w:val="both"/>
        <w:rPr>
          <w:sz w:val="16"/>
        </w:rPr>
      </w:pPr>
      <w:r>
        <w:rPr/>
        <w:t>amamantamiento en los primeros días avanza 1 a 1.5 </w:t>
      </w:r>
      <w:r>
        <w:rPr>
          <w:spacing w:val="-3"/>
        </w:rPr>
        <w:t>mm, </w:t>
      </w:r>
      <w:r>
        <w:rPr/>
        <w:t>y en los primeros 4  meses avanza 4.6mm y en los primeros 6 meses alcanza su posición correcta.</w:t>
      </w:r>
      <w:r>
        <w:rPr>
          <w:position w:val="11"/>
          <w:sz w:val="16"/>
        </w:rPr>
        <w:t>3, 6,</w:t>
      </w:r>
      <w:r>
        <w:rPr>
          <w:spacing w:val="-25"/>
          <w:position w:val="11"/>
          <w:sz w:val="16"/>
        </w:rPr>
        <w:t> </w:t>
      </w:r>
      <w:r>
        <w:rPr>
          <w:position w:val="11"/>
          <w:sz w:val="16"/>
        </w:rPr>
        <w:t>23</w:t>
      </w:r>
    </w:p>
    <w:p>
      <w:pPr>
        <w:pStyle w:val="Heading1"/>
        <w:numPr>
          <w:ilvl w:val="1"/>
          <w:numId w:val="5"/>
        </w:numPr>
        <w:tabs>
          <w:tab w:pos="1196" w:val="left" w:leader="none"/>
          <w:tab w:pos="1197" w:val="left" w:leader="none"/>
        </w:tabs>
        <w:spacing w:line="240" w:lineRule="auto" w:before="232" w:after="0"/>
        <w:ind w:left="1197" w:right="0" w:hanging="721"/>
        <w:jc w:val="left"/>
      </w:pPr>
      <w:r>
        <w:rPr/>
        <w:t>Oclusión de la Dentición</w:t>
      </w:r>
      <w:r>
        <w:rPr>
          <w:spacing w:val="-11"/>
        </w:rPr>
        <w:t> </w:t>
      </w:r>
      <w:r>
        <w:rPr/>
        <w:t>Temporal</w:t>
      </w:r>
    </w:p>
    <w:p>
      <w:pPr>
        <w:pStyle w:val="BodyText"/>
        <w:rPr>
          <w:b/>
        </w:rPr>
      </w:pPr>
    </w:p>
    <w:p>
      <w:pPr>
        <w:pStyle w:val="BodyText"/>
        <w:spacing w:before="2"/>
        <w:rPr>
          <w:b/>
        </w:rPr>
      </w:pPr>
    </w:p>
    <w:p>
      <w:pPr>
        <w:pStyle w:val="BodyText"/>
        <w:spacing w:line="333" w:lineRule="auto"/>
        <w:ind w:left="116" w:right="135"/>
        <w:jc w:val="both"/>
        <w:rPr>
          <w:sz w:val="16"/>
        </w:rPr>
      </w:pPr>
      <w:r>
        <w:rPr/>
        <w:t>La oclusión en la dentición decidua, juega un papel importante por determinar el espacio y la oclusión en la dentición permanente.</w:t>
      </w:r>
      <w:r>
        <w:rPr>
          <w:position w:val="11"/>
          <w:sz w:val="16"/>
        </w:rPr>
        <w:t>24</w:t>
      </w:r>
    </w:p>
    <w:p>
      <w:pPr>
        <w:pStyle w:val="BodyText"/>
        <w:spacing w:line="350" w:lineRule="auto" w:before="18"/>
        <w:ind w:left="116" w:right="121"/>
        <w:jc w:val="both"/>
        <w:rPr>
          <w:sz w:val="16"/>
        </w:rPr>
      </w:pPr>
      <w:r>
        <w:rPr/>
        <w:t>La dentición decidua es la primera dentición del ser humano, consta de 20 dientes que inician su erupción a los 6 meses de edad con los incisivos centrales inferiores y termina aproximadamente entre 2.5 y 3 años de edad con la erupción de los segundos molares superiores.</w:t>
      </w:r>
      <w:r>
        <w:rPr>
          <w:position w:val="11"/>
          <w:sz w:val="16"/>
        </w:rPr>
        <w:t>25</w:t>
      </w:r>
    </w:p>
    <w:p>
      <w:pPr>
        <w:pStyle w:val="BodyText"/>
        <w:spacing w:before="6"/>
        <w:rPr>
          <w:sz w:val="35"/>
        </w:rPr>
      </w:pPr>
    </w:p>
    <w:p>
      <w:pPr>
        <w:pStyle w:val="BodyText"/>
        <w:spacing w:line="352" w:lineRule="auto" w:before="1"/>
        <w:ind w:left="116" w:right="116"/>
        <w:jc w:val="both"/>
        <w:rPr>
          <w:sz w:val="16"/>
        </w:rPr>
      </w:pPr>
      <w:r>
        <w:rPr/>
        <w:t>Entre los dos y seis años de edad se presenta el primer periodo de reposo; en el cual los arcos dentarios poseen únicamente dientes deciduos, arcos ovoides y presentan menos alteraciones y variaciones que los arcos permanentes. En este momento la dentición temporal alcanza su madurez oclusal y la relación diente-hueso también se encuentra definida y parece no cambiar desde los 3 a los 6 años.</w:t>
      </w:r>
      <w:r>
        <w:rPr>
          <w:position w:val="11"/>
          <w:sz w:val="16"/>
        </w:rPr>
        <w:t>23, 26, 27</w:t>
      </w:r>
    </w:p>
    <w:p>
      <w:pPr>
        <w:pStyle w:val="Heading1"/>
        <w:numPr>
          <w:ilvl w:val="2"/>
          <w:numId w:val="5"/>
        </w:numPr>
        <w:tabs>
          <w:tab w:pos="1197" w:val="left" w:leader="none"/>
        </w:tabs>
        <w:spacing w:line="264" w:lineRule="exact" w:before="0" w:after="0"/>
        <w:ind w:left="1197" w:right="0" w:hanging="721"/>
        <w:jc w:val="left"/>
      </w:pPr>
      <w:r>
        <w:rPr/>
        <w:t>Características</w:t>
      </w:r>
      <w:r>
        <w:rPr>
          <w:spacing w:val="-6"/>
        </w:rPr>
        <w:t> </w:t>
      </w:r>
      <w:r>
        <w:rPr/>
        <w:t>generales</w:t>
      </w:r>
    </w:p>
    <w:p>
      <w:pPr>
        <w:pStyle w:val="BodyText"/>
        <w:rPr>
          <w:b/>
        </w:rPr>
      </w:pPr>
    </w:p>
    <w:p>
      <w:pPr>
        <w:pStyle w:val="BodyText"/>
        <w:spacing w:before="7"/>
        <w:rPr>
          <w:b/>
        </w:rPr>
      </w:pPr>
    </w:p>
    <w:p>
      <w:pPr>
        <w:pStyle w:val="BodyText"/>
        <w:spacing w:line="360" w:lineRule="auto"/>
        <w:ind w:left="116" w:right="113"/>
        <w:jc w:val="both"/>
      </w:pPr>
      <w:r>
        <w:rPr/>
        <w:t>Espacios fisiológicos: existen dos tipos de disposición de los dientes primarios determinados por Baumme:</w:t>
      </w:r>
    </w:p>
    <w:p>
      <w:pPr>
        <w:pStyle w:val="ListParagraph"/>
        <w:numPr>
          <w:ilvl w:val="0"/>
          <w:numId w:val="6"/>
        </w:numPr>
        <w:tabs>
          <w:tab w:pos="837" w:val="left" w:leader="none"/>
        </w:tabs>
        <w:spacing w:line="240" w:lineRule="auto" w:before="2" w:after="0"/>
        <w:ind w:left="837" w:right="0" w:hanging="361"/>
        <w:jc w:val="left"/>
        <w:rPr>
          <w:sz w:val="24"/>
        </w:rPr>
      </w:pPr>
      <w:r>
        <w:rPr>
          <w:sz w:val="24"/>
        </w:rPr>
        <w:t>Tipo I o espaciada: presencia de espacios fisiológicos o de</w:t>
      </w:r>
      <w:r>
        <w:rPr>
          <w:spacing w:val="-29"/>
          <w:sz w:val="24"/>
        </w:rPr>
        <w:t> </w:t>
      </w:r>
      <w:r>
        <w:rPr>
          <w:sz w:val="24"/>
        </w:rPr>
        <w:t>crecimiento</w:t>
      </w:r>
    </w:p>
    <w:p>
      <w:pPr>
        <w:pStyle w:val="ListParagraph"/>
        <w:numPr>
          <w:ilvl w:val="0"/>
          <w:numId w:val="6"/>
        </w:numPr>
        <w:tabs>
          <w:tab w:pos="837" w:val="left" w:leader="none"/>
        </w:tabs>
        <w:spacing w:line="240" w:lineRule="auto" w:before="142" w:after="0"/>
        <w:ind w:left="837" w:right="0" w:hanging="361"/>
        <w:jc w:val="left"/>
        <w:rPr>
          <w:sz w:val="24"/>
        </w:rPr>
      </w:pPr>
      <w:r>
        <w:rPr>
          <w:sz w:val="24"/>
        </w:rPr>
        <w:t>Tipo II o cerrada, ausencia de espacios fisiológicos o de</w:t>
      </w:r>
      <w:r>
        <w:rPr>
          <w:spacing w:val="-34"/>
          <w:sz w:val="24"/>
        </w:rPr>
        <w:t> </w:t>
      </w:r>
      <w:r>
        <w:rPr>
          <w:sz w:val="24"/>
        </w:rPr>
        <w:t>crecimiento.</w:t>
      </w:r>
    </w:p>
    <w:p>
      <w:pPr>
        <w:pStyle w:val="BodyText"/>
        <w:spacing w:line="328" w:lineRule="auto" w:before="137"/>
        <w:ind w:left="116" w:right="135"/>
        <w:jc w:val="both"/>
        <w:rPr>
          <w:sz w:val="16"/>
        </w:rPr>
      </w:pPr>
      <w:r>
        <w:rPr/>
        <w:t>Además presentan espacios interdentarios más grandes a nivel de caninos llamados “espacios primates”, en mesial del canino superior y distal del canino inferior. </w:t>
      </w:r>
      <w:r>
        <w:rPr>
          <w:position w:val="11"/>
          <w:sz w:val="16"/>
        </w:rPr>
        <w:t>23,26, 27</w:t>
      </w:r>
    </w:p>
    <w:p>
      <w:pPr>
        <w:spacing w:after="0" w:line="328" w:lineRule="auto"/>
        <w:jc w:val="both"/>
        <w:rPr>
          <w:sz w:val="16"/>
        </w:rPr>
        <w:sectPr>
          <w:footerReference w:type="default" r:id="rId9"/>
          <w:pgSz w:w="12240" w:h="15840"/>
          <w:pgMar w:footer="1002" w:header="0" w:top="1500" w:bottom="1200" w:left="1300" w:right="1580"/>
          <w:pgNumType w:start="11"/>
        </w:sectPr>
      </w:pPr>
    </w:p>
    <w:p>
      <w:pPr>
        <w:pStyle w:val="BodyText"/>
        <w:spacing w:before="10"/>
        <w:rPr>
          <w:sz w:val="10"/>
        </w:rPr>
      </w:pPr>
    </w:p>
    <w:p>
      <w:pPr>
        <w:pStyle w:val="BodyText"/>
        <w:spacing w:line="360" w:lineRule="auto" w:before="70"/>
        <w:ind w:left="116" w:right="129"/>
        <w:jc w:val="both"/>
      </w:pPr>
      <w:r>
        <w:rPr/>
        <w:t>Los arcos dentarios con diastemas predominan en la dentición temporal, sobre los arcos sin diastemas y los arcos con apiñamiento los cuales constituyen minoría. La importancia de los espacios constituye un elemento de compensación para el alineamiento de los incisivos permanentes durante la dentición mixta.</w:t>
      </w:r>
    </w:p>
    <w:p>
      <w:pPr>
        <w:pStyle w:val="BodyText"/>
      </w:pPr>
    </w:p>
    <w:p>
      <w:pPr>
        <w:pStyle w:val="BodyText"/>
        <w:spacing w:line="343" w:lineRule="auto" w:before="144"/>
        <w:ind w:left="116" w:right="118"/>
        <w:jc w:val="both"/>
        <w:rPr>
          <w:sz w:val="16"/>
        </w:rPr>
      </w:pPr>
      <w:r>
        <w:rPr/>
        <w:t>Leighton en un estudio determino como regla general en cuanto mayor es la cantidad de distemas en la dentición temporal mejor es el pronóstico para el alineamiento de los incisivos permanentes.</w:t>
      </w:r>
      <w:r>
        <w:rPr>
          <w:position w:val="11"/>
          <w:sz w:val="16"/>
        </w:rPr>
        <w:t>26</w:t>
      </w:r>
    </w:p>
    <w:p>
      <w:pPr>
        <w:pStyle w:val="BodyText"/>
        <w:spacing w:before="4"/>
        <w:rPr>
          <w:sz w:val="36"/>
        </w:rPr>
      </w:pPr>
    </w:p>
    <w:p>
      <w:pPr>
        <w:pStyle w:val="Heading1"/>
        <w:numPr>
          <w:ilvl w:val="3"/>
          <w:numId w:val="7"/>
        </w:numPr>
        <w:tabs>
          <w:tab w:pos="1629" w:val="left" w:leader="none"/>
        </w:tabs>
        <w:spacing w:line="240" w:lineRule="auto" w:before="1" w:after="0"/>
        <w:ind w:left="1629" w:right="0" w:hanging="807"/>
        <w:jc w:val="left"/>
      </w:pPr>
      <w:r>
        <w:rPr/>
        <w:t>Dimensiones</w:t>
      </w:r>
      <w:r>
        <w:rPr>
          <w:spacing w:val="-21"/>
        </w:rPr>
        <w:t> </w:t>
      </w:r>
      <w:r>
        <w:rPr/>
        <w:t>transversales:</w:t>
      </w:r>
    </w:p>
    <w:p>
      <w:pPr>
        <w:pStyle w:val="BodyText"/>
        <w:spacing w:line="360" w:lineRule="auto" w:before="141"/>
        <w:ind w:left="116" w:right="115"/>
        <w:jc w:val="both"/>
      </w:pPr>
      <w:r>
        <w:rPr/>
        <w:t>Distancia intercanina: la distancia que existe entre las puntas de las cúspides de caninos primarios de ambos lados de la línea recta, si se encuentran desgastados se toma el centro de la faceta.</w:t>
      </w:r>
    </w:p>
    <w:p>
      <w:pPr>
        <w:pStyle w:val="BodyText"/>
      </w:pPr>
    </w:p>
    <w:p>
      <w:pPr>
        <w:pStyle w:val="BodyText"/>
        <w:spacing w:line="360" w:lineRule="auto" w:before="144"/>
        <w:ind w:left="116" w:right="129"/>
        <w:jc w:val="both"/>
      </w:pPr>
      <w:r>
        <w:rPr/>
        <w:t>Distancia intermolar: la distancia entre las cúspides mesiovestibular de los segundos molares primarios.</w:t>
      </w:r>
    </w:p>
    <w:p>
      <w:pPr>
        <w:pStyle w:val="BodyText"/>
      </w:pPr>
    </w:p>
    <w:p>
      <w:pPr>
        <w:pStyle w:val="Heading1"/>
        <w:numPr>
          <w:ilvl w:val="3"/>
          <w:numId w:val="7"/>
        </w:numPr>
        <w:tabs>
          <w:tab w:pos="1629" w:val="left" w:leader="none"/>
        </w:tabs>
        <w:spacing w:line="240" w:lineRule="auto" w:before="140" w:after="0"/>
        <w:ind w:left="1629" w:right="0" w:hanging="807"/>
        <w:jc w:val="left"/>
      </w:pPr>
      <w:r>
        <w:rPr/>
        <w:t>Relaciones</w:t>
      </w:r>
      <w:r>
        <w:rPr>
          <w:spacing w:val="-12"/>
        </w:rPr>
        <w:t> </w:t>
      </w:r>
      <w:r>
        <w:rPr/>
        <w:t>sagitales:</w:t>
      </w:r>
    </w:p>
    <w:p>
      <w:pPr>
        <w:pStyle w:val="BodyText"/>
        <w:spacing w:before="141"/>
        <w:ind w:left="116"/>
        <w:jc w:val="both"/>
      </w:pPr>
      <w:r>
        <w:rPr/>
        <w:t>Plano terminal molar:</w:t>
      </w:r>
    </w:p>
    <w:p>
      <w:pPr>
        <w:pStyle w:val="ListParagraph"/>
        <w:numPr>
          <w:ilvl w:val="0"/>
          <w:numId w:val="8"/>
        </w:numPr>
        <w:tabs>
          <w:tab w:pos="905" w:val="left" w:leader="none"/>
        </w:tabs>
        <w:spacing w:line="360" w:lineRule="auto" w:before="137" w:after="0"/>
        <w:ind w:left="837" w:right="128" w:hanging="361"/>
        <w:jc w:val="both"/>
        <w:rPr>
          <w:sz w:val="24"/>
        </w:rPr>
      </w:pPr>
      <w:r>
        <w:rPr>
          <w:sz w:val="24"/>
        </w:rPr>
        <w:t>Plano recto: la superficie distal de los dientes superiores e inferiores esta nivelada, situadas en el mismo plano</w:t>
      </w:r>
      <w:r>
        <w:rPr>
          <w:spacing w:val="-20"/>
          <w:sz w:val="24"/>
        </w:rPr>
        <w:t> </w:t>
      </w:r>
      <w:r>
        <w:rPr>
          <w:sz w:val="24"/>
        </w:rPr>
        <w:t>vertical</w:t>
      </w:r>
    </w:p>
    <w:p>
      <w:pPr>
        <w:pStyle w:val="ListParagraph"/>
        <w:numPr>
          <w:ilvl w:val="0"/>
          <w:numId w:val="8"/>
        </w:numPr>
        <w:tabs>
          <w:tab w:pos="837" w:val="left" w:leader="none"/>
        </w:tabs>
        <w:spacing w:line="362" w:lineRule="auto" w:before="2" w:after="0"/>
        <w:ind w:left="837" w:right="130" w:hanging="361"/>
        <w:jc w:val="both"/>
        <w:rPr>
          <w:sz w:val="24"/>
        </w:rPr>
      </w:pPr>
      <w:r>
        <w:rPr>
          <w:sz w:val="24"/>
        </w:rPr>
        <w:t>Escalón mesial: la superficie distal de los molares inferiores  es </w:t>
      </w:r>
      <w:r>
        <w:rPr>
          <w:spacing w:val="-3"/>
          <w:sz w:val="24"/>
        </w:rPr>
        <w:t>más  </w:t>
      </w:r>
      <w:r>
        <w:rPr>
          <w:sz w:val="24"/>
        </w:rPr>
        <w:t>mesial que el</w:t>
      </w:r>
      <w:r>
        <w:rPr>
          <w:spacing w:val="-4"/>
          <w:sz w:val="24"/>
        </w:rPr>
        <w:t> </w:t>
      </w:r>
      <w:r>
        <w:rPr>
          <w:sz w:val="24"/>
        </w:rPr>
        <w:t>superior</w:t>
      </w:r>
    </w:p>
    <w:p>
      <w:pPr>
        <w:pStyle w:val="ListParagraph"/>
        <w:numPr>
          <w:ilvl w:val="0"/>
          <w:numId w:val="8"/>
        </w:numPr>
        <w:tabs>
          <w:tab w:pos="837" w:val="left" w:leader="none"/>
        </w:tabs>
        <w:spacing w:line="328" w:lineRule="auto" w:before="0" w:after="0"/>
        <w:ind w:left="837" w:right="128" w:hanging="361"/>
        <w:jc w:val="both"/>
        <w:rPr>
          <w:sz w:val="16"/>
        </w:rPr>
      </w:pPr>
      <w:r>
        <w:rPr>
          <w:sz w:val="24"/>
        </w:rPr>
        <w:t>Escalón distal: la superficie distal de los molares inferiores es </w:t>
      </w:r>
      <w:r>
        <w:rPr>
          <w:spacing w:val="-3"/>
          <w:sz w:val="24"/>
        </w:rPr>
        <w:t>más </w:t>
      </w:r>
      <w:r>
        <w:rPr>
          <w:sz w:val="24"/>
        </w:rPr>
        <w:t>distal que los</w:t>
      </w:r>
      <w:r>
        <w:rPr>
          <w:spacing w:val="-6"/>
          <w:sz w:val="24"/>
        </w:rPr>
        <w:t> </w:t>
      </w:r>
      <w:r>
        <w:rPr>
          <w:sz w:val="24"/>
        </w:rPr>
        <w:t>superiores.</w:t>
      </w:r>
      <w:r>
        <w:rPr>
          <w:position w:val="11"/>
          <w:sz w:val="16"/>
        </w:rPr>
        <w:t>23</w:t>
      </w:r>
    </w:p>
    <w:p>
      <w:pPr>
        <w:pStyle w:val="ListParagraph"/>
        <w:numPr>
          <w:ilvl w:val="0"/>
          <w:numId w:val="8"/>
        </w:numPr>
        <w:tabs>
          <w:tab w:pos="837" w:val="left" w:leader="none"/>
        </w:tabs>
        <w:spacing w:line="362" w:lineRule="auto" w:before="23" w:after="0"/>
        <w:ind w:left="116" w:right="2475" w:firstLine="360"/>
        <w:jc w:val="left"/>
        <w:rPr>
          <w:sz w:val="24"/>
        </w:rPr>
      </w:pPr>
      <w:r>
        <w:rPr>
          <w:sz w:val="24"/>
        </w:rPr>
        <w:t>Escalón mesial exagerado: escalon mesial mayo a </w:t>
      </w:r>
      <w:r>
        <w:rPr>
          <w:spacing w:val="-3"/>
          <w:sz w:val="24"/>
        </w:rPr>
        <w:t>2mm. </w:t>
      </w:r>
      <w:r>
        <w:rPr>
          <w:sz w:val="24"/>
        </w:rPr>
        <w:t>Relación de</w:t>
      </w:r>
      <w:r>
        <w:rPr>
          <w:spacing w:val="-5"/>
          <w:sz w:val="24"/>
        </w:rPr>
        <w:t> </w:t>
      </w:r>
      <w:r>
        <w:rPr>
          <w:sz w:val="24"/>
        </w:rPr>
        <w:t>Caninos:</w:t>
      </w:r>
    </w:p>
    <w:p>
      <w:pPr>
        <w:pStyle w:val="ListParagraph"/>
        <w:numPr>
          <w:ilvl w:val="2"/>
          <w:numId w:val="2"/>
        </w:numPr>
        <w:tabs>
          <w:tab w:pos="837" w:val="left" w:leader="none"/>
        </w:tabs>
        <w:spacing w:line="357" w:lineRule="auto" w:before="0" w:after="0"/>
        <w:ind w:left="837" w:right="128" w:hanging="361"/>
        <w:jc w:val="both"/>
        <w:rPr>
          <w:rFonts w:ascii="Symbol" w:hAnsi="Symbol"/>
          <w:sz w:val="24"/>
        </w:rPr>
      </w:pPr>
      <w:r>
        <w:rPr>
          <w:sz w:val="24"/>
        </w:rPr>
        <w:t>Clase I: la punta de la cúspide del canino temporal superior esta en el mismo plano vertical que la superficie distal del canino inferior temporal estando en oclusión.</w:t>
      </w:r>
    </w:p>
    <w:p>
      <w:pPr>
        <w:spacing w:after="0" w:line="357" w:lineRule="auto"/>
        <w:jc w:val="both"/>
        <w:rPr>
          <w:rFonts w:ascii="Symbol" w:hAnsi="Symbol"/>
          <w:sz w:val="24"/>
        </w:rPr>
        <w:sectPr>
          <w:pgSz w:w="12240" w:h="15840"/>
          <w:pgMar w:header="0" w:footer="1002" w:top="1500" w:bottom="1200" w:left="1300" w:right="1580"/>
        </w:sectPr>
      </w:pPr>
    </w:p>
    <w:p>
      <w:pPr>
        <w:pStyle w:val="BodyText"/>
        <w:spacing w:before="11"/>
        <w:rPr>
          <w:sz w:val="11"/>
        </w:rPr>
      </w:pPr>
    </w:p>
    <w:p>
      <w:pPr>
        <w:pStyle w:val="ListParagraph"/>
        <w:numPr>
          <w:ilvl w:val="2"/>
          <w:numId w:val="2"/>
        </w:numPr>
        <w:tabs>
          <w:tab w:pos="837" w:val="left" w:leader="none"/>
        </w:tabs>
        <w:spacing w:line="355" w:lineRule="auto" w:before="56" w:after="0"/>
        <w:ind w:left="837" w:right="128" w:hanging="361"/>
        <w:jc w:val="both"/>
        <w:rPr>
          <w:rFonts w:ascii="Symbol" w:hAnsi="Symbol"/>
          <w:sz w:val="24"/>
        </w:rPr>
      </w:pPr>
      <w:r>
        <w:rPr>
          <w:sz w:val="24"/>
        </w:rPr>
        <w:t>Clase II. La punta de la cúspide del canino temporal superior está </w:t>
      </w:r>
      <w:r>
        <w:rPr>
          <w:spacing w:val="-3"/>
          <w:sz w:val="24"/>
        </w:rPr>
        <w:t>más </w:t>
      </w:r>
      <w:r>
        <w:rPr>
          <w:sz w:val="24"/>
        </w:rPr>
        <w:t>anterior que la superficie distal del canino temporal inferior estando en</w:t>
      </w:r>
      <w:r>
        <w:rPr>
          <w:spacing w:val="-22"/>
          <w:sz w:val="24"/>
        </w:rPr>
        <w:t> </w:t>
      </w:r>
      <w:r>
        <w:rPr>
          <w:sz w:val="24"/>
        </w:rPr>
        <w:t>oclusión.</w:t>
      </w:r>
    </w:p>
    <w:p>
      <w:pPr>
        <w:pStyle w:val="ListParagraph"/>
        <w:numPr>
          <w:ilvl w:val="2"/>
          <w:numId w:val="2"/>
        </w:numPr>
        <w:tabs>
          <w:tab w:pos="837" w:val="left" w:leader="none"/>
        </w:tabs>
        <w:spacing w:line="357" w:lineRule="auto" w:before="6" w:after="0"/>
        <w:ind w:left="837" w:right="127" w:hanging="361"/>
        <w:jc w:val="both"/>
        <w:rPr>
          <w:rFonts w:ascii="Symbol" w:hAnsi="Symbol"/>
          <w:sz w:val="24"/>
        </w:rPr>
      </w:pPr>
      <w:r>
        <w:rPr>
          <w:sz w:val="24"/>
        </w:rPr>
        <w:t>Clase III. La punta de la cúspide del canino temporal superior está </w:t>
      </w:r>
      <w:r>
        <w:rPr>
          <w:spacing w:val="-3"/>
          <w:sz w:val="24"/>
        </w:rPr>
        <w:t>más </w:t>
      </w:r>
      <w:r>
        <w:rPr>
          <w:sz w:val="24"/>
        </w:rPr>
        <w:t>posterior que la superficie distal del canino temporal inferior estando en oclusión.</w:t>
      </w:r>
    </w:p>
    <w:p>
      <w:pPr>
        <w:pStyle w:val="BodyText"/>
      </w:pPr>
    </w:p>
    <w:p>
      <w:pPr>
        <w:pStyle w:val="Heading1"/>
        <w:spacing w:before="142"/>
        <w:ind w:right="6"/>
      </w:pPr>
      <w:r>
        <w:rPr/>
        <w:t>2.3.2.3 Relaciones verticales:</w:t>
      </w:r>
    </w:p>
    <w:p>
      <w:pPr>
        <w:pStyle w:val="BodyText"/>
        <w:spacing w:line="350" w:lineRule="auto" w:before="141"/>
        <w:ind w:left="116" w:right="128"/>
        <w:jc w:val="both"/>
        <w:rPr>
          <w:sz w:val="16"/>
        </w:rPr>
      </w:pPr>
      <w:r>
        <w:rPr/>
        <w:t>Presentan sobremordidas horizontal y vertical pequeñas; se puede considerar como lo más común que los incisivos superiores cubren un tercio de la corona de los inferiores; cuando los caninos y molares primarios están muy desgastados, a los cinco años, hay menos sobremordida horizontal y vertical </w:t>
      </w:r>
      <w:r>
        <w:rPr>
          <w:position w:val="11"/>
          <w:sz w:val="16"/>
        </w:rPr>
        <w:t>23</w:t>
      </w:r>
    </w:p>
    <w:p>
      <w:pPr>
        <w:pStyle w:val="BodyText"/>
        <w:spacing w:before="6"/>
        <w:rPr>
          <w:sz w:val="35"/>
        </w:rPr>
      </w:pPr>
    </w:p>
    <w:p>
      <w:pPr>
        <w:pStyle w:val="BodyText"/>
        <w:spacing w:before="1"/>
        <w:ind w:left="116"/>
        <w:jc w:val="both"/>
      </w:pPr>
      <w:r>
        <w:rPr/>
        <w:t>Sobremordida horizontal:</w:t>
      </w:r>
    </w:p>
    <w:p>
      <w:pPr>
        <w:pStyle w:val="ListParagraph"/>
        <w:numPr>
          <w:ilvl w:val="2"/>
          <w:numId w:val="2"/>
        </w:numPr>
        <w:tabs>
          <w:tab w:pos="837" w:val="left" w:leader="none"/>
        </w:tabs>
        <w:spacing w:line="357" w:lineRule="auto" w:before="135" w:after="0"/>
        <w:ind w:left="837" w:right="126" w:hanging="361"/>
        <w:jc w:val="both"/>
        <w:rPr>
          <w:rFonts w:ascii="Symbol" w:hAnsi="Symbol"/>
          <w:sz w:val="24"/>
        </w:rPr>
      </w:pPr>
      <w:r>
        <w:rPr>
          <w:sz w:val="24"/>
        </w:rPr>
        <w:t>Ideal. Una protrusión incisiva positiva que no exceda de 2 </w:t>
      </w:r>
      <w:r>
        <w:rPr>
          <w:spacing w:val="-4"/>
          <w:sz w:val="24"/>
        </w:rPr>
        <w:t>mm. </w:t>
      </w:r>
      <w:r>
        <w:rPr>
          <w:sz w:val="24"/>
        </w:rPr>
        <w:t>Medida desde el borde incisal de los centrales superiores al borde incisal de los centrales inferiores.</w:t>
      </w:r>
    </w:p>
    <w:p>
      <w:pPr>
        <w:pStyle w:val="ListParagraph"/>
        <w:numPr>
          <w:ilvl w:val="2"/>
          <w:numId w:val="2"/>
        </w:numPr>
        <w:tabs>
          <w:tab w:pos="836" w:val="left" w:leader="none"/>
          <w:tab w:pos="837" w:val="left" w:leader="none"/>
        </w:tabs>
        <w:spacing w:line="240" w:lineRule="auto" w:before="4" w:after="0"/>
        <w:ind w:left="837" w:right="0" w:hanging="361"/>
        <w:jc w:val="left"/>
        <w:rPr>
          <w:rFonts w:ascii="Symbol" w:hAnsi="Symbol"/>
          <w:sz w:val="24"/>
        </w:rPr>
      </w:pPr>
      <w:r>
        <w:rPr>
          <w:sz w:val="24"/>
        </w:rPr>
        <w:t>Aumentada. Una sobreprotrusión incisiva de </w:t>
      </w:r>
      <w:r>
        <w:rPr>
          <w:spacing w:val="-3"/>
          <w:sz w:val="24"/>
        </w:rPr>
        <w:t>más </w:t>
      </w:r>
      <w:r>
        <w:rPr>
          <w:sz w:val="24"/>
        </w:rPr>
        <w:t>de 2</w:t>
      </w:r>
      <w:r>
        <w:rPr>
          <w:spacing w:val="-7"/>
          <w:sz w:val="24"/>
        </w:rPr>
        <w:t> </w:t>
      </w:r>
      <w:r>
        <w:rPr>
          <w:spacing w:val="-3"/>
          <w:sz w:val="24"/>
        </w:rPr>
        <w:t>mm.</w:t>
      </w:r>
    </w:p>
    <w:p>
      <w:pPr>
        <w:pStyle w:val="ListParagraph"/>
        <w:numPr>
          <w:ilvl w:val="2"/>
          <w:numId w:val="2"/>
        </w:numPr>
        <w:tabs>
          <w:tab w:pos="837" w:val="left" w:leader="none"/>
        </w:tabs>
        <w:spacing w:line="333" w:lineRule="auto" w:before="108" w:after="0"/>
        <w:ind w:left="837" w:right="120" w:hanging="361"/>
        <w:jc w:val="both"/>
        <w:rPr>
          <w:rFonts w:ascii="Symbol" w:hAnsi="Symbol"/>
          <w:sz w:val="16"/>
        </w:rPr>
      </w:pPr>
      <w:r>
        <w:rPr>
          <w:sz w:val="24"/>
        </w:rPr>
        <w:t>Borde a borde. Cuando los incisivos inferiores y superiores temporales están en una posición borde a borde en oclusión céntrica</w:t>
      </w:r>
      <w:r>
        <w:rPr>
          <w:spacing w:val="-39"/>
          <w:sz w:val="24"/>
        </w:rPr>
        <w:t> </w:t>
      </w:r>
      <w:r>
        <w:rPr>
          <w:position w:val="11"/>
          <w:sz w:val="16"/>
        </w:rPr>
        <w:t>25</w:t>
      </w:r>
    </w:p>
    <w:p>
      <w:pPr>
        <w:pStyle w:val="BodyText"/>
        <w:spacing w:before="5"/>
        <w:rPr>
          <w:sz w:val="37"/>
        </w:rPr>
      </w:pPr>
    </w:p>
    <w:p>
      <w:pPr>
        <w:pStyle w:val="BodyText"/>
        <w:ind w:left="116"/>
        <w:jc w:val="both"/>
      </w:pPr>
      <w:r>
        <w:rPr/>
        <w:t>Sobremordida vertical:</w:t>
      </w:r>
    </w:p>
    <w:p>
      <w:pPr>
        <w:pStyle w:val="ListParagraph"/>
        <w:numPr>
          <w:ilvl w:val="2"/>
          <w:numId w:val="2"/>
        </w:numPr>
        <w:tabs>
          <w:tab w:pos="837" w:val="left" w:leader="none"/>
        </w:tabs>
        <w:spacing w:line="357" w:lineRule="auto" w:before="135" w:after="0"/>
        <w:ind w:left="837" w:right="116" w:hanging="361"/>
        <w:jc w:val="both"/>
        <w:rPr>
          <w:rFonts w:ascii="Symbol" w:hAnsi="Symbol"/>
          <w:sz w:val="24"/>
        </w:rPr>
      </w:pPr>
      <w:r>
        <w:rPr>
          <w:sz w:val="24"/>
        </w:rPr>
        <w:t>Ideal. Cuando las superficies incisales de los incisivos inferiores hagan contacto con las superficies palatinas de los centrales superiores temporales, estando en oclusión</w:t>
      </w:r>
      <w:r>
        <w:rPr>
          <w:spacing w:val="-9"/>
          <w:sz w:val="24"/>
        </w:rPr>
        <w:t> </w:t>
      </w:r>
      <w:r>
        <w:rPr>
          <w:sz w:val="24"/>
        </w:rPr>
        <w:t>céntrica.</w:t>
      </w:r>
    </w:p>
    <w:p>
      <w:pPr>
        <w:pStyle w:val="ListParagraph"/>
        <w:numPr>
          <w:ilvl w:val="2"/>
          <w:numId w:val="2"/>
        </w:numPr>
        <w:tabs>
          <w:tab w:pos="837" w:val="left" w:leader="none"/>
        </w:tabs>
        <w:spacing w:line="360" w:lineRule="auto" w:before="3" w:after="0"/>
        <w:ind w:left="837" w:right="120" w:hanging="361"/>
        <w:jc w:val="both"/>
        <w:rPr>
          <w:rFonts w:ascii="Symbol"/>
          <w:sz w:val="24"/>
        </w:rPr>
      </w:pPr>
      <w:r>
        <w:rPr>
          <w:sz w:val="24"/>
        </w:rPr>
        <w:t>Reducida. Cuando las superficies incisales de los incisivos inferiores temporales no hacen contacto con las superficies palatinas de los incisivos superiores ni con el paladar, aun cuando existe una sobremordida horizontal positiva.</w:t>
      </w:r>
    </w:p>
    <w:p>
      <w:pPr>
        <w:pStyle w:val="ListParagraph"/>
        <w:numPr>
          <w:ilvl w:val="2"/>
          <w:numId w:val="2"/>
        </w:numPr>
        <w:tabs>
          <w:tab w:pos="837" w:val="left" w:leader="none"/>
        </w:tabs>
        <w:spacing w:line="350" w:lineRule="auto" w:before="1" w:after="0"/>
        <w:ind w:left="837" w:right="116" w:hanging="361"/>
        <w:jc w:val="both"/>
        <w:rPr>
          <w:rFonts w:ascii="Symbol"/>
          <w:sz w:val="24"/>
        </w:rPr>
      </w:pPr>
      <w:r>
        <w:rPr>
          <w:sz w:val="24"/>
        </w:rPr>
        <w:t>Aumentada. Cuando las superficies incisales de los incisivos inferiores tocan  el</w:t>
      </w:r>
      <w:r>
        <w:rPr>
          <w:spacing w:val="-4"/>
          <w:sz w:val="24"/>
        </w:rPr>
        <w:t> </w:t>
      </w:r>
      <w:r>
        <w:rPr>
          <w:sz w:val="24"/>
        </w:rPr>
        <w:t>paladar.</w:t>
      </w:r>
    </w:p>
    <w:p>
      <w:pPr>
        <w:spacing w:after="0" w:line="350" w:lineRule="auto"/>
        <w:jc w:val="both"/>
        <w:rPr>
          <w:rFonts w:ascii="Symbol"/>
          <w:sz w:val="24"/>
        </w:rPr>
        <w:sectPr>
          <w:pgSz w:w="12240" w:h="15840"/>
          <w:pgMar w:header="0" w:footer="1002" w:top="1500" w:bottom="1200" w:left="1300" w:right="1580"/>
        </w:sectPr>
      </w:pPr>
    </w:p>
    <w:p>
      <w:pPr>
        <w:pStyle w:val="BodyText"/>
        <w:spacing w:before="6"/>
        <w:rPr>
          <w:sz w:val="10"/>
        </w:rPr>
      </w:pPr>
    </w:p>
    <w:p>
      <w:pPr>
        <w:pStyle w:val="Heading1"/>
        <w:numPr>
          <w:ilvl w:val="2"/>
          <w:numId w:val="5"/>
        </w:numPr>
        <w:tabs>
          <w:tab w:pos="1197" w:val="left" w:leader="none"/>
        </w:tabs>
        <w:spacing w:line="240" w:lineRule="auto" w:before="69" w:after="0"/>
        <w:ind w:left="1197" w:right="0" w:hanging="721"/>
        <w:jc w:val="left"/>
        <w:rPr>
          <w:b w:val="0"/>
        </w:rPr>
      </w:pPr>
      <w:r>
        <w:rPr/>
        <w:t>Características Ideales de la Dentición</w:t>
      </w:r>
      <w:r>
        <w:rPr>
          <w:spacing w:val="-21"/>
        </w:rPr>
        <w:t> </w:t>
      </w:r>
      <w:r>
        <w:rPr/>
        <w:t>Primaria</w:t>
      </w:r>
      <w:r>
        <w:rPr>
          <w:b w:val="0"/>
        </w:rPr>
        <w:t>:</w:t>
      </w:r>
    </w:p>
    <w:p>
      <w:pPr>
        <w:pStyle w:val="BodyText"/>
      </w:pPr>
    </w:p>
    <w:p>
      <w:pPr>
        <w:pStyle w:val="BodyText"/>
        <w:spacing w:before="7"/>
      </w:pPr>
    </w:p>
    <w:p>
      <w:pPr>
        <w:pStyle w:val="BodyText"/>
        <w:spacing w:line="360" w:lineRule="auto" w:before="1"/>
        <w:ind w:left="116" w:right="119"/>
        <w:jc w:val="both"/>
      </w:pPr>
      <w:r>
        <w:rPr/>
        <w:t>La oclusión dental normal es entendida como un complejo estructural y funcional, constituido por los maxilares, las articulaciones, los músculos, los dientes y todo el sistema neuromuscular.</w:t>
      </w:r>
    </w:p>
    <w:p>
      <w:pPr>
        <w:pStyle w:val="BodyText"/>
      </w:pPr>
    </w:p>
    <w:p>
      <w:pPr>
        <w:pStyle w:val="BodyText"/>
        <w:spacing w:line="360" w:lineRule="auto" w:before="144"/>
        <w:ind w:left="116" w:right="114"/>
        <w:jc w:val="both"/>
      </w:pPr>
      <w:r>
        <w:rPr/>
        <w:t>La oclusión ideal en la dentición temporal varia en tamaño, posición y forma, permitiendo una amplia variedad de relaciones oclusales cuya repercusión en la dentición permanente es definitiva.</w:t>
      </w:r>
    </w:p>
    <w:p>
      <w:pPr>
        <w:pStyle w:val="BodyText"/>
      </w:pPr>
    </w:p>
    <w:p>
      <w:pPr>
        <w:pStyle w:val="ListParagraph"/>
        <w:numPr>
          <w:ilvl w:val="3"/>
          <w:numId w:val="9"/>
        </w:numPr>
        <w:tabs>
          <w:tab w:pos="1197" w:val="left" w:leader="none"/>
        </w:tabs>
        <w:spacing w:line="360" w:lineRule="auto" w:before="140" w:after="0"/>
        <w:ind w:left="1197" w:right="122" w:hanging="1081"/>
        <w:jc w:val="both"/>
        <w:rPr>
          <w:sz w:val="24"/>
        </w:rPr>
      </w:pPr>
      <w:r>
        <w:rPr>
          <w:b/>
          <w:sz w:val="24"/>
        </w:rPr>
        <w:t>Sobremordida horizontal y vertical: </w:t>
      </w:r>
      <w:r>
        <w:rPr>
          <w:sz w:val="24"/>
        </w:rPr>
        <w:t>Los incisivos están </w:t>
      </w:r>
      <w:r>
        <w:rPr>
          <w:spacing w:val="-3"/>
          <w:sz w:val="24"/>
        </w:rPr>
        <w:t>más </w:t>
      </w:r>
      <w:r>
        <w:rPr>
          <w:sz w:val="24"/>
        </w:rPr>
        <w:t>verticalizados en </w:t>
      </w:r>
      <w:r>
        <w:rPr>
          <w:spacing w:val="-3"/>
          <w:sz w:val="24"/>
        </w:rPr>
        <w:t>su </w:t>
      </w:r>
      <w:r>
        <w:rPr>
          <w:sz w:val="24"/>
        </w:rPr>
        <w:t>implantación sobre la base maxilar y el ángulo interincisal es abierto. La sobremordida vertical puede estar aumentada, y el borde incisal inferior puede contactar el cíngulo de los dientes superiores al cierre.</w:t>
      </w:r>
    </w:p>
    <w:p>
      <w:pPr>
        <w:pStyle w:val="ListParagraph"/>
        <w:numPr>
          <w:ilvl w:val="3"/>
          <w:numId w:val="9"/>
        </w:numPr>
        <w:tabs>
          <w:tab w:pos="1265" w:val="left" w:leader="none"/>
        </w:tabs>
        <w:spacing w:line="362" w:lineRule="auto" w:before="0" w:after="0"/>
        <w:ind w:left="1197" w:right="119" w:hanging="1081"/>
        <w:jc w:val="both"/>
        <w:rPr>
          <w:sz w:val="24"/>
        </w:rPr>
      </w:pPr>
      <w:r>
        <w:rPr>
          <w:b/>
          <w:sz w:val="24"/>
        </w:rPr>
        <w:t>Relación canina</w:t>
      </w:r>
      <w:r>
        <w:rPr>
          <w:b/>
          <w:i/>
          <w:sz w:val="24"/>
        </w:rPr>
        <w:t>: </w:t>
      </w:r>
      <w:r>
        <w:rPr>
          <w:sz w:val="24"/>
        </w:rPr>
        <w:t>El vértice de la cúspide del canino superior ocluye sagitalmente a nivel </w:t>
      </w:r>
      <w:r>
        <w:rPr>
          <w:spacing w:val="-3"/>
          <w:sz w:val="24"/>
        </w:rPr>
        <w:t>del </w:t>
      </w:r>
      <w:r>
        <w:rPr>
          <w:sz w:val="24"/>
        </w:rPr>
        <w:t>punto de contacto entre el canino y el primer molar inferior.</w:t>
      </w:r>
    </w:p>
    <w:p>
      <w:pPr>
        <w:pStyle w:val="ListParagraph"/>
        <w:numPr>
          <w:ilvl w:val="3"/>
          <w:numId w:val="9"/>
        </w:numPr>
        <w:tabs>
          <w:tab w:pos="1197" w:val="left" w:leader="none"/>
        </w:tabs>
        <w:spacing w:line="362" w:lineRule="auto" w:before="0" w:after="0"/>
        <w:ind w:left="1197" w:right="116" w:hanging="1081"/>
        <w:jc w:val="both"/>
        <w:rPr>
          <w:sz w:val="24"/>
        </w:rPr>
      </w:pPr>
      <w:r>
        <w:rPr>
          <w:b/>
          <w:sz w:val="24"/>
        </w:rPr>
        <w:t>Relación molar </w:t>
      </w:r>
      <w:r>
        <w:rPr>
          <w:sz w:val="24"/>
        </w:rPr>
        <w:t>El crecimiento mandibular es fundamental para que se establezca una relación molar de Clase I. Sí la mandíbula no se adelanta, antes de la erupción, el primer contacto oclusal puede establecerse en relación de Clase II; influye aquí tanto el patrón y ritmo de crecimiento mandibular  como  la  presencia  de  hábitos,  (respiración,  succión),   </w:t>
      </w:r>
      <w:r>
        <w:rPr>
          <w:spacing w:val="17"/>
          <w:sz w:val="24"/>
        </w:rPr>
        <w:t> </w:t>
      </w:r>
      <w:r>
        <w:rPr>
          <w:sz w:val="24"/>
        </w:rPr>
        <w:t>que</w:t>
      </w:r>
    </w:p>
    <w:p>
      <w:pPr>
        <w:pStyle w:val="BodyText"/>
        <w:spacing w:line="328" w:lineRule="auto"/>
        <w:ind w:left="1196" w:right="6"/>
        <w:rPr>
          <w:sz w:val="16"/>
        </w:rPr>
      </w:pPr>
      <w:r>
        <w:rPr/>
        <w:t>promueven el adelantamiento del maxilar superior, o retrasan el desarrollo de la mandíbula </w:t>
      </w:r>
      <w:r>
        <w:rPr>
          <w:position w:val="11"/>
          <w:sz w:val="16"/>
        </w:rPr>
        <w:t>23</w:t>
      </w:r>
    </w:p>
    <w:p>
      <w:pPr>
        <w:pStyle w:val="BodyText"/>
        <w:spacing w:before="4"/>
        <w:rPr>
          <w:sz w:val="38"/>
        </w:rPr>
      </w:pPr>
    </w:p>
    <w:p>
      <w:pPr>
        <w:pStyle w:val="BodyText"/>
        <w:spacing w:line="352" w:lineRule="auto"/>
        <w:ind w:left="116" w:right="119"/>
        <w:jc w:val="both"/>
        <w:rPr>
          <w:sz w:val="16"/>
        </w:rPr>
      </w:pPr>
      <w:r>
        <w:rPr/>
        <w:t>Autores como Graber indican que puede existir una sobremordida excesiva y una tendencia retrognática en la mandíbula, discrepancias que serán eliminadas con el desarrollo mandibular en sentido horizontal y vertical. Los caninos se encuentran en clase I y los segundos molares presentan un escalón mesial, aunque el plano terminal recto también es aceptado. </w:t>
      </w:r>
      <w:r>
        <w:rPr>
          <w:position w:val="11"/>
          <w:sz w:val="16"/>
        </w:rPr>
        <w:t>23, 24,</w:t>
      </w:r>
      <w:r>
        <w:rPr>
          <w:spacing w:val="-18"/>
          <w:position w:val="11"/>
          <w:sz w:val="16"/>
        </w:rPr>
        <w:t> </w:t>
      </w:r>
      <w:r>
        <w:rPr>
          <w:spacing w:val="3"/>
          <w:position w:val="11"/>
          <w:sz w:val="16"/>
        </w:rPr>
        <w:t>27</w:t>
      </w:r>
    </w:p>
    <w:p>
      <w:pPr>
        <w:spacing w:after="0" w:line="352" w:lineRule="auto"/>
        <w:jc w:val="both"/>
        <w:rPr>
          <w:sz w:val="16"/>
        </w:rPr>
        <w:sectPr>
          <w:pgSz w:w="12240" w:h="15840"/>
          <w:pgMar w:header="0" w:footer="1002" w:top="1500" w:bottom="1200" w:left="1300" w:right="1580"/>
        </w:sectPr>
      </w:pPr>
    </w:p>
    <w:p>
      <w:pPr>
        <w:pStyle w:val="BodyText"/>
        <w:spacing w:before="10"/>
        <w:rPr>
          <w:sz w:val="10"/>
        </w:rPr>
      </w:pPr>
    </w:p>
    <w:p>
      <w:pPr>
        <w:pStyle w:val="BodyText"/>
        <w:spacing w:line="360" w:lineRule="auto" w:before="70"/>
        <w:ind w:left="116" w:right="117"/>
        <w:jc w:val="both"/>
      </w:pPr>
      <w:r>
        <w:rPr/>
        <w:t>Algunas características antes mencionadas, contribuyen para el buen desarrollo de la dentición permanente entre las cuales están, los espaciamientos anteriores, espacios primates presentes y la relación terminal de los segundos molares deciduos  inferiores en plano recto o en escalón mesial, al favorecer la subsecuente dentición mixta  y  permanente.  Concluida  la  erupción  de  los  dientes  deciduos;  se  </w:t>
      </w:r>
      <w:r>
        <w:rPr>
          <w:spacing w:val="56"/>
        </w:rPr>
        <w:t> </w:t>
      </w:r>
      <w:r>
        <w:rPr/>
        <w:t>tienen</w:t>
      </w:r>
    </w:p>
    <w:p>
      <w:pPr>
        <w:pStyle w:val="BodyText"/>
        <w:spacing w:line="328" w:lineRule="auto" w:before="8"/>
        <w:ind w:left="116" w:right="122"/>
        <w:jc w:val="both"/>
        <w:rPr>
          <w:sz w:val="16"/>
        </w:rPr>
      </w:pPr>
      <w:r>
        <w:rPr/>
        <w:t>cambios transversales, verticales y horizontales; debido al crecimiento y desarrollo  de los maxilares y estructuras vecinas.</w:t>
      </w:r>
      <w:r>
        <w:rPr>
          <w:spacing w:val="-15"/>
        </w:rPr>
        <w:t> </w:t>
      </w:r>
      <w:r>
        <w:rPr>
          <w:position w:val="11"/>
          <w:sz w:val="16"/>
        </w:rPr>
        <w:t>25</w:t>
      </w:r>
    </w:p>
    <w:p>
      <w:pPr>
        <w:pStyle w:val="BodyText"/>
        <w:spacing w:before="11"/>
        <w:rPr>
          <w:sz w:val="37"/>
        </w:rPr>
      </w:pPr>
    </w:p>
    <w:p>
      <w:pPr>
        <w:pStyle w:val="BodyText"/>
        <w:spacing w:line="360" w:lineRule="auto"/>
        <w:ind w:left="116" w:right="119"/>
        <w:jc w:val="both"/>
      </w:pPr>
      <w:r>
        <w:rPr/>
        <w:t>Existen factores funcionales que contribuyen al desarrollo y estabilidad del sistema masticatorio y a la utilización de los dientes en la actividad funcional y dinámica. Algunas características que pueden producir maloclusiones en la dentición decidua, tales como, la forma de los arcos dentarios, están influenciadas por las funciones bucales y el crecimiento vertical de los procesos alveolares, en respuesta a los estímulos de la erupción de los dientes; también son importantes, los comportamientos  culturales  que  condicionan  los  hábitos  alimentarios     (lactancia</w:t>
      </w:r>
    </w:p>
    <w:p>
      <w:pPr>
        <w:pStyle w:val="BodyText"/>
        <w:spacing w:line="328" w:lineRule="auto" w:before="2"/>
        <w:ind w:left="116" w:right="135"/>
        <w:jc w:val="both"/>
        <w:rPr>
          <w:sz w:val="16"/>
        </w:rPr>
      </w:pPr>
      <w:r>
        <w:rPr/>
        <w:t>materna </w:t>
      </w:r>
      <w:r>
        <w:rPr>
          <w:i/>
        </w:rPr>
        <w:t>vs </w:t>
      </w:r>
      <w:r>
        <w:rPr/>
        <w:t>el uso de fórmulas) y hábitos bucales no nutritivos (uso prolongado del biberón, succión del chupón y dedo).</w:t>
      </w:r>
      <w:r>
        <w:rPr>
          <w:position w:val="11"/>
          <w:sz w:val="16"/>
        </w:rPr>
        <w:t>25</w:t>
      </w:r>
    </w:p>
    <w:p>
      <w:pPr>
        <w:pStyle w:val="BodyText"/>
        <w:rPr>
          <w:sz w:val="28"/>
        </w:rPr>
      </w:pPr>
    </w:p>
    <w:p>
      <w:pPr>
        <w:pStyle w:val="BodyText"/>
        <w:spacing w:before="5"/>
        <w:rPr>
          <w:sz w:val="27"/>
        </w:rPr>
      </w:pPr>
    </w:p>
    <w:p>
      <w:pPr>
        <w:pStyle w:val="BodyText"/>
        <w:spacing w:line="360" w:lineRule="auto"/>
        <w:ind w:left="116" w:right="115"/>
        <w:jc w:val="both"/>
      </w:pPr>
      <w:r>
        <w:rPr/>
        <w:t>Es por esto que la finalidad de la siguiente investigación fue evaluar las características de la oclusión en dentición primaria en niños de edades entre los 3 y 5 años, que tuvieron alimentación a seno materno y alimentación artificial, con el fin de conocer la repercusión que tienen en el desarrollo de la oclusión de la dentición temporal.</w:t>
      </w:r>
    </w:p>
    <w:p>
      <w:pPr>
        <w:spacing w:after="0" w:line="360" w:lineRule="auto"/>
        <w:jc w:val="both"/>
        <w:sectPr>
          <w:pgSz w:w="12240" w:h="15840"/>
          <w:pgMar w:header="0" w:footer="1002" w:top="1500" w:bottom="1200" w:left="1300" w:right="1580"/>
        </w:sectPr>
      </w:pPr>
    </w:p>
    <w:p>
      <w:pPr>
        <w:pStyle w:val="BodyText"/>
        <w:spacing w:before="1"/>
        <w:rPr>
          <w:sz w:val="10"/>
        </w:rPr>
      </w:pPr>
    </w:p>
    <w:p>
      <w:pPr>
        <w:pStyle w:val="Heading1"/>
        <w:numPr>
          <w:ilvl w:val="2"/>
          <w:numId w:val="1"/>
        </w:numPr>
        <w:tabs>
          <w:tab w:pos="3372" w:val="left" w:leader="none"/>
          <w:tab w:pos="3373" w:val="left" w:leader="none"/>
        </w:tabs>
        <w:spacing w:line="240" w:lineRule="auto" w:before="69" w:after="0"/>
        <w:ind w:left="3372" w:right="0" w:hanging="721"/>
        <w:jc w:val="left"/>
      </w:pPr>
      <w:r>
        <w:rPr/>
        <w:t>PLANTEAMIENTO DEL</w:t>
      </w:r>
      <w:r>
        <w:rPr>
          <w:spacing w:val="-13"/>
        </w:rPr>
        <w:t> </w:t>
      </w:r>
      <w:r>
        <w:rPr/>
        <w:t>PROBLEMA</w:t>
      </w:r>
    </w:p>
    <w:p>
      <w:pPr>
        <w:pStyle w:val="BodyText"/>
        <w:spacing w:before="3"/>
        <w:rPr>
          <w:b/>
          <w:sz w:val="30"/>
        </w:rPr>
      </w:pPr>
    </w:p>
    <w:p>
      <w:pPr>
        <w:pStyle w:val="BodyText"/>
        <w:spacing w:line="360" w:lineRule="auto"/>
        <w:ind w:left="116" w:right="114"/>
        <w:jc w:val="both"/>
      </w:pPr>
      <w:r>
        <w:rPr/>
        <w:t>La lactancia materna es una función fisiológica, compleja y coordinada, regido por arcos reflejos tanto en la musculatura del bebé como en la glándula mamaria de la madre. Si la alimentación no ha sido satisfactoria porque la succión </w:t>
      </w:r>
      <w:r>
        <w:rPr>
          <w:spacing w:val="-3"/>
        </w:rPr>
        <w:t>se </w:t>
      </w:r>
      <w:r>
        <w:rPr/>
        <w:t>vió frustrada, el niño a lo largo de </w:t>
      </w:r>
      <w:r>
        <w:rPr>
          <w:spacing w:val="-3"/>
        </w:rPr>
        <w:t>su </w:t>
      </w:r>
      <w:r>
        <w:rPr/>
        <w:t>vida irá creando sustitutos que son causa de maloclusión en etapas</w:t>
      </w:r>
      <w:r>
        <w:rPr>
          <w:spacing w:val="-6"/>
        </w:rPr>
        <w:t> </w:t>
      </w:r>
      <w:r>
        <w:rPr/>
        <w:t>posteriores.</w:t>
      </w:r>
    </w:p>
    <w:p>
      <w:pPr>
        <w:pStyle w:val="BodyText"/>
        <w:spacing w:line="360" w:lineRule="auto" w:before="209"/>
        <w:ind w:left="116" w:right="119"/>
        <w:jc w:val="both"/>
      </w:pPr>
      <w:r>
        <w:rPr/>
        <w:t>Los estudios estomatológicos realizados en la última década tienden a indicar que la falta de la lactancia materna o un periodo corto de ésta, se asocia a la presencia de anomalías dentomaxilares.</w:t>
      </w:r>
    </w:p>
    <w:p>
      <w:pPr>
        <w:pStyle w:val="BodyText"/>
        <w:spacing w:line="360" w:lineRule="auto" w:before="209"/>
        <w:ind w:left="116" w:right="115"/>
        <w:jc w:val="both"/>
      </w:pPr>
      <w:r>
        <w:rPr/>
        <w:t>Dado que el mayor incremento del crecimiento craneofacial ocurre durante los primeros cuatro años de vida, es importante la estimulación funcional y muscular del componente articular y mandibular para lograr un crecimiento armonioso, y la lactancia materna contribuye al desarrollo de la musculatura, el avance mandibular y la adecuada configuración de los arcos.</w:t>
      </w:r>
    </w:p>
    <w:p>
      <w:pPr>
        <w:pStyle w:val="BodyText"/>
        <w:spacing w:line="360" w:lineRule="auto" w:before="204"/>
        <w:ind w:left="116" w:right="117"/>
        <w:jc w:val="both"/>
      </w:pPr>
      <w:r>
        <w:rPr/>
        <w:t>Se ha reportado baja prevalencia y severidad de las maloculsiones en la dentición primaria en niños que han sido amamantados, en comparación con aquellos que fueron alimentados con biberón.</w:t>
      </w:r>
    </w:p>
    <w:p>
      <w:pPr>
        <w:pStyle w:val="BodyText"/>
        <w:spacing w:line="357" w:lineRule="auto" w:before="209"/>
        <w:ind w:left="116" w:right="114"/>
        <w:jc w:val="both"/>
      </w:pPr>
      <w:r>
        <w:rPr/>
        <w:t>La lactancia materna es un tema controversial ya que muchas madres han dejado de amamantar a sus hijos por desconocimiento de las ventajas que trae consigo la lactancia o por tabú.</w:t>
      </w:r>
    </w:p>
    <w:p>
      <w:pPr>
        <w:pStyle w:val="BodyText"/>
        <w:spacing w:line="355" w:lineRule="auto" w:before="212"/>
        <w:ind w:left="116" w:right="117"/>
        <w:jc w:val="both"/>
      </w:pPr>
      <w:r>
        <w:rPr/>
        <w:t>En México no se cuenta con estudios sobre el tema, por lo que con el presente trabajo se pretende responder la siguiente pregunta:</w:t>
      </w:r>
    </w:p>
    <w:p>
      <w:pPr>
        <w:pStyle w:val="BodyText"/>
        <w:spacing w:line="360" w:lineRule="auto" w:before="214"/>
        <w:ind w:left="116" w:right="118"/>
        <w:jc w:val="both"/>
      </w:pPr>
      <w:r>
        <w:rPr/>
        <w:t>¿Tiene la lactancia materna influencia en el desarrollo de la oclusión de la dentición temporal?</w:t>
      </w:r>
    </w:p>
    <w:p>
      <w:pPr>
        <w:spacing w:after="0" w:line="360" w:lineRule="auto"/>
        <w:jc w:val="both"/>
        <w:sectPr>
          <w:pgSz w:w="12240" w:h="15840"/>
          <w:pgMar w:header="0" w:footer="1002" w:top="1500" w:bottom="1200" w:left="1300" w:right="1580"/>
        </w:sectPr>
      </w:pPr>
    </w:p>
    <w:p>
      <w:pPr>
        <w:pStyle w:val="BodyText"/>
        <w:spacing w:before="1"/>
        <w:rPr>
          <w:sz w:val="10"/>
        </w:rPr>
      </w:pPr>
    </w:p>
    <w:p>
      <w:pPr>
        <w:pStyle w:val="Heading1"/>
        <w:numPr>
          <w:ilvl w:val="2"/>
          <w:numId w:val="1"/>
        </w:numPr>
        <w:tabs>
          <w:tab w:pos="4755" w:val="left" w:leader="none"/>
          <w:tab w:pos="4756" w:val="left" w:leader="none"/>
        </w:tabs>
        <w:spacing w:line="240" w:lineRule="auto" w:before="69" w:after="0"/>
        <w:ind w:left="4755" w:right="0" w:hanging="721"/>
        <w:jc w:val="left"/>
      </w:pPr>
      <w:r>
        <w:rPr/>
        <w:t>HIPÓTESIS</w:t>
      </w:r>
    </w:p>
    <w:p>
      <w:pPr>
        <w:pStyle w:val="BodyText"/>
        <w:spacing w:before="5"/>
        <w:rPr>
          <w:b/>
          <w:sz w:val="23"/>
        </w:rPr>
      </w:pPr>
    </w:p>
    <w:p>
      <w:pPr>
        <w:pStyle w:val="ListParagraph"/>
        <w:numPr>
          <w:ilvl w:val="1"/>
          <w:numId w:val="10"/>
        </w:numPr>
        <w:tabs>
          <w:tab w:pos="520" w:val="left" w:leader="none"/>
        </w:tabs>
        <w:spacing w:line="240" w:lineRule="auto" w:before="69" w:after="0"/>
        <w:ind w:left="519" w:right="0" w:hanging="403"/>
        <w:jc w:val="both"/>
        <w:rPr>
          <w:b/>
          <w:sz w:val="24"/>
        </w:rPr>
      </w:pPr>
      <w:r>
        <w:rPr>
          <w:b/>
          <w:sz w:val="24"/>
        </w:rPr>
        <w:t>Hipótesis:</w:t>
      </w:r>
    </w:p>
    <w:p>
      <w:pPr>
        <w:pStyle w:val="BodyText"/>
        <w:spacing w:before="3"/>
        <w:rPr>
          <w:b/>
          <w:sz w:val="30"/>
        </w:rPr>
      </w:pPr>
    </w:p>
    <w:p>
      <w:pPr>
        <w:pStyle w:val="BodyText"/>
        <w:spacing w:line="355" w:lineRule="auto"/>
        <w:ind w:left="116" w:right="6"/>
      </w:pPr>
      <w:r>
        <w:rPr/>
        <w:t>La lactancia materna tiene influencia en la oclusión primaria, de los niños que acuden al Jardín de niños “Consuelo Rodríguez de Fernández Albarrán”.</w:t>
      </w:r>
    </w:p>
    <w:p>
      <w:pPr>
        <w:pStyle w:val="Heading1"/>
        <w:numPr>
          <w:ilvl w:val="1"/>
          <w:numId w:val="10"/>
        </w:numPr>
        <w:tabs>
          <w:tab w:pos="520" w:val="left" w:leader="none"/>
        </w:tabs>
        <w:spacing w:line="240" w:lineRule="auto" w:before="205" w:after="0"/>
        <w:ind w:left="519" w:right="0" w:hanging="403"/>
        <w:jc w:val="both"/>
        <w:rPr>
          <w:b w:val="0"/>
        </w:rPr>
      </w:pPr>
      <w:r>
        <w:rPr/>
        <w:t>Hipótesis</w:t>
      </w:r>
      <w:r>
        <w:rPr>
          <w:spacing w:val="-10"/>
        </w:rPr>
        <w:t> </w:t>
      </w:r>
      <w:r>
        <w:rPr/>
        <w:t>nula</w:t>
      </w:r>
      <w:r>
        <w:rPr>
          <w:b w:val="0"/>
        </w:rPr>
        <w:t>:</w:t>
      </w:r>
    </w:p>
    <w:p>
      <w:pPr>
        <w:pStyle w:val="BodyText"/>
        <w:spacing w:before="3"/>
        <w:rPr>
          <w:sz w:val="30"/>
        </w:rPr>
      </w:pPr>
    </w:p>
    <w:p>
      <w:pPr>
        <w:pStyle w:val="BodyText"/>
        <w:spacing w:line="355" w:lineRule="auto"/>
        <w:ind w:left="116" w:right="6"/>
      </w:pPr>
      <w:r>
        <w:rPr/>
        <w:t>La lactancia materna no tiene influencia en la oclusión en la primera infancia, de los niños que acuden al Jardín de niños “Consuelo Rodríguez de Fernández Albarrán”.</w:t>
      </w:r>
    </w:p>
    <w:p>
      <w:pPr>
        <w:pStyle w:val="Heading1"/>
        <w:numPr>
          <w:ilvl w:val="1"/>
          <w:numId w:val="10"/>
        </w:numPr>
        <w:tabs>
          <w:tab w:pos="520" w:val="left" w:leader="none"/>
        </w:tabs>
        <w:spacing w:line="240" w:lineRule="auto" w:before="205" w:after="0"/>
        <w:ind w:left="519" w:right="0" w:hanging="403"/>
        <w:jc w:val="both"/>
      </w:pPr>
      <w:r>
        <w:rPr/>
        <w:t>Hipótesis</w:t>
      </w:r>
      <w:r>
        <w:rPr>
          <w:spacing w:val="-14"/>
        </w:rPr>
        <w:t> </w:t>
      </w:r>
      <w:r>
        <w:rPr/>
        <w:t>alterna:</w:t>
      </w:r>
    </w:p>
    <w:p>
      <w:pPr>
        <w:pStyle w:val="BodyText"/>
        <w:spacing w:before="3"/>
        <w:rPr>
          <w:b/>
          <w:sz w:val="30"/>
        </w:rPr>
      </w:pPr>
    </w:p>
    <w:p>
      <w:pPr>
        <w:pStyle w:val="BodyText"/>
        <w:spacing w:line="360" w:lineRule="auto"/>
        <w:ind w:left="116" w:right="115"/>
        <w:jc w:val="both"/>
      </w:pPr>
      <w:r>
        <w:rPr/>
        <w:t>La lactancia artificial influye de igual manera que la lactancia materna, en la oclusión en la primera infancia, en los niños que acuden al Jardín de niños “Consuelo Rodríguez de Fernández Albarrán”.</w:t>
      </w:r>
    </w:p>
    <w:p>
      <w:pPr>
        <w:spacing w:after="0" w:line="360" w:lineRule="auto"/>
        <w:jc w:val="both"/>
        <w:sectPr>
          <w:pgSz w:w="12240" w:h="15840"/>
          <w:pgMar w:header="0" w:footer="1002" w:top="1500" w:bottom="1200" w:left="1300" w:right="1580"/>
        </w:sectPr>
      </w:pPr>
    </w:p>
    <w:p>
      <w:pPr>
        <w:pStyle w:val="BodyText"/>
        <w:spacing w:before="1"/>
        <w:rPr>
          <w:sz w:val="10"/>
        </w:rPr>
      </w:pPr>
    </w:p>
    <w:p>
      <w:pPr>
        <w:pStyle w:val="Heading1"/>
        <w:numPr>
          <w:ilvl w:val="2"/>
          <w:numId w:val="1"/>
        </w:numPr>
        <w:tabs>
          <w:tab w:pos="4711" w:val="left" w:leader="none"/>
          <w:tab w:pos="4712" w:val="left" w:leader="none"/>
        </w:tabs>
        <w:spacing w:line="240" w:lineRule="auto" w:before="69" w:after="0"/>
        <w:ind w:left="4712" w:right="0" w:hanging="721"/>
        <w:jc w:val="left"/>
      </w:pPr>
      <w:r>
        <w:rPr/>
        <w:t>OBJETIVOS</w:t>
      </w:r>
    </w:p>
    <w:p>
      <w:pPr>
        <w:pStyle w:val="BodyText"/>
        <w:spacing w:before="5"/>
        <w:rPr>
          <w:b/>
          <w:sz w:val="23"/>
        </w:rPr>
      </w:pPr>
    </w:p>
    <w:p>
      <w:pPr>
        <w:pStyle w:val="ListParagraph"/>
        <w:numPr>
          <w:ilvl w:val="1"/>
          <w:numId w:val="11"/>
        </w:numPr>
        <w:tabs>
          <w:tab w:pos="520" w:val="left" w:leader="none"/>
        </w:tabs>
        <w:spacing w:line="240" w:lineRule="auto" w:before="69" w:after="0"/>
        <w:ind w:left="519" w:right="0" w:hanging="403"/>
        <w:jc w:val="left"/>
        <w:rPr>
          <w:b/>
          <w:sz w:val="24"/>
        </w:rPr>
      </w:pPr>
      <w:r>
        <w:rPr>
          <w:b/>
          <w:sz w:val="24"/>
        </w:rPr>
        <w:t>Objetivo</w:t>
      </w:r>
      <w:r>
        <w:rPr>
          <w:b/>
          <w:spacing w:val="-10"/>
          <w:sz w:val="24"/>
        </w:rPr>
        <w:t> </w:t>
      </w:r>
      <w:r>
        <w:rPr>
          <w:b/>
          <w:sz w:val="24"/>
        </w:rPr>
        <w:t>General:</w:t>
      </w:r>
    </w:p>
    <w:p>
      <w:pPr>
        <w:pStyle w:val="BodyText"/>
        <w:spacing w:before="3"/>
        <w:rPr>
          <w:b/>
          <w:sz w:val="30"/>
        </w:rPr>
      </w:pPr>
    </w:p>
    <w:p>
      <w:pPr>
        <w:pStyle w:val="BodyText"/>
        <w:spacing w:line="355" w:lineRule="auto"/>
        <w:ind w:left="116" w:right="104"/>
      </w:pPr>
      <w:r>
        <w:rPr/>
        <w:t>Evaluar si la lactancia materna influye en el desarrollo de la oclusión de los dientes temporales.</w:t>
      </w:r>
    </w:p>
    <w:p>
      <w:pPr>
        <w:pStyle w:val="Heading1"/>
        <w:numPr>
          <w:ilvl w:val="1"/>
          <w:numId w:val="11"/>
        </w:numPr>
        <w:tabs>
          <w:tab w:pos="520" w:val="left" w:leader="none"/>
        </w:tabs>
        <w:spacing w:line="240" w:lineRule="auto" w:before="205" w:after="0"/>
        <w:ind w:left="519" w:right="0" w:hanging="403"/>
        <w:jc w:val="left"/>
      </w:pPr>
      <w:r>
        <w:rPr/>
        <w:t>Objetivos</w:t>
      </w:r>
      <w:r>
        <w:rPr>
          <w:spacing w:val="-8"/>
        </w:rPr>
        <w:t> </w:t>
      </w:r>
      <w:r>
        <w:rPr/>
        <w:t>Específicos:</w:t>
      </w:r>
    </w:p>
    <w:p>
      <w:pPr>
        <w:pStyle w:val="BodyText"/>
        <w:spacing w:before="3"/>
        <w:rPr>
          <w:b/>
          <w:sz w:val="30"/>
        </w:rPr>
      </w:pPr>
    </w:p>
    <w:p>
      <w:pPr>
        <w:pStyle w:val="ListParagraph"/>
        <w:numPr>
          <w:ilvl w:val="2"/>
          <w:numId w:val="11"/>
        </w:numPr>
        <w:tabs>
          <w:tab w:pos="837" w:val="left" w:leader="none"/>
        </w:tabs>
        <w:spacing w:line="360" w:lineRule="auto" w:before="0" w:after="0"/>
        <w:ind w:left="837" w:right="114" w:hanging="361"/>
        <w:jc w:val="left"/>
        <w:rPr>
          <w:sz w:val="24"/>
        </w:rPr>
      </w:pPr>
      <w:r>
        <w:rPr>
          <w:sz w:val="24"/>
        </w:rPr>
        <w:t>Conocer los tipos de oclusión temporal en los niños que fueron alimentados a seno</w:t>
      </w:r>
      <w:r>
        <w:rPr>
          <w:spacing w:val="-7"/>
          <w:sz w:val="24"/>
        </w:rPr>
        <w:t> </w:t>
      </w:r>
      <w:r>
        <w:rPr>
          <w:sz w:val="24"/>
        </w:rPr>
        <w:t>materno</w:t>
      </w:r>
    </w:p>
    <w:p>
      <w:pPr>
        <w:pStyle w:val="ListParagraph"/>
        <w:numPr>
          <w:ilvl w:val="2"/>
          <w:numId w:val="11"/>
        </w:numPr>
        <w:tabs>
          <w:tab w:pos="837" w:val="left" w:leader="none"/>
        </w:tabs>
        <w:spacing w:line="360" w:lineRule="auto" w:before="8" w:after="0"/>
        <w:ind w:left="837" w:right="100" w:hanging="361"/>
        <w:jc w:val="left"/>
        <w:rPr>
          <w:sz w:val="24"/>
        </w:rPr>
      </w:pPr>
      <w:r>
        <w:rPr>
          <w:sz w:val="24"/>
        </w:rPr>
        <w:t>Conocer los tipos de oclusión temporal en los niños que fueron alimentados con</w:t>
      </w:r>
      <w:r>
        <w:rPr>
          <w:spacing w:val="-5"/>
          <w:sz w:val="24"/>
        </w:rPr>
        <w:t> </w:t>
      </w:r>
      <w:r>
        <w:rPr>
          <w:sz w:val="24"/>
        </w:rPr>
        <w:t>biberón</w:t>
      </w:r>
    </w:p>
    <w:p>
      <w:pPr>
        <w:pStyle w:val="ListParagraph"/>
        <w:numPr>
          <w:ilvl w:val="2"/>
          <w:numId w:val="11"/>
        </w:numPr>
        <w:tabs>
          <w:tab w:pos="837" w:val="left" w:leader="none"/>
        </w:tabs>
        <w:spacing w:line="360" w:lineRule="auto" w:before="2" w:after="0"/>
        <w:ind w:left="837" w:right="99" w:hanging="361"/>
        <w:jc w:val="left"/>
        <w:rPr>
          <w:sz w:val="24"/>
        </w:rPr>
      </w:pPr>
      <w:r>
        <w:rPr>
          <w:sz w:val="24"/>
        </w:rPr>
        <w:t>Conocer los tipos de oclusión temporal en los niños que fueron alimentados a seno materno y con</w:t>
      </w:r>
      <w:r>
        <w:rPr>
          <w:spacing w:val="-10"/>
          <w:sz w:val="24"/>
        </w:rPr>
        <w:t> </w:t>
      </w:r>
      <w:r>
        <w:rPr>
          <w:sz w:val="24"/>
        </w:rPr>
        <w:t>biberón</w:t>
      </w:r>
    </w:p>
    <w:p>
      <w:pPr>
        <w:spacing w:after="0" w:line="360" w:lineRule="auto"/>
        <w:jc w:val="left"/>
        <w:rPr>
          <w:sz w:val="24"/>
        </w:rPr>
        <w:sectPr>
          <w:pgSz w:w="12240" w:h="15840"/>
          <w:pgMar w:header="0" w:footer="1002" w:top="1500" w:bottom="1200" w:left="1300" w:right="1600"/>
        </w:sectPr>
      </w:pPr>
    </w:p>
    <w:p>
      <w:pPr>
        <w:pStyle w:val="BodyText"/>
        <w:spacing w:before="1"/>
        <w:rPr>
          <w:sz w:val="10"/>
        </w:rPr>
      </w:pPr>
    </w:p>
    <w:p>
      <w:pPr>
        <w:pStyle w:val="Heading1"/>
        <w:numPr>
          <w:ilvl w:val="2"/>
          <w:numId w:val="1"/>
        </w:numPr>
        <w:tabs>
          <w:tab w:pos="4476" w:val="left" w:leader="none"/>
          <w:tab w:pos="4477" w:val="left" w:leader="none"/>
        </w:tabs>
        <w:spacing w:line="240" w:lineRule="auto" w:before="69" w:after="0"/>
        <w:ind w:left="4476" w:right="0" w:hanging="720"/>
        <w:jc w:val="left"/>
      </w:pPr>
      <w:r>
        <w:rPr/>
        <w:t>JUSTIFICACIÓN</w:t>
      </w:r>
    </w:p>
    <w:p>
      <w:pPr>
        <w:pStyle w:val="BodyText"/>
        <w:spacing w:before="3"/>
        <w:rPr>
          <w:b/>
          <w:sz w:val="30"/>
        </w:rPr>
      </w:pPr>
    </w:p>
    <w:p>
      <w:pPr>
        <w:pStyle w:val="BodyText"/>
        <w:spacing w:line="360" w:lineRule="auto"/>
        <w:ind w:left="116" w:right="119"/>
        <w:jc w:val="both"/>
      </w:pPr>
      <w:r>
        <w:rPr/>
        <w:t>Actualmente es indiscutible la importancia que se le da a la lactancia materna tanto para la madre como para el hijo, desde diversos puntos de vista: inmunológico, nutritivo, afectivo psicológico entre otros.</w:t>
      </w:r>
    </w:p>
    <w:p>
      <w:pPr>
        <w:pStyle w:val="BodyText"/>
        <w:spacing w:line="324" w:lineRule="auto" w:before="209"/>
        <w:ind w:left="116" w:right="118"/>
        <w:jc w:val="both"/>
        <w:rPr>
          <w:sz w:val="16"/>
        </w:rPr>
      </w:pPr>
      <w:r>
        <w:rPr/>
        <w:t>En la literatura se ha establecido que los efectos de la lactancia materna sobre el desarrollo del aparato bucal y su relación con posibles anomalías dentofaciales. </w:t>
      </w:r>
      <w:r>
        <w:rPr>
          <w:position w:val="11"/>
          <w:sz w:val="16"/>
        </w:rPr>
        <w:t>17-21.</w:t>
      </w:r>
    </w:p>
    <w:p>
      <w:pPr>
        <w:pStyle w:val="BodyText"/>
        <w:spacing w:line="360" w:lineRule="auto" w:before="236"/>
        <w:ind w:left="116" w:right="121"/>
        <w:jc w:val="both"/>
      </w:pPr>
      <w:r>
        <w:rPr/>
        <w:t>Numerosa evidencia sugiere que la lactancia materna influye en el desarrollo favorable de la oclusión en la dentición primaria. Diversas organizaciones como la ONU, la Academia Americana de Odontopediatrica de Chicago, Elk Grove Village III, recomiendan alimentación exclusiva a seno materno durante los primeros 6 meses de edad y la introducción de alimentación complementaria a partir de los 6 meses   </w:t>
      </w:r>
      <w:r>
        <w:rPr>
          <w:spacing w:val="11"/>
        </w:rPr>
        <w:t> </w:t>
      </w:r>
      <w:r>
        <w:rPr/>
        <w:t>y</w:t>
      </w:r>
    </w:p>
    <w:p>
      <w:pPr>
        <w:pStyle w:val="BodyText"/>
        <w:spacing w:line="324" w:lineRule="auto" w:before="3"/>
        <w:ind w:left="116" w:right="129"/>
        <w:jc w:val="both"/>
        <w:rPr>
          <w:sz w:val="16"/>
        </w:rPr>
      </w:pPr>
      <w:r>
        <w:rPr/>
        <w:t>hasta los 12 meses; tendrá consigo múltiples beneficios en la salud del infante y la madre.</w:t>
      </w:r>
      <w:r>
        <w:rPr>
          <w:position w:val="11"/>
          <w:sz w:val="16"/>
        </w:rPr>
        <w:t>27</w:t>
      </w:r>
    </w:p>
    <w:p>
      <w:pPr>
        <w:pStyle w:val="BodyText"/>
        <w:spacing w:line="360" w:lineRule="auto" w:before="236"/>
        <w:ind w:left="116" w:right="117"/>
        <w:jc w:val="both"/>
      </w:pPr>
      <w:r>
        <w:rPr/>
        <w:t>Autores como Mayoral (1969) platean la lactancia artificial está íntimamente ligada a la deglución anormal por la persistencia de la forma visceral de deglución y por ello el crecimiento es menor quedando los maxilares pequeños.</w:t>
      </w:r>
    </w:p>
    <w:p>
      <w:pPr>
        <w:pStyle w:val="BodyText"/>
        <w:spacing w:line="360" w:lineRule="auto" w:before="209"/>
        <w:ind w:left="116" w:right="119"/>
        <w:jc w:val="both"/>
      </w:pPr>
      <w:r>
        <w:rPr/>
        <w:t>En la etapa natal existe un retrognatismo natural que se compensa con la estimulación de la musculatura perioral por medio de la deglución y succión, dicho estímulo es mayor con la alimentación con seno matero. Si esta función no se  cumple la mandíbula queda atrapada para poder realizar movimientos de avance,  por  lo  que  no  hay  estimulación  para  el  crecimiento  mandibular  resultando  </w:t>
      </w:r>
      <w:r>
        <w:rPr>
          <w:spacing w:val="35"/>
        </w:rPr>
        <w:t> </w:t>
      </w:r>
      <w:r>
        <w:rPr/>
        <w:t>una</w:t>
      </w:r>
    </w:p>
    <w:p>
      <w:pPr>
        <w:pStyle w:val="BodyText"/>
        <w:spacing w:line="324" w:lineRule="auto" w:before="3"/>
        <w:ind w:left="116" w:right="120"/>
        <w:jc w:val="both"/>
        <w:rPr>
          <w:sz w:val="16"/>
        </w:rPr>
      </w:pPr>
      <w:r>
        <w:rPr/>
        <w:t>relación de disto-oclusión en la dentición temporal y hasta la dentición mixta y permanente.</w:t>
      </w:r>
      <w:r>
        <w:rPr>
          <w:position w:val="11"/>
          <w:sz w:val="16"/>
        </w:rPr>
        <w:t>7, 10</w:t>
      </w:r>
    </w:p>
    <w:p>
      <w:pPr>
        <w:pStyle w:val="BodyText"/>
        <w:spacing w:line="355" w:lineRule="auto" w:before="236"/>
        <w:ind w:left="116" w:right="133"/>
        <w:jc w:val="both"/>
      </w:pPr>
      <w:r>
        <w:rPr/>
        <w:t>Con lo antes expuesto es importante realizar un estudio para conocer la influencia de la Lactancia materna en el desarrollo de la oclusión de la dentición temporal.</w:t>
      </w:r>
    </w:p>
    <w:p>
      <w:pPr>
        <w:spacing w:after="0" w:line="355" w:lineRule="auto"/>
        <w:jc w:val="both"/>
        <w:sectPr>
          <w:pgSz w:w="12240" w:h="15840"/>
          <w:pgMar w:header="0" w:footer="1002" w:top="1500" w:bottom="1200" w:left="1300" w:right="1580"/>
        </w:sectPr>
      </w:pPr>
    </w:p>
    <w:p>
      <w:pPr>
        <w:pStyle w:val="BodyText"/>
        <w:spacing w:before="1"/>
        <w:rPr>
          <w:sz w:val="10"/>
        </w:rPr>
      </w:pPr>
    </w:p>
    <w:p>
      <w:pPr>
        <w:pStyle w:val="Heading1"/>
        <w:numPr>
          <w:ilvl w:val="2"/>
          <w:numId w:val="1"/>
        </w:numPr>
        <w:tabs>
          <w:tab w:pos="3861" w:val="left" w:leader="none"/>
          <w:tab w:pos="3862" w:val="left" w:leader="none"/>
        </w:tabs>
        <w:spacing w:line="240" w:lineRule="auto" w:before="69" w:after="0"/>
        <w:ind w:left="3862" w:right="0" w:hanging="720"/>
        <w:jc w:val="left"/>
      </w:pPr>
      <w:r>
        <w:rPr/>
        <w:t>MATERIALES Y</w:t>
      </w:r>
      <w:r>
        <w:rPr>
          <w:spacing w:val="-8"/>
        </w:rPr>
        <w:t> </w:t>
      </w:r>
      <w:r>
        <w:rPr/>
        <w:t>MÉTODOS</w:t>
      </w:r>
    </w:p>
    <w:p>
      <w:pPr>
        <w:pStyle w:val="BodyText"/>
        <w:spacing w:before="5"/>
        <w:rPr>
          <w:b/>
          <w:sz w:val="23"/>
        </w:rPr>
      </w:pPr>
    </w:p>
    <w:p>
      <w:pPr>
        <w:pStyle w:val="ListParagraph"/>
        <w:numPr>
          <w:ilvl w:val="1"/>
          <w:numId w:val="12"/>
        </w:numPr>
        <w:tabs>
          <w:tab w:pos="520" w:val="left" w:leader="none"/>
        </w:tabs>
        <w:spacing w:line="240" w:lineRule="auto" w:before="69" w:after="0"/>
        <w:ind w:left="519" w:right="0" w:hanging="403"/>
        <w:jc w:val="both"/>
        <w:rPr>
          <w:b/>
          <w:sz w:val="24"/>
        </w:rPr>
      </w:pPr>
      <w:r>
        <w:rPr>
          <w:b/>
          <w:sz w:val="24"/>
        </w:rPr>
        <w:t>Diseño de</w:t>
      </w:r>
      <w:r>
        <w:rPr>
          <w:b/>
          <w:spacing w:val="-11"/>
          <w:sz w:val="24"/>
        </w:rPr>
        <w:t> </w:t>
      </w:r>
      <w:r>
        <w:rPr>
          <w:b/>
          <w:sz w:val="24"/>
        </w:rPr>
        <w:t>Estudio:</w:t>
      </w:r>
    </w:p>
    <w:p>
      <w:pPr>
        <w:pStyle w:val="BodyText"/>
        <w:spacing w:before="9"/>
        <w:rPr>
          <w:b/>
          <w:sz w:val="29"/>
        </w:rPr>
      </w:pPr>
    </w:p>
    <w:p>
      <w:pPr>
        <w:pStyle w:val="BodyText"/>
        <w:ind w:left="116"/>
        <w:jc w:val="both"/>
      </w:pPr>
      <w:r>
        <w:rPr/>
        <w:t>Es un estudio prospectivo, transversal, descriptivo.</w:t>
      </w:r>
    </w:p>
    <w:p>
      <w:pPr>
        <w:pStyle w:val="BodyText"/>
        <w:rPr>
          <w:sz w:val="29"/>
        </w:rPr>
      </w:pPr>
    </w:p>
    <w:p>
      <w:pPr>
        <w:pStyle w:val="Heading1"/>
        <w:numPr>
          <w:ilvl w:val="1"/>
          <w:numId w:val="12"/>
        </w:numPr>
        <w:tabs>
          <w:tab w:pos="520" w:val="left" w:leader="none"/>
        </w:tabs>
        <w:spacing w:line="240" w:lineRule="auto" w:before="0" w:after="0"/>
        <w:ind w:left="519" w:right="0" w:hanging="403"/>
        <w:jc w:val="both"/>
      </w:pPr>
      <w:r>
        <w:rPr/>
        <w:t>Selección de la</w:t>
      </w:r>
      <w:r>
        <w:rPr>
          <w:spacing w:val="-16"/>
        </w:rPr>
        <w:t> </w:t>
      </w:r>
      <w:r>
        <w:rPr/>
        <w:t>Muestra:</w:t>
      </w:r>
    </w:p>
    <w:p>
      <w:pPr>
        <w:pStyle w:val="BodyText"/>
        <w:spacing w:before="3"/>
        <w:rPr>
          <w:b/>
          <w:sz w:val="30"/>
        </w:rPr>
      </w:pPr>
    </w:p>
    <w:p>
      <w:pPr>
        <w:pStyle w:val="BodyText"/>
        <w:spacing w:line="360" w:lineRule="auto"/>
        <w:ind w:left="116" w:right="113"/>
        <w:jc w:val="both"/>
      </w:pPr>
      <w:r>
        <w:rPr/>
        <w:t>Se revisaron 193 alumnos del Jardín de Niños “Consuelo Rodríguez de Fernández Albarrán” perteneciente al DIF, de los cuales fueron incluidos 117 que contaban con  3 a 5 años de edad; que presentaron dentición temporal completa y sus padres o tutores aceptaron participar en el estudio durante el periodo de Junio-Agosto 2013, fueron excluidos 76 por no cumplir con los criterios de</w:t>
      </w:r>
      <w:r>
        <w:rPr>
          <w:spacing w:val="-24"/>
        </w:rPr>
        <w:t> </w:t>
      </w:r>
      <w:r>
        <w:rPr/>
        <w:t>inclusión.</w:t>
      </w:r>
    </w:p>
    <w:p>
      <w:pPr>
        <w:pStyle w:val="Heading1"/>
        <w:numPr>
          <w:ilvl w:val="1"/>
          <w:numId w:val="12"/>
        </w:numPr>
        <w:tabs>
          <w:tab w:pos="477" w:val="left" w:leader="none"/>
        </w:tabs>
        <w:spacing w:line="240" w:lineRule="auto" w:before="199" w:after="0"/>
        <w:ind w:left="476" w:right="0" w:hanging="360"/>
        <w:jc w:val="both"/>
      </w:pPr>
      <w:r>
        <w:rPr/>
        <w:t>Criterios de inclusión Exclusión y</w:t>
      </w:r>
      <w:r>
        <w:rPr>
          <w:spacing w:val="-22"/>
        </w:rPr>
        <w:t> </w:t>
      </w:r>
      <w:r>
        <w:rPr/>
        <w:t>Eliminación:</w:t>
      </w:r>
    </w:p>
    <w:p>
      <w:pPr>
        <w:pStyle w:val="BodyText"/>
        <w:spacing w:before="5"/>
        <w:rPr>
          <w:b/>
          <w:sz w:val="29"/>
        </w:rPr>
      </w:pPr>
    </w:p>
    <w:p>
      <w:pPr>
        <w:pStyle w:val="ListParagraph"/>
        <w:numPr>
          <w:ilvl w:val="2"/>
          <w:numId w:val="12"/>
        </w:numPr>
        <w:tabs>
          <w:tab w:pos="722" w:val="left" w:leader="none"/>
        </w:tabs>
        <w:spacing w:line="240" w:lineRule="auto" w:before="0" w:after="0"/>
        <w:ind w:left="721" w:right="0" w:hanging="605"/>
        <w:jc w:val="both"/>
        <w:rPr>
          <w:b/>
          <w:sz w:val="24"/>
        </w:rPr>
      </w:pPr>
      <w:r>
        <w:rPr>
          <w:b/>
          <w:sz w:val="24"/>
        </w:rPr>
        <w:t>Inclusión</w:t>
      </w:r>
    </w:p>
    <w:p>
      <w:pPr>
        <w:pStyle w:val="BodyText"/>
        <w:spacing w:before="3"/>
        <w:rPr>
          <w:b/>
          <w:sz w:val="30"/>
        </w:rPr>
      </w:pPr>
    </w:p>
    <w:p>
      <w:pPr>
        <w:pStyle w:val="BodyText"/>
        <w:spacing w:line="355" w:lineRule="auto"/>
        <w:ind w:left="116" w:right="6"/>
      </w:pPr>
      <w:r>
        <w:rPr/>
        <w:t>Alumnos de 3 a 5 años de edad que asistían al Jardín de niños “Consuelo Rodríguez de Fernández Albarrán”</w:t>
      </w:r>
    </w:p>
    <w:p>
      <w:pPr>
        <w:pStyle w:val="BodyText"/>
        <w:spacing w:line="360" w:lineRule="auto" w:before="215"/>
        <w:ind w:left="836" w:right="2660"/>
      </w:pPr>
      <w:r>
        <w:rPr/>
        <w:t>Y que presentaron dentición temporal completa. Padres o tutores que aceptaron participar en el estudio Padres que respondieron el cuestionario</w:t>
      </w:r>
    </w:p>
    <w:p>
      <w:pPr>
        <w:pStyle w:val="BodyText"/>
        <w:spacing w:line="360" w:lineRule="auto" w:before="8"/>
        <w:ind w:left="836" w:right="1633"/>
      </w:pPr>
      <w:r>
        <w:rPr/>
        <w:t>Alumnos que tenían los segundos molares y caninos temporales erupcionados, sin caries.</w:t>
      </w:r>
    </w:p>
    <w:p>
      <w:pPr>
        <w:pStyle w:val="BodyText"/>
        <w:spacing w:before="2"/>
        <w:ind w:left="836" w:right="6"/>
      </w:pPr>
      <w:r>
        <w:rPr/>
        <w:t>Alumnos en los cuales se pudo valorar la relación canina y molar</w:t>
      </w:r>
    </w:p>
    <w:p>
      <w:pPr>
        <w:pStyle w:val="Heading1"/>
        <w:numPr>
          <w:ilvl w:val="2"/>
          <w:numId w:val="12"/>
        </w:numPr>
        <w:tabs>
          <w:tab w:pos="837" w:val="left" w:leader="none"/>
        </w:tabs>
        <w:spacing w:line="240" w:lineRule="auto" w:before="132" w:after="0"/>
        <w:ind w:left="837" w:right="0" w:hanging="721"/>
        <w:jc w:val="both"/>
      </w:pPr>
      <w:r>
        <w:rPr/>
        <w:t>Exclusión</w:t>
      </w:r>
    </w:p>
    <w:p>
      <w:pPr>
        <w:pStyle w:val="BodyText"/>
        <w:spacing w:line="360" w:lineRule="auto" w:before="147"/>
        <w:ind w:left="836" w:right="2338"/>
        <w:jc w:val="both"/>
      </w:pPr>
      <w:r>
        <w:rPr/>
        <w:t>Alumnos que no presentaron dentición temporal completa Padres o tutores que no aceptaron participar en el estudio Padres que no respondieron el cuestionario</w:t>
      </w:r>
    </w:p>
    <w:p>
      <w:pPr>
        <w:pStyle w:val="BodyText"/>
        <w:spacing w:line="362" w:lineRule="auto" w:before="3"/>
        <w:ind w:left="836" w:right="1646"/>
      </w:pPr>
      <w:r>
        <w:rPr/>
        <w:t>Alumnos que tenian los segundos molares y caninos temporales erupcionados, con caries.</w:t>
      </w:r>
    </w:p>
    <w:p>
      <w:pPr>
        <w:pStyle w:val="BodyText"/>
        <w:spacing w:line="360" w:lineRule="auto"/>
        <w:ind w:left="836" w:right="1260"/>
      </w:pPr>
      <w:r>
        <w:rPr/>
        <w:t>Alumnos en los cuales no se pudo valorar la relación canina y molar Alumnos que estaban en tratamiento de ortopedia</w:t>
      </w:r>
    </w:p>
    <w:p>
      <w:pPr>
        <w:spacing w:after="0" w:line="360" w:lineRule="auto"/>
        <w:sectPr>
          <w:footerReference w:type="default" r:id="rId10"/>
          <w:pgSz w:w="12240" w:h="15840"/>
          <w:pgMar w:footer="1002" w:header="0" w:top="1500" w:bottom="1200" w:left="1300" w:right="1580"/>
        </w:sectPr>
      </w:pPr>
    </w:p>
    <w:p>
      <w:pPr>
        <w:pStyle w:val="BodyText"/>
        <w:spacing w:before="6"/>
        <w:rPr>
          <w:sz w:val="10"/>
        </w:rPr>
      </w:pPr>
    </w:p>
    <w:p>
      <w:pPr>
        <w:pStyle w:val="Heading1"/>
        <w:numPr>
          <w:ilvl w:val="2"/>
          <w:numId w:val="12"/>
        </w:numPr>
        <w:tabs>
          <w:tab w:pos="937" w:val="left" w:leader="none"/>
        </w:tabs>
        <w:spacing w:line="240" w:lineRule="auto" w:before="69" w:after="0"/>
        <w:ind w:left="937" w:right="0" w:hanging="721"/>
        <w:jc w:val="left"/>
      </w:pPr>
      <w:r>
        <w:rPr/>
        <w:t>Eliminación</w:t>
      </w:r>
    </w:p>
    <w:p>
      <w:pPr>
        <w:pStyle w:val="BodyText"/>
        <w:spacing w:line="360" w:lineRule="auto" w:before="147"/>
        <w:ind w:left="893" w:right="2355"/>
      </w:pPr>
      <w:r>
        <w:rPr/>
        <w:t>Todos aquellos padres o tutores que no respondieron el cuestionario correctamente</w:t>
      </w:r>
    </w:p>
    <w:p>
      <w:pPr>
        <w:pStyle w:val="BodyText"/>
        <w:spacing w:before="2"/>
        <w:ind w:left="893" w:right="2355"/>
      </w:pPr>
      <w:r>
        <w:rPr/>
        <w:t>Alumnos que perdieron algún órgano dentario</w:t>
      </w:r>
    </w:p>
    <w:p>
      <w:pPr>
        <w:pStyle w:val="BodyText"/>
        <w:spacing w:line="360" w:lineRule="auto" w:before="137"/>
        <w:ind w:left="893" w:right="381"/>
      </w:pPr>
      <w:r>
        <w:rPr/>
        <w:t>Alumnos que durante el transcurso del estudio se sometieron a tratamiento de ortopedia</w:t>
      </w:r>
    </w:p>
    <w:p>
      <w:pPr>
        <w:pStyle w:val="Heading1"/>
        <w:numPr>
          <w:ilvl w:val="1"/>
          <w:numId w:val="12"/>
        </w:numPr>
        <w:tabs>
          <w:tab w:pos="620" w:val="left" w:leader="none"/>
        </w:tabs>
        <w:spacing w:line="240" w:lineRule="auto" w:before="194" w:after="0"/>
        <w:ind w:left="619" w:right="0" w:hanging="403"/>
        <w:jc w:val="left"/>
      </w:pPr>
      <w:r>
        <w:rPr/>
        <w:t>Variables de</w:t>
      </w:r>
      <w:r>
        <w:rPr>
          <w:spacing w:val="-11"/>
        </w:rPr>
        <w:t> </w:t>
      </w:r>
      <w:r>
        <w:rPr/>
        <w:t>Estudio</w:t>
      </w:r>
    </w:p>
    <w:p>
      <w:pPr>
        <w:pStyle w:val="BodyText"/>
        <w:spacing w:before="9"/>
        <w:rPr>
          <w:b/>
          <w:sz w:val="29"/>
        </w:rPr>
      </w:pPr>
    </w:p>
    <w:p>
      <w:pPr>
        <w:pStyle w:val="Heading2"/>
        <w:ind w:left="216" w:right="2355" w:firstLine="0"/>
        <w:rPr>
          <w:i/>
        </w:rPr>
      </w:pPr>
      <w:r>
        <w:rPr>
          <w:i/>
        </w:rPr>
        <w:t>Definición Conceptual y Operacional de Variables</w:t>
      </w:r>
    </w:p>
    <w:p>
      <w:pPr>
        <w:pStyle w:val="BodyText"/>
        <w:rPr>
          <w:b/>
          <w:i/>
          <w:sz w:val="20"/>
        </w:rPr>
      </w:pPr>
    </w:p>
    <w:p>
      <w:pPr>
        <w:pStyle w:val="BodyText"/>
        <w:spacing w:before="3"/>
        <w:rPr>
          <w:b/>
          <w:i/>
          <w:sz w:val="10"/>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4"/>
        <w:gridCol w:w="2415"/>
        <w:gridCol w:w="2670"/>
        <w:gridCol w:w="1580"/>
        <w:gridCol w:w="1844"/>
      </w:tblGrid>
      <w:tr>
        <w:trPr>
          <w:trHeight w:val="648" w:hRule="exact"/>
        </w:trPr>
        <w:tc>
          <w:tcPr>
            <w:tcW w:w="10353" w:type="dxa"/>
            <w:gridSpan w:val="5"/>
          </w:tcPr>
          <w:p>
            <w:pPr>
              <w:pStyle w:val="TableParagraph"/>
              <w:spacing w:line="240" w:lineRule="auto" w:before="2"/>
              <w:ind w:left="0"/>
              <w:rPr>
                <w:b/>
                <w:i/>
                <w:sz w:val="27"/>
              </w:rPr>
            </w:pPr>
          </w:p>
          <w:p>
            <w:pPr>
              <w:pStyle w:val="TableParagraph"/>
              <w:spacing w:line="240" w:lineRule="auto"/>
              <w:ind w:left="3490" w:right="3492"/>
              <w:jc w:val="center"/>
              <w:rPr>
                <w:b/>
                <w:sz w:val="24"/>
              </w:rPr>
            </w:pPr>
            <w:r>
              <w:rPr>
                <w:b/>
                <w:sz w:val="24"/>
              </w:rPr>
              <w:t>VARIABLES DEPENDIENTES</w:t>
            </w:r>
          </w:p>
        </w:tc>
      </w:tr>
      <w:tr>
        <w:trPr>
          <w:trHeight w:val="1008" w:hRule="exact"/>
        </w:trPr>
        <w:tc>
          <w:tcPr>
            <w:tcW w:w="1844" w:type="dxa"/>
          </w:tcPr>
          <w:p>
            <w:pPr>
              <w:pStyle w:val="TableParagraph"/>
              <w:spacing w:line="267" w:lineRule="exact"/>
              <w:ind w:left="451" w:right="397"/>
              <w:rPr>
                <w:b/>
                <w:sz w:val="24"/>
              </w:rPr>
            </w:pPr>
            <w:r>
              <w:rPr>
                <w:b/>
                <w:sz w:val="24"/>
              </w:rPr>
              <w:t>Variable</w:t>
            </w:r>
          </w:p>
        </w:tc>
        <w:tc>
          <w:tcPr>
            <w:tcW w:w="2415" w:type="dxa"/>
          </w:tcPr>
          <w:p>
            <w:pPr>
              <w:pStyle w:val="TableParagraph"/>
              <w:spacing w:line="276" w:lineRule="auto"/>
              <w:ind w:left="547" w:right="531" w:firstLine="72"/>
              <w:rPr>
                <w:b/>
                <w:sz w:val="24"/>
              </w:rPr>
            </w:pPr>
            <w:r>
              <w:rPr>
                <w:b/>
                <w:sz w:val="24"/>
              </w:rPr>
              <w:t>Definición Conceptual</w:t>
            </w:r>
          </w:p>
        </w:tc>
        <w:tc>
          <w:tcPr>
            <w:tcW w:w="2670" w:type="dxa"/>
          </w:tcPr>
          <w:p>
            <w:pPr>
              <w:pStyle w:val="TableParagraph"/>
              <w:spacing w:line="267" w:lineRule="exact"/>
              <w:ind w:left="163" w:right="85"/>
              <w:rPr>
                <w:b/>
                <w:sz w:val="24"/>
              </w:rPr>
            </w:pPr>
            <w:r>
              <w:rPr>
                <w:b/>
                <w:sz w:val="24"/>
              </w:rPr>
              <w:t>Definición Operativa</w:t>
            </w:r>
          </w:p>
        </w:tc>
        <w:tc>
          <w:tcPr>
            <w:tcW w:w="1580" w:type="dxa"/>
          </w:tcPr>
          <w:p>
            <w:pPr>
              <w:pStyle w:val="TableParagraph"/>
              <w:spacing w:line="276" w:lineRule="auto"/>
              <w:ind w:left="316" w:right="300" w:firstLine="38"/>
              <w:rPr>
                <w:b/>
                <w:sz w:val="24"/>
              </w:rPr>
            </w:pPr>
            <w:r>
              <w:rPr>
                <w:b/>
                <w:sz w:val="24"/>
              </w:rPr>
              <w:t>Tipo de Variable</w:t>
            </w:r>
          </w:p>
        </w:tc>
        <w:tc>
          <w:tcPr>
            <w:tcW w:w="1844" w:type="dxa"/>
          </w:tcPr>
          <w:p>
            <w:pPr>
              <w:pStyle w:val="TableParagraph"/>
              <w:spacing w:line="276" w:lineRule="auto"/>
              <w:ind w:left="398" w:right="347" w:hanging="39"/>
              <w:rPr>
                <w:b/>
                <w:sz w:val="24"/>
              </w:rPr>
            </w:pPr>
            <w:r>
              <w:rPr>
                <w:b/>
                <w:sz w:val="24"/>
              </w:rPr>
              <w:t>Escala de Medición</w:t>
            </w:r>
          </w:p>
        </w:tc>
      </w:tr>
      <w:tr>
        <w:trPr>
          <w:trHeight w:val="2232" w:hRule="exact"/>
        </w:trPr>
        <w:tc>
          <w:tcPr>
            <w:tcW w:w="1844" w:type="dxa"/>
          </w:tcPr>
          <w:p>
            <w:pPr>
              <w:pStyle w:val="TableParagraph"/>
              <w:spacing w:line="276" w:lineRule="auto"/>
              <w:ind w:left="600" w:right="397" w:hanging="183"/>
              <w:rPr>
                <w:b/>
                <w:sz w:val="24"/>
              </w:rPr>
            </w:pPr>
            <w:r>
              <w:rPr>
                <w:b/>
                <w:sz w:val="24"/>
              </w:rPr>
              <w:t>Relación Molar</w:t>
            </w:r>
          </w:p>
        </w:tc>
        <w:tc>
          <w:tcPr>
            <w:tcW w:w="2415" w:type="dxa"/>
          </w:tcPr>
          <w:p>
            <w:pPr>
              <w:pStyle w:val="TableParagraph"/>
              <w:spacing w:line="276" w:lineRule="auto"/>
              <w:ind w:left="206" w:right="205" w:hanging="2"/>
              <w:jc w:val="center"/>
              <w:rPr>
                <w:sz w:val="24"/>
              </w:rPr>
            </w:pPr>
            <w:r>
              <w:rPr>
                <w:sz w:val="24"/>
              </w:rPr>
              <w:t>Relación que guarda el segundo molar temporal superior con respecto al canino temporal inferior.</w:t>
            </w:r>
          </w:p>
        </w:tc>
        <w:tc>
          <w:tcPr>
            <w:tcW w:w="2670" w:type="dxa"/>
          </w:tcPr>
          <w:p>
            <w:pPr>
              <w:pStyle w:val="TableParagraph"/>
              <w:spacing w:line="276" w:lineRule="auto"/>
              <w:ind w:left="168" w:right="170"/>
              <w:jc w:val="center"/>
              <w:rPr>
                <w:sz w:val="24"/>
              </w:rPr>
            </w:pPr>
            <w:r>
              <w:rPr>
                <w:sz w:val="24"/>
              </w:rPr>
              <w:t>Relación que guarda la superficie distal del segundo molar temporal superior con la superficie distal del segundo molar temporal inferior</w:t>
            </w:r>
          </w:p>
        </w:tc>
        <w:tc>
          <w:tcPr>
            <w:tcW w:w="1580" w:type="dxa"/>
          </w:tcPr>
          <w:p>
            <w:pPr>
              <w:pStyle w:val="TableParagraph"/>
              <w:ind w:left="127" w:right="127"/>
              <w:jc w:val="center"/>
              <w:rPr>
                <w:sz w:val="24"/>
              </w:rPr>
            </w:pPr>
            <w:r>
              <w:rPr>
                <w:sz w:val="24"/>
              </w:rPr>
              <w:t>Nominal</w:t>
            </w:r>
          </w:p>
        </w:tc>
        <w:tc>
          <w:tcPr>
            <w:tcW w:w="1844" w:type="dxa"/>
          </w:tcPr>
          <w:p>
            <w:pPr>
              <w:pStyle w:val="TableParagraph"/>
              <w:spacing w:line="276" w:lineRule="auto"/>
              <w:ind w:left="105" w:right="161" w:firstLine="364"/>
              <w:rPr>
                <w:sz w:val="24"/>
              </w:rPr>
            </w:pPr>
            <w:r>
              <w:rPr>
                <w:sz w:val="24"/>
              </w:rPr>
              <w:t>0=Plano terminal recto 1=Escalón distal/ Escalón mesial exagerado</w:t>
            </w:r>
          </w:p>
        </w:tc>
      </w:tr>
      <w:tr>
        <w:trPr>
          <w:trHeight w:val="2233" w:hRule="exact"/>
        </w:trPr>
        <w:tc>
          <w:tcPr>
            <w:tcW w:w="1844" w:type="dxa"/>
          </w:tcPr>
          <w:p>
            <w:pPr>
              <w:pStyle w:val="TableParagraph"/>
              <w:spacing w:line="276" w:lineRule="auto"/>
              <w:ind w:left="537" w:right="397" w:hanging="120"/>
              <w:rPr>
                <w:b/>
                <w:sz w:val="24"/>
              </w:rPr>
            </w:pPr>
            <w:r>
              <w:rPr>
                <w:b/>
                <w:sz w:val="24"/>
              </w:rPr>
              <w:t>Relación canina</w:t>
            </w:r>
          </w:p>
        </w:tc>
        <w:tc>
          <w:tcPr>
            <w:tcW w:w="2415" w:type="dxa"/>
          </w:tcPr>
          <w:p>
            <w:pPr>
              <w:pStyle w:val="TableParagraph"/>
              <w:spacing w:line="276" w:lineRule="auto"/>
              <w:ind w:left="263" w:right="269" w:firstLine="4"/>
              <w:jc w:val="center"/>
              <w:rPr>
                <w:sz w:val="24"/>
              </w:rPr>
            </w:pPr>
            <w:r>
              <w:rPr>
                <w:sz w:val="24"/>
              </w:rPr>
              <w:t>Relación que guarda el canino temporal superior con respecto al canino temporal inferior</w:t>
            </w:r>
          </w:p>
        </w:tc>
        <w:tc>
          <w:tcPr>
            <w:tcW w:w="2670" w:type="dxa"/>
          </w:tcPr>
          <w:p>
            <w:pPr>
              <w:pStyle w:val="TableParagraph"/>
              <w:spacing w:line="276" w:lineRule="auto"/>
              <w:ind w:left="168" w:right="170"/>
              <w:jc w:val="center"/>
              <w:rPr>
                <w:sz w:val="24"/>
              </w:rPr>
            </w:pPr>
            <w:r>
              <w:rPr>
                <w:sz w:val="24"/>
              </w:rPr>
              <w:t>Relación que guarda el brazo distal del la cúspide del canino temporal superior con el brazo mesial de la cúspide del canino temporal inferior.</w:t>
            </w:r>
          </w:p>
        </w:tc>
        <w:tc>
          <w:tcPr>
            <w:tcW w:w="1580" w:type="dxa"/>
          </w:tcPr>
          <w:p>
            <w:pPr>
              <w:pStyle w:val="TableParagraph"/>
              <w:spacing w:line="240" w:lineRule="auto"/>
              <w:ind w:left="0"/>
              <w:rPr>
                <w:b/>
                <w:i/>
                <w:sz w:val="24"/>
              </w:rPr>
            </w:pPr>
          </w:p>
          <w:p>
            <w:pPr>
              <w:pStyle w:val="TableParagraph"/>
              <w:spacing w:line="240" w:lineRule="auto"/>
              <w:ind w:left="0"/>
              <w:rPr>
                <w:b/>
                <w:i/>
                <w:sz w:val="24"/>
              </w:rPr>
            </w:pPr>
          </w:p>
          <w:p>
            <w:pPr>
              <w:pStyle w:val="TableParagraph"/>
              <w:spacing w:line="240" w:lineRule="auto" w:before="8"/>
              <w:ind w:left="0"/>
              <w:rPr>
                <w:b/>
                <w:i/>
                <w:sz w:val="34"/>
              </w:rPr>
            </w:pPr>
          </w:p>
          <w:p>
            <w:pPr>
              <w:pStyle w:val="TableParagraph"/>
              <w:spacing w:line="240" w:lineRule="auto"/>
              <w:ind w:left="127" w:right="127"/>
              <w:jc w:val="center"/>
              <w:rPr>
                <w:sz w:val="24"/>
              </w:rPr>
            </w:pPr>
            <w:r>
              <w:rPr>
                <w:sz w:val="24"/>
              </w:rPr>
              <w:t>Nominal</w:t>
            </w:r>
          </w:p>
        </w:tc>
        <w:tc>
          <w:tcPr>
            <w:tcW w:w="1844" w:type="dxa"/>
          </w:tcPr>
          <w:p>
            <w:pPr>
              <w:pStyle w:val="TableParagraph"/>
              <w:spacing w:line="278" w:lineRule="auto"/>
              <w:ind w:left="108" w:right="99"/>
              <w:jc w:val="center"/>
              <w:rPr>
                <w:sz w:val="24"/>
              </w:rPr>
            </w:pPr>
            <w:r>
              <w:rPr>
                <w:sz w:val="24"/>
              </w:rPr>
              <w:t>0=Clase I 1=Clase II/Clase II</w:t>
            </w:r>
          </w:p>
        </w:tc>
      </w:tr>
      <w:tr>
        <w:trPr>
          <w:trHeight w:val="1916" w:hRule="exact"/>
        </w:trPr>
        <w:tc>
          <w:tcPr>
            <w:tcW w:w="1844" w:type="dxa"/>
          </w:tcPr>
          <w:p>
            <w:pPr>
              <w:pStyle w:val="TableParagraph"/>
              <w:spacing w:line="276" w:lineRule="auto"/>
              <w:ind w:left="273" w:right="98" w:firstLine="273"/>
              <w:rPr>
                <w:b/>
                <w:sz w:val="24"/>
              </w:rPr>
            </w:pPr>
            <w:r>
              <w:rPr>
                <w:b/>
                <w:sz w:val="24"/>
              </w:rPr>
              <w:t>Ancho intercanino</w:t>
            </w:r>
          </w:p>
        </w:tc>
        <w:tc>
          <w:tcPr>
            <w:tcW w:w="2415" w:type="dxa"/>
          </w:tcPr>
          <w:p>
            <w:pPr>
              <w:pStyle w:val="TableParagraph"/>
              <w:spacing w:line="276" w:lineRule="auto"/>
              <w:ind w:left="129" w:right="134" w:firstLine="2"/>
              <w:jc w:val="center"/>
              <w:rPr>
                <w:sz w:val="24"/>
              </w:rPr>
            </w:pPr>
            <w:r>
              <w:rPr>
                <w:sz w:val="24"/>
              </w:rPr>
              <w:t>Distancia que se guarda entre canino derecho y canino izquierdo</w:t>
            </w:r>
          </w:p>
        </w:tc>
        <w:tc>
          <w:tcPr>
            <w:tcW w:w="2670" w:type="dxa"/>
          </w:tcPr>
          <w:p>
            <w:pPr>
              <w:pStyle w:val="TableParagraph"/>
              <w:spacing w:line="276" w:lineRule="auto"/>
              <w:ind w:left="177" w:right="183" w:firstLine="7"/>
              <w:jc w:val="center"/>
              <w:rPr>
                <w:sz w:val="24"/>
              </w:rPr>
            </w:pPr>
            <w:r>
              <w:rPr>
                <w:sz w:val="24"/>
              </w:rPr>
              <w:t>Distancia existente entre el cíngulo del canino derecho y el cíngulo del canino izquierdo, en arcadas superior e inferior</w:t>
            </w:r>
          </w:p>
        </w:tc>
        <w:tc>
          <w:tcPr>
            <w:tcW w:w="1580" w:type="dxa"/>
          </w:tcPr>
          <w:p>
            <w:pPr>
              <w:pStyle w:val="TableParagraph"/>
              <w:spacing w:line="240" w:lineRule="auto"/>
              <w:ind w:left="0"/>
              <w:rPr>
                <w:b/>
                <w:i/>
                <w:sz w:val="24"/>
              </w:rPr>
            </w:pPr>
          </w:p>
          <w:p>
            <w:pPr>
              <w:pStyle w:val="TableParagraph"/>
              <w:spacing w:line="240" w:lineRule="auto" w:before="8"/>
              <w:ind w:left="0"/>
              <w:rPr>
                <w:b/>
                <w:i/>
                <w:sz w:val="30"/>
              </w:rPr>
            </w:pPr>
          </w:p>
          <w:p>
            <w:pPr>
              <w:pStyle w:val="TableParagraph"/>
              <w:spacing w:line="240" w:lineRule="auto"/>
              <w:ind w:left="127" w:right="127"/>
              <w:jc w:val="center"/>
              <w:rPr>
                <w:sz w:val="24"/>
              </w:rPr>
            </w:pPr>
            <w:r>
              <w:rPr>
                <w:sz w:val="24"/>
              </w:rPr>
              <w:t>Cuantitativa</w:t>
            </w:r>
          </w:p>
        </w:tc>
        <w:tc>
          <w:tcPr>
            <w:tcW w:w="1844" w:type="dxa"/>
          </w:tcPr>
          <w:p>
            <w:pPr>
              <w:pStyle w:val="TableParagraph"/>
              <w:ind w:left="124"/>
              <w:rPr>
                <w:sz w:val="24"/>
              </w:rPr>
            </w:pPr>
            <w:r>
              <w:rPr>
                <w:sz w:val="24"/>
              </w:rPr>
              <w:t>Medida en mm</w:t>
            </w:r>
          </w:p>
        </w:tc>
      </w:tr>
    </w:tbl>
    <w:p>
      <w:pPr>
        <w:spacing w:after="0"/>
        <w:rPr>
          <w:sz w:val="24"/>
        </w:rPr>
        <w:sectPr>
          <w:footerReference w:type="default" r:id="rId11"/>
          <w:pgSz w:w="12240" w:h="15840"/>
          <w:pgMar w:footer="942" w:header="0" w:top="1500" w:bottom="1140" w:left="1200" w:right="460"/>
          <w:pgNumType w:start="21"/>
        </w:sectPr>
      </w:pPr>
    </w:p>
    <w:p>
      <w:pPr>
        <w:pStyle w:val="BodyText"/>
        <w:spacing w:before="4"/>
        <w:rPr>
          <w:rFonts w:ascii="Times New Roman"/>
          <w:sz w:val="17"/>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4"/>
        <w:gridCol w:w="2415"/>
        <w:gridCol w:w="2670"/>
        <w:gridCol w:w="1580"/>
        <w:gridCol w:w="1844"/>
      </w:tblGrid>
      <w:tr>
        <w:trPr>
          <w:trHeight w:val="2641" w:hRule="exact"/>
        </w:trPr>
        <w:tc>
          <w:tcPr>
            <w:tcW w:w="1844" w:type="dxa"/>
          </w:tcPr>
          <w:p>
            <w:pPr>
              <w:pStyle w:val="TableParagraph"/>
              <w:spacing w:line="280" w:lineRule="auto"/>
              <w:ind w:left="331" w:right="309" w:firstLine="216"/>
              <w:rPr>
                <w:b/>
                <w:sz w:val="24"/>
              </w:rPr>
            </w:pPr>
            <w:r>
              <w:rPr>
                <w:b/>
                <w:sz w:val="24"/>
              </w:rPr>
              <w:t>Ancho intermolar</w:t>
            </w:r>
          </w:p>
        </w:tc>
        <w:tc>
          <w:tcPr>
            <w:tcW w:w="2415" w:type="dxa"/>
          </w:tcPr>
          <w:p>
            <w:pPr>
              <w:pStyle w:val="TableParagraph"/>
              <w:spacing w:line="276" w:lineRule="auto"/>
              <w:ind w:left="177" w:right="184" w:firstLine="5"/>
              <w:jc w:val="center"/>
              <w:rPr>
                <w:sz w:val="24"/>
              </w:rPr>
            </w:pPr>
            <w:r>
              <w:rPr>
                <w:sz w:val="24"/>
              </w:rPr>
              <w:t>Distancia que se guarda ente segundo molar derecho y segundo molar izquierdo</w:t>
            </w:r>
          </w:p>
        </w:tc>
        <w:tc>
          <w:tcPr>
            <w:tcW w:w="2670" w:type="dxa"/>
          </w:tcPr>
          <w:p>
            <w:pPr>
              <w:pStyle w:val="TableParagraph"/>
              <w:spacing w:line="276" w:lineRule="auto"/>
              <w:ind w:left="245" w:right="250" w:firstLine="3"/>
              <w:jc w:val="center"/>
              <w:rPr>
                <w:sz w:val="24"/>
              </w:rPr>
            </w:pPr>
            <w:r>
              <w:rPr>
                <w:sz w:val="24"/>
              </w:rPr>
              <w:t>Relación que se guarda del la fosa central del segundo molar derecho a la fosa central del segundo molar izquierdo medido en milímetros</w:t>
            </w:r>
          </w:p>
        </w:tc>
        <w:tc>
          <w:tcPr>
            <w:tcW w:w="1580" w:type="dxa"/>
          </w:tcPr>
          <w:p>
            <w:pPr>
              <w:pStyle w:val="TableParagraph"/>
              <w:spacing w:line="240" w:lineRule="auto"/>
              <w:ind w:left="0"/>
              <w:rPr>
                <w:rFonts w:ascii="Times New Roman"/>
                <w:sz w:val="24"/>
              </w:rPr>
            </w:pPr>
          </w:p>
          <w:p>
            <w:pPr>
              <w:pStyle w:val="TableParagraph"/>
              <w:spacing w:line="240" w:lineRule="auto"/>
              <w:ind w:left="0"/>
              <w:rPr>
                <w:rFonts w:ascii="Times New Roman"/>
                <w:sz w:val="24"/>
              </w:rPr>
            </w:pPr>
          </w:p>
          <w:p>
            <w:pPr>
              <w:pStyle w:val="TableParagraph"/>
              <w:spacing w:line="240" w:lineRule="auto" w:before="8"/>
              <w:ind w:left="0"/>
              <w:rPr>
                <w:rFonts w:ascii="Times New Roman"/>
                <w:sz w:val="34"/>
              </w:rPr>
            </w:pPr>
          </w:p>
          <w:p>
            <w:pPr>
              <w:pStyle w:val="TableParagraph"/>
              <w:spacing w:line="240" w:lineRule="auto"/>
              <w:ind w:left="127" w:right="127"/>
              <w:jc w:val="center"/>
              <w:rPr>
                <w:sz w:val="24"/>
              </w:rPr>
            </w:pPr>
            <w:r>
              <w:rPr>
                <w:sz w:val="24"/>
              </w:rPr>
              <w:t>Cuantitativa</w:t>
            </w:r>
          </w:p>
        </w:tc>
        <w:tc>
          <w:tcPr>
            <w:tcW w:w="1844" w:type="dxa"/>
          </w:tcPr>
          <w:p>
            <w:pPr>
              <w:pStyle w:val="TableParagraph"/>
              <w:ind w:left="124"/>
              <w:rPr>
                <w:sz w:val="24"/>
              </w:rPr>
            </w:pPr>
            <w:r>
              <w:rPr>
                <w:sz w:val="24"/>
              </w:rPr>
              <w:t>Medida en mm</w:t>
            </w:r>
          </w:p>
        </w:tc>
      </w:tr>
      <w:tr>
        <w:trPr>
          <w:trHeight w:val="1599" w:hRule="exact"/>
        </w:trPr>
        <w:tc>
          <w:tcPr>
            <w:tcW w:w="1844" w:type="dxa"/>
          </w:tcPr>
          <w:p>
            <w:pPr>
              <w:pStyle w:val="TableParagraph"/>
              <w:spacing w:line="280" w:lineRule="auto"/>
              <w:ind w:left="115" w:right="98" w:firstLine="273"/>
              <w:rPr>
                <w:b/>
                <w:sz w:val="24"/>
              </w:rPr>
            </w:pPr>
            <w:r>
              <w:rPr>
                <w:b/>
                <w:sz w:val="24"/>
              </w:rPr>
              <w:t>Espacios generalizados</w:t>
            </w:r>
          </w:p>
        </w:tc>
        <w:tc>
          <w:tcPr>
            <w:tcW w:w="2415" w:type="dxa"/>
          </w:tcPr>
          <w:p>
            <w:pPr>
              <w:pStyle w:val="TableParagraph"/>
              <w:spacing w:line="278" w:lineRule="auto"/>
              <w:ind w:left="254" w:right="251" w:hanging="4"/>
              <w:jc w:val="center"/>
              <w:rPr>
                <w:sz w:val="24"/>
              </w:rPr>
            </w:pPr>
            <w:r>
              <w:rPr>
                <w:sz w:val="24"/>
              </w:rPr>
              <w:t>Presencia de espacios en la dentición primaria</w:t>
            </w:r>
          </w:p>
        </w:tc>
        <w:tc>
          <w:tcPr>
            <w:tcW w:w="2670" w:type="dxa"/>
          </w:tcPr>
          <w:p>
            <w:pPr>
              <w:pStyle w:val="TableParagraph"/>
              <w:spacing w:line="276" w:lineRule="auto"/>
              <w:ind w:left="120" w:right="121"/>
              <w:jc w:val="center"/>
              <w:rPr>
                <w:sz w:val="24"/>
              </w:rPr>
            </w:pPr>
            <w:r>
              <w:rPr>
                <w:sz w:val="24"/>
              </w:rPr>
              <w:t>Presencia de espacios entre los dientes anteriores inferiores y superiores en la dentición primaria</w:t>
            </w:r>
          </w:p>
        </w:tc>
        <w:tc>
          <w:tcPr>
            <w:tcW w:w="1580" w:type="dxa"/>
          </w:tcPr>
          <w:p>
            <w:pPr>
              <w:pStyle w:val="TableParagraph"/>
              <w:spacing w:line="240" w:lineRule="auto" w:before="6"/>
              <w:ind w:left="0"/>
              <w:rPr>
                <w:rFonts w:ascii="Times New Roman"/>
                <w:sz w:val="27"/>
              </w:rPr>
            </w:pPr>
          </w:p>
          <w:p>
            <w:pPr>
              <w:pStyle w:val="TableParagraph"/>
              <w:spacing w:line="240" w:lineRule="auto" w:before="1"/>
              <w:ind w:left="129" w:right="127"/>
              <w:jc w:val="center"/>
              <w:rPr>
                <w:sz w:val="24"/>
              </w:rPr>
            </w:pPr>
            <w:r>
              <w:rPr>
                <w:sz w:val="24"/>
              </w:rPr>
              <w:t>Cualitativa</w:t>
            </w:r>
          </w:p>
        </w:tc>
        <w:tc>
          <w:tcPr>
            <w:tcW w:w="1844" w:type="dxa"/>
          </w:tcPr>
          <w:p>
            <w:pPr>
              <w:pStyle w:val="TableParagraph"/>
              <w:spacing w:line="280" w:lineRule="auto"/>
              <w:ind w:left="340" w:right="284" w:hanging="44"/>
              <w:rPr>
                <w:sz w:val="24"/>
              </w:rPr>
            </w:pPr>
            <w:r>
              <w:rPr>
                <w:sz w:val="24"/>
              </w:rPr>
              <w:t>0=Presente 1=Ausente</w:t>
            </w:r>
          </w:p>
        </w:tc>
      </w:tr>
      <w:tr>
        <w:trPr>
          <w:trHeight w:val="2232" w:hRule="exact"/>
        </w:trPr>
        <w:tc>
          <w:tcPr>
            <w:tcW w:w="1844" w:type="dxa"/>
          </w:tcPr>
          <w:p>
            <w:pPr>
              <w:pStyle w:val="TableParagraph"/>
              <w:spacing w:line="276" w:lineRule="auto"/>
              <w:ind w:left="455" w:right="373" w:hanging="68"/>
              <w:rPr>
                <w:b/>
                <w:sz w:val="24"/>
              </w:rPr>
            </w:pPr>
            <w:r>
              <w:rPr>
                <w:b/>
                <w:sz w:val="24"/>
              </w:rPr>
              <w:t>Espacios Pimates</w:t>
            </w:r>
          </w:p>
        </w:tc>
        <w:tc>
          <w:tcPr>
            <w:tcW w:w="2415" w:type="dxa"/>
          </w:tcPr>
          <w:p>
            <w:pPr>
              <w:pStyle w:val="TableParagraph"/>
              <w:spacing w:line="276" w:lineRule="auto"/>
              <w:ind w:left="105" w:right="132"/>
              <w:rPr>
                <w:sz w:val="24"/>
              </w:rPr>
            </w:pPr>
            <w:r>
              <w:rPr>
                <w:sz w:val="24"/>
              </w:rPr>
              <w:t>Espacios existentes en la dentición primaria entre el lateral y canino superiores, y canino y primer molar inferiores</w:t>
            </w:r>
          </w:p>
        </w:tc>
        <w:tc>
          <w:tcPr>
            <w:tcW w:w="2670" w:type="dxa"/>
          </w:tcPr>
          <w:p>
            <w:pPr>
              <w:pStyle w:val="TableParagraph"/>
              <w:spacing w:line="276" w:lineRule="auto"/>
              <w:ind w:left="101" w:right="165"/>
              <w:rPr>
                <w:sz w:val="24"/>
              </w:rPr>
            </w:pPr>
            <w:r>
              <w:rPr>
                <w:sz w:val="24"/>
              </w:rPr>
              <w:t>Arcada Superior: Espacio entre lateral y canino</w:t>
            </w:r>
          </w:p>
          <w:p>
            <w:pPr>
              <w:pStyle w:val="TableParagraph"/>
              <w:tabs>
                <w:tab w:pos="1746" w:val="left" w:leader="none"/>
              </w:tabs>
              <w:spacing w:line="278" w:lineRule="auto" w:before="1"/>
              <w:ind w:left="101" w:right="97"/>
              <w:jc w:val="both"/>
              <w:rPr>
                <w:sz w:val="24"/>
              </w:rPr>
            </w:pPr>
            <w:r>
              <w:rPr>
                <w:sz w:val="24"/>
              </w:rPr>
              <w:t>Arcada</w:t>
              <w:tab/>
              <w:t>Inferior: Espacio entre canino y primer</w:t>
            </w:r>
            <w:r>
              <w:rPr>
                <w:spacing w:val="-7"/>
                <w:sz w:val="24"/>
              </w:rPr>
              <w:t> </w:t>
            </w:r>
            <w:r>
              <w:rPr>
                <w:sz w:val="24"/>
              </w:rPr>
              <w:t>molar</w:t>
            </w:r>
          </w:p>
        </w:tc>
        <w:tc>
          <w:tcPr>
            <w:tcW w:w="1580" w:type="dxa"/>
          </w:tcPr>
          <w:p>
            <w:pPr>
              <w:pStyle w:val="TableParagraph"/>
              <w:spacing w:line="240" w:lineRule="auto"/>
              <w:ind w:left="0"/>
              <w:rPr>
                <w:rFonts w:ascii="Times New Roman"/>
                <w:sz w:val="24"/>
              </w:rPr>
            </w:pPr>
          </w:p>
          <w:p>
            <w:pPr>
              <w:pStyle w:val="TableParagraph"/>
              <w:spacing w:line="240" w:lineRule="auto"/>
              <w:ind w:left="0"/>
              <w:rPr>
                <w:rFonts w:ascii="Times New Roman"/>
                <w:sz w:val="24"/>
              </w:rPr>
            </w:pPr>
          </w:p>
          <w:p>
            <w:pPr>
              <w:pStyle w:val="TableParagraph"/>
              <w:spacing w:line="240" w:lineRule="auto" w:before="3"/>
              <w:ind w:left="0"/>
              <w:rPr>
                <w:rFonts w:ascii="Times New Roman"/>
                <w:sz w:val="34"/>
              </w:rPr>
            </w:pPr>
          </w:p>
          <w:p>
            <w:pPr>
              <w:pStyle w:val="TableParagraph"/>
              <w:spacing w:line="240" w:lineRule="auto"/>
              <w:ind w:left="129" w:right="127"/>
              <w:jc w:val="center"/>
              <w:rPr>
                <w:sz w:val="24"/>
              </w:rPr>
            </w:pPr>
            <w:r>
              <w:rPr>
                <w:sz w:val="24"/>
              </w:rPr>
              <w:t>Cualitativa</w:t>
            </w:r>
          </w:p>
        </w:tc>
        <w:tc>
          <w:tcPr>
            <w:tcW w:w="1844" w:type="dxa"/>
          </w:tcPr>
          <w:p>
            <w:pPr>
              <w:pStyle w:val="TableParagraph"/>
              <w:spacing w:line="276" w:lineRule="auto"/>
              <w:ind w:left="340" w:right="279" w:hanging="39"/>
              <w:rPr>
                <w:sz w:val="24"/>
              </w:rPr>
            </w:pPr>
            <w:r>
              <w:rPr>
                <w:sz w:val="24"/>
              </w:rPr>
              <w:t>0=Presente 1=Ausente</w:t>
            </w:r>
          </w:p>
        </w:tc>
      </w:tr>
      <w:tr>
        <w:trPr>
          <w:trHeight w:val="2233" w:hRule="exact"/>
        </w:trPr>
        <w:tc>
          <w:tcPr>
            <w:tcW w:w="1844" w:type="dxa"/>
          </w:tcPr>
          <w:p>
            <w:pPr>
              <w:pStyle w:val="TableParagraph"/>
              <w:spacing w:line="276" w:lineRule="auto"/>
              <w:ind w:left="634" w:right="384" w:hanging="231"/>
              <w:rPr>
                <w:b/>
                <w:sz w:val="24"/>
              </w:rPr>
            </w:pPr>
            <w:r>
              <w:rPr>
                <w:b/>
                <w:sz w:val="24"/>
              </w:rPr>
              <w:t>Curva de Spee</w:t>
            </w:r>
          </w:p>
        </w:tc>
        <w:tc>
          <w:tcPr>
            <w:tcW w:w="2415" w:type="dxa"/>
          </w:tcPr>
          <w:p>
            <w:pPr>
              <w:pStyle w:val="TableParagraph"/>
              <w:tabs>
                <w:tab w:pos="1156" w:val="left" w:leader="none"/>
                <w:tab w:pos="2032" w:val="left" w:leader="none"/>
              </w:tabs>
              <w:spacing w:line="276" w:lineRule="auto"/>
              <w:ind w:left="105" w:right="101"/>
              <w:rPr>
                <w:sz w:val="24"/>
              </w:rPr>
            </w:pPr>
            <w:r>
              <w:rPr>
                <w:sz w:val="24"/>
              </w:rPr>
              <w:t>Curvatura anteroposterior</w:t>
              <w:tab/>
              <w:t>de las</w:t>
              <w:tab/>
            </w:r>
            <w:r>
              <w:rPr>
                <w:spacing w:val="-1"/>
                <w:sz w:val="24"/>
              </w:rPr>
              <w:t>superficies </w:t>
            </w:r>
            <w:r>
              <w:rPr>
                <w:sz w:val="24"/>
              </w:rPr>
              <w:t>oclusales</w:t>
            </w:r>
          </w:p>
        </w:tc>
        <w:tc>
          <w:tcPr>
            <w:tcW w:w="2670" w:type="dxa"/>
          </w:tcPr>
          <w:p>
            <w:pPr>
              <w:pStyle w:val="TableParagraph"/>
              <w:spacing w:line="276" w:lineRule="auto"/>
              <w:ind w:left="101" w:right="85"/>
              <w:rPr>
                <w:sz w:val="24"/>
              </w:rPr>
            </w:pPr>
            <w:r>
              <w:rPr>
                <w:sz w:val="24"/>
              </w:rPr>
              <w:t>Curvatura formada anteroposteriormente en las superficies oclusales desde la cúspide distal del segundo molar a la cúspide del canino</w:t>
            </w:r>
          </w:p>
        </w:tc>
        <w:tc>
          <w:tcPr>
            <w:tcW w:w="1580" w:type="dxa"/>
          </w:tcPr>
          <w:p>
            <w:pPr>
              <w:pStyle w:val="TableParagraph"/>
              <w:spacing w:line="240" w:lineRule="auto"/>
              <w:ind w:left="0"/>
              <w:rPr>
                <w:rFonts w:ascii="Times New Roman"/>
                <w:sz w:val="24"/>
              </w:rPr>
            </w:pPr>
          </w:p>
          <w:p>
            <w:pPr>
              <w:pStyle w:val="TableParagraph"/>
              <w:spacing w:line="240" w:lineRule="auto" w:before="8"/>
              <w:ind w:left="0"/>
              <w:rPr>
                <w:rFonts w:ascii="Times New Roman"/>
                <w:sz w:val="30"/>
              </w:rPr>
            </w:pPr>
          </w:p>
          <w:p>
            <w:pPr>
              <w:pStyle w:val="TableParagraph"/>
              <w:spacing w:line="240" w:lineRule="auto"/>
              <w:ind w:left="129" w:right="127"/>
              <w:jc w:val="center"/>
              <w:rPr>
                <w:sz w:val="24"/>
              </w:rPr>
            </w:pPr>
            <w:r>
              <w:rPr>
                <w:sz w:val="24"/>
              </w:rPr>
              <w:t>Cualitativa</w:t>
            </w:r>
          </w:p>
        </w:tc>
        <w:tc>
          <w:tcPr>
            <w:tcW w:w="1844" w:type="dxa"/>
          </w:tcPr>
          <w:p>
            <w:pPr>
              <w:pStyle w:val="TableParagraph"/>
              <w:spacing w:line="276" w:lineRule="auto"/>
              <w:ind w:left="302" w:right="278" w:firstLine="38"/>
              <w:rPr>
                <w:sz w:val="24"/>
              </w:rPr>
            </w:pPr>
            <w:r>
              <w:rPr>
                <w:sz w:val="24"/>
              </w:rPr>
              <w:t>0=Ausente 1=Presente</w:t>
            </w:r>
          </w:p>
        </w:tc>
      </w:tr>
      <w:tr>
        <w:trPr>
          <w:trHeight w:val="2232" w:hRule="exact"/>
        </w:trPr>
        <w:tc>
          <w:tcPr>
            <w:tcW w:w="1844" w:type="dxa"/>
          </w:tcPr>
          <w:p>
            <w:pPr>
              <w:pStyle w:val="TableParagraph"/>
              <w:spacing w:line="276" w:lineRule="auto"/>
              <w:ind w:left="345" w:right="341"/>
              <w:jc w:val="center"/>
              <w:rPr>
                <w:b/>
                <w:sz w:val="24"/>
              </w:rPr>
            </w:pPr>
            <w:r>
              <w:rPr>
                <w:b/>
                <w:sz w:val="24"/>
              </w:rPr>
              <w:t>Sobre- mordida horizontal</w:t>
            </w:r>
          </w:p>
        </w:tc>
        <w:tc>
          <w:tcPr>
            <w:tcW w:w="2415" w:type="dxa"/>
          </w:tcPr>
          <w:p>
            <w:pPr>
              <w:pStyle w:val="TableParagraph"/>
              <w:spacing w:line="276" w:lineRule="auto"/>
              <w:ind w:left="105" w:right="103"/>
              <w:jc w:val="both"/>
              <w:rPr>
                <w:sz w:val="24"/>
              </w:rPr>
            </w:pPr>
            <w:r>
              <w:rPr>
                <w:sz w:val="24"/>
              </w:rPr>
              <w:t>Protrusión incisiva de       2mm      </w:t>
            </w:r>
            <w:r>
              <w:rPr>
                <w:spacing w:val="52"/>
                <w:sz w:val="24"/>
              </w:rPr>
              <w:t> </w:t>
            </w:r>
            <w:r>
              <w:rPr>
                <w:sz w:val="24"/>
              </w:rPr>
              <w:t>que</w:t>
            </w:r>
          </w:p>
          <w:p>
            <w:pPr>
              <w:pStyle w:val="TableParagraph"/>
              <w:tabs>
                <w:tab w:pos="1990" w:val="left" w:leader="none"/>
              </w:tabs>
              <w:spacing w:line="276" w:lineRule="auto"/>
              <w:ind w:left="105" w:right="101"/>
              <w:jc w:val="both"/>
              <w:rPr>
                <w:sz w:val="24"/>
              </w:rPr>
            </w:pPr>
            <w:r>
              <w:rPr>
                <w:sz w:val="24"/>
              </w:rPr>
              <w:t>guardan</w:t>
              <w:tab/>
              <w:t>los incisivos superiores respecto a los incisivos</w:t>
            </w:r>
            <w:r>
              <w:rPr>
                <w:spacing w:val="-9"/>
                <w:sz w:val="24"/>
              </w:rPr>
              <w:t> </w:t>
            </w:r>
            <w:r>
              <w:rPr>
                <w:sz w:val="24"/>
              </w:rPr>
              <w:t>inferiores</w:t>
            </w:r>
          </w:p>
        </w:tc>
        <w:tc>
          <w:tcPr>
            <w:tcW w:w="2670" w:type="dxa"/>
          </w:tcPr>
          <w:p>
            <w:pPr>
              <w:pStyle w:val="TableParagraph"/>
              <w:spacing w:line="276" w:lineRule="auto"/>
              <w:ind w:left="101" w:right="98"/>
              <w:jc w:val="both"/>
              <w:rPr>
                <w:sz w:val="24"/>
              </w:rPr>
            </w:pPr>
            <w:r>
              <w:rPr>
                <w:sz w:val="24"/>
              </w:rPr>
              <w:t>Protrusión incisiva medida desde el borde incisal de los centrales superiores al borde incisal de los centrales inferiores., medida en mm</w:t>
            </w:r>
          </w:p>
        </w:tc>
        <w:tc>
          <w:tcPr>
            <w:tcW w:w="1580" w:type="dxa"/>
          </w:tcPr>
          <w:p>
            <w:pPr>
              <w:pStyle w:val="TableParagraph"/>
              <w:spacing w:line="240" w:lineRule="auto"/>
              <w:ind w:left="0"/>
              <w:rPr>
                <w:rFonts w:ascii="Times New Roman"/>
                <w:sz w:val="24"/>
              </w:rPr>
            </w:pPr>
          </w:p>
          <w:p>
            <w:pPr>
              <w:pStyle w:val="TableParagraph"/>
              <w:spacing w:line="240" w:lineRule="auto" w:before="8"/>
              <w:ind w:left="0"/>
              <w:rPr>
                <w:rFonts w:ascii="Times New Roman"/>
                <w:sz w:val="30"/>
              </w:rPr>
            </w:pPr>
          </w:p>
          <w:p>
            <w:pPr>
              <w:pStyle w:val="TableParagraph"/>
              <w:spacing w:line="240" w:lineRule="auto"/>
              <w:ind w:left="131" w:right="124"/>
              <w:jc w:val="center"/>
              <w:rPr>
                <w:sz w:val="24"/>
              </w:rPr>
            </w:pPr>
            <w:r>
              <w:rPr>
                <w:sz w:val="24"/>
              </w:rPr>
              <w:t>Cuantitativa</w:t>
            </w:r>
          </w:p>
        </w:tc>
        <w:tc>
          <w:tcPr>
            <w:tcW w:w="1844" w:type="dxa"/>
          </w:tcPr>
          <w:p>
            <w:pPr>
              <w:pStyle w:val="TableParagraph"/>
              <w:ind w:left="105" w:right="103"/>
              <w:jc w:val="center"/>
              <w:rPr>
                <w:sz w:val="24"/>
              </w:rPr>
            </w:pPr>
            <w:r>
              <w:rPr>
                <w:sz w:val="24"/>
              </w:rPr>
              <w:t>0=2-3mm</w:t>
            </w:r>
          </w:p>
          <w:p>
            <w:pPr>
              <w:pStyle w:val="TableParagraph"/>
              <w:spacing w:line="240" w:lineRule="auto" w:before="41"/>
              <w:ind w:left="108" w:right="102"/>
              <w:jc w:val="center"/>
              <w:rPr>
                <w:sz w:val="24"/>
              </w:rPr>
            </w:pPr>
            <w:r>
              <w:rPr>
                <w:sz w:val="24"/>
              </w:rPr>
              <w:t>1=&gt;2mm</w:t>
            </w:r>
          </w:p>
          <w:p>
            <w:pPr>
              <w:pStyle w:val="TableParagraph"/>
              <w:spacing w:line="240" w:lineRule="auto" w:before="41"/>
              <w:ind w:left="105" w:right="103"/>
              <w:jc w:val="center"/>
              <w:rPr>
                <w:sz w:val="24"/>
              </w:rPr>
            </w:pPr>
            <w:r>
              <w:rPr>
                <w:sz w:val="24"/>
              </w:rPr>
              <w:t>&gt;3mm</w:t>
            </w:r>
          </w:p>
        </w:tc>
      </w:tr>
      <w:tr>
        <w:trPr>
          <w:trHeight w:val="1599" w:hRule="exact"/>
        </w:trPr>
        <w:tc>
          <w:tcPr>
            <w:tcW w:w="1844" w:type="dxa"/>
          </w:tcPr>
          <w:p>
            <w:pPr>
              <w:pStyle w:val="TableParagraph"/>
              <w:spacing w:line="276" w:lineRule="auto"/>
              <w:ind w:left="441" w:right="442" w:firstLine="5"/>
              <w:jc w:val="center"/>
              <w:rPr>
                <w:b/>
                <w:sz w:val="24"/>
              </w:rPr>
            </w:pPr>
            <w:r>
              <w:rPr>
                <w:b/>
                <w:sz w:val="24"/>
              </w:rPr>
              <w:t>Sobre- mordida</w:t>
            </w:r>
            <w:r>
              <w:rPr>
                <w:b/>
                <w:w w:val="99"/>
                <w:sz w:val="24"/>
              </w:rPr>
              <w:t> </w:t>
            </w:r>
            <w:r>
              <w:rPr>
                <w:b/>
                <w:sz w:val="24"/>
              </w:rPr>
              <w:t>vertical</w:t>
            </w:r>
          </w:p>
        </w:tc>
        <w:tc>
          <w:tcPr>
            <w:tcW w:w="2415" w:type="dxa"/>
          </w:tcPr>
          <w:p>
            <w:pPr>
              <w:pStyle w:val="TableParagraph"/>
              <w:tabs>
                <w:tab w:pos="1900" w:val="left" w:leader="none"/>
              </w:tabs>
              <w:ind w:left="105"/>
              <w:jc w:val="both"/>
              <w:rPr>
                <w:sz w:val="24"/>
              </w:rPr>
            </w:pPr>
            <w:r>
              <w:rPr>
                <w:sz w:val="24"/>
              </w:rPr>
              <w:t>Contacto</w:t>
              <w:tab/>
              <w:t>que</w:t>
            </w:r>
          </w:p>
          <w:p>
            <w:pPr>
              <w:pStyle w:val="TableParagraph"/>
              <w:tabs>
                <w:tab w:pos="1990" w:val="left" w:leader="none"/>
              </w:tabs>
              <w:spacing w:line="276" w:lineRule="auto" w:before="41"/>
              <w:ind w:left="105" w:right="101"/>
              <w:jc w:val="both"/>
              <w:rPr>
                <w:sz w:val="24"/>
              </w:rPr>
            </w:pPr>
            <w:r>
              <w:rPr>
                <w:sz w:val="24"/>
              </w:rPr>
              <w:t>guardan</w:t>
              <w:tab/>
              <w:t>los incisivos inferiores con la cara palatina de     los    </w:t>
            </w:r>
            <w:r>
              <w:rPr>
                <w:spacing w:val="43"/>
                <w:sz w:val="24"/>
              </w:rPr>
              <w:t> </w:t>
            </w:r>
            <w:r>
              <w:rPr>
                <w:sz w:val="24"/>
              </w:rPr>
              <w:t>incisivos</w:t>
            </w:r>
          </w:p>
        </w:tc>
        <w:tc>
          <w:tcPr>
            <w:tcW w:w="2670" w:type="dxa"/>
          </w:tcPr>
          <w:p>
            <w:pPr>
              <w:pStyle w:val="TableParagraph"/>
              <w:tabs>
                <w:tab w:pos="1411" w:val="left" w:leader="none"/>
              </w:tabs>
              <w:spacing w:line="276" w:lineRule="auto"/>
              <w:ind w:left="101" w:right="96"/>
              <w:jc w:val="both"/>
              <w:rPr>
                <w:sz w:val="24"/>
              </w:rPr>
            </w:pPr>
            <w:r>
              <w:rPr>
                <w:sz w:val="24"/>
              </w:rPr>
              <w:t>Las</w:t>
              <w:tab/>
              <w:t>superficies incisales de los incisivos inferiores contactan con las superficies    </w:t>
            </w:r>
            <w:r>
              <w:rPr>
                <w:spacing w:val="8"/>
                <w:sz w:val="24"/>
              </w:rPr>
              <w:t> </w:t>
            </w:r>
            <w:r>
              <w:rPr>
                <w:sz w:val="24"/>
              </w:rPr>
              <w:t>palatinas</w:t>
            </w:r>
          </w:p>
        </w:tc>
        <w:tc>
          <w:tcPr>
            <w:tcW w:w="1580" w:type="dxa"/>
          </w:tcPr>
          <w:p>
            <w:pPr>
              <w:pStyle w:val="TableParagraph"/>
              <w:spacing w:line="240" w:lineRule="auto"/>
              <w:ind w:left="0"/>
              <w:rPr>
                <w:rFonts w:ascii="Times New Roman"/>
                <w:sz w:val="24"/>
              </w:rPr>
            </w:pPr>
          </w:p>
          <w:p>
            <w:pPr>
              <w:pStyle w:val="TableParagraph"/>
              <w:spacing w:line="240" w:lineRule="auto" w:before="8"/>
              <w:ind w:left="0"/>
              <w:rPr>
                <w:rFonts w:ascii="Times New Roman"/>
                <w:sz w:val="30"/>
              </w:rPr>
            </w:pPr>
          </w:p>
          <w:p>
            <w:pPr>
              <w:pStyle w:val="TableParagraph"/>
              <w:spacing w:line="240" w:lineRule="auto" w:before="1"/>
              <w:ind w:left="127" w:right="127"/>
              <w:jc w:val="center"/>
              <w:rPr>
                <w:sz w:val="24"/>
              </w:rPr>
            </w:pPr>
            <w:r>
              <w:rPr>
                <w:sz w:val="24"/>
              </w:rPr>
              <w:t>Cuantitativa</w:t>
            </w:r>
          </w:p>
        </w:tc>
        <w:tc>
          <w:tcPr>
            <w:tcW w:w="1844" w:type="dxa"/>
          </w:tcPr>
          <w:p>
            <w:pPr>
              <w:pStyle w:val="TableParagraph"/>
              <w:ind w:left="108" w:right="96"/>
              <w:jc w:val="center"/>
              <w:rPr>
                <w:sz w:val="24"/>
              </w:rPr>
            </w:pPr>
            <w:r>
              <w:rPr>
                <w:sz w:val="24"/>
              </w:rPr>
              <w:t>0=30-80%</w:t>
            </w:r>
          </w:p>
          <w:p>
            <w:pPr>
              <w:pStyle w:val="TableParagraph"/>
              <w:spacing w:line="240" w:lineRule="auto" w:before="41"/>
              <w:ind w:left="108" w:right="103"/>
              <w:jc w:val="center"/>
              <w:rPr>
                <w:sz w:val="24"/>
              </w:rPr>
            </w:pPr>
            <w:r>
              <w:rPr>
                <w:sz w:val="24"/>
              </w:rPr>
              <w:t>1=&gt;30%,&lt;80%</w:t>
            </w:r>
          </w:p>
        </w:tc>
      </w:tr>
    </w:tbl>
    <w:p>
      <w:pPr>
        <w:spacing w:after="0" w:line="240" w:lineRule="auto"/>
        <w:jc w:val="center"/>
        <w:rPr>
          <w:sz w:val="24"/>
        </w:rPr>
        <w:sectPr>
          <w:pgSz w:w="12240" w:h="15840"/>
          <w:pgMar w:header="0" w:footer="942" w:top="1500" w:bottom="1140" w:left="1200" w:right="460"/>
        </w:sectPr>
      </w:pPr>
    </w:p>
    <w:p>
      <w:pPr>
        <w:pStyle w:val="BodyText"/>
        <w:spacing w:before="4"/>
        <w:rPr>
          <w:rFonts w:ascii="Times New Roman"/>
          <w:sz w:val="17"/>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4"/>
        <w:gridCol w:w="2415"/>
        <w:gridCol w:w="2670"/>
        <w:gridCol w:w="1580"/>
        <w:gridCol w:w="1844"/>
      </w:tblGrid>
      <w:tr>
        <w:trPr>
          <w:trHeight w:val="965" w:hRule="exact"/>
        </w:trPr>
        <w:tc>
          <w:tcPr>
            <w:tcW w:w="1844" w:type="dxa"/>
          </w:tcPr>
          <w:p>
            <w:pPr/>
          </w:p>
        </w:tc>
        <w:tc>
          <w:tcPr>
            <w:tcW w:w="2415" w:type="dxa"/>
          </w:tcPr>
          <w:p>
            <w:pPr>
              <w:pStyle w:val="TableParagraph"/>
              <w:ind w:left="105" w:right="531"/>
              <w:rPr>
                <w:sz w:val="24"/>
              </w:rPr>
            </w:pPr>
            <w:r>
              <w:rPr>
                <w:sz w:val="24"/>
              </w:rPr>
              <w:t>superiores</w:t>
            </w:r>
          </w:p>
        </w:tc>
        <w:tc>
          <w:tcPr>
            <w:tcW w:w="2670" w:type="dxa"/>
          </w:tcPr>
          <w:p>
            <w:pPr>
              <w:pStyle w:val="TableParagraph"/>
              <w:spacing w:line="278" w:lineRule="auto"/>
              <w:ind w:left="101" w:right="96"/>
              <w:jc w:val="both"/>
              <w:rPr>
                <w:sz w:val="24"/>
              </w:rPr>
            </w:pPr>
            <w:r>
              <w:rPr>
                <w:sz w:val="24"/>
              </w:rPr>
              <w:t>de los centrales superiores temporales medida en mm</w:t>
            </w:r>
          </w:p>
        </w:tc>
        <w:tc>
          <w:tcPr>
            <w:tcW w:w="1580" w:type="dxa"/>
          </w:tcPr>
          <w:p>
            <w:pPr/>
          </w:p>
        </w:tc>
        <w:tc>
          <w:tcPr>
            <w:tcW w:w="1844" w:type="dxa"/>
          </w:tcPr>
          <w:p>
            <w:pPr/>
          </w:p>
        </w:tc>
      </w:tr>
      <w:tr>
        <w:trPr>
          <w:trHeight w:val="1599" w:hRule="exact"/>
        </w:trPr>
        <w:tc>
          <w:tcPr>
            <w:tcW w:w="1844" w:type="dxa"/>
          </w:tcPr>
          <w:p>
            <w:pPr>
              <w:pStyle w:val="TableParagraph"/>
              <w:ind w:left="191" w:right="98"/>
              <w:rPr>
                <w:b/>
                <w:sz w:val="24"/>
              </w:rPr>
            </w:pPr>
            <w:r>
              <w:rPr>
                <w:b/>
                <w:sz w:val="24"/>
              </w:rPr>
              <w:t>Apiñamiento</w:t>
            </w:r>
          </w:p>
        </w:tc>
        <w:tc>
          <w:tcPr>
            <w:tcW w:w="2415" w:type="dxa"/>
          </w:tcPr>
          <w:p>
            <w:pPr>
              <w:pStyle w:val="TableParagraph"/>
              <w:tabs>
                <w:tab w:pos="2034" w:val="left" w:leader="none"/>
              </w:tabs>
              <w:spacing w:line="240" w:lineRule="auto"/>
              <w:ind w:left="105"/>
              <w:jc w:val="both"/>
              <w:rPr>
                <w:sz w:val="24"/>
              </w:rPr>
            </w:pPr>
            <w:r>
              <w:rPr>
                <w:sz w:val="24"/>
              </w:rPr>
              <w:t>Ausencia</w:t>
              <w:tab/>
              <w:t>de</w:t>
            </w:r>
          </w:p>
          <w:p>
            <w:pPr>
              <w:pStyle w:val="TableParagraph"/>
              <w:tabs>
                <w:tab w:pos="2182" w:val="left" w:leader="none"/>
              </w:tabs>
              <w:spacing w:line="276" w:lineRule="auto" w:before="41"/>
              <w:ind w:left="105" w:right="101"/>
              <w:jc w:val="both"/>
              <w:rPr>
                <w:sz w:val="24"/>
              </w:rPr>
            </w:pPr>
            <w:r>
              <w:rPr>
                <w:sz w:val="24"/>
              </w:rPr>
              <w:t>alineamiento</w:t>
              <w:tab/>
              <w:t>y diastemas en los arcos</w:t>
            </w:r>
          </w:p>
        </w:tc>
        <w:tc>
          <w:tcPr>
            <w:tcW w:w="2670" w:type="dxa"/>
          </w:tcPr>
          <w:p>
            <w:pPr>
              <w:pStyle w:val="TableParagraph"/>
              <w:tabs>
                <w:tab w:pos="2293" w:val="left" w:leader="none"/>
                <w:tab w:pos="2370" w:val="left" w:leader="none"/>
              </w:tabs>
              <w:spacing w:line="276" w:lineRule="auto"/>
              <w:ind w:left="101" w:right="96"/>
              <w:jc w:val="both"/>
              <w:rPr>
                <w:sz w:val="24"/>
              </w:rPr>
            </w:pPr>
            <w:r>
              <w:rPr>
                <w:sz w:val="24"/>
              </w:rPr>
              <w:t>Presencia</w:t>
              <w:tab/>
              <w:t>de giroversiones en un arco sin espacios primates</w:t>
              <w:tab/>
              <w:tab/>
              <w:t>ni</w:t>
            </w:r>
          </w:p>
          <w:p>
            <w:pPr>
              <w:pStyle w:val="TableParagraph"/>
              <w:spacing w:line="240" w:lineRule="auto"/>
              <w:ind w:left="101"/>
              <w:jc w:val="both"/>
              <w:rPr>
                <w:sz w:val="24"/>
              </w:rPr>
            </w:pPr>
            <w:r>
              <w:rPr>
                <w:sz w:val="24"/>
              </w:rPr>
              <w:t>generalizados</w:t>
            </w:r>
          </w:p>
        </w:tc>
        <w:tc>
          <w:tcPr>
            <w:tcW w:w="1580" w:type="dxa"/>
          </w:tcPr>
          <w:p>
            <w:pPr>
              <w:pStyle w:val="TableParagraph"/>
              <w:spacing w:line="240" w:lineRule="auto"/>
              <w:ind w:left="0"/>
              <w:rPr>
                <w:rFonts w:ascii="Times New Roman"/>
                <w:sz w:val="24"/>
              </w:rPr>
            </w:pPr>
          </w:p>
          <w:p>
            <w:pPr>
              <w:pStyle w:val="TableParagraph"/>
              <w:spacing w:line="240" w:lineRule="auto" w:before="1"/>
              <w:ind w:left="0"/>
              <w:rPr>
                <w:rFonts w:ascii="Times New Roman"/>
                <w:sz w:val="31"/>
              </w:rPr>
            </w:pPr>
          </w:p>
          <w:p>
            <w:pPr>
              <w:pStyle w:val="TableParagraph"/>
              <w:spacing w:line="240" w:lineRule="auto"/>
              <w:ind w:left="105" w:right="300"/>
              <w:rPr>
                <w:sz w:val="24"/>
              </w:rPr>
            </w:pPr>
            <w:r>
              <w:rPr>
                <w:sz w:val="24"/>
              </w:rPr>
              <w:t>Cualitativa</w:t>
            </w:r>
          </w:p>
        </w:tc>
        <w:tc>
          <w:tcPr>
            <w:tcW w:w="1844" w:type="dxa"/>
          </w:tcPr>
          <w:p>
            <w:pPr>
              <w:pStyle w:val="TableParagraph"/>
              <w:spacing w:line="240" w:lineRule="auto"/>
              <w:ind w:left="278" w:right="161"/>
              <w:rPr>
                <w:sz w:val="24"/>
              </w:rPr>
            </w:pPr>
            <w:r>
              <w:rPr>
                <w:sz w:val="24"/>
              </w:rPr>
              <w:t>0=. Ausente</w:t>
            </w:r>
          </w:p>
          <w:p>
            <w:pPr>
              <w:pStyle w:val="TableParagraph"/>
              <w:spacing w:line="240" w:lineRule="auto" w:before="41"/>
              <w:ind w:left="268" w:right="161"/>
              <w:rPr>
                <w:sz w:val="24"/>
              </w:rPr>
            </w:pPr>
            <w:r>
              <w:rPr>
                <w:sz w:val="24"/>
              </w:rPr>
              <w:t>1= Presente</w:t>
            </w:r>
          </w:p>
        </w:tc>
      </w:tr>
      <w:tr>
        <w:trPr>
          <w:trHeight w:val="2867" w:hRule="exact"/>
        </w:trPr>
        <w:tc>
          <w:tcPr>
            <w:tcW w:w="1844" w:type="dxa"/>
          </w:tcPr>
          <w:p>
            <w:pPr>
              <w:pStyle w:val="TableParagraph"/>
              <w:spacing w:line="276" w:lineRule="auto"/>
              <w:ind w:left="465" w:right="448" w:hanging="15"/>
              <w:jc w:val="both"/>
              <w:rPr>
                <w:b/>
                <w:sz w:val="24"/>
              </w:rPr>
            </w:pPr>
            <w:r>
              <w:rPr>
                <w:b/>
                <w:sz w:val="24"/>
              </w:rPr>
              <w:t>Mordida cruzada anterior</w:t>
            </w:r>
          </w:p>
        </w:tc>
        <w:tc>
          <w:tcPr>
            <w:tcW w:w="2415" w:type="dxa"/>
          </w:tcPr>
          <w:p>
            <w:pPr>
              <w:pStyle w:val="TableParagraph"/>
              <w:tabs>
                <w:tab w:pos="2048" w:val="left" w:leader="none"/>
              </w:tabs>
              <w:spacing w:line="276" w:lineRule="auto"/>
              <w:ind w:left="105" w:right="101"/>
              <w:jc w:val="both"/>
              <w:rPr>
                <w:sz w:val="24"/>
              </w:rPr>
            </w:pPr>
            <w:r>
              <w:rPr>
                <w:sz w:val="24"/>
              </w:rPr>
              <w:t>Maloclusión en la cual los incisivos y/o caninos del maxilar superior</w:t>
              <w:tab/>
              <w:t>se</w:t>
            </w:r>
          </w:p>
          <w:p>
            <w:pPr>
              <w:pStyle w:val="TableParagraph"/>
              <w:tabs>
                <w:tab w:pos="2033" w:val="left" w:leader="none"/>
              </w:tabs>
              <w:spacing w:line="276" w:lineRule="auto"/>
              <w:ind w:left="105" w:right="101"/>
              <w:jc w:val="both"/>
              <w:rPr>
                <w:sz w:val="24"/>
              </w:rPr>
            </w:pPr>
            <w:r>
              <w:rPr>
                <w:sz w:val="24"/>
              </w:rPr>
              <w:t>encuentran</w:t>
              <w:tab/>
              <w:t>en posición lingual con respecto a sus homólogos de la mandíbula.</w:t>
            </w:r>
          </w:p>
        </w:tc>
        <w:tc>
          <w:tcPr>
            <w:tcW w:w="2670" w:type="dxa"/>
          </w:tcPr>
          <w:p>
            <w:pPr>
              <w:pStyle w:val="TableParagraph"/>
              <w:spacing w:line="276" w:lineRule="auto"/>
              <w:ind w:left="101" w:right="98"/>
              <w:jc w:val="both"/>
              <w:rPr>
                <w:sz w:val="24"/>
              </w:rPr>
            </w:pPr>
            <w:r>
              <w:rPr>
                <w:sz w:val="24"/>
              </w:rPr>
              <w:t>Los dientes anteriores superiores guardan una posición lingual respecto a la arcada inferior en la zona anterior, al ocluir</w:t>
            </w:r>
          </w:p>
        </w:tc>
        <w:tc>
          <w:tcPr>
            <w:tcW w:w="1580" w:type="dxa"/>
          </w:tcPr>
          <w:p>
            <w:pPr>
              <w:pStyle w:val="TableParagraph"/>
              <w:ind w:left="153"/>
              <w:rPr>
                <w:sz w:val="24"/>
              </w:rPr>
            </w:pPr>
            <w:r>
              <w:rPr>
                <w:sz w:val="24"/>
              </w:rPr>
              <w:t>Cuantitativa</w:t>
            </w:r>
          </w:p>
        </w:tc>
        <w:tc>
          <w:tcPr>
            <w:tcW w:w="1844" w:type="dxa"/>
          </w:tcPr>
          <w:p>
            <w:pPr>
              <w:pStyle w:val="TableParagraph"/>
              <w:spacing w:line="276" w:lineRule="auto"/>
              <w:ind w:left="297" w:right="283" w:firstLine="43"/>
              <w:rPr>
                <w:sz w:val="24"/>
              </w:rPr>
            </w:pPr>
            <w:r>
              <w:rPr>
                <w:sz w:val="24"/>
              </w:rPr>
              <w:t>0=Ausente 1=Presente</w:t>
            </w:r>
          </w:p>
        </w:tc>
      </w:tr>
      <w:tr>
        <w:trPr>
          <w:trHeight w:val="2232" w:hRule="exact"/>
        </w:trPr>
        <w:tc>
          <w:tcPr>
            <w:tcW w:w="1844" w:type="dxa"/>
          </w:tcPr>
          <w:p>
            <w:pPr>
              <w:pStyle w:val="TableParagraph"/>
              <w:spacing w:line="278" w:lineRule="auto"/>
              <w:ind w:left="398" w:right="391" w:firstLine="52"/>
              <w:jc w:val="both"/>
              <w:rPr>
                <w:b/>
                <w:sz w:val="24"/>
              </w:rPr>
            </w:pPr>
            <w:r>
              <w:rPr>
                <w:b/>
                <w:sz w:val="24"/>
              </w:rPr>
              <w:t>Mordida cruzada posterior</w:t>
            </w:r>
          </w:p>
        </w:tc>
        <w:tc>
          <w:tcPr>
            <w:tcW w:w="2415" w:type="dxa"/>
          </w:tcPr>
          <w:p>
            <w:pPr>
              <w:pStyle w:val="TableParagraph"/>
              <w:tabs>
                <w:tab w:pos="1929" w:val="left" w:leader="none"/>
              </w:tabs>
              <w:spacing w:line="276" w:lineRule="auto"/>
              <w:ind w:left="105" w:right="99"/>
              <w:jc w:val="both"/>
              <w:rPr>
                <w:sz w:val="24"/>
              </w:rPr>
            </w:pPr>
            <w:r>
              <w:rPr>
                <w:sz w:val="24"/>
              </w:rPr>
              <w:t>maloclusión en la cual uno o </w:t>
            </w:r>
            <w:r>
              <w:rPr>
                <w:spacing w:val="-3"/>
                <w:sz w:val="24"/>
              </w:rPr>
              <w:t>más </w:t>
            </w:r>
            <w:r>
              <w:rPr>
                <w:sz w:val="24"/>
              </w:rPr>
              <w:t>dientes posteriores están en relación vestibular o lingual con</w:t>
              <w:tab/>
              <w:t>sus</w:t>
            </w:r>
          </w:p>
          <w:p>
            <w:pPr>
              <w:pStyle w:val="TableParagraph"/>
              <w:spacing w:line="240" w:lineRule="auto"/>
              <w:ind w:left="105"/>
              <w:jc w:val="both"/>
              <w:rPr>
                <w:sz w:val="24"/>
              </w:rPr>
            </w:pPr>
            <w:r>
              <w:rPr>
                <w:sz w:val="24"/>
              </w:rPr>
              <w:t>antagonistas.</w:t>
            </w:r>
          </w:p>
        </w:tc>
        <w:tc>
          <w:tcPr>
            <w:tcW w:w="2670" w:type="dxa"/>
          </w:tcPr>
          <w:p>
            <w:pPr>
              <w:pStyle w:val="TableParagraph"/>
              <w:tabs>
                <w:tab w:pos="1693" w:val="left" w:leader="none"/>
              </w:tabs>
              <w:spacing w:line="276" w:lineRule="auto"/>
              <w:ind w:left="101" w:right="98"/>
              <w:jc w:val="both"/>
              <w:rPr>
                <w:sz w:val="24"/>
              </w:rPr>
            </w:pPr>
            <w:r>
              <w:rPr>
                <w:sz w:val="24"/>
              </w:rPr>
              <w:t>Los dientes de la arcada</w:t>
              <w:tab/>
              <w:t>superior guardan una posición lingual respecto a la arcada inferior en la zona posterior,  al ocluir</w:t>
            </w:r>
          </w:p>
        </w:tc>
        <w:tc>
          <w:tcPr>
            <w:tcW w:w="1580" w:type="dxa"/>
          </w:tcPr>
          <w:p>
            <w:pPr>
              <w:pStyle w:val="TableParagraph"/>
              <w:spacing w:line="240" w:lineRule="auto" w:before="2"/>
              <w:ind w:left="0"/>
              <w:rPr>
                <w:rFonts w:ascii="Times New Roman"/>
                <w:sz w:val="27"/>
              </w:rPr>
            </w:pPr>
          </w:p>
          <w:p>
            <w:pPr>
              <w:pStyle w:val="TableParagraph"/>
              <w:spacing w:line="240" w:lineRule="auto"/>
              <w:ind w:left="225"/>
              <w:rPr>
                <w:sz w:val="24"/>
              </w:rPr>
            </w:pPr>
            <w:r>
              <w:rPr>
                <w:sz w:val="24"/>
              </w:rPr>
              <w:t>Cualitativa</w:t>
            </w:r>
          </w:p>
        </w:tc>
        <w:tc>
          <w:tcPr>
            <w:tcW w:w="1844" w:type="dxa"/>
          </w:tcPr>
          <w:p>
            <w:pPr>
              <w:pStyle w:val="TableParagraph"/>
              <w:spacing w:line="276" w:lineRule="auto"/>
              <w:ind w:left="340" w:right="284" w:hanging="44"/>
              <w:rPr>
                <w:sz w:val="24"/>
              </w:rPr>
            </w:pPr>
            <w:r>
              <w:rPr>
                <w:sz w:val="24"/>
              </w:rPr>
              <w:t>0=Presente 1=Ausente</w:t>
            </w:r>
          </w:p>
        </w:tc>
      </w:tr>
      <w:tr>
        <w:trPr>
          <w:trHeight w:val="2233" w:hRule="exact"/>
        </w:trPr>
        <w:tc>
          <w:tcPr>
            <w:tcW w:w="1844" w:type="dxa"/>
          </w:tcPr>
          <w:p>
            <w:pPr>
              <w:pStyle w:val="TableParagraph"/>
              <w:spacing w:line="276" w:lineRule="auto"/>
              <w:ind w:left="344" w:right="341"/>
              <w:jc w:val="center"/>
              <w:rPr>
                <w:b/>
                <w:sz w:val="24"/>
              </w:rPr>
            </w:pPr>
            <w:r>
              <w:rPr>
                <w:b/>
                <w:sz w:val="24"/>
              </w:rPr>
              <w:t>Mordida abierta anterior</w:t>
            </w:r>
          </w:p>
        </w:tc>
        <w:tc>
          <w:tcPr>
            <w:tcW w:w="2415" w:type="dxa"/>
          </w:tcPr>
          <w:p>
            <w:pPr>
              <w:pStyle w:val="TableParagraph"/>
              <w:tabs>
                <w:tab w:pos="853" w:val="left" w:leader="none"/>
                <w:tab w:pos="1395" w:val="left" w:leader="none"/>
                <w:tab w:pos="1530" w:val="left" w:leader="none"/>
                <w:tab w:pos="1610" w:val="left" w:leader="none"/>
                <w:tab w:pos="2035" w:val="left" w:leader="none"/>
                <w:tab w:pos="2109" w:val="left" w:leader="none"/>
              </w:tabs>
              <w:spacing w:line="276" w:lineRule="auto"/>
              <w:ind w:left="105" w:right="99"/>
              <w:rPr>
                <w:sz w:val="24"/>
              </w:rPr>
            </w:pPr>
            <w:r>
              <w:rPr>
                <w:sz w:val="24"/>
              </w:rPr>
              <w:t>Maloclusión</w:t>
              <w:tab/>
              <w:tab/>
              <w:tab/>
              <w:t>en</w:t>
              <w:tab/>
              <w:tab/>
              <w:t>la cual</w:t>
              <w:tab/>
              <w:t>los</w:t>
              <w:tab/>
              <w:tab/>
              <w:t>dientes anteriores superiores</w:t>
              <w:tab/>
              <w:tab/>
              <w:tab/>
              <w:tab/>
              <w:t>no guardan</w:t>
              <w:tab/>
              <w:t>contacto con</w:t>
              <w:tab/>
              <w:t>los</w:t>
              <w:tab/>
              <w:tab/>
              <w:t>dientes</w:t>
            </w:r>
            <w:r>
              <w:rPr>
                <w:w w:val="100"/>
                <w:sz w:val="24"/>
              </w:rPr>
              <w:t> </w:t>
            </w:r>
            <w:r>
              <w:rPr>
                <w:sz w:val="24"/>
              </w:rPr>
              <w:t>anteriores</w:t>
            </w:r>
            <w:r>
              <w:rPr>
                <w:spacing w:val="-7"/>
                <w:sz w:val="24"/>
              </w:rPr>
              <w:t> </w:t>
            </w:r>
            <w:r>
              <w:rPr>
                <w:sz w:val="24"/>
              </w:rPr>
              <w:t>inferiores</w:t>
            </w:r>
          </w:p>
        </w:tc>
        <w:tc>
          <w:tcPr>
            <w:tcW w:w="2670" w:type="dxa"/>
          </w:tcPr>
          <w:p>
            <w:pPr>
              <w:pStyle w:val="TableParagraph"/>
              <w:spacing w:line="276" w:lineRule="auto"/>
              <w:ind w:left="101" w:right="98"/>
              <w:jc w:val="both"/>
              <w:rPr>
                <w:sz w:val="24"/>
              </w:rPr>
            </w:pPr>
            <w:r>
              <w:rPr>
                <w:sz w:val="24"/>
              </w:rPr>
              <w:t>Los dientes de la arcada superior no llegan a contactar con los de la arcada  inferior en la zona anterior</w:t>
            </w:r>
          </w:p>
        </w:tc>
        <w:tc>
          <w:tcPr>
            <w:tcW w:w="1580" w:type="dxa"/>
          </w:tcPr>
          <w:p>
            <w:pPr>
              <w:pStyle w:val="TableParagraph"/>
              <w:spacing w:line="240" w:lineRule="auto" w:before="2"/>
              <w:ind w:left="0"/>
              <w:rPr>
                <w:rFonts w:ascii="Times New Roman"/>
                <w:sz w:val="27"/>
              </w:rPr>
            </w:pPr>
          </w:p>
          <w:p>
            <w:pPr>
              <w:pStyle w:val="TableParagraph"/>
              <w:spacing w:line="240" w:lineRule="auto"/>
              <w:ind w:left="225"/>
              <w:rPr>
                <w:sz w:val="24"/>
              </w:rPr>
            </w:pPr>
            <w:r>
              <w:rPr>
                <w:sz w:val="24"/>
              </w:rPr>
              <w:t>Cualitativa</w:t>
            </w:r>
          </w:p>
        </w:tc>
        <w:tc>
          <w:tcPr>
            <w:tcW w:w="1844" w:type="dxa"/>
          </w:tcPr>
          <w:p>
            <w:pPr>
              <w:pStyle w:val="TableParagraph"/>
              <w:spacing w:line="276" w:lineRule="auto"/>
              <w:ind w:left="302" w:right="278" w:firstLine="38"/>
              <w:rPr>
                <w:sz w:val="24"/>
              </w:rPr>
            </w:pPr>
            <w:r>
              <w:rPr>
                <w:sz w:val="24"/>
              </w:rPr>
              <w:t>0=Ausente 1=Presente</w:t>
            </w:r>
          </w:p>
        </w:tc>
      </w:tr>
      <w:tr>
        <w:trPr>
          <w:trHeight w:val="2549" w:hRule="exact"/>
        </w:trPr>
        <w:tc>
          <w:tcPr>
            <w:tcW w:w="1844" w:type="dxa"/>
          </w:tcPr>
          <w:p>
            <w:pPr>
              <w:pStyle w:val="TableParagraph"/>
              <w:spacing w:line="276" w:lineRule="auto"/>
              <w:ind w:left="398" w:right="391" w:hanging="3"/>
              <w:jc w:val="center"/>
              <w:rPr>
                <w:b/>
                <w:sz w:val="24"/>
              </w:rPr>
            </w:pPr>
            <w:r>
              <w:rPr>
                <w:b/>
                <w:sz w:val="24"/>
              </w:rPr>
              <w:t>Mordida abierta posterior</w:t>
            </w:r>
          </w:p>
        </w:tc>
        <w:tc>
          <w:tcPr>
            <w:tcW w:w="2415" w:type="dxa"/>
          </w:tcPr>
          <w:p>
            <w:pPr>
              <w:pStyle w:val="TableParagraph"/>
              <w:tabs>
                <w:tab w:pos="853" w:val="left" w:leader="none"/>
                <w:tab w:pos="1395" w:val="left" w:leader="none"/>
                <w:tab w:pos="1530" w:val="left" w:leader="none"/>
                <w:tab w:pos="1610" w:val="left" w:leader="none"/>
                <w:tab w:pos="2035" w:val="left" w:leader="none"/>
                <w:tab w:pos="2109" w:val="left" w:leader="none"/>
              </w:tabs>
              <w:spacing w:line="276" w:lineRule="auto"/>
              <w:ind w:left="105" w:right="99"/>
              <w:rPr>
                <w:sz w:val="24"/>
              </w:rPr>
            </w:pPr>
            <w:r>
              <w:rPr>
                <w:sz w:val="24"/>
              </w:rPr>
              <w:t>Maloclusión</w:t>
              <w:tab/>
              <w:tab/>
              <w:tab/>
              <w:t>en</w:t>
              <w:tab/>
              <w:tab/>
              <w:t>la cual</w:t>
              <w:tab/>
              <w:t>los</w:t>
              <w:tab/>
              <w:tab/>
              <w:t>dientes posteriores superiores</w:t>
              <w:tab/>
              <w:tab/>
              <w:tab/>
              <w:tab/>
              <w:t>no guardan</w:t>
              <w:tab/>
              <w:t>contacto con</w:t>
              <w:tab/>
              <w:t>los</w:t>
              <w:tab/>
              <w:tab/>
              <w:t>dientes</w:t>
            </w:r>
            <w:r>
              <w:rPr>
                <w:w w:val="100"/>
                <w:sz w:val="24"/>
              </w:rPr>
              <w:t> </w:t>
            </w:r>
            <w:r>
              <w:rPr>
                <w:sz w:val="24"/>
              </w:rPr>
              <w:t>posteriores inferiores</w:t>
            </w:r>
          </w:p>
        </w:tc>
        <w:tc>
          <w:tcPr>
            <w:tcW w:w="2670" w:type="dxa"/>
          </w:tcPr>
          <w:p>
            <w:pPr>
              <w:pStyle w:val="TableParagraph"/>
              <w:spacing w:line="276" w:lineRule="auto"/>
              <w:ind w:left="101" w:right="98"/>
              <w:jc w:val="both"/>
              <w:rPr>
                <w:sz w:val="24"/>
              </w:rPr>
            </w:pPr>
            <w:r>
              <w:rPr>
                <w:sz w:val="24"/>
              </w:rPr>
              <w:t>Los dientes de la arcada superior no llegan a contactar con los de la arcada  inferior en la zona posterior</w:t>
            </w:r>
          </w:p>
        </w:tc>
        <w:tc>
          <w:tcPr>
            <w:tcW w:w="1580" w:type="dxa"/>
          </w:tcPr>
          <w:p>
            <w:pPr>
              <w:pStyle w:val="TableParagraph"/>
              <w:spacing w:line="240" w:lineRule="auto" w:before="2"/>
              <w:ind w:left="0"/>
              <w:rPr>
                <w:rFonts w:ascii="Times New Roman"/>
                <w:sz w:val="27"/>
              </w:rPr>
            </w:pPr>
          </w:p>
          <w:p>
            <w:pPr>
              <w:pStyle w:val="TableParagraph"/>
              <w:spacing w:line="240" w:lineRule="auto"/>
              <w:ind w:left="225"/>
              <w:rPr>
                <w:sz w:val="24"/>
              </w:rPr>
            </w:pPr>
            <w:r>
              <w:rPr>
                <w:sz w:val="24"/>
              </w:rPr>
              <w:t>Cualitativa</w:t>
            </w:r>
          </w:p>
        </w:tc>
        <w:tc>
          <w:tcPr>
            <w:tcW w:w="1844" w:type="dxa"/>
          </w:tcPr>
          <w:p>
            <w:pPr>
              <w:pStyle w:val="TableParagraph"/>
              <w:spacing w:line="276" w:lineRule="auto"/>
              <w:ind w:left="297" w:right="283" w:firstLine="43"/>
              <w:rPr>
                <w:sz w:val="24"/>
              </w:rPr>
            </w:pPr>
            <w:r>
              <w:rPr>
                <w:sz w:val="24"/>
              </w:rPr>
              <w:t>0=Ausente 1=Presente</w:t>
            </w:r>
          </w:p>
        </w:tc>
      </w:tr>
    </w:tbl>
    <w:p>
      <w:pPr>
        <w:spacing w:after="0" w:line="276" w:lineRule="auto"/>
        <w:rPr>
          <w:sz w:val="24"/>
        </w:rPr>
        <w:sectPr>
          <w:pgSz w:w="12240" w:h="15840"/>
          <w:pgMar w:header="0" w:footer="942" w:top="1500" w:bottom="1140" w:left="1200" w:right="460"/>
        </w:sectPr>
      </w:pPr>
    </w:p>
    <w:p>
      <w:pPr>
        <w:pStyle w:val="BodyText"/>
        <w:spacing w:before="4"/>
        <w:rPr>
          <w:rFonts w:ascii="Times New Roman"/>
          <w:sz w:val="17"/>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5"/>
        <w:gridCol w:w="279"/>
        <w:gridCol w:w="1988"/>
        <w:gridCol w:w="427"/>
        <w:gridCol w:w="2266"/>
        <w:gridCol w:w="404"/>
        <w:gridCol w:w="1296"/>
        <w:gridCol w:w="283"/>
        <w:gridCol w:w="1844"/>
      </w:tblGrid>
      <w:tr>
        <w:trPr>
          <w:trHeight w:val="3188" w:hRule="exact"/>
        </w:trPr>
        <w:tc>
          <w:tcPr>
            <w:tcW w:w="1844" w:type="dxa"/>
            <w:gridSpan w:val="2"/>
          </w:tcPr>
          <w:p>
            <w:pPr>
              <w:pStyle w:val="TableParagraph"/>
              <w:spacing w:line="280" w:lineRule="auto"/>
              <w:ind w:left="115" w:right="99" w:firstLine="336"/>
              <w:rPr>
                <w:b/>
                <w:sz w:val="24"/>
              </w:rPr>
            </w:pPr>
            <w:r>
              <w:rPr>
                <w:b/>
                <w:sz w:val="24"/>
              </w:rPr>
              <w:t>Mordida borde a borde</w:t>
            </w:r>
          </w:p>
        </w:tc>
        <w:tc>
          <w:tcPr>
            <w:tcW w:w="2415" w:type="dxa"/>
            <w:gridSpan w:val="2"/>
          </w:tcPr>
          <w:p>
            <w:pPr>
              <w:pStyle w:val="TableParagraph"/>
              <w:tabs>
                <w:tab w:pos="901" w:val="left" w:leader="none"/>
                <w:tab w:pos="1313" w:val="left" w:leader="none"/>
                <w:tab w:pos="1376" w:val="left" w:leader="none"/>
                <w:tab w:pos="1530" w:val="left" w:leader="none"/>
                <w:tab w:pos="1567" w:val="left" w:leader="none"/>
                <w:tab w:pos="1610" w:val="left" w:leader="none"/>
                <w:tab w:pos="1989" w:val="left" w:leader="none"/>
                <w:tab w:pos="2033" w:val="left" w:leader="none"/>
                <w:tab w:pos="2109" w:val="left" w:leader="none"/>
              </w:tabs>
              <w:spacing w:line="276" w:lineRule="auto"/>
              <w:ind w:left="105" w:right="99"/>
              <w:rPr>
                <w:sz w:val="24"/>
              </w:rPr>
            </w:pPr>
            <w:r>
              <w:rPr>
                <w:sz w:val="24"/>
              </w:rPr>
              <w:t>Maloclusión</w:t>
              <w:tab/>
              <w:tab/>
              <w:tab/>
              <w:tab/>
              <w:t>en</w:t>
              <w:tab/>
              <w:tab/>
              <w:tab/>
              <w:t>la cual</w:t>
              <w:tab/>
              <w:t>los</w:t>
              <w:tab/>
              <w:tab/>
              <w:tab/>
              <w:tab/>
              <w:t>bordes incisales</w:t>
              <w:tab/>
              <w:tab/>
              <w:t>de</w:t>
              <w:tab/>
              <w:t>los dientes anterosuperiores se encuentran</w:t>
              <w:tab/>
              <w:tab/>
              <w:tab/>
              <w:tab/>
              <w:tab/>
              <w:tab/>
              <w:tab/>
              <w:t>en contacto</w:t>
              <w:tab/>
              <w:t>con</w:t>
              <w:tab/>
              <w:t>los bordes incisales de los</w:t>
              <w:tab/>
              <w:tab/>
              <w:tab/>
              <w:tab/>
              <w:t>dientes</w:t>
            </w:r>
          </w:p>
          <w:p>
            <w:pPr>
              <w:pStyle w:val="TableParagraph"/>
              <w:spacing w:line="240" w:lineRule="auto" w:before="5"/>
              <w:ind w:left="105" w:right="531"/>
              <w:rPr>
                <w:sz w:val="24"/>
              </w:rPr>
            </w:pPr>
            <w:r>
              <w:rPr>
                <w:sz w:val="24"/>
              </w:rPr>
              <w:t>anteroinferiores</w:t>
            </w:r>
          </w:p>
        </w:tc>
        <w:tc>
          <w:tcPr>
            <w:tcW w:w="2670" w:type="dxa"/>
            <w:gridSpan w:val="2"/>
          </w:tcPr>
          <w:p>
            <w:pPr>
              <w:pStyle w:val="TableParagraph"/>
              <w:spacing w:line="276" w:lineRule="auto"/>
              <w:ind w:left="101" w:right="96"/>
              <w:jc w:val="both"/>
              <w:rPr>
                <w:sz w:val="24"/>
              </w:rPr>
            </w:pPr>
            <w:r>
              <w:rPr>
                <w:sz w:val="24"/>
              </w:rPr>
              <w:t>Cuando los incisivos inferiores y superiores temporales guardan contacto entre sus bordes incisales</w:t>
            </w:r>
          </w:p>
        </w:tc>
        <w:tc>
          <w:tcPr>
            <w:tcW w:w="1580" w:type="dxa"/>
            <w:gridSpan w:val="2"/>
          </w:tcPr>
          <w:p>
            <w:pPr>
              <w:pStyle w:val="TableParagraph"/>
              <w:spacing w:line="240" w:lineRule="auto" w:before="6"/>
              <w:ind w:left="0"/>
              <w:rPr>
                <w:rFonts w:ascii="Times New Roman"/>
                <w:sz w:val="27"/>
              </w:rPr>
            </w:pPr>
          </w:p>
          <w:p>
            <w:pPr>
              <w:pStyle w:val="TableParagraph"/>
              <w:spacing w:line="240" w:lineRule="auto" w:before="1"/>
              <w:ind w:left="225"/>
              <w:rPr>
                <w:sz w:val="24"/>
              </w:rPr>
            </w:pPr>
            <w:r>
              <w:rPr>
                <w:sz w:val="24"/>
              </w:rPr>
              <w:t>Cualitativa</w:t>
            </w:r>
          </w:p>
        </w:tc>
        <w:tc>
          <w:tcPr>
            <w:tcW w:w="1844" w:type="dxa"/>
          </w:tcPr>
          <w:p>
            <w:pPr>
              <w:pStyle w:val="TableParagraph"/>
              <w:spacing w:line="280" w:lineRule="auto"/>
              <w:ind w:left="297" w:right="283" w:firstLine="43"/>
              <w:rPr>
                <w:sz w:val="24"/>
              </w:rPr>
            </w:pPr>
            <w:r>
              <w:rPr>
                <w:sz w:val="24"/>
              </w:rPr>
              <w:t>0=Ausente 1=Presente</w:t>
            </w:r>
          </w:p>
        </w:tc>
      </w:tr>
      <w:tr>
        <w:trPr>
          <w:trHeight w:val="1594" w:hRule="exact"/>
        </w:trPr>
        <w:tc>
          <w:tcPr>
            <w:tcW w:w="1844" w:type="dxa"/>
            <w:gridSpan w:val="2"/>
          </w:tcPr>
          <w:p>
            <w:pPr>
              <w:pStyle w:val="TableParagraph"/>
              <w:spacing w:line="267" w:lineRule="exact"/>
              <w:ind w:left="465" w:right="397"/>
              <w:rPr>
                <w:b/>
                <w:sz w:val="24"/>
              </w:rPr>
            </w:pPr>
            <w:r>
              <w:rPr>
                <w:b/>
                <w:sz w:val="24"/>
              </w:rPr>
              <w:t>Atrición</w:t>
            </w:r>
          </w:p>
        </w:tc>
        <w:tc>
          <w:tcPr>
            <w:tcW w:w="2415" w:type="dxa"/>
            <w:gridSpan w:val="2"/>
          </w:tcPr>
          <w:p>
            <w:pPr>
              <w:pStyle w:val="TableParagraph"/>
              <w:spacing w:line="276" w:lineRule="auto"/>
              <w:ind w:left="105" w:right="101"/>
              <w:jc w:val="both"/>
              <w:rPr>
                <w:sz w:val="24"/>
              </w:rPr>
            </w:pPr>
            <w:r>
              <w:rPr>
                <w:sz w:val="24"/>
              </w:rPr>
              <w:t>Desgaste normal de los dientes durante la función, por el contacto constante con su antagonista</w:t>
            </w:r>
          </w:p>
        </w:tc>
        <w:tc>
          <w:tcPr>
            <w:tcW w:w="2670" w:type="dxa"/>
            <w:gridSpan w:val="2"/>
          </w:tcPr>
          <w:p>
            <w:pPr>
              <w:pStyle w:val="TableParagraph"/>
              <w:spacing w:line="276" w:lineRule="auto"/>
              <w:ind w:left="101" w:right="85"/>
              <w:rPr>
                <w:sz w:val="24"/>
              </w:rPr>
            </w:pPr>
            <w:r>
              <w:rPr>
                <w:sz w:val="24"/>
              </w:rPr>
              <w:t>Desgaste en bordes incisales y cúspides de caninos de los dientes temporales</w:t>
            </w:r>
          </w:p>
        </w:tc>
        <w:tc>
          <w:tcPr>
            <w:tcW w:w="1580" w:type="dxa"/>
            <w:gridSpan w:val="2"/>
          </w:tcPr>
          <w:p>
            <w:pPr>
              <w:pStyle w:val="TableParagraph"/>
              <w:spacing w:line="240" w:lineRule="auto" w:before="2"/>
              <w:ind w:left="0"/>
              <w:rPr>
                <w:rFonts w:ascii="Times New Roman"/>
                <w:sz w:val="27"/>
              </w:rPr>
            </w:pPr>
          </w:p>
          <w:p>
            <w:pPr>
              <w:pStyle w:val="TableParagraph"/>
              <w:spacing w:line="240" w:lineRule="auto"/>
              <w:ind w:left="225"/>
              <w:rPr>
                <w:sz w:val="24"/>
              </w:rPr>
            </w:pPr>
            <w:r>
              <w:rPr>
                <w:sz w:val="24"/>
              </w:rPr>
              <w:t>Cualitativa</w:t>
            </w:r>
          </w:p>
        </w:tc>
        <w:tc>
          <w:tcPr>
            <w:tcW w:w="1844" w:type="dxa"/>
          </w:tcPr>
          <w:p>
            <w:pPr>
              <w:pStyle w:val="TableParagraph"/>
              <w:spacing w:line="276" w:lineRule="auto"/>
              <w:ind w:left="297" w:right="283" w:firstLine="43"/>
              <w:rPr>
                <w:sz w:val="24"/>
              </w:rPr>
            </w:pPr>
            <w:r>
              <w:rPr>
                <w:sz w:val="24"/>
              </w:rPr>
              <w:t>0=Ausente 1=Presente</w:t>
            </w:r>
          </w:p>
        </w:tc>
      </w:tr>
      <w:tr>
        <w:trPr>
          <w:trHeight w:val="1282" w:hRule="exact"/>
        </w:trPr>
        <w:tc>
          <w:tcPr>
            <w:tcW w:w="1844" w:type="dxa"/>
            <w:gridSpan w:val="2"/>
          </w:tcPr>
          <w:p>
            <w:pPr>
              <w:pStyle w:val="TableParagraph"/>
              <w:spacing w:line="267" w:lineRule="exact"/>
              <w:ind w:left="398" w:right="98"/>
              <w:rPr>
                <w:b/>
                <w:sz w:val="24"/>
              </w:rPr>
            </w:pPr>
            <w:r>
              <w:rPr>
                <w:b/>
                <w:sz w:val="24"/>
              </w:rPr>
              <w:t>Abrasión</w:t>
            </w:r>
          </w:p>
        </w:tc>
        <w:tc>
          <w:tcPr>
            <w:tcW w:w="2415" w:type="dxa"/>
            <w:gridSpan w:val="2"/>
          </w:tcPr>
          <w:p>
            <w:pPr>
              <w:pStyle w:val="TableParagraph"/>
              <w:tabs>
                <w:tab w:pos="1957" w:val="left" w:leader="none"/>
              </w:tabs>
              <w:spacing w:line="276" w:lineRule="auto"/>
              <w:ind w:left="105" w:right="102"/>
              <w:jc w:val="both"/>
              <w:rPr>
                <w:sz w:val="24"/>
              </w:rPr>
            </w:pPr>
            <w:r>
              <w:rPr>
                <w:sz w:val="24"/>
              </w:rPr>
              <w:t>Desgaste patológico de la estructura dentaria</w:t>
              <w:tab/>
            </w:r>
            <w:r>
              <w:rPr>
                <w:spacing w:val="-1"/>
                <w:sz w:val="24"/>
              </w:rPr>
              <w:t>por </w:t>
            </w:r>
            <w:r>
              <w:rPr>
                <w:sz w:val="24"/>
              </w:rPr>
              <w:t>procesos</w:t>
            </w:r>
            <w:r>
              <w:rPr>
                <w:spacing w:val="-4"/>
                <w:sz w:val="24"/>
              </w:rPr>
              <w:t> </w:t>
            </w:r>
            <w:r>
              <w:rPr>
                <w:sz w:val="24"/>
              </w:rPr>
              <w:t>mecánicos</w:t>
            </w:r>
          </w:p>
        </w:tc>
        <w:tc>
          <w:tcPr>
            <w:tcW w:w="2670" w:type="dxa"/>
            <w:gridSpan w:val="2"/>
          </w:tcPr>
          <w:p>
            <w:pPr>
              <w:pStyle w:val="TableParagraph"/>
              <w:spacing w:line="276" w:lineRule="auto"/>
              <w:ind w:left="101" w:right="85"/>
              <w:rPr>
                <w:sz w:val="24"/>
              </w:rPr>
            </w:pPr>
            <w:r>
              <w:rPr>
                <w:sz w:val="24"/>
              </w:rPr>
              <w:t>Desgaste en bordes incisales y cúspides de caninos y molares temporales</w:t>
            </w:r>
          </w:p>
        </w:tc>
        <w:tc>
          <w:tcPr>
            <w:tcW w:w="1580" w:type="dxa"/>
            <w:gridSpan w:val="2"/>
          </w:tcPr>
          <w:p>
            <w:pPr>
              <w:pStyle w:val="TableParagraph"/>
              <w:spacing w:line="240" w:lineRule="auto" w:before="7"/>
              <w:ind w:left="0"/>
              <w:rPr>
                <w:rFonts w:ascii="Times New Roman"/>
                <w:sz w:val="27"/>
              </w:rPr>
            </w:pPr>
          </w:p>
          <w:p>
            <w:pPr>
              <w:pStyle w:val="TableParagraph"/>
              <w:spacing w:line="240" w:lineRule="auto"/>
              <w:ind w:left="225"/>
              <w:rPr>
                <w:sz w:val="24"/>
              </w:rPr>
            </w:pPr>
            <w:r>
              <w:rPr>
                <w:sz w:val="24"/>
              </w:rPr>
              <w:t>Cualitativa</w:t>
            </w:r>
          </w:p>
        </w:tc>
        <w:tc>
          <w:tcPr>
            <w:tcW w:w="1844" w:type="dxa"/>
          </w:tcPr>
          <w:p>
            <w:pPr>
              <w:pStyle w:val="TableParagraph"/>
              <w:spacing w:line="280" w:lineRule="auto"/>
              <w:ind w:left="297" w:right="283" w:firstLine="43"/>
              <w:rPr>
                <w:sz w:val="24"/>
              </w:rPr>
            </w:pPr>
            <w:r>
              <w:rPr>
                <w:sz w:val="24"/>
              </w:rPr>
              <w:t>0=Ausente 1=Presente</w:t>
            </w:r>
          </w:p>
        </w:tc>
      </w:tr>
      <w:tr>
        <w:trPr>
          <w:trHeight w:val="644" w:hRule="exact"/>
        </w:trPr>
        <w:tc>
          <w:tcPr>
            <w:tcW w:w="10353" w:type="dxa"/>
            <w:gridSpan w:val="9"/>
          </w:tcPr>
          <w:p>
            <w:pPr>
              <w:pStyle w:val="TableParagraph"/>
              <w:spacing w:line="240" w:lineRule="auto" w:before="8"/>
              <w:ind w:left="0"/>
              <w:rPr>
                <w:rFonts w:ascii="Times New Roman"/>
                <w:sz w:val="26"/>
              </w:rPr>
            </w:pPr>
          </w:p>
          <w:p>
            <w:pPr>
              <w:pStyle w:val="TableParagraph"/>
              <w:spacing w:line="240" w:lineRule="auto"/>
              <w:ind w:left="3390"/>
              <w:rPr>
                <w:b/>
                <w:sz w:val="24"/>
              </w:rPr>
            </w:pPr>
            <w:r>
              <w:rPr>
                <w:b/>
                <w:sz w:val="24"/>
              </w:rPr>
              <w:t>VARIABLES INDEPENDIENTES</w:t>
            </w:r>
          </w:p>
        </w:tc>
      </w:tr>
      <w:tr>
        <w:trPr>
          <w:trHeight w:val="979" w:hRule="exact"/>
        </w:trPr>
        <w:tc>
          <w:tcPr>
            <w:tcW w:w="1565" w:type="dxa"/>
          </w:tcPr>
          <w:p>
            <w:pPr>
              <w:pStyle w:val="TableParagraph"/>
              <w:spacing w:line="267" w:lineRule="exact"/>
              <w:ind w:left="307"/>
              <w:rPr>
                <w:b/>
                <w:sz w:val="24"/>
              </w:rPr>
            </w:pPr>
            <w:r>
              <w:rPr>
                <w:b/>
                <w:sz w:val="24"/>
              </w:rPr>
              <w:t>Variable</w:t>
            </w:r>
          </w:p>
        </w:tc>
        <w:tc>
          <w:tcPr>
            <w:tcW w:w="2267" w:type="dxa"/>
            <w:gridSpan w:val="2"/>
          </w:tcPr>
          <w:p>
            <w:pPr>
              <w:pStyle w:val="TableParagraph"/>
              <w:spacing w:line="276" w:lineRule="auto"/>
              <w:ind w:left="475" w:right="455" w:firstLine="72"/>
              <w:rPr>
                <w:b/>
                <w:sz w:val="24"/>
              </w:rPr>
            </w:pPr>
            <w:r>
              <w:rPr>
                <w:b/>
                <w:sz w:val="24"/>
              </w:rPr>
              <w:t>Definición Conceptual</w:t>
            </w:r>
          </w:p>
        </w:tc>
        <w:tc>
          <w:tcPr>
            <w:tcW w:w="2694" w:type="dxa"/>
            <w:gridSpan w:val="2"/>
          </w:tcPr>
          <w:p>
            <w:pPr>
              <w:pStyle w:val="TableParagraph"/>
              <w:spacing w:line="267" w:lineRule="exact"/>
              <w:ind w:left="177"/>
              <w:rPr>
                <w:b/>
                <w:sz w:val="24"/>
              </w:rPr>
            </w:pPr>
            <w:r>
              <w:rPr>
                <w:b/>
                <w:sz w:val="24"/>
              </w:rPr>
              <w:t>Definición Operativa</w:t>
            </w:r>
          </w:p>
        </w:tc>
        <w:tc>
          <w:tcPr>
            <w:tcW w:w="1700" w:type="dxa"/>
            <w:gridSpan w:val="2"/>
          </w:tcPr>
          <w:p>
            <w:pPr>
              <w:pStyle w:val="TableParagraph"/>
              <w:spacing w:line="276" w:lineRule="auto"/>
              <w:ind w:left="379" w:right="357" w:firstLine="38"/>
              <w:rPr>
                <w:b/>
                <w:sz w:val="24"/>
              </w:rPr>
            </w:pPr>
            <w:r>
              <w:rPr>
                <w:b/>
                <w:sz w:val="24"/>
              </w:rPr>
              <w:t>Tipo de Variable</w:t>
            </w:r>
          </w:p>
        </w:tc>
        <w:tc>
          <w:tcPr>
            <w:tcW w:w="2127" w:type="dxa"/>
            <w:gridSpan w:val="2"/>
          </w:tcPr>
          <w:p>
            <w:pPr>
              <w:pStyle w:val="TableParagraph"/>
              <w:spacing w:line="276" w:lineRule="auto"/>
              <w:ind w:left="537" w:right="486" w:hanging="34"/>
              <w:rPr>
                <w:b/>
                <w:sz w:val="24"/>
              </w:rPr>
            </w:pPr>
            <w:r>
              <w:rPr>
                <w:b/>
                <w:sz w:val="24"/>
              </w:rPr>
              <w:t>Escala de Medición</w:t>
            </w:r>
          </w:p>
        </w:tc>
      </w:tr>
      <w:tr>
        <w:trPr>
          <w:trHeight w:val="2233" w:hRule="exact"/>
        </w:trPr>
        <w:tc>
          <w:tcPr>
            <w:tcW w:w="1565" w:type="dxa"/>
          </w:tcPr>
          <w:p>
            <w:pPr>
              <w:pStyle w:val="TableParagraph"/>
              <w:spacing w:line="278" w:lineRule="auto"/>
              <w:ind w:left="220" w:right="178" w:hanging="44"/>
              <w:jc w:val="both"/>
              <w:rPr>
                <w:b/>
                <w:sz w:val="24"/>
              </w:rPr>
            </w:pPr>
            <w:r>
              <w:rPr>
                <w:b/>
                <w:sz w:val="24"/>
              </w:rPr>
              <w:t>Tiempo de Lactancia materna</w:t>
            </w:r>
          </w:p>
        </w:tc>
        <w:tc>
          <w:tcPr>
            <w:tcW w:w="2267" w:type="dxa"/>
            <w:gridSpan w:val="2"/>
          </w:tcPr>
          <w:p>
            <w:pPr>
              <w:pStyle w:val="TableParagraph"/>
              <w:spacing w:line="276" w:lineRule="auto"/>
              <w:ind w:right="102"/>
              <w:jc w:val="both"/>
              <w:rPr>
                <w:sz w:val="24"/>
              </w:rPr>
            </w:pPr>
            <w:r>
              <w:rPr>
                <w:sz w:val="24"/>
              </w:rPr>
              <w:t>El tiempo durante el cual el niño es alimentado con leche del seno materno</w:t>
            </w:r>
          </w:p>
        </w:tc>
        <w:tc>
          <w:tcPr>
            <w:tcW w:w="2694" w:type="dxa"/>
            <w:gridSpan w:val="2"/>
          </w:tcPr>
          <w:p>
            <w:pPr>
              <w:pStyle w:val="TableParagraph"/>
              <w:spacing w:line="276" w:lineRule="auto"/>
              <w:ind w:left="211" w:right="213"/>
              <w:jc w:val="center"/>
              <w:rPr>
                <w:sz w:val="24"/>
              </w:rPr>
            </w:pPr>
            <w:r>
              <w:rPr>
                <w:sz w:val="24"/>
              </w:rPr>
              <w:t>Periodo de tiempo durante el cual la alimentación del niño se realiza de manera exclusiva mamando directamente del pecho de su madre.</w:t>
            </w:r>
          </w:p>
        </w:tc>
        <w:tc>
          <w:tcPr>
            <w:tcW w:w="1700" w:type="dxa"/>
            <w:gridSpan w:val="2"/>
          </w:tcPr>
          <w:p>
            <w:pPr>
              <w:pStyle w:val="TableParagraph"/>
              <w:ind w:left="264"/>
              <w:rPr>
                <w:sz w:val="24"/>
              </w:rPr>
            </w:pPr>
            <w:r>
              <w:rPr>
                <w:sz w:val="24"/>
              </w:rPr>
              <w:t>Categórica</w:t>
            </w:r>
          </w:p>
        </w:tc>
        <w:tc>
          <w:tcPr>
            <w:tcW w:w="2127" w:type="dxa"/>
            <w:gridSpan w:val="2"/>
          </w:tcPr>
          <w:p>
            <w:pPr>
              <w:pStyle w:val="TableParagraph"/>
              <w:spacing w:line="280" w:lineRule="auto"/>
              <w:ind w:left="105" w:right="651"/>
              <w:rPr>
                <w:i/>
                <w:sz w:val="24"/>
              </w:rPr>
            </w:pPr>
            <w:r>
              <w:rPr>
                <w:i/>
                <w:sz w:val="24"/>
              </w:rPr>
              <w:t>0= de 0 a 12 </w:t>
            </w:r>
            <w:r>
              <w:rPr>
                <w:i/>
                <w:sz w:val="24"/>
              </w:rPr>
              <w:t>meses</w:t>
            </w:r>
          </w:p>
          <w:p>
            <w:pPr>
              <w:pStyle w:val="TableParagraph"/>
              <w:spacing w:line="276" w:lineRule="auto"/>
              <w:ind w:left="105" w:right="784"/>
              <w:rPr>
                <w:i/>
                <w:sz w:val="24"/>
              </w:rPr>
            </w:pPr>
            <w:r>
              <w:rPr>
                <w:i/>
                <w:sz w:val="24"/>
              </w:rPr>
              <w:t>1= de 0 a 6 </w:t>
            </w:r>
            <w:r>
              <w:rPr>
                <w:i/>
                <w:sz w:val="24"/>
              </w:rPr>
              <w:t>meses</w:t>
            </w:r>
          </w:p>
        </w:tc>
      </w:tr>
      <w:tr>
        <w:trPr>
          <w:trHeight w:val="1916" w:hRule="exact"/>
        </w:trPr>
        <w:tc>
          <w:tcPr>
            <w:tcW w:w="1565" w:type="dxa"/>
          </w:tcPr>
          <w:p>
            <w:pPr>
              <w:pStyle w:val="TableParagraph"/>
              <w:spacing w:line="276" w:lineRule="auto"/>
              <w:ind w:left="220" w:right="222" w:firstLine="67"/>
              <w:jc w:val="center"/>
              <w:rPr>
                <w:b/>
                <w:sz w:val="24"/>
              </w:rPr>
            </w:pPr>
            <w:r>
              <w:rPr>
                <w:b/>
                <w:sz w:val="24"/>
              </w:rPr>
              <w:t>Tiempo Lactancia Artificial (Biberón)</w:t>
            </w:r>
          </w:p>
        </w:tc>
        <w:tc>
          <w:tcPr>
            <w:tcW w:w="2267" w:type="dxa"/>
            <w:gridSpan w:val="2"/>
          </w:tcPr>
          <w:p>
            <w:pPr>
              <w:pStyle w:val="TableParagraph"/>
              <w:tabs>
                <w:tab w:pos="1457" w:val="left" w:leader="none"/>
                <w:tab w:pos="1495" w:val="left" w:leader="none"/>
                <w:tab w:pos="1965" w:val="left" w:leader="none"/>
              </w:tabs>
              <w:spacing w:line="276" w:lineRule="auto"/>
              <w:ind w:right="101"/>
              <w:rPr>
                <w:sz w:val="24"/>
              </w:rPr>
            </w:pPr>
            <w:r>
              <w:rPr>
                <w:sz w:val="24"/>
              </w:rPr>
              <w:t>El tiempo durante el </w:t>
            </w:r>
            <w:r>
              <w:rPr>
                <w:spacing w:val="-3"/>
                <w:sz w:val="24"/>
              </w:rPr>
              <w:t>cual </w:t>
            </w:r>
            <w:r>
              <w:rPr>
                <w:sz w:val="24"/>
              </w:rPr>
              <w:t>el niño es alimentado utilizando</w:t>
              <w:tab/>
              <w:t>leches diferentes</w:t>
              <w:tab/>
              <w:tab/>
              <w:t>a</w:t>
              <w:tab/>
              <w:t>la materna.</w:t>
            </w:r>
          </w:p>
        </w:tc>
        <w:tc>
          <w:tcPr>
            <w:tcW w:w="2694" w:type="dxa"/>
            <w:gridSpan w:val="2"/>
          </w:tcPr>
          <w:p>
            <w:pPr>
              <w:pStyle w:val="TableParagraph"/>
              <w:spacing w:line="276" w:lineRule="auto"/>
              <w:ind w:left="167" w:right="163" w:hanging="7"/>
              <w:jc w:val="center"/>
              <w:rPr>
                <w:sz w:val="24"/>
              </w:rPr>
            </w:pPr>
            <w:r>
              <w:rPr>
                <w:sz w:val="24"/>
              </w:rPr>
              <w:t>Periodo de tiempo durante el cual el niño es alimentado con formulas lácteas a través del uso de un biberón.</w:t>
            </w:r>
          </w:p>
        </w:tc>
        <w:tc>
          <w:tcPr>
            <w:tcW w:w="1700" w:type="dxa"/>
            <w:gridSpan w:val="2"/>
          </w:tcPr>
          <w:p>
            <w:pPr>
              <w:pStyle w:val="TableParagraph"/>
              <w:ind w:left="105" w:right="357"/>
              <w:rPr>
                <w:sz w:val="24"/>
              </w:rPr>
            </w:pPr>
            <w:r>
              <w:rPr>
                <w:sz w:val="24"/>
              </w:rPr>
              <w:t>Categórica</w:t>
            </w:r>
          </w:p>
        </w:tc>
        <w:tc>
          <w:tcPr>
            <w:tcW w:w="2127" w:type="dxa"/>
            <w:gridSpan w:val="2"/>
          </w:tcPr>
          <w:p>
            <w:pPr>
              <w:pStyle w:val="TableParagraph"/>
              <w:spacing w:line="280" w:lineRule="auto"/>
              <w:ind w:left="105" w:right="651"/>
              <w:rPr>
                <w:i/>
                <w:sz w:val="24"/>
              </w:rPr>
            </w:pPr>
            <w:r>
              <w:rPr>
                <w:i/>
                <w:sz w:val="24"/>
              </w:rPr>
              <w:t>0= de 0 a 12 </w:t>
            </w:r>
            <w:r>
              <w:rPr>
                <w:i/>
                <w:sz w:val="24"/>
              </w:rPr>
              <w:t>meses</w:t>
            </w:r>
          </w:p>
          <w:p>
            <w:pPr>
              <w:pStyle w:val="TableParagraph"/>
              <w:spacing w:line="276" w:lineRule="auto"/>
              <w:ind w:left="105" w:right="784"/>
              <w:rPr>
                <w:i/>
                <w:sz w:val="24"/>
              </w:rPr>
            </w:pPr>
            <w:r>
              <w:rPr>
                <w:i/>
                <w:sz w:val="24"/>
              </w:rPr>
              <w:t>1= de 0 a 6 </w:t>
            </w:r>
            <w:r>
              <w:rPr>
                <w:i/>
                <w:sz w:val="24"/>
              </w:rPr>
              <w:t>meses</w:t>
            </w:r>
          </w:p>
        </w:tc>
      </w:tr>
    </w:tbl>
    <w:p>
      <w:pPr>
        <w:spacing w:after="0" w:line="276" w:lineRule="auto"/>
        <w:rPr>
          <w:sz w:val="24"/>
        </w:rPr>
        <w:sectPr>
          <w:pgSz w:w="12240" w:h="15840"/>
          <w:pgMar w:header="0" w:footer="942" w:top="1500" w:bottom="1140" w:left="1200" w:right="460"/>
        </w:sectPr>
      </w:pPr>
    </w:p>
    <w:p>
      <w:pPr>
        <w:pStyle w:val="BodyText"/>
        <w:spacing w:before="4"/>
        <w:rPr>
          <w:rFonts w:ascii="Times New Roman"/>
          <w:sz w:val="17"/>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5"/>
        <w:gridCol w:w="2267"/>
        <w:gridCol w:w="2694"/>
        <w:gridCol w:w="1700"/>
        <w:gridCol w:w="2127"/>
      </w:tblGrid>
      <w:tr>
        <w:trPr>
          <w:trHeight w:val="2233" w:hRule="exact"/>
        </w:trPr>
        <w:tc>
          <w:tcPr>
            <w:tcW w:w="1565" w:type="dxa"/>
          </w:tcPr>
          <w:p>
            <w:pPr>
              <w:pStyle w:val="TableParagraph"/>
              <w:spacing w:line="278" w:lineRule="auto"/>
              <w:ind w:left="177" w:right="178"/>
              <w:jc w:val="center"/>
              <w:rPr>
                <w:b/>
                <w:sz w:val="24"/>
              </w:rPr>
            </w:pPr>
            <w:r>
              <w:rPr>
                <w:b/>
                <w:sz w:val="24"/>
              </w:rPr>
              <w:t>Tiempo de lactancia mixta</w:t>
            </w:r>
          </w:p>
        </w:tc>
        <w:tc>
          <w:tcPr>
            <w:tcW w:w="2267" w:type="dxa"/>
          </w:tcPr>
          <w:p>
            <w:pPr>
              <w:pStyle w:val="TableParagraph"/>
              <w:spacing w:line="276" w:lineRule="auto"/>
              <w:ind w:right="102"/>
              <w:jc w:val="both"/>
              <w:rPr>
                <w:sz w:val="24"/>
              </w:rPr>
            </w:pPr>
            <w:r>
              <w:rPr>
                <w:sz w:val="24"/>
              </w:rPr>
              <w:t>El tiempo durante el cual el niño fue alimentado tanto a seno materno como con</w:t>
            </w:r>
            <w:r>
              <w:rPr>
                <w:spacing w:val="-6"/>
                <w:sz w:val="24"/>
              </w:rPr>
              <w:t> </w:t>
            </w:r>
            <w:r>
              <w:rPr>
                <w:sz w:val="24"/>
              </w:rPr>
              <w:t>biberón</w:t>
            </w:r>
          </w:p>
        </w:tc>
        <w:tc>
          <w:tcPr>
            <w:tcW w:w="2694" w:type="dxa"/>
          </w:tcPr>
          <w:p>
            <w:pPr>
              <w:pStyle w:val="TableParagraph"/>
              <w:spacing w:line="276" w:lineRule="auto"/>
              <w:ind w:left="119" w:right="122"/>
              <w:jc w:val="center"/>
              <w:rPr>
                <w:sz w:val="24"/>
              </w:rPr>
            </w:pPr>
            <w:r>
              <w:rPr>
                <w:sz w:val="24"/>
              </w:rPr>
              <w:t>Periodo de tiempo durante el cual el niño es alimentado del pecho de su madre y a la par con formulas lácteas a través del uso de biberón</w:t>
            </w:r>
          </w:p>
        </w:tc>
        <w:tc>
          <w:tcPr>
            <w:tcW w:w="1700" w:type="dxa"/>
          </w:tcPr>
          <w:p>
            <w:pPr>
              <w:pStyle w:val="TableParagraph"/>
              <w:ind w:left="105" w:right="357"/>
              <w:rPr>
                <w:sz w:val="24"/>
              </w:rPr>
            </w:pPr>
            <w:r>
              <w:rPr>
                <w:sz w:val="24"/>
              </w:rPr>
              <w:t>Categórica</w:t>
            </w:r>
          </w:p>
        </w:tc>
        <w:tc>
          <w:tcPr>
            <w:tcW w:w="2127" w:type="dxa"/>
          </w:tcPr>
          <w:p>
            <w:pPr>
              <w:pStyle w:val="TableParagraph"/>
              <w:spacing w:line="280" w:lineRule="auto"/>
              <w:ind w:left="105" w:right="651"/>
              <w:rPr>
                <w:i/>
                <w:sz w:val="24"/>
              </w:rPr>
            </w:pPr>
            <w:r>
              <w:rPr>
                <w:i/>
                <w:sz w:val="24"/>
              </w:rPr>
              <w:t>0= de 0 a 12 </w:t>
            </w:r>
            <w:r>
              <w:rPr>
                <w:i/>
                <w:sz w:val="24"/>
              </w:rPr>
              <w:t>meses</w:t>
            </w:r>
          </w:p>
          <w:p>
            <w:pPr>
              <w:pStyle w:val="TableParagraph"/>
              <w:spacing w:line="276" w:lineRule="auto"/>
              <w:ind w:left="105" w:right="784"/>
              <w:rPr>
                <w:i/>
                <w:sz w:val="24"/>
              </w:rPr>
            </w:pPr>
            <w:r>
              <w:rPr>
                <w:i/>
                <w:sz w:val="24"/>
              </w:rPr>
              <w:t>1= de 0 a 6 </w:t>
            </w:r>
            <w:r>
              <w:rPr>
                <w:i/>
                <w:sz w:val="24"/>
              </w:rPr>
              <w:t>meses</w:t>
            </w:r>
          </w:p>
        </w:tc>
      </w:tr>
      <w:tr>
        <w:trPr>
          <w:trHeight w:val="1599" w:hRule="exact"/>
        </w:trPr>
        <w:tc>
          <w:tcPr>
            <w:tcW w:w="1565" w:type="dxa"/>
          </w:tcPr>
          <w:p>
            <w:pPr>
              <w:pStyle w:val="TableParagraph"/>
              <w:spacing w:line="267" w:lineRule="exact"/>
              <w:ind w:left="479"/>
              <w:rPr>
                <w:b/>
                <w:sz w:val="24"/>
              </w:rPr>
            </w:pPr>
            <w:r>
              <w:rPr>
                <w:b/>
                <w:sz w:val="24"/>
              </w:rPr>
              <w:t>Edad</w:t>
            </w:r>
          </w:p>
        </w:tc>
        <w:tc>
          <w:tcPr>
            <w:tcW w:w="2267" w:type="dxa"/>
          </w:tcPr>
          <w:p>
            <w:pPr>
              <w:pStyle w:val="TableParagraph"/>
              <w:tabs>
                <w:tab w:pos="1435" w:val="left" w:leader="none"/>
              </w:tabs>
              <w:jc w:val="both"/>
              <w:rPr>
                <w:sz w:val="24"/>
              </w:rPr>
            </w:pPr>
            <w:r>
              <w:rPr>
                <w:sz w:val="24"/>
              </w:rPr>
              <w:t>El</w:t>
              <w:tab/>
              <w:t>tiempo</w:t>
            </w:r>
          </w:p>
          <w:p>
            <w:pPr>
              <w:pStyle w:val="TableParagraph"/>
              <w:spacing w:line="240" w:lineRule="auto" w:before="41"/>
              <w:jc w:val="both"/>
              <w:rPr>
                <w:sz w:val="24"/>
              </w:rPr>
            </w:pPr>
            <w:r>
              <w:rPr>
                <w:sz w:val="24"/>
              </w:rPr>
              <w:t>transcurrido     </w:t>
            </w:r>
            <w:r>
              <w:rPr>
                <w:spacing w:val="63"/>
                <w:sz w:val="24"/>
              </w:rPr>
              <w:t> </w:t>
            </w:r>
            <w:r>
              <w:rPr>
                <w:spacing w:val="-3"/>
                <w:sz w:val="24"/>
              </w:rPr>
              <w:t>del</w:t>
            </w:r>
          </w:p>
          <w:p>
            <w:pPr>
              <w:pStyle w:val="TableParagraph"/>
              <w:spacing w:line="276" w:lineRule="auto" w:before="45"/>
              <w:ind w:right="102"/>
              <w:jc w:val="both"/>
              <w:rPr>
                <w:sz w:val="24"/>
              </w:rPr>
            </w:pPr>
            <w:r>
              <w:rPr>
                <w:sz w:val="24"/>
              </w:rPr>
              <w:t>nacimiento del paciente a  la fecha.</w:t>
            </w:r>
          </w:p>
        </w:tc>
        <w:tc>
          <w:tcPr>
            <w:tcW w:w="2694" w:type="dxa"/>
          </w:tcPr>
          <w:p>
            <w:pPr>
              <w:pStyle w:val="TableParagraph"/>
              <w:spacing w:line="276" w:lineRule="auto"/>
              <w:ind w:left="888" w:right="202" w:hanging="668"/>
              <w:rPr>
                <w:sz w:val="24"/>
              </w:rPr>
            </w:pPr>
            <w:r>
              <w:rPr>
                <w:sz w:val="24"/>
              </w:rPr>
              <w:t>Edad cronológica del paciente</w:t>
            </w:r>
          </w:p>
        </w:tc>
        <w:tc>
          <w:tcPr>
            <w:tcW w:w="1700" w:type="dxa"/>
          </w:tcPr>
          <w:p>
            <w:pPr>
              <w:pStyle w:val="TableParagraph"/>
              <w:ind w:left="264"/>
              <w:rPr>
                <w:sz w:val="24"/>
              </w:rPr>
            </w:pPr>
            <w:r>
              <w:rPr>
                <w:sz w:val="24"/>
              </w:rPr>
              <w:t>Categórica</w:t>
            </w:r>
          </w:p>
        </w:tc>
        <w:tc>
          <w:tcPr>
            <w:tcW w:w="2127" w:type="dxa"/>
          </w:tcPr>
          <w:p>
            <w:pPr>
              <w:pStyle w:val="TableParagraph"/>
              <w:ind w:left="105" w:right="486"/>
              <w:rPr>
                <w:i/>
                <w:sz w:val="24"/>
              </w:rPr>
            </w:pPr>
            <w:r>
              <w:rPr>
                <w:i/>
                <w:sz w:val="24"/>
              </w:rPr>
              <w:t>3 años=1</w:t>
            </w:r>
          </w:p>
          <w:p>
            <w:pPr>
              <w:pStyle w:val="TableParagraph"/>
              <w:spacing w:line="240" w:lineRule="auto" w:before="41"/>
              <w:ind w:left="105" w:right="486"/>
              <w:rPr>
                <w:i/>
                <w:sz w:val="24"/>
              </w:rPr>
            </w:pPr>
            <w:r>
              <w:rPr>
                <w:i/>
                <w:sz w:val="24"/>
              </w:rPr>
              <w:t>4años =2</w:t>
            </w:r>
          </w:p>
          <w:p>
            <w:pPr>
              <w:pStyle w:val="TableParagraph"/>
              <w:spacing w:line="240" w:lineRule="auto" w:before="45"/>
              <w:ind w:left="105" w:right="486"/>
              <w:rPr>
                <w:i/>
                <w:sz w:val="24"/>
              </w:rPr>
            </w:pPr>
            <w:r>
              <w:rPr>
                <w:i/>
                <w:sz w:val="24"/>
              </w:rPr>
              <w:t>5 años =3</w:t>
            </w:r>
          </w:p>
        </w:tc>
      </w:tr>
    </w:tbl>
    <w:p>
      <w:pPr>
        <w:pStyle w:val="BodyText"/>
        <w:rPr>
          <w:rFonts w:ascii="Times New Roman"/>
          <w:sz w:val="20"/>
        </w:rPr>
      </w:pPr>
    </w:p>
    <w:p>
      <w:pPr>
        <w:pStyle w:val="BodyText"/>
        <w:spacing w:before="2"/>
        <w:rPr>
          <w:rFonts w:ascii="Times New Roman"/>
          <w:sz w:val="26"/>
        </w:rPr>
      </w:pPr>
    </w:p>
    <w:p>
      <w:pPr>
        <w:pStyle w:val="ListParagraph"/>
        <w:numPr>
          <w:ilvl w:val="1"/>
          <w:numId w:val="12"/>
        </w:numPr>
        <w:tabs>
          <w:tab w:pos="620" w:val="left" w:leader="none"/>
        </w:tabs>
        <w:spacing w:line="240" w:lineRule="auto" w:before="69" w:after="0"/>
        <w:ind w:left="619" w:right="0" w:hanging="403"/>
        <w:jc w:val="both"/>
        <w:rPr>
          <w:b/>
          <w:sz w:val="24"/>
        </w:rPr>
      </w:pPr>
      <w:r>
        <w:rPr>
          <w:b/>
          <w:sz w:val="24"/>
        </w:rPr>
        <w:t>Procedimiento</w:t>
      </w:r>
    </w:p>
    <w:p>
      <w:pPr>
        <w:pStyle w:val="BodyText"/>
        <w:spacing w:before="3"/>
        <w:rPr>
          <w:b/>
          <w:sz w:val="30"/>
        </w:rPr>
      </w:pPr>
    </w:p>
    <w:p>
      <w:pPr>
        <w:spacing w:line="360" w:lineRule="auto" w:before="0"/>
        <w:ind w:left="216" w:right="1235" w:firstLine="0"/>
        <w:jc w:val="both"/>
        <w:rPr>
          <w:i/>
          <w:sz w:val="24"/>
        </w:rPr>
      </w:pPr>
      <w:r>
        <w:rPr>
          <w:i/>
          <w:sz w:val="24"/>
        </w:rPr>
        <w:t>Se aplicó un cuestionario a los padres, sobre los hábitos de alimentación durante los </w:t>
      </w:r>
      <w:r>
        <w:rPr>
          <w:i/>
          <w:sz w:val="24"/>
        </w:rPr>
        <w:t>primeros meses de vida, a los padres de familia de los alumnos del Jardín de niños “</w:t>
      </w:r>
      <w:r>
        <w:rPr>
          <w:sz w:val="24"/>
        </w:rPr>
        <w:t>Consuelo Rodríguez de Fernández Albarrán</w:t>
      </w:r>
      <w:r>
        <w:rPr>
          <w:i/>
          <w:sz w:val="24"/>
        </w:rPr>
        <w:t>” perteneciente al DIF, que se </w:t>
      </w:r>
      <w:r>
        <w:rPr>
          <w:i/>
          <w:sz w:val="24"/>
        </w:rPr>
        <w:t>encontraban en edades de 3 a 5 años; en el periodo de tiempo de junio- julio de 2013; y que presentaron dentición temporal completa. Los cuestionarios contenían nombre, edad, fecha de aplicación, folio y fueron archivados (ver anexo 1) junto con este formato se entregó un consentimiento informado (ver anexo 3) en el cual los padres autorizaron la participación en el</w:t>
      </w:r>
      <w:r>
        <w:rPr>
          <w:i/>
          <w:spacing w:val="-27"/>
          <w:sz w:val="24"/>
        </w:rPr>
        <w:t> </w:t>
      </w:r>
      <w:r>
        <w:rPr>
          <w:i/>
          <w:sz w:val="24"/>
        </w:rPr>
        <w:t>estudio.</w:t>
      </w:r>
    </w:p>
    <w:p>
      <w:pPr>
        <w:spacing w:line="360" w:lineRule="auto" w:before="205"/>
        <w:ind w:left="216" w:right="1234" w:firstLine="0"/>
        <w:jc w:val="both"/>
        <w:rPr>
          <w:i/>
          <w:sz w:val="24"/>
        </w:rPr>
      </w:pPr>
      <w:r>
        <w:rPr>
          <w:i/>
          <w:sz w:val="24"/>
        </w:rPr>
        <w:t>Posteriormente </w:t>
      </w:r>
      <w:r>
        <w:rPr>
          <w:i/>
          <w:spacing w:val="-3"/>
          <w:sz w:val="24"/>
        </w:rPr>
        <w:t>se </w:t>
      </w:r>
      <w:r>
        <w:rPr>
          <w:i/>
          <w:sz w:val="24"/>
        </w:rPr>
        <w:t>realizó examen bucal de los alumnos con espejo dental y guantes </w:t>
      </w:r>
      <w:r>
        <w:rPr>
          <w:i/>
          <w:sz w:val="24"/>
        </w:rPr>
        <w:t>a fin de examinar la relación molar y canina de la dentición temporal, ancho intermolar e intercanino, sobremordidas vertical y horizontal, presencia de espacios generalizados, espacios primates, curva de Spee, apiñamiento, mordida cruzada anterior, mordida cruzada posterior, mordida abierta anterior, mordida abierta posterior, mordida borde a borde, atrición, y abrasión de los alumnos. Los resultados fueron registrados en un formato que incluyó folio, el nombre y edad del paciente (ver anexo</w:t>
      </w:r>
      <w:r>
        <w:rPr>
          <w:i/>
          <w:spacing w:val="-2"/>
          <w:sz w:val="24"/>
        </w:rPr>
        <w:t> </w:t>
      </w:r>
      <w:r>
        <w:rPr>
          <w:i/>
          <w:sz w:val="24"/>
        </w:rPr>
        <w:t>2).</w:t>
      </w:r>
    </w:p>
    <w:p>
      <w:pPr>
        <w:spacing w:after="0" w:line="360" w:lineRule="auto"/>
        <w:jc w:val="both"/>
        <w:rPr>
          <w:sz w:val="24"/>
        </w:rPr>
        <w:sectPr>
          <w:pgSz w:w="12240" w:h="15840"/>
          <w:pgMar w:header="0" w:footer="942" w:top="1500" w:bottom="1140" w:left="1200" w:right="460"/>
        </w:sectPr>
      </w:pPr>
    </w:p>
    <w:p>
      <w:pPr>
        <w:pStyle w:val="BodyText"/>
        <w:spacing w:before="10"/>
        <w:rPr>
          <w:i/>
          <w:sz w:val="10"/>
        </w:rPr>
      </w:pPr>
    </w:p>
    <w:p>
      <w:pPr>
        <w:spacing w:line="360" w:lineRule="auto" w:before="70"/>
        <w:ind w:left="116" w:right="6" w:firstLine="0"/>
        <w:jc w:val="left"/>
        <w:rPr>
          <w:i/>
          <w:sz w:val="24"/>
        </w:rPr>
      </w:pPr>
      <w:r>
        <w:rPr>
          <w:i/>
          <w:sz w:val="24"/>
        </w:rPr>
        <w:t>Una vez obtenidos los cuestionarios y realizado el examen clínico, los pacientes se </w:t>
      </w:r>
      <w:r>
        <w:rPr>
          <w:i/>
          <w:sz w:val="24"/>
        </w:rPr>
        <w:t>dividieron en los siguientes</w:t>
      </w:r>
      <w:r>
        <w:rPr>
          <w:i/>
          <w:spacing w:val="51"/>
          <w:sz w:val="24"/>
        </w:rPr>
        <w:t> </w:t>
      </w:r>
      <w:r>
        <w:rPr>
          <w:i/>
          <w:sz w:val="24"/>
        </w:rPr>
        <w:t>grupos:</w:t>
      </w:r>
    </w:p>
    <w:p>
      <w:pPr>
        <w:pStyle w:val="Heading2"/>
        <w:numPr>
          <w:ilvl w:val="0"/>
          <w:numId w:val="13"/>
        </w:numPr>
        <w:tabs>
          <w:tab w:pos="477" w:val="left" w:leader="none"/>
        </w:tabs>
        <w:spacing w:line="240" w:lineRule="auto" w:before="204" w:after="0"/>
        <w:ind w:left="476" w:right="0" w:hanging="360"/>
        <w:jc w:val="left"/>
        <w:rPr>
          <w:i/>
        </w:rPr>
      </w:pPr>
      <w:r>
        <w:rPr>
          <w:i/>
        </w:rPr>
        <w:t>De acuerdo a relación</w:t>
      </w:r>
      <w:r>
        <w:rPr>
          <w:i/>
          <w:spacing w:val="-9"/>
        </w:rPr>
        <w:t> </w:t>
      </w:r>
      <w:r>
        <w:rPr>
          <w:i/>
        </w:rPr>
        <w:t>molar</w:t>
      </w:r>
    </w:p>
    <w:p>
      <w:pPr>
        <w:pStyle w:val="BodyText"/>
        <w:spacing w:before="4"/>
        <w:rPr>
          <w:b/>
          <w:i/>
          <w:sz w:val="29"/>
        </w:rPr>
      </w:pPr>
    </w:p>
    <w:p>
      <w:pPr>
        <w:spacing w:before="1"/>
        <w:ind w:left="476" w:right="6" w:firstLine="0"/>
        <w:jc w:val="left"/>
        <w:rPr>
          <w:i/>
          <w:sz w:val="24"/>
        </w:rPr>
      </w:pPr>
      <w:r>
        <w:rPr>
          <w:i/>
          <w:sz w:val="24"/>
        </w:rPr>
        <w:t>Derecho e Izquierdo</w:t>
      </w:r>
    </w:p>
    <w:p>
      <w:pPr>
        <w:pStyle w:val="BodyText"/>
        <w:spacing w:line="360" w:lineRule="auto" w:before="142"/>
        <w:ind w:left="476" w:right="4161"/>
      </w:pPr>
      <w:r>
        <w:rPr/>
        <w:t>0=Plano terminal recto / Escalón mesial 1=Escalón distal/ Escalón mesial exagerado</w:t>
      </w:r>
    </w:p>
    <w:p>
      <w:pPr>
        <w:pStyle w:val="ListParagraph"/>
        <w:numPr>
          <w:ilvl w:val="0"/>
          <w:numId w:val="13"/>
        </w:numPr>
        <w:tabs>
          <w:tab w:pos="477" w:val="left" w:leader="none"/>
        </w:tabs>
        <w:spacing w:line="362" w:lineRule="auto" w:before="2" w:after="0"/>
        <w:ind w:left="476" w:right="5559" w:hanging="360"/>
        <w:jc w:val="left"/>
        <w:rPr>
          <w:i/>
          <w:sz w:val="24"/>
        </w:rPr>
      </w:pPr>
      <w:r>
        <w:rPr>
          <w:b/>
          <w:i/>
          <w:sz w:val="24"/>
        </w:rPr>
        <w:t>De acuerdo a relación canina </w:t>
      </w:r>
      <w:r>
        <w:rPr>
          <w:i/>
          <w:sz w:val="24"/>
        </w:rPr>
        <w:t>Derecho e Izquierdo </w:t>
      </w:r>
      <w:r>
        <w:rPr>
          <w:i/>
          <w:sz w:val="24"/>
        </w:rPr>
        <w:t>0=Relación canina clase</w:t>
      </w:r>
      <w:r>
        <w:rPr>
          <w:i/>
          <w:spacing w:val="-13"/>
          <w:sz w:val="24"/>
        </w:rPr>
        <w:t> </w:t>
      </w:r>
      <w:r>
        <w:rPr>
          <w:i/>
          <w:sz w:val="24"/>
        </w:rPr>
        <w:t>I</w:t>
      </w:r>
    </w:p>
    <w:p>
      <w:pPr>
        <w:spacing w:before="0"/>
        <w:ind w:left="476" w:right="6" w:firstLine="0"/>
        <w:jc w:val="left"/>
        <w:rPr>
          <w:i/>
          <w:sz w:val="24"/>
        </w:rPr>
      </w:pPr>
      <w:r>
        <w:rPr>
          <w:i/>
          <w:sz w:val="24"/>
        </w:rPr>
        <w:t>1= Relación canina Clase II / Relación canina Clase III</w:t>
      </w:r>
    </w:p>
    <w:p>
      <w:pPr>
        <w:pStyle w:val="Heading1"/>
        <w:numPr>
          <w:ilvl w:val="0"/>
          <w:numId w:val="13"/>
        </w:numPr>
        <w:tabs>
          <w:tab w:pos="477" w:val="left" w:leader="none"/>
        </w:tabs>
        <w:spacing w:line="240" w:lineRule="auto" w:before="132" w:after="0"/>
        <w:ind w:left="476" w:right="0" w:hanging="360"/>
        <w:jc w:val="left"/>
      </w:pPr>
      <w:r>
        <w:rPr/>
        <w:t>De acuerdo al ancho</w:t>
      </w:r>
      <w:r>
        <w:rPr>
          <w:spacing w:val="-13"/>
        </w:rPr>
        <w:t> </w:t>
      </w:r>
      <w:r>
        <w:rPr/>
        <w:t>intermolar</w:t>
      </w:r>
    </w:p>
    <w:p>
      <w:pPr>
        <w:pStyle w:val="BodyText"/>
        <w:spacing w:line="362" w:lineRule="auto" w:before="142"/>
        <w:ind w:left="476" w:right="6236"/>
      </w:pPr>
      <w:r>
        <w:rPr/>
        <w:t>Superior: medido en mm Inferior: medido en mm</w:t>
      </w:r>
    </w:p>
    <w:p>
      <w:pPr>
        <w:pStyle w:val="Heading1"/>
        <w:numPr>
          <w:ilvl w:val="0"/>
          <w:numId w:val="13"/>
        </w:numPr>
        <w:tabs>
          <w:tab w:pos="477" w:val="left" w:leader="none"/>
        </w:tabs>
        <w:spacing w:line="271" w:lineRule="exact" w:before="0" w:after="0"/>
        <w:ind w:left="476" w:right="0" w:hanging="360"/>
        <w:jc w:val="left"/>
      </w:pPr>
      <w:r>
        <w:rPr/>
        <w:t>De acuerdo a ancho</w:t>
      </w:r>
      <w:r>
        <w:rPr>
          <w:spacing w:val="-17"/>
        </w:rPr>
        <w:t> </w:t>
      </w:r>
      <w:r>
        <w:rPr/>
        <w:t>intercanino</w:t>
      </w:r>
    </w:p>
    <w:p>
      <w:pPr>
        <w:pStyle w:val="BodyText"/>
        <w:spacing w:line="360" w:lineRule="auto" w:before="141"/>
        <w:ind w:left="476" w:right="6236"/>
      </w:pPr>
      <w:r>
        <w:rPr/>
        <w:t>Superior: medido en mm Inferior: medido en mm</w:t>
      </w:r>
    </w:p>
    <w:p>
      <w:pPr>
        <w:pStyle w:val="Heading1"/>
        <w:numPr>
          <w:ilvl w:val="0"/>
          <w:numId w:val="13"/>
        </w:numPr>
        <w:tabs>
          <w:tab w:pos="477" w:val="left" w:leader="none"/>
        </w:tabs>
        <w:spacing w:line="240" w:lineRule="auto" w:before="2" w:after="0"/>
        <w:ind w:left="476" w:right="0" w:hanging="360"/>
        <w:jc w:val="left"/>
      </w:pPr>
      <w:r>
        <w:rPr/>
        <w:t>De acuerdo a los espacios</w:t>
      </w:r>
      <w:r>
        <w:rPr>
          <w:spacing w:val="-23"/>
        </w:rPr>
        <w:t> </w:t>
      </w:r>
      <w:r>
        <w:rPr/>
        <w:t>generalizados</w:t>
      </w:r>
    </w:p>
    <w:p>
      <w:pPr>
        <w:pStyle w:val="BodyText"/>
        <w:tabs>
          <w:tab w:pos="812" w:val="left" w:leader="none"/>
        </w:tabs>
        <w:spacing w:before="141"/>
        <w:ind w:left="476" w:right="6"/>
      </w:pPr>
      <w:r>
        <w:rPr/>
        <w:t>0</w:t>
        <w:tab/>
        <w:t>=</w:t>
      </w:r>
      <w:r>
        <w:rPr>
          <w:spacing w:val="-4"/>
        </w:rPr>
        <w:t> </w:t>
      </w:r>
      <w:r>
        <w:rPr/>
        <w:t>Ausente</w:t>
      </w:r>
    </w:p>
    <w:p>
      <w:pPr>
        <w:pStyle w:val="BodyText"/>
        <w:tabs>
          <w:tab w:pos="836" w:val="left" w:leader="none"/>
        </w:tabs>
        <w:spacing w:before="137"/>
        <w:ind w:left="476" w:right="6"/>
      </w:pPr>
      <w:r>
        <w:rPr/>
        <w:t>1</w:t>
        <w:tab/>
        <w:t>=Presente</w:t>
      </w:r>
    </w:p>
    <w:p>
      <w:pPr>
        <w:pStyle w:val="Heading1"/>
        <w:numPr>
          <w:ilvl w:val="0"/>
          <w:numId w:val="13"/>
        </w:numPr>
        <w:tabs>
          <w:tab w:pos="477" w:val="left" w:leader="none"/>
        </w:tabs>
        <w:spacing w:line="240" w:lineRule="auto" w:before="132" w:after="0"/>
        <w:ind w:left="476" w:right="0" w:hanging="360"/>
        <w:jc w:val="left"/>
      </w:pPr>
      <w:r>
        <w:rPr/>
        <w:t>De acuerdo a espacios</w:t>
      </w:r>
      <w:r>
        <w:rPr>
          <w:spacing w:val="-15"/>
        </w:rPr>
        <w:t> </w:t>
      </w:r>
      <w:r>
        <w:rPr/>
        <w:t>primates</w:t>
      </w:r>
    </w:p>
    <w:p>
      <w:pPr>
        <w:pStyle w:val="BodyText"/>
        <w:spacing w:line="360" w:lineRule="auto" w:before="146"/>
        <w:ind w:left="476" w:right="7629"/>
      </w:pPr>
      <w:r>
        <w:rPr/>
        <w:t>0=Ausente 1=Presente</w:t>
      </w:r>
    </w:p>
    <w:p>
      <w:pPr>
        <w:pStyle w:val="Heading1"/>
        <w:numPr>
          <w:ilvl w:val="0"/>
          <w:numId w:val="13"/>
        </w:numPr>
        <w:tabs>
          <w:tab w:pos="477" w:val="left" w:leader="none"/>
        </w:tabs>
        <w:spacing w:line="274" w:lineRule="exact" w:before="0" w:after="0"/>
        <w:ind w:left="476" w:right="0" w:hanging="360"/>
        <w:jc w:val="left"/>
      </w:pPr>
      <w:r>
        <w:rPr/>
        <w:t>De acuerdo a curva de</w:t>
      </w:r>
      <w:r>
        <w:rPr>
          <w:spacing w:val="-11"/>
        </w:rPr>
        <w:t> </w:t>
      </w:r>
      <w:r>
        <w:rPr/>
        <w:t>Spee</w:t>
      </w:r>
    </w:p>
    <w:p>
      <w:pPr>
        <w:pStyle w:val="BodyText"/>
        <w:spacing w:line="362" w:lineRule="auto" w:before="142"/>
        <w:ind w:left="452" w:right="7653" w:firstLine="24"/>
      </w:pPr>
      <w:r>
        <w:rPr/>
        <w:t>0=Ausente 1=Presente</w:t>
      </w:r>
    </w:p>
    <w:p>
      <w:pPr>
        <w:pStyle w:val="Heading1"/>
        <w:numPr>
          <w:ilvl w:val="0"/>
          <w:numId w:val="13"/>
        </w:numPr>
        <w:tabs>
          <w:tab w:pos="477" w:val="left" w:leader="none"/>
        </w:tabs>
        <w:spacing w:line="271" w:lineRule="exact" w:before="0" w:after="0"/>
        <w:ind w:left="476" w:right="0" w:hanging="360"/>
        <w:jc w:val="left"/>
      </w:pPr>
      <w:r>
        <w:rPr/>
        <w:t>De acuerdo a sobre</w:t>
      </w:r>
      <w:r>
        <w:rPr>
          <w:spacing w:val="-12"/>
        </w:rPr>
        <w:t> </w:t>
      </w:r>
      <w:r>
        <w:rPr/>
        <w:t>mordida:</w:t>
      </w:r>
    </w:p>
    <w:p>
      <w:pPr>
        <w:pStyle w:val="ListParagraph"/>
        <w:numPr>
          <w:ilvl w:val="1"/>
          <w:numId w:val="13"/>
        </w:numPr>
        <w:tabs>
          <w:tab w:pos="836" w:val="left" w:leader="none"/>
          <w:tab w:pos="837" w:val="left" w:leader="none"/>
        </w:tabs>
        <w:spacing w:line="357" w:lineRule="auto" w:before="140" w:after="0"/>
        <w:ind w:left="476" w:right="7301" w:firstLine="0"/>
        <w:jc w:val="left"/>
        <w:rPr>
          <w:sz w:val="24"/>
        </w:rPr>
      </w:pPr>
      <w:r>
        <w:rPr>
          <w:sz w:val="24"/>
        </w:rPr>
        <w:t>Vertical: 0=30-80% </w:t>
      </w:r>
      <w:r>
        <w:rPr>
          <w:spacing w:val="-1"/>
          <w:sz w:val="24"/>
        </w:rPr>
        <w:t>1=&gt;30%,&lt;80%</w:t>
      </w:r>
    </w:p>
    <w:p>
      <w:pPr>
        <w:spacing w:after="0" w:line="357" w:lineRule="auto"/>
        <w:jc w:val="left"/>
        <w:rPr>
          <w:sz w:val="24"/>
        </w:rPr>
        <w:sectPr>
          <w:pgSz w:w="12240" w:h="15840"/>
          <w:pgMar w:header="0" w:footer="942" w:top="1500" w:bottom="1200" w:left="1300" w:right="1580"/>
        </w:sectPr>
      </w:pPr>
    </w:p>
    <w:p>
      <w:pPr>
        <w:pStyle w:val="BodyText"/>
        <w:spacing w:before="11"/>
        <w:rPr>
          <w:sz w:val="11"/>
        </w:rPr>
      </w:pPr>
    </w:p>
    <w:p>
      <w:pPr>
        <w:pStyle w:val="ListParagraph"/>
        <w:numPr>
          <w:ilvl w:val="1"/>
          <w:numId w:val="13"/>
        </w:numPr>
        <w:tabs>
          <w:tab w:pos="836" w:val="left" w:leader="none"/>
          <w:tab w:pos="837" w:val="left" w:leader="none"/>
        </w:tabs>
        <w:spacing w:line="357" w:lineRule="auto" w:before="56" w:after="0"/>
        <w:ind w:left="476" w:right="7059" w:firstLine="0"/>
        <w:jc w:val="left"/>
        <w:rPr>
          <w:sz w:val="24"/>
        </w:rPr>
      </w:pPr>
      <w:r>
        <w:rPr>
          <w:sz w:val="24"/>
        </w:rPr>
        <w:t>Horizontal: 0=2-3mm 1=&gt;2mm</w:t>
      </w:r>
      <w:r>
        <w:rPr>
          <w:spacing w:val="-9"/>
          <w:sz w:val="24"/>
        </w:rPr>
        <w:t> </w:t>
      </w:r>
      <w:r>
        <w:rPr>
          <w:sz w:val="24"/>
        </w:rPr>
        <w:t>&gt;3mm</w:t>
      </w:r>
    </w:p>
    <w:p>
      <w:pPr>
        <w:pStyle w:val="Heading1"/>
        <w:numPr>
          <w:ilvl w:val="0"/>
          <w:numId w:val="13"/>
        </w:numPr>
        <w:tabs>
          <w:tab w:pos="476" w:val="left" w:leader="none"/>
          <w:tab w:pos="477" w:val="left" w:leader="none"/>
        </w:tabs>
        <w:spacing w:line="240" w:lineRule="auto" w:before="0" w:after="0"/>
        <w:ind w:left="476" w:right="0" w:hanging="360"/>
        <w:jc w:val="left"/>
      </w:pPr>
      <w:r>
        <w:rPr/>
        <w:t>Apiñamiento inferior y superior</w:t>
      </w:r>
      <w:r>
        <w:rPr>
          <w:spacing w:val="-16"/>
        </w:rPr>
        <w:t> </w:t>
      </w:r>
      <w:r>
        <w:rPr/>
        <w:t>:</w:t>
      </w:r>
    </w:p>
    <w:p>
      <w:pPr>
        <w:pStyle w:val="BodyText"/>
        <w:spacing w:line="360" w:lineRule="auto" w:before="146"/>
        <w:ind w:left="476" w:right="7489"/>
      </w:pPr>
      <w:r>
        <w:rPr/>
        <w:t>0= Ausente 1=Presente</w:t>
      </w:r>
    </w:p>
    <w:p>
      <w:pPr>
        <w:pStyle w:val="Heading1"/>
        <w:numPr>
          <w:ilvl w:val="0"/>
          <w:numId w:val="13"/>
        </w:numPr>
        <w:tabs>
          <w:tab w:pos="477" w:val="left" w:leader="none"/>
        </w:tabs>
        <w:spacing w:line="274" w:lineRule="exact" w:before="0" w:after="0"/>
        <w:ind w:left="476" w:right="0" w:hanging="360"/>
        <w:jc w:val="left"/>
      </w:pPr>
      <w:r>
        <w:rPr/>
        <w:t>De acuerdo a mordida cruzada</w:t>
      </w:r>
      <w:r>
        <w:rPr>
          <w:spacing w:val="-23"/>
        </w:rPr>
        <w:t> </w:t>
      </w:r>
      <w:r>
        <w:rPr/>
        <w:t>anterior:</w:t>
      </w:r>
    </w:p>
    <w:p>
      <w:pPr>
        <w:pStyle w:val="BodyText"/>
        <w:spacing w:line="362" w:lineRule="auto" w:before="141"/>
        <w:ind w:left="519" w:right="7446" w:hanging="44"/>
      </w:pPr>
      <w:r>
        <w:rPr/>
        <w:t>0= Ausente 1=Presente</w:t>
      </w:r>
    </w:p>
    <w:p>
      <w:pPr>
        <w:pStyle w:val="Heading1"/>
        <w:numPr>
          <w:ilvl w:val="0"/>
          <w:numId w:val="13"/>
        </w:numPr>
        <w:tabs>
          <w:tab w:pos="544" w:val="left" w:leader="none"/>
        </w:tabs>
        <w:spacing w:line="272" w:lineRule="exact" w:before="0" w:after="0"/>
        <w:ind w:left="543" w:right="0" w:hanging="427"/>
        <w:jc w:val="left"/>
      </w:pPr>
      <w:r>
        <w:rPr/>
        <w:t>De acuerdo a mordida cruzada</w:t>
      </w:r>
      <w:r>
        <w:rPr>
          <w:spacing w:val="49"/>
        </w:rPr>
        <w:t> </w:t>
      </w:r>
      <w:r>
        <w:rPr/>
        <w:t>posterior:</w:t>
      </w:r>
    </w:p>
    <w:p>
      <w:pPr>
        <w:pStyle w:val="BodyText"/>
        <w:spacing w:line="360" w:lineRule="auto" w:before="141"/>
        <w:ind w:left="476" w:right="7489"/>
      </w:pPr>
      <w:r>
        <w:rPr/>
        <w:t>0=Ausente 1=Presente</w:t>
      </w:r>
    </w:p>
    <w:p>
      <w:pPr>
        <w:pStyle w:val="Heading1"/>
        <w:numPr>
          <w:ilvl w:val="0"/>
          <w:numId w:val="13"/>
        </w:numPr>
        <w:tabs>
          <w:tab w:pos="543" w:val="left" w:leader="none"/>
          <w:tab w:pos="544" w:val="left" w:leader="none"/>
        </w:tabs>
        <w:spacing w:line="240" w:lineRule="auto" w:before="3" w:after="0"/>
        <w:ind w:left="543" w:right="0" w:hanging="427"/>
        <w:jc w:val="left"/>
      </w:pPr>
      <w:r>
        <w:rPr/>
        <w:t>De acuerdo a mordida abierta</w:t>
      </w:r>
      <w:r>
        <w:rPr>
          <w:spacing w:val="-22"/>
        </w:rPr>
        <w:t> </w:t>
      </w:r>
      <w:r>
        <w:rPr/>
        <w:t>anterior:</w:t>
      </w:r>
    </w:p>
    <w:p>
      <w:pPr>
        <w:pStyle w:val="BodyText"/>
        <w:spacing w:line="360" w:lineRule="auto" w:before="141"/>
        <w:ind w:left="476" w:right="7489"/>
      </w:pPr>
      <w:r>
        <w:rPr/>
        <w:t>0=Ausente 1=Presente</w:t>
      </w:r>
    </w:p>
    <w:p>
      <w:pPr>
        <w:pStyle w:val="Heading1"/>
        <w:numPr>
          <w:ilvl w:val="0"/>
          <w:numId w:val="13"/>
        </w:numPr>
        <w:tabs>
          <w:tab w:pos="477" w:val="left" w:leader="none"/>
        </w:tabs>
        <w:spacing w:line="274" w:lineRule="exact" w:before="0" w:after="0"/>
        <w:ind w:left="476" w:right="0" w:hanging="360"/>
        <w:jc w:val="left"/>
      </w:pPr>
      <w:r>
        <w:rPr/>
        <w:t>De acuerdo a mordida abierta posterior</w:t>
      </w:r>
      <w:r>
        <w:rPr>
          <w:spacing w:val="-21"/>
        </w:rPr>
        <w:t> </w:t>
      </w:r>
      <w:r>
        <w:rPr/>
        <w:t>:</w:t>
      </w:r>
    </w:p>
    <w:p>
      <w:pPr>
        <w:pStyle w:val="BodyText"/>
        <w:spacing w:line="360" w:lineRule="auto" w:before="147"/>
        <w:ind w:left="519" w:right="7446" w:hanging="44"/>
      </w:pPr>
      <w:r>
        <w:rPr/>
        <w:t>0=Ausente 1=Presente</w:t>
      </w:r>
    </w:p>
    <w:p>
      <w:pPr>
        <w:pStyle w:val="Heading1"/>
        <w:numPr>
          <w:ilvl w:val="0"/>
          <w:numId w:val="13"/>
        </w:numPr>
        <w:tabs>
          <w:tab w:pos="477" w:val="left" w:leader="none"/>
        </w:tabs>
        <w:spacing w:line="274" w:lineRule="exact" w:before="0" w:after="0"/>
        <w:ind w:left="476" w:right="0" w:hanging="360"/>
        <w:jc w:val="left"/>
      </w:pPr>
      <w:r>
        <w:rPr/>
        <w:t>De acuerdo a mordida borde a</w:t>
      </w:r>
      <w:r>
        <w:rPr>
          <w:spacing w:val="-20"/>
        </w:rPr>
        <w:t> </w:t>
      </w:r>
      <w:r>
        <w:rPr/>
        <w:t>borde</w:t>
      </w:r>
    </w:p>
    <w:p>
      <w:pPr>
        <w:pStyle w:val="BodyText"/>
        <w:spacing w:line="364" w:lineRule="auto" w:before="141"/>
        <w:ind w:left="476" w:right="7489"/>
      </w:pPr>
      <w:r>
        <w:rPr/>
        <w:t>0=Ausente 1=Presente</w:t>
      </w:r>
    </w:p>
    <w:p>
      <w:pPr>
        <w:pStyle w:val="Heading1"/>
        <w:numPr>
          <w:ilvl w:val="0"/>
          <w:numId w:val="13"/>
        </w:numPr>
        <w:tabs>
          <w:tab w:pos="477" w:val="left" w:leader="none"/>
        </w:tabs>
        <w:spacing w:line="269" w:lineRule="exact" w:before="0" w:after="0"/>
        <w:ind w:left="476" w:right="0" w:hanging="360"/>
        <w:jc w:val="left"/>
      </w:pPr>
      <w:r>
        <w:rPr/>
        <w:t>De acuerdo a</w:t>
      </w:r>
      <w:r>
        <w:rPr>
          <w:spacing w:val="-6"/>
        </w:rPr>
        <w:t> </w:t>
      </w:r>
      <w:r>
        <w:rPr/>
        <w:t>atrición:</w:t>
      </w:r>
    </w:p>
    <w:p>
      <w:pPr>
        <w:pStyle w:val="BodyText"/>
        <w:spacing w:line="360" w:lineRule="auto" w:before="141"/>
        <w:ind w:left="519" w:right="7446" w:hanging="44"/>
      </w:pPr>
      <w:r>
        <w:rPr/>
        <w:t>0=Ausente 1=Presente</w:t>
      </w:r>
    </w:p>
    <w:p>
      <w:pPr>
        <w:pStyle w:val="Heading1"/>
        <w:numPr>
          <w:ilvl w:val="0"/>
          <w:numId w:val="13"/>
        </w:numPr>
        <w:tabs>
          <w:tab w:pos="477" w:val="left" w:leader="none"/>
        </w:tabs>
        <w:spacing w:line="240" w:lineRule="auto" w:before="2" w:after="0"/>
        <w:ind w:left="476" w:right="0" w:hanging="360"/>
        <w:jc w:val="left"/>
      </w:pPr>
      <w:r>
        <w:rPr/>
        <w:t>De acuerdo a</w:t>
      </w:r>
      <w:r>
        <w:rPr>
          <w:spacing w:val="-7"/>
        </w:rPr>
        <w:t> </w:t>
      </w:r>
      <w:r>
        <w:rPr/>
        <w:t>abrasión:</w:t>
      </w:r>
    </w:p>
    <w:p>
      <w:pPr>
        <w:pStyle w:val="BodyText"/>
        <w:spacing w:line="360" w:lineRule="auto" w:before="141"/>
        <w:ind w:left="587" w:right="7378" w:hanging="68"/>
      </w:pPr>
      <w:r>
        <w:rPr/>
        <w:t>1=Ausente 0=Presente</w:t>
      </w:r>
    </w:p>
    <w:p>
      <w:pPr>
        <w:pStyle w:val="Heading2"/>
        <w:numPr>
          <w:ilvl w:val="0"/>
          <w:numId w:val="13"/>
        </w:numPr>
        <w:tabs>
          <w:tab w:pos="477" w:val="left" w:leader="none"/>
        </w:tabs>
        <w:spacing w:line="275" w:lineRule="exact" w:before="0" w:after="0"/>
        <w:ind w:left="476" w:right="0" w:hanging="360"/>
        <w:jc w:val="left"/>
        <w:rPr>
          <w:i/>
        </w:rPr>
      </w:pPr>
      <w:r>
        <w:rPr>
          <w:i/>
        </w:rPr>
        <w:t>De acuerdo a la duración de la Lactancia</w:t>
      </w:r>
      <w:r>
        <w:rPr>
          <w:i/>
          <w:spacing w:val="-21"/>
        </w:rPr>
        <w:t> </w:t>
      </w:r>
      <w:r>
        <w:rPr>
          <w:i/>
        </w:rPr>
        <w:t>materna</w:t>
      </w:r>
    </w:p>
    <w:p>
      <w:pPr>
        <w:pStyle w:val="BodyText"/>
        <w:spacing w:before="9"/>
        <w:rPr>
          <w:b/>
          <w:i/>
          <w:sz w:val="29"/>
        </w:rPr>
      </w:pPr>
    </w:p>
    <w:p>
      <w:pPr>
        <w:spacing w:before="0"/>
        <w:ind w:left="476" w:right="0" w:firstLine="0"/>
        <w:jc w:val="left"/>
        <w:rPr>
          <w:i/>
          <w:sz w:val="24"/>
        </w:rPr>
      </w:pPr>
      <w:r>
        <w:rPr>
          <w:i/>
          <w:sz w:val="24"/>
        </w:rPr>
        <w:t>0= de 0 a 12 meses</w:t>
      </w:r>
    </w:p>
    <w:p>
      <w:pPr>
        <w:spacing w:before="136"/>
        <w:ind w:left="476" w:right="0" w:firstLine="0"/>
        <w:jc w:val="left"/>
        <w:rPr>
          <w:i/>
          <w:sz w:val="24"/>
        </w:rPr>
      </w:pPr>
      <w:r>
        <w:rPr>
          <w:i/>
          <w:sz w:val="24"/>
        </w:rPr>
        <w:t>1= de 0 a 6 meses</w:t>
      </w:r>
    </w:p>
    <w:p>
      <w:pPr>
        <w:spacing w:after="0"/>
        <w:jc w:val="left"/>
        <w:rPr>
          <w:sz w:val="24"/>
        </w:rPr>
        <w:sectPr>
          <w:pgSz w:w="12240" w:h="15840"/>
          <w:pgMar w:header="0" w:footer="942" w:top="1500" w:bottom="1200" w:left="1300" w:right="1720"/>
        </w:sectPr>
      </w:pPr>
    </w:p>
    <w:p>
      <w:pPr>
        <w:pStyle w:val="BodyText"/>
        <w:spacing w:before="6"/>
        <w:rPr>
          <w:i/>
          <w:sz w:val="10"/>
        </w:rPr>
      </w:pPr>
    </w:p>
    <w:p>
      <w:pPr>
        <w:pStyle w:val="Heading2"/>
        <w:numPr>
          <w:ilvl w:val="0"/>
          <w:numId w:val="13"/>
        </w:numPr>
        <w:tabs>
          <w:tab w:pos="544" w:val="left" w:leader="none"/>
        </w:tabs>
        <w:spacing w:line="240" w:lineRule="auto" w:before="69" w:after="0"/>
        <w:ind w:left="543" w:right="0" w:hanging="427"/>
        <w:jc w:val="both"/>
        <w:rPr>
          <w:i/>
        </w:rPr>
      </w:pPr>
      <w:r>
        <w:rPr>
          <w:i/>
        </w:rPr>
        <w:t>De acuerdo a la duración de  la Lactancia</w:t>
      </w:r>
      <w:r>
        <w:rPr>
          <w:i/>
          <w:spacing w:val="-16"/>
        </w:rPr>
        <w:t> </w:t>
      </w:r>
      <w:r>
        <w:rPr>
          <w:i/>
        </w:rPr>
        <w:t>artificial</w:t>
      </w:r>
    </w:p>
    <w:p>
      <w:pPr>
        <w:pStyle w:val="BodyText"/>
        <w:spacing w:before="10"/>
        <w:rPr>
          <w:b/>
          <w:i/>
          <w:sz w:val="29"/>
        </w:rPr>
      </w:pPr>
    </w:p>
    <w:p>
      <w:pPr>
        <w:spacing w:before="0"/>
        <w:ind w:left="836" w:right="6" w:firstLine="0"/>
        <w:jc w:val="left"/>
        <w:rPr>
          <w:i/>
          <w:sz w:val="24"/>
        </w:rPr>
      </w:pPr>
      <w:r>
        <w:rPr>
          <w:i/>
          <w:sz w:val="24"/>
        </w:rPr>
        <w:t>0= de 0 a 12 meses</w:t>
      </w:r>
    </w:p>
    <w:p>
      <w:pPr>
        <w:spacing w:before="141"/>
        <w:ind w:left="836" w:right="6" w:firstLine="0"/>
        <w:jc w:val="left"/>
        <w:rPr>
          <w:i/>
          <w:sz w:val="24"/>
        </w:rPr>
      </w:pPr>
      <w:r>
        <w:rPr>
          <w:i/>
          <w:sz w:val="24"/>
        </w:rPr>
        <w:t>1= de 0 a 6 meses</w:t>
      </w:r>
    </w:p>
    <w:p>
      <w:pPr>
        <w:pStyle w:val="Heading2"/>
        <w:numPr>
          <w:ilvl w:val="0"/>
          <w:numId w:val="13"/>
        </w:numPr>
        <w:tabs>
          <w:tab w:pos="477" w:val="left" w:leader="none"/>
        </w:tabs>
        <w:spacing w:line="240" w:lineRule="auto" w:before="132" w:after="0"/>
        <w:ind w:left="476" w:right="0" w:hanging="360"/>
        <w:jc w:val="both"/>
        <w:rPr>
          <w:i/>
        </w:rPr>
      </w:pPr>
      <w:r>
        <w:rPr>
          <w:i/>
        </w:rPr>
        <w:t>De acuerdo a la duración de la Lactancia</w:t>
      </w:r>
      <w:r>
        <w:rPr>
          <w:i/>
          <w:spacing w:val="-18"/>
        </w:rPr>
        <w:t> </w:t>
      </w:r>
      <w:r>
        <w:rPr>
          <w:i/>
        </w:rPr>
        <w:t>mixta</w:t>
      </w:r>
    </w:p>
    <w:p>
      <w:pPr>
        <w:pStyle w:val="BodyText"/>
        <w:spacing w:before="10"/>
        <w:rPr>
          <w:b/>
          <w:i/>
          <w:sz w:val="29"/>
        </w:rPr>
      </w:pPr>
    </w:p>
    <w:p>
      <w:pPr>
        <w:spacing w:before="0"/>
        <w:ind w:left="836" w:right="6" w:firstLine="0"/>
        <w:jc w:val="left"/>
        <w:rPr>
          <w:i/>
          <w:sz w:val="24"/>
        </w:rPr>
      </w:pPr>
      <w:r>
        <w:rPr>
          <w:i/>
          <w:sz w:val="24"/>
        </w:rPr>
        <w:t>0= de 0 a 12 meses</w:t>
      </w:r>
    </w:p>
    <w:p>
      <w:pPr>
        <w:spacing w:before="137"/>
        <w:ind w:left="836" w:right="6" w:firstLine="0"/>
        <w:jc w:val="left"/>
        <w:rPr>
          <w:i/>
          <w:sz w:val="24"/>
        </w:rPr>
      </w:pPr>
      <w:r>
        <w:rPr>
          <w:i/>
          <w:sz w:val="24"/>
        </w:rPr>
        <w:t>1= de 0 a 6 meses</w:t>
      </w:r>
    </w:p>
    <w:p>
      <w:pPr>
        <w:pStyle w:val="Heading2"/>
        <w:numPr>
          <w:ilvl w:val="0"/>
          <w:numId w:val="13"/>
        </w:numPr>
        <w:tabs>
          <w:tab w:pos="477" w:val="left" w:leader="none"/>
        </w:tabs>
        <w:spacing w:line="240" w:lineRule="auto" w:before="137" w:after="0"/>
        <w:ind w:left="476" w:right="0" w:hanging="360"/>
        <w:jc w:val="both"/>
        <w:rPr>
          <w:i/>
        </w:rPr>
      </w:pPr>
      <w:r>
        <w:rPr>
          <w:i/>
        </w:rPr>
        <w:t>De acuerdo a la</w:t>
      </w:r>
      <w:r>
        <w:rPr>
          <w:i/>
          <w:spacing w:val="-8"/>
        </w:rPr>
        <w:t> </w:t>
      </w:r>
      <w:r>
        <w:rPr>
          <w:i/>
        </w:rPr>
        <w:t>Edad</w:t>
      </w:r>
    </w:p>
    <w:p>
      <w:pPr>
        <w:pStyle w:val="ListParagraph"/>
        <w:numPr>
          <w:ilvl w:val="0"/>
          <w:numId w:val="14"/>
        </w:numPr>
        <w:tabs>
          <w:tab w:pos="1197" w:val="left" w:leader="none"/>
        </w:tabs>
        <w:spacing w:line="240" w:lineRule="auto" w:before="137" w:after="0"/>
        <w:ind w:left="1197" w:right="0" w:hanging="360"/>
        <w:jc w:val="left"/>
        <w:rPr>
          <w:i/>
          <w:sz w:val="24"/>
        </w:rPr>
      </w:pPr>
      <w:r>
        <w:rPr>
          <w:i/>
          <w:sz w:val="24"/>
        </w:rPr>
        <w:t>3 años</w:t>
      </w:r>
    </w:p>
    <w:p>
      <w:pPr>
        <w:pStyle w:val="ListParagraph"/>
        <w:numPr>
          <w:ilvl w:val="0"/>
          <w:numId w:val="14"/>
        </w:numPr>
        <w:tabs>
          <w:tab w:pos="1197" w:val="left" w:leader="none"/>
        </w:tabs>
        <w:spacing w:line="240" w:lineRule="auto" w:before="142" w:after="0"/>
        <w:ind w:left="1197" w:right="0" w:hanging="360"/>
        <w:jc w:val="left"/>
        <w:rPr>
          <w:i/>
          <w:sz w:val="24"/>
        </w:rPr>
      </w:pPr>
      <w:r>
        <w:rPr>
          <w:i/>
          <w:sz w:val="24"/>
        </w:rPr>
        <w:t>4 años</w:t>
      </w:r>
    </w:p>
    <w:p>
      <w:pPr>
        <w:pStyle w:val="ListParagraph"/>
        <w:numPr>
          <w:ilvl w:val="0"/>
          <w:numId w:val="14"/>
        </w:numPr>
        <w:tabs>
          <w:tab w:pos="1197" w:val="left" w:leader="none"/>
        </w:tabs>
        <w:spacing w:line="240" w:lineRule="auto" w:before="137" w:after="0"/>
        <w:ind w:left="1197" w:right="0" w:hanging="360"/>
        <w:jc w:val="left"/>
        <w:rPr>
          <w:i/>
          <w:sz w:val="24"/>
        </w:rPr>
      </w:pPr>
      <w:r>
        <w:rPr>
          <w:i/>
          <w:sz w:val="24"/>
        </w:rPr>
        <w:t>5 años</w:t>
      </w:r>
    </w:p>
    <w:p>
      <w:pPr>
        <w:pStyle w:val="BodyText"/>
        <w:spacing w:before="132"/>
        <w:ind w:left="116"/>
        <w:jc w:val="both"/>
      </w:pPr>
      <w:r>
        <w:rPr/>
        <w:t>Considerando 0 como la característica ideal y 1 agrupando características no ideales</w:t>
      </w:r>
    </w:p>
    <w:p>
      <w:pPr>
        <w:pStyle w:val="BodyText"/>
        <w:spacing w:before="5"/>
        <w:rPr>
          <w:sz w:val="29"/>
        </w:rPr>
      </w:pPr>
    </w:p>
    <w:p>
      <w:pPr>
        <w:pStyle w:val="Heading1"/>
        <w:numPr>
          <w:ilvl w:val="1"/>
          <w:numId w:val="12"/>
        </w:numPr>
        <w:tabs>
          <w:tab w:pos="520" w:val="left" w:leader="none"/>
        </w:tabs>
        <w:spacing w:line="240" w:lineRule="auto" w:before="0" w:after="0"/>
        <w:ind w:left="519" w:right="0" w:hanging="403"/>
        <w:jc w:val="both"/>
      </w:pPr>
      <w:r>
        <w:rPr/>
        <w:t>Implicaciones</w:t>
      </w:r>
      <w:r>
        <w:rPr>
          <w:spacing w:val="-12"/>
        </w:rPr>
        <w:t> </w:t>
      </w:r>
      <w:r>
        <w:rPr/>
        <w:t>Bioéticas</w:t>
      </w:r>
    </w:p>
    <w:p>
      <w:pPr>
        <w:pStyle w:val="BodyText"/>
        <w:spacing w:line="360" w:lineRule="auto" w:before="141"/>
        <w:ind w:left="116" w:right="119"/>
        <w:jc w:val="both"/>
      </w:pPr>
      <w:r>
        <w:rPr/>
        <w:t>El presente estudio se adapta a los principios científicos y éticos que  justifican nuestra investigación y con posible contribución al desarrollo de nuevos conocimientos en la ciencia médica con base al capítulo único de la Ley General de Salud, articulo 96 párrafos III.</w:t>
      </w:r>
    </w:p>
    <w:p>
      <w:pPr>
        <w:pStyle w:val="BodyText"/>
        <w:spacing w:line="360" w:lineRule="auto" w:before="209"/>
        <w:ind w:left="116" w:right="119"/>
        <w:jc w:val="both"/>
      </w:pPr>
      <w:r>
        <w:rPr/>
        <w:t>El desarrollo de la investigación garantiza la dignidad y el bienestar de la persona investigación, ya dirige su objetivo a la utilización de materiales y métodos que no conllevan a un riesgo, y se sujeta a los principios científicos, éticos y a las normas de seguridad aceptadas en la Ley General de Salud.</w:t>
      </w:r>
    </w:p>
    <w:p>
      <w:pPr>
        <w:pStyle w:val="Heading1"/>
        <w:numPr>
          <w:ilvl w:val="1"/>
          <w:numId w:val="12"/>
        </w:numPr>
        <w:tabs>
          <w:tab w:pos="520" w:val="left" w:leader="none"/>
        </w:tabs>
        <w:spacing w:line="240" w:lineRule="auto" w:before="199" w:after="0"/>
        <w:ind w:left="519" w:right="0" w:hanging="403"/>
        <w:jc w:val="both"/>
      </w:pPr>
      <w:r>
        <w:rPr/>
        <w:t>Análisis</w:t>
      </w:r>
      <w:r>
        <w:rPr>
          <w:spacing w:val="-9"/>
        </w:rPr>
        <w:t> </w:t>
      </w:r>
      <w:r>
        <w:rPr/>
        <w:t>Estadístico</w:t>
      </w:r>
    </w:p>
    <w:p>
      <w:pPr>
        <w:pStyle w:val="BodyText"/>
        <w:spacing w:before="10"/>
        <w:rPr>
          <w:b/>
          <w:sz w:val="29"/>
        </w:rPr>
      </w:pPr>
    </w:p>
    <w:p>
      <w:pPr>
        <w:pStyle w:val="BodyText"/>
        <w:spacing w:line="360" w:lineRule="auto"/>
        <w:ind w:left="116" w:right="116"/>
        <w:jc w:val="both"/>
      </w:pPr>
      <w:r>
        <w:rPr/>
        <w:t>Los datos fueron analizados en el programa SPSS IBM version 19; obteniendo medidas de frecuencia y tendencia central,asi mismo aplicando la prueba Chi cuadrada</w:t>
      </w:r>
    </w:p>
    <w:p>
      <w:pPr>
        <w:spacing w:after="0" w:line="360" w:lineRule="auto"/>
        <w:jc w:val="both"/>
        <w:sectPr>
          <w:pgSz w:w="12240" w:h="15840"/>
          <w:pgMar w:header="0" w:footer="942" w:top="1500" w:bottom="1200" w:left="1300" w:right="1580"/>
        </w:sectPr>
      </w:pPr>
    </w:p>
    <w:p>
      <w:pPr>
        <w:pStyle w:val="BodyText"/>
        <w:spacing w:before="1"/>
        <w:rPr>
          <w:sz w:val="10"/>
        </w:rPr>
      </w:pPr>
    </w:p>
    <w:p>
      <w:pPr>
        <w:pStyle w:val="Heading1"/>
        <w:ind w:left="3127" w:right="3133"/>
        <w:jc w:val="center"/>
      </w:pPr>
      <w:r>
        <w:rPr/>
        <w:t>VIII RESULTADOS</w:t>
      </w:r>
    </w:p>
    <w:p>
      <w:pPr>
        <w:pStyle w:val="BodyText"/>
        <w:spacing w:before="3"/>
        <w:rPr>
          <w:b/>
          <w:sz w:val="30"/>
        </w:rPr>
      </w:pPr>
    </w:p>
    <w:p>
      <w:pPr>
        <w:pStyle w:val="BodyText"/>
        <w:spacing w:line="360" w:lineRule="auto"/>
        <w:ind w:left="116" w:right="130"/>
        <w:jc w:val="both"/>
      </w:pPr>
      <w:r>
        <w:rPr/>
        <w:t>El total de la muestra fue conformada por 117 preescolares; el 14.5% niños de 3  años de edad, 53.8% representada por niños de 4 años y el 31.6% de 5 años de edad.</w:t>
      </w:r>
    </w:p>
    <w:p>
      <w:pPr>
        <w:pStyle w:val="BodyText"/>
        <w:spacing w:line="355" w:lineRule="auto" w:before="209"/>
        <w:ind w:left="116" w:right="139"/>
        <w:jc w:val="both"/>
      </w:pPr>
      <w:r>
        <w:rPr/>
        <w:t>El 26.5% de los casos lactaron a seno materno, 37.6% tuvieron lactancia mixta y 35.9% tuvieron lactancia artificial. (Gráfica 1)</w:t>
      </w:r>
    </w:p>
    <w:p>
      <w:pPr>
        <w:pStyle w:val="Heading1"/>
        <w:spacing w:before="205"/>
        <w:ind w:left="3132" w:right="3133"/>
        <w:jc w:val="center"/>
      </w:pPr>
      <w:r>
        <w:rPr/>
        <w:t>Grafica 1Tipo de Lactancia</w:t>
      </w:r>
    </w:p>
    <w:p>
      <w:pPr>
        <w:pStyle w:val="BodyText"/>
        <w:spacing w:before="1"/>
        <w:rPr>
          <w:b/>
          <w:sz w:val="27"/>
        </w:rPr>
      </w:pPr>
      <w:r>
        <w:rPr/>
        <w:drawing>
          <wp:anchor distT="0" distB="0" distL="0" distR="0" allowOverlap="1" layoutInCell="1" locked="0" behindDoc="0" simplePos="0" relativeHeight="1096">
            <wp:simplePos x="0" y="0"/>
            <wp:positionH relativeFrom="page">
              <wp:posOffset>1940051</wp:posOffset>
            </wp:positionH>
            <wp:positionV relativeFrom="paragraph">
              <wp:posOffset>222847</wp:posOffset>
            </wp:positionV>
            <wp:extent cx="3758459" cy="2826353"/>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2" cstate="print"/>
                    <a:stretch>
                      <a:fillRect/>
                    </a:stretch>
                  </pic:blipFill>
                  <pic:spPr>
                    <a:xfrm>
                      <a:off x="0" y="0"/>
                      <a:ext cx="3758459" cy="2826353"/>
                    </a:xfrm>
                    <a:prstGeom prst="rect">
                      <a:avLst/>
                    </a:prstGeom>
                  </pic:spPr>
                </pic:pic>
              </a:graphicData>
            </a:graphic>
          </wp:anchor>
        </w:drawing>
      </w:r>
    </w:p>
    <w:p>
      <w:pPr>
        <w:pStyle w:val="BodyText"/>
        <w:spacing w:before="5"/>
        <w:rPr>
          <w:b/>
          <w:sz w:val="28"/>
        </w:rPr>
      </w:pPr>
    </w:p>
    <w:p>
      <w:pPr>
        <w:spacing w:before="0"/>
        <w:ind w:left="116" w:right="0" w:firstLine="0"/>
        <w:jc w:val="both"/>
        <w:rPr>
          <w:b/>
          <w:sz w:val="16"/>
        </w:rPr>
      </w:pPr>
      <w:r>
        <w:rPr>
          <w:b/>
          <w:sz w:val="16"/>
        </w:rPr>
        <w:t>Fuente directa</w:t>
      </w:r>
    </w:p>
    <w:p>
      <w:pPr>
        <w:pStyle w:val="BodyText"/>
        <w:rPr>
          <w:b/>
          <w:sz w:val="16"/>
        </w:rPr>
      </w:pPr>
    </w:p>
    <w:p>
      <w:pPr>
        <w:pStyle w:val="BodyText"/>
        <w:spacing w:before="2"/>
        <w:rPr>
          <w:b/>
          <w:sz w:val="13"/>
        </w:rPr>
      </w:pPr>
    </w:p>
    <w:p>
      <w:pPr>
        <w:pStyle w:val="BodyText"/>
        <w:spacing w:line="360" w:lineRule="auto"/>
        <w:ind w:left="116" w:right="130"/>
        <w:jc w:val="both"/>
      </w:pPr>
      <w:r>
        <w:rPr/>
        <w:t>De los casos de lactancia materna el 38.7% lactaron durante un periodo de tiempo  de 12 meses, y 61.3% lactaron por un periodo de tiempo de 6 meses. Los casos de lactancia mixta 20% lactaron durante 12 meses, 80% lactaron durante 6 meses. De los casos de Lactancia artificial 19.1% lactaron por un periodo de tiempo de  12 meses y 80.9% lo hicieron durante</w:t>
      </w:r>
      <w:r>
        <w:rPr>
          <w:spacing w:val="-16"/>
        </w:rPr>
        <w:t> </w:t>
      </w:r>
      <w:r>
        <w:rPr/>
        <w:t>6meses.</w:t>
      </w:r>
    </w:p>
    <w:p>
      <w:pPr>
        <w:pStyle w:val="BodyText"/>
        <w:spacing w:line="360" w:lineRule="auto" w:before="209"/>
        <w:ind w:left="116" w:right="114"/>
        <w:jc w:val="both"/>
      </w:pPr>
      <w:r>
        <w:rPr/>
        <w:t>La relación molar derecha plano terminal recto se observó en 43.6%, el 56.4% restante presentaron escalón distal y escalón mesial exagerado Relación molar izquierda plano terminal  recto  estuvo presente  en el  88%, en  el 12% restante   </w:t>
      </w:r>
      <w:r>
        <w:rPr>
          <w:spacing w:val="55"/>
        </w:rPr>
        <w:t> </w:t>
      </w:r>
      <w:r>
        <w:rPr/>
        <w:t>se</w:t>
      </w:r>
    </w:p>
    <w:p>
      <w:pPr>
        <w:spacing w:after="0" w:line="360" w:lineRule="auto"/>
        <w:jc w:val="both"/>
        <w:sectPr>
          <w:pgSz w:w="12240" w:h="15840"/>
          <w:pgMar w:header="0" w:footer="942" w:top="1500" w:bottom="1200" w:left="1300" w:right="1580"/>
        </w:sectPr>
      </w:pPr>
    </w:p>
    <w:p>
      <w:pPr>
        <w:pStyle w:val="BodyText"/>
        <w:spacing w:before="10"/>
        <w:rPr>
          <w:sz w:val="10"/>
        </w:rPr>
      </w:pPr>
    </w:p>
    <w:p>
      <w:pPr>
        <w:pStyle w:val="BodyText"/>
        <w:spacing w:line="360" w:lineRule="auto" w:before="70"/>
        <w:ind w:left="196" w:right="114"/>
        <w:jc w:val="both"/>
      </w:pPr>
      <w:r>
        <w:rPr/>
        <w:t>observó escalón distal y escalón mesial exagerado; relación canina derecha clase I se presentó en 83.8% y 16.2% presentaron clase II y III; relación canina izquierda el 88% presentó clase I; clase II y III se observó en el 12% restante (Tabla 1).</w:t>
      </w:r>
    </w:p>
    <w:p>
      <w:pPr>
        <w:pStyle w:val="Heading1"/>
        <w:spacing w:line="355" w:lineRule="auto" w:before="204"/>
        <w:ind w:left="196" w:right="104"/>
        <w:jc w:val="both"/>
        <w:rPr>
          <w:b w:val="0"/>
        </w:rPr>
      </w:pPr>
      <w:r>
        <w:rPr/>
        <w:t>Tabla 1 Relación Molar y Relación Canina de los Niños de 3 a 5 años del Jardín de Niños de “Consuelo Rodríguez de Fernández Albarrán</w:t>
      </w:r>
      <w:r>
        <w:rPr>
          <w:b w:val="0"/>
        </w:rPr>
        <w:t>”.</w:t>
      </w:r>
    </w:p>
    <w:p>
      <w:pPr>
        <w:pStyle w:val="BodyText"/>
        <w:spacing w:before="1"/>
        <w:rPr>
          <w:sz w:val="21"/>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82"/>
        <w:gridCol w:w="1499"/>
        <w:gridCol w:w="1493"/>
        <w:gridCol w:w="1501"/>
        <w:gridCol w:w="1486"/>
      </w:tblGrid>
      <w:tr>
        <w:trPr>
          <w:trHeight w:val="444" w:hRule="exact"/>
        </w:trPr>
        <w:tc>
          <w:tcPr>
            <w:tcW w:w="2982" w:type="dxa"/>
            <w:vMerge w:val="restart"/>
            <w:shd w:val="clear" w:color="auto" w:fill="4AACC5"/>
          </w:tcPr>
          <w:p>
            <w:pPr>
              <w:pStyle w:val="TableParagraph"/>
              <w:spacing w:line="267" w:lineRule="exact"/>
              <w:ind w:left="95"/>
              <w:rPr>
                <w:b/>
                <w:sz w:val="24"/>
              </w:rPr>
            </w:pPr>
            <w:r>
              <w:rPr>
                <w:b/>
                <w:color w:val="FFFFFF"/>
                <w:sz w:val="24"/>
              </w:rPr>
              <w:t>Tipo de Relación Molar</w:t>
            </w:r>
          </w:p>
          <w:p>
            <w:pPr>
              <w:pStyle w:val="TableParagraph"/>
              <w:spacing w:line="240" w:lineRule="auto" w:before="137"/>
              <w:ind w:left="95"/>
              <w:rPr>
                <w:b/>
                <w:sz w:val="24"/>
              </w:rPr>
            </w:pPr>
            <w:r>
              <w:rPr>
                <w:b/>
                <w:color w:val="FFFFFF"/>
                <w:sz w:val="24"/>
              </w:rPr>
              <w:t>/Canina</w:t>
            </w:r>
          </w:p>
        </w:tc>
        <w:tc>
          <w:tcPr>
            <w:tcW w:w="2992" w:type="dxa"/>
            <w:gridSpan w:val="2"/>
            <w:tcBorders>
              <w:bottom w:val="single" w:sz="25" w:space="0" w:color="FFFFFF"/>
              <w:right w:val="single" w:sz="8" w:space="0" w:color="FFFFFF"/>
            </w:tcBorders>
            <w:shd w:val="clear" w:color="auto" w:fill="4AACC5"/>
          </w:tcPr>
          <w:p>
            <w:pPr>
              <w:pStyle w:val="TableParagraph"/>
              <w:spacing w:line="267" w:lineRule="exact"/>
              <w:ind w:left="1006" w:right="989"/>
              <w:jc w:val="center"/>
              <w:rPr>
                <w:b/>
                <w:sz w:val="24"/>
              </w:rPr>
            </w:pPr>
            <w:r>
              <w:rPr>
                <w:b/>
                <w:color w:val="FFFFFF"/>
                <w:sz w:val="24"/>
              </w:rPr>
              <w:t>Derecha</w:t>
            </w:r>
          </w:p>
        </w:tc>
        <w:tc>
          <w:tcPr>
            <w:tcW w:w="2987" w:type="dxa"/>
            <w:gridSpan w:val="2"/>
            <w:tcBorders>
              <w:left w:val="single" w:sz="40" w:space="0" w:color="4AACC5"/>
              <w:bottom w:val="single" w:sz="25" w:space="0" w:color="FFFFFF"/>
            </w:tcBorders>
          </w:tcPr>
          <w:p>
            <w:pPr>
              <w:pStyle w:val="TableParagraph"/>
              <w:tabs>
                <w:tab w:pos="924" w:val="left" w:leader="none"/>
                <w:tab w:pos="2936" w:val="left" w:leader="none"/>
              </w:tabs>
              <w:spacing w:line="267" w:lineRule="exact"/>
              <w:ind w:left="-36"/>
              <w:rPr>
                <w:b/>
                <w:sz w:val="24"/>
              </w:rPr>
            </w:pPr>
            <w:r>
              <w:rPr>
                <w:b/>
                <w:color w:val="FFFFFF"/>
                <w:sz w:val="24"/>
                <w:shd w:fill="4AACC5" w:color="auto" w:val="clear"/>
              </w:rPr>
              <w:t> </w:t>
              <w:tab/>
              <w:t>Izquierda</w:t>
              <w:tab/>
            </w:r>
          </w:p>
        </w:tc>
      </w:tr>
      <w:tr>
        <w:trPr>
          <w:trHeight w:val="454" w:hRule="exact"/>
        </w:trPr>
        <w:tc>
          <w:tcPr>
            <w:tcW w:w="2982" w:type="dxa"/>
            <w:vMerge/>
            <w:tcBorders>
              <w:bottom w:val="single" w:sz="8" w:space="0" w:color="FFFFFF"/>
            </w:tcBorders>
            <w:shd w:val="clear" w:color="auto" w:fill="4AACC5"/>
          </w:tcPr>
          <w:p>
            <w:pPr/>
          </w:p>
        </w:tc>
        <w:tc>
          <w:tcPr>
            <w:tcW w:w="1499" w:type="dxa"/>
            <w:tcBorders>
              <w:top w:val="single" w:sz="25" w:space="0" w:color="FFFFFF"/>
              <w:left w:val="single" w:sz="23" w:space="0" w:color="FFFFFF"/>
              <w:bottom w:val="single" w:sz="8" w:space="0" w:color="FFFFFF"/>
            </w:tcBorders>
            <w:shd w:val="clear" w:color="auto" w:fill="A4D4E1"/>
          </w:tcPr>
          <w:p>
            <w:pPr>
              <w:pStyle w:val="TableParagraph"/>
              <w:spacing w:line="267" w:lineRule="exact"/>
              <w:ind w:left="0" w:right="26"/>
              <w:jc w:val="center"/>
              <w:rPr>
                <w:b/>
                <w:sz w:val="24"/>
              </w:rPr>
            </w:pPr>
            <w:r>
              <w:rPr>
                <w:b/>
                <w:w w:val="99"/>
                <w:sz w:val="24"/>
              </w:rPr>
              <w:t>N</w:t>
            </w:r>
          </w:p>
        </w:tc>
        <w:tc>
          <w:tcPr>
            <w:tcW w:w="1493" w:type="dxa"/>
            <w:tcBorders>
              <w:top w:val="single" w:sz="25" w:space="0" w:color="FFFFFF"/>
              <w:bottom w:val="single" w:sz="8" w:space="0" w:color="FFFFFF"/>
              <w:right w:val="single" w:sz="8" w:space="0" w:color="FFFFFF"/>
            </w:tcBorders>
            <w:shd w:val="clear" w:color="auto" w:fill="A4D4E1"/>
          </w:tcPr>
          <w:p>
            <w:pPr>
              <w:pStyle w:val="TableParagraph"/>
              <w:spacing w:line="267" w:lineRule="exact"/>
              <w:ind w:left="6"/>
              <w:jc w:val="center"/>
              <w:rPr>
                <w:b/>
                <w:sz w:val="24"/>
              </w:rPr>
            </w:pPr>
            <w:r>
              <w:rPr>
                <w:b/>
                <w:w w:val="99"/>
                <w:sz w:val="24"/>
              </w:rPr>
              <w:t>%</w:t>
            </w:r>
          </w:p>
        </w:tc>
        <w:tc>
          <w:tcPr>
            <w:tcW w:w="1501" w:type="dxa"/>
            <w:tcBorders>
              <w:top w:val="single" w:sz="25" w:space="0" w:color="FFFFFF"/>
              <w:left w:val="single" w:sz="8" w:space="0" w:color="FFFFFF"/>
              <w:bottom w:val="single" w:sz="8" w:space="0" w:color="FFFFFF"/>
            </w:tcBorders>
            <w:shd w:val="clear" w:color="auto" w:fill="A4D4E1"/>
          </w:tcPr>
          <w:p>
            <w:pPr>
              <w:pStyle w:val="TableParagraph"/>
              <w:spacing w:line="267" w:lineRule="exact"/>
              <w:ind w:left="0" w:right="9"/>
              <w:jc w:val="center"/>
              <w:rPr>
                <w:b/>
                <w:sz w:val="24"/>
              </w:rPr>
            </w:pPr>
            <w:r>
              <w:rPr>
                <w:b/>
                <w:sz w:val="24"/>
              </w:rPr>
              <w:t>n</w:t>
            </w:r>
          </w:p>
        </w:tc>
        <w:tc>
          <w:tcPr>
            <w:tcW w:w="1486" w:type="dxa"/>
            <w:tcBorders>
              <w:top w:val="single" w:sz="25" w:space="0" w:color="FFFFFF"/>
              <w:bottom w:val="single" w:sz="8" w:space="0" w:color="FFFFFF"/>
            </w:tcBorders>
            <w:shd w:val="clear" w:color="auto" w:fill="A4D4E1"/>
          </w:tcPr>
          <w:p>
            <w:pPr>
              <w:pStyle w:val="TableParagraph"/>
              <w:spacing w:line="267" w:lineRule="exact"/>
              <w:ind w:left="9"/>
              <w:jc w:val="center"/>
              <w:rPr>
                <w:b/>
                <w:sz w:val="24"/>
              </w:rPr>
            </w:pPr>
            <w:r>
              <w:rPr>
                <w:b/>
                <w:w w:val="99"/>
                <w:sz w:val="24"/>
              </w:rPr>
              <w:t>%</w:t>
            </w:r>
          </w:p>
        </w:tc>
      </w:tr>
      <w:tr>
        <w:trPr>
          <w:trHeight w:val="435" w:hRule="exact"/>
        </w:trPr>
        <w:tc>
          <w:tcPr>
            <w:tcW w:w="2982" w:type="dxa"/>
            <w:tcBorders>
              <w:top w:val="single" w:sz="8" w:space="0" w:color="FFFFFF"/>
              <w:bottom w:val="single" w:sz="10" w:space="0" w:color="FFFFFF"/>
              <w:right w:val="single" w:sz="23" w:space="0" w:color="FFFFFF"/>
            </w:tcBorders>
            <w:shd w:val="clear" w:color="auto" w:fill="4AACC5"/>
          </w:tcPr>
          <w:p>
            <w:pPr>
              <w:pStyle w:val="TableParagraph"/>
              <w:spacing w:line="267" w:lineRule="exact"/>
              <w:ind w:left="95" w:right="223"/>
              <w:rPr>
                <w:b/>
                <w:sz w:val="24"/>
              </w:rPr>
            </w:pPr>
            <w:r>
              <w:rPr>
                <w:b/>
                <w:color w:val="FFFFFF"/>
                <w:sz w:val="24"/>
              </w:rPr>
              <w:t>Plano terminal recto</w:t>
            </w:r>
          </w:p>
        </w:tc>
        <w:tc>
          <w:tcPr>
            <w:tcW w:w="1499" w:type="dxa"/>
            <w:tcBorders>
              <w:top w:val="single" w:sz="8" w:space="0" w:color="FFFFFF"/>
              <w:left w:val="single" w:sz="23" w:space="0" w:color="FFFFFF"/>
              <w:bottom w:val="single" w:sz="10" w:space="0" w:color="FFFFFF"/>
            </w:tcBorders>
            <w:shd w:val="clear" w:color="auto" w:fill="D2EAF0"/>
          </w:tcPr>
          <w:p>
            <w:pPr>
              <w:pStyle w:val="TableParagraph"/>
              <w:ind w:left="82"/>
              <w:rPr>
                <w:sz w:val="24"/>
              </w:rPr>
            </w:pPr>
            <w:r>
              <w:rPr>
                <w:sz w:val="24"/>
              </w:rPr>
              <w:t>51</w:t>
            </w:r>
          </w:p>
        </w:tc>
        <w:tc>
          <w:tcPr>
            <w:tcW w:w="1493" w:type="dxa"/>
            <w:tcBorders>
              <w:top w:val="single" w:sz="8" w:space="0" w:color="FFFFFF"/>
              <w:bottom w:val="single" w:sz="10" w:space="0" w:color="FFFFFF"/>
              <w:right w:val="single" w:sz="6" w:space="0" w:color="FFFFFF"/>
            </w:tcBorders>
            <w:shd w:val="clear" w:color="auto" w:fill="D2EAF0"/>
          </w:tcPr>
          <w:p>
            <w:pPr>
              <w:pStyle w:val="TableParagraph"/>
              <w:ind w:left="105"/>
              <w:rPr>
                <w:sz w:val="24"/>
              </w:rPr>
            </w:pPr>
            <w:r>
              <w:rPr>
                <w:sz w:val="24"/>
              </w:rPr>
              <w:t>43.6</w:t>
            </w:r>
          </w:p>
        </w:tc>
        <w:tc>
          <w:tcPr>
            <w:tcW w:w="1501" w:type="dxa"/>
            <w:tcBorders>
              <w:top w:val="single" w:sz="8" w:space="0" w:color="FFFFFF"/>
              <w:left w:val="single" w:sz="6" w:space="0" w:color="FFFFFF"/>
              <w:bottom w:val="single" w:sz="10" w:space="0" w:color="FFFFFF"/>
              <w:right w:val="single" w:sz="6" w:space="0" w:color="FFFFFF"/>
            </w:tcBorders>
            <w:shd w:val="clear" w:color="auto" w:fill="D2EAF0"/>
          </w:tcPr>
          <w:p>
            <w:pPr>
              <w:pStyle w:val="TableParagraph"/>
              <w:ind w:left="103"/>
              <w:rPr>
                <w:sz w:val="24"/>
              </w:rPr>
            </w:pPr>
            <w:r>
              <w:rPr>
                <w:sz w:val="24"/>
              </w:rPr>
              <w:t>35</w:t>
            </w:r>
          </w:p>
        </w:tc>
        <w:tc>
          <w:tcPr>
            <w:tcW w:w="1486" w:type="dxa"/>
            <w:tcBorders>
              <w:top w:val="single" w:sz="8" w:space="0" w:color="FFFFFF"/>
              <w:left w:val="single" w:sz="6" w:space="0" w:color="FFFFFF"/>
              <w:bottom w:val="single" w:sz="10" w:space="0" w:color="FFFFFF"/>
            </w:tcBorders>
            <w:shd w:val="clear" w:color="auto" w:fill="D2EAF0"/>
          </w:tcPr>
          <w:p>
            <w:pPr>
              <w:pStyle w:val="TableParagraph"/>
              <w:rPr>
                <w:sz w:val="24"/>
              </w:rPr>
            </w:pPr>
            <w:r>
              <w:rPr>
                <w:sz w:val="24"/>
              </w:rPr>
              <w:t>29.9</w:t>
            </w:r>
          </w:p>
        </w:tc>
      </w:tr>
      <w:tr>
        <w:trPr>
          <w:trHeight w:val="847" w:hRule="exact"/>
        </w:trPr>
        <w:tc>
          <w:tcPr>
            <w:tcW w:w="2982" w:type="dxa"/>
            <w:tcBorders>
              <w:top w:val="single" w:sz="10" w:space="0" w:color="FFFFFF"/>
              <w:bottom w:val="single" w:sz="8" w:space="0" w:color="FFFFFF"/>
              <w:right w:val="single" w:sz="23" w:space="0" w:color="FFFFFF"/>
            </w:tcBorders>
            <w:shd w:val="clear" w:color="auto" w:fill="4AACC5"/>
          </w:tcPr>
          <w:p>
            <w:pPr>
              <w:pStyle w:val="TableParagraph"/>
              <w:spacing w:line="360" w:lineRule="auto"/>
              <w:ind w:left="95" w:right="223"/>
              <w:rPr>
                <w:b/>
                <w:sz w:val="24"/>
              </w:rPr>
            </w:pPr>
            <w:r>
              <w:rPr>
                <w:b/>
                <w:color w:val="FFFFFF"/>
                <w:sz w:val="24"/>
              </w:rPr>
              <w:t>Plano terminal escalón distal</w:t>
            </w:r>
          </w:p>
        </w:tc>
        <w:tc>
          <w:tcPr>
            <w:tcW w:w="1499" w:type="dxa"/>
            <w:tcBorders>
              <w:top w:val="single" w:sz="10" w:space="0" w:color="FFFFFF"/>
              <w:left w:val="single" w:sz="23" w:space="0" w:color="FFFFFF"/>
              <w:bottom w:val="single" w:sz="8" w:space="0" w:color="FFFFFF"/>
            </w:tcBorders>
            <w:shd w:val="clear" w:color="auto" w:fill="A4D4E1"/>
          </w:tcPr>
          <w:p>
            <w:pPr>
              <w:pStyle w:val="TableParagraph"/>
              <w:ind w:left="82"/>
              <w:rPr>
                <w:sz w:val="24"/>
              </w:rPr>
            </w:pPr>
            <w:r>
              <w:rPr>
                <w:sz w:val="24"/>
              </w:rPr>
              <w:t>59</w:t>
            </w:r>
          </w:p>
        </w:tc>
        <w:tc>
          <w:tcPr>
            <w:tcW w:w="1493" w:type="dxa"/>
            <w:tcBorders>
              <w:top w:val="single" w:sz="10" w:space="0" w:color="FFFFFF"/>
              <w:bottom w:val="single" w:sz="8" w:space="0" w:color="FFFFFF"/>
              <w:right w:val="single" w:sz="8" w:space="0" w:color="FFFFFF"/>
            </w:tcBorders>
            <w:shd w:val="clear" w:color="auto" w:fill="A4D4E1"/>
          </w:tcPr>
          <w:p>
            <w:pPr>
              <w:pStyle w:val="TableParagraph"/>
              <w:ind w:left="105"/>
              <w:rPr>
                <w:sz w:val="24"/>
              </w:rPr>
            </w:pPr>
            <w:r>
              <w:rPr>
                <w:sz w:val="24"/>
              </w:rPr>
              <w:t>50.4</w:t>
            </w:r>
          </w:p>
        </w:tc>
        <w:tc>
          <w:tcPr>
            <w:tcW w:w="1501" w:type="dxa"/>
            <w:tcBorders>
              <w:top w:val="single" w:sz="10" w:space="0" w:color="FFFFFF"/>
              <w:left w:val="single" w:sz="8" w:space="0" w:color="FFFFFF"/>
              <w:bottom w:val="single" w:sz="8" w:space="0" w:color="FFFFFF"/>
            </w:tcBorders>
            <w:shd w:val="clear" w:color="auto" w:fill="A4D4E1"/>
          </w:tcPr>
          <w:p>
            <w:pPr>
              <w:pStyle w:val="TableParagraph"/>
              <w:rPr>
                <w:sz w:val="24"/>
              </w:rPr>
            </w:pPr>
            <w:r>
              <w:rPr>
                <w:sz w:val="24"/>
              </w:rPr>
              <w:t>68</w:t>
            </w:r>
          </w:p>
        </w:tc>
        <w:tc>
          <w:tcPr>
            <w:tcW w:w="1486" w:type="dxa"/>
            <w:tcBorders>
              <w:top w:val="single" w:sz="10" w:space="0" w:color="FFFFFF"/>
              <w:bottom w:val="single" w:sz="8" w:space="0" w:color="FFFFFF"/>
            </w:tcBorders>
            <w:shd w:val="clear" w:color="auto" w:fill="A4D4E1"/>
          </w:tcPr>
          <w:p>
            <w:pPr>
              <w:pStyle w:val="TableParagraph"/>
              <w:ind w:left="107"/>
              <w:rPr>
                <w:sz w:val="24"/>
              </w:rPr>
            </w:pPr>
            <w:r>
              <w:rPr>
                <w:sz w:val="24"/>
              </w:rPr>
              <w:t>58.1</w:t>
            </w:r>
          </w:p>
        </w:tc>
      </w:tr>
      <w:tr>
        <w:trPr>
          <w:trHeight w:val="850" w:hRule="exact"/>
        </w:trPr>
        <w:tc>
          <w:tcPr>
            <w:tcW w:w="2982" w:type="dxa"/>
            <w:tcBorders>
              <w:top w:val="single" w:sz="8" w:space="0" w:color="FFFFFF"/>
              <w:bottom w:val="single" w:sz="8" w:space="0" w:color="FFFFFF"/>
              <w:right w:val="single" w:sz="23" w:space="0" w:color="FFFFFF"/>
            </w:tcBorders>
            <w:shd w:val="clear" w:color="auto" w:fill="4AACC5"/>
          </w:tcPr>
          <w:p>
            <w:pPr>
              <w:pStyle w:val="TableParagraph"/>
              <w:spacing w:line="362" w:lineRule="auto"/>
              <w:ind w:left="95" w:right="223"/>
              <w:rPr>
                <w:b/>
                <w:sz w:val="24"/>
              </w:rPr>
            </w:pPr>
            <w:r>
              <w:rPr>
                <w:b/>
                <w:color w:val="FFFFFF"/>
                <w:sz w:val="24"/>
              </w:rPr>
              <w:t>Plano terminal escalón mesial exagerado</w:t>
            </w:r>
          </w:p>
        </w:tc>
        <w:tc>
          <w:tcPr>
            <w:tcW w:w="1499" w:type="dxa"/>
            <w:tcBorders>
              <w:top w:val="single" w:sz="8" w:space="0" w:color="FFFFFF"/>
              <w:left w:val="single" w:sz="23" w:space="0" w:color="FFFFFF"/>
              <w:bottom w:val="single" w:sz="8" w:space="0" w:color="FFFFFF"/>
            </w:tcBorders>
            <w:shd w:val="clear" w:color="auto" w:fill="D2EAF0"/>
          </w:tcPr>
          <w:p>
            <w:pPr>
              <w:pStyle w:val="TableParagraph"/>
              <w:ind w:left="82"/>
              <w:rPr>
                <w:sz w:val="24"/>
              </w:rPr>
            </w:pPr>
            <w:r>
              <w:rPr>
                <w:w w:val="99"/>
                <w:sz w:val="24"/>
              </w:rPr>
              <w:t>7</w:t>
            </w:r>
          </w:p>
        </w:tc>
        <w:tc>
          <w:tcPr>
            <w:tcW w:w="1493" w:type="dxa"/>
            <w:tcBorders>
              <w:top w:val="single" w:sz="8" w:space="0" w:color="FFFFFF"/>
              <w:bottom w:val="single" w:sz="8" w:space="0" w:color="FFFFFF"/>
              <w:right w:val="single" w:sz="6" w:space="0" w:color="FFFFFF"/>
            </w:tcBorders>
            <w:shd w:val="clear" w:color="auto" w:fill="D2EAF0"/>
          </w:tcPr>
          <w:p>
            <w:pPr>
              <w:pStyle w:val="TableParagraph"/>
              <w:ind w:left="105"/>
              <w:rPr>
                <w:sz w:val="24"/>
              </w:rPr>
            </w:pPr>
            <w:r>
              <w:rPr>
                <w:sz w:val="24"/>
              </w:rPr>
              <w:t>5.9</w:t>
            </w:r>
          </w:p>
        </w:tc>
        <w:tc>
          <w:tcPr>
            <w:tcW w:w="1501" w:type="dxa"/>
            <w:tcBorders>
              <w:top w:val="single" w:sz="8" w:space="0" w:color="FFFFFF"/>
              <w:left w:val="single" w:sz="6" w:space="0" w:color="FFFFFF"/>
              <w:bottom w:val="single" w:sz="8" w:space="0" w:color="FFFFFF"/>
              <w:right w:val="single" w:sz="6" w:space="0" w:color="FFFFFF"/>
            </w:tcBorders>
            <w:shd w:val="clear" w:color="auto" w:fill="D2EAF0"/>
          </w:tcPr>
          <w:p>
            <w:pPr>
              <w:pStyle w:val="TableParagraph"/>
              <w:ind w:left="103"/>
              <w:rPr>
                <w:sz w:val="24"/>
              </w:rPr>
            </w:pPr>
            <w:r>
              <w:rPr>
                <w:sz w:val="24"/>
              </w:rPr>
              <w:t>14</w:t>
            </w:r>
          </w:p>
        </w:tc>
        <w:tc>
          <w:tcPr>
            <w:tcW w:w="1486" w:type="dxa"/>
            <w:tcBorders>
              <w:top w:val="single" w:sz="8" w:space="0" w:color="FFFFFF"/>
              <w:left w:val="single" w:sz="6" w:space="0" w:color="FFFFFF"/>
              <w:bottom w:val="single" w:sz="8" w:space="0" w:color="FFFFFF"/>
            </w:tcBorders>
            <w:shd w:val="clear" w:color="auto" w:fill="D2EAF0"/>
          </w:tcPr>
          <w:p>
            <w:pPr>
              <w:pStyle w:val="TableParagraph"/>
              <w:rPr>
                <w:sz w:val="24"/>
              </w:rPr>
            </w:pPr>
            <w:r>
              <w:rPr>
                <w:sz w:val="24"/>
              </w:rPr>
              <w:t>12</w:t>
            </w:r>
          </w:p>
        </w:tc>
      </w:tr>
      <w:tr>
        <w:trPr>
          <w:trHeight w:val="432" w:hRule="exact"/>
        </w:trPr>
        <w:tc>
          <w:tcPr>
            <w:tcW w:w="2982" w:type="dxa"/>
            <w:tcBorders>
              <w:top w:val="single" w:sz="8" w:space="0" w:color="FFFFFF"/>
              <w:bottom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Relación canina clase I</w:t>
            </w:r>
          </w:p>
        </w:tc>
        <w:tc>
          <w:tcPr>
            <w:tcW w:w="1499" w:type="dxa"/>
            <w:tcBorders>
              <w:top w:val="single" w:sz="8" w:space="0" w:color="FFFFFF"/>
              <w:left w:val="single" w:sz="23" w:space="0" w:color="FFFFFF"/>
              <w:bottom w:val="single" w:sz="8" w:space="0" w:color="FFFFFF"/>
            </w:tcBorders>
            <w:shd w:val="clear" w:color="auto" w:fill="A4D4E1"/>
          </w:tcPr>
          <w:p>
            <w:pPr>
              <w:pStyle w:val="TableParagraph"/>
              <w:ind w:left="82"/>
              <w:rPr>
                <w:sz w:val="24"/>
              </w:rPr>
            </w:pPr>
            <w:r>
              <w:rPr>
                <w:sz w:val="24"/>
              </w:rPr>
              <w:t>98</w:t>
            </w:r>
          </w:p>
        </w:tc>
        <w:tc>
          <w:tcPr>
            <w:tcW w:w="1493" w:type="dxa"/>
            <w:tcBorders>
              <w:top w:val="single" w:sz="8" w:space="0" w:color="FFFFFF"/>
              <w:bottom w:val="single" w:sz="8" w:space="0" w:color="FFFFFF"/>
              <w:right w:val="single" w:sz="8" w:space="0" w:color="FFFFFF"/>
            </w:tcBorders>
            <w:shd w:val="clear" w:color="auto" w:fill="A4D4E1"/>
          </w:tcPr>
          <w:p>
            <w:pPr>
              <w:pStyle w:val="TableParagraph"/>
              <w:ind w:left="105"/>
              <w:rPr>
                <w:sz w:val="24"/>
              </w:rPr>
            </w:pPr>
            <w:r>
              <w:rPr>
                <w:sz w:val="24"/>
              </w:rPr>
              <w:t>83.8</w:t>
            </w:r>
          </w:p>
        </w:tc>
        <w:tc>
          <w:tcPr>
            <w:tcW w:w="1501" w:type="dxa"/>
            <w:tcBorders>
              <w:top w:val="single" w:sz="8" w:space="0" w:color="FFFFFF"/>
              <w:left w:val="single" w:sz="8" w:space="0" w:color="FFFFFF"/>
              <w:bottom w:val="single" w:sz="8" w:space="0" w:color="FFFFFF"/>
            </w:tcBorders>
            <w:shd w:val="clear" w:color="auto" w:fill="A4D4E1"/>
          </w:tcPr>
          <w:p>
            <w:pPr>
              <w:pStyle w:val="TableParagraph"/>
              <w:rPr>
                <w:sz w:val="24"/>
              </w:rPr>
            </w:pPr>
            <w:r>
              <w:rPr>
                <w:sz w:val="24"/>
              </w:rPr>
              <w:t>103</w:t>
            </w:r>
          </w:p>
        </w:tc>
        <w:tc>
          <w:tcPr>
            <w:tcW w:w="1486" w:type="dxa"/>
            <w:tcBorders>
              <w:top w:val="single" w:sz="8" w:space="0" w:color="FFFFFF"/>
              <w:bottom w:val="single" w:sz="8" w:space="0" w:color="FFFFFF"/>
            </w:tcBorders>
            <w:shd w:val="clear" w:color="auto" w:fill="A4D4E1"/>
          </w:tcPr>
          <w:p>
            <w:pPr>
              <w:pStyle w:val="TableParagraph"/>
              <w:ind w:left="107"/>
              <w:rPr>
                <w:sz w:val="24"/>
              </w:rPr>
            </w:pPr>
            <w:r>
              <w:rPr>
                <w:sz w:val="24"/>
              </w:rPr>
              <w:t>88.8</w:t>
            </w:r>
          </w:p>
        </w:tc>
      </w:tr>
      <w:tr>
        <w:trPr>
          <w:trHeight w:val="437" w:hRule="exact"/>
        </w:trPr>
        <w:tc>
          <w:tcPr>
            <w:tcW w:w="2982" w:type="dxa"/>
            <w:tcBorders>
              <w:top w:val="single" w:sz="8" w:space="0" w:color="FFFFFF"/>
              <w:bottom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Relación canina clase II</w:t>
            </w:r>
          </w:p>
        </w:tc>
        <w:tc>
          <w:tcPr>
            <w:tcW w:w="1499" w:type="dxa"/>
            <w:tcBorders>
              <w:top w:val="single" w:sz="8" w:space="0" w:color="FFFFFF"/>
              <w:left w:val="single" w:sz="23" w:space="0" w:color="FFFFFF"/>
              <w:bottom w:val="single" w:sz="8" w:space="0" w:color="FFFFFF"/>
            </w:tcBorders>
            <w:shd w:val="clear" w:color="auto" w:fill="D2EAF0"/>
          </w:tcPr>
          <w:p>
            <w:pPr>
              <w:pStyle w:val="TableParagraph"/>
              <w:ind w:left="82"/>
              <w:rPr>
                <w:sz w:val="24"/>
              </w:rPr>
            </w:pPr>
            <w:r>
              <w:rPr>
                <w:sz w:val="24"/>
              </w:rPr>
              <w:t>16</w:t>
            </w:r>
          </w:p>
        </w:tc>
        <w:tc>
          <w:tcPr>
            <w:tcW w:w="1493" w:type="dxa"/>
            <w:tcBorders>
              <w:top w:val="single" w:sz="8" w:space="0" w:color="FFFFFF"/>
              <w:bottom w:val="single" w:sz="8" w:space="0" w:color="FFFFFF"/>
              <w:right w:val="single" w:sz="6" w:space="0" w:color="FFFFFF"/>
            </w:tcBorders>
            <w:shd w:val="clear" w:color="auto" w:fill="D2EAF0"/>
          </w:tcPr>
          <w:p>
            <w:pPr>
              <w:pStyle w:val="TableParagraph"/>
              <w:ind w:left="105"/>
              <w:rPr>
                <w:sz w:val="24"/>
              </w:rPr>
            </w:pPr>
            <w:r>
              <w:rPr>
                <w:sz w:val="24"/>
              </w:rPr>
              <w:t>13.7</w:t>
            </w:r>
          </w:p>
        </w:tc>
        <w:tc>
          <w:tcPr>
            <w:tcW w:w="1501" w:type="dxa"/>
            <w:tcBorders>
              <w:top w:val="single" w:sz="8" w:space="0" w:color="FFFFFF"/>
              <w:left w:val="single" w:sz="6" w:space="0" w:color="FFFFFF"/>
              <w:bottom w:val="single" w:sz="8" w:space="0" w:color="FFFFFF"/>
              <w:right w:val="single" w:sz="6" w:space="0" w:color="FFFFFF"/>
            </w:tcBorders>
            <w:shd w:val="clear" w:color="auto" w:fill="D2EAF0"/>
          </w:tcPr>
          <w:p>
            <w:pPr>
              <w:pStyle w:val="TableParagraph"/>
              <w:ind w:left="103"/>
              <w:rPr>
                <w:sz w:val="24"/>
              </w:rPr>
            </w:pPr>
            <w:r>
              <w:rPr>
                <w:w w:val="99"/>
                <w:sz w:val="24"/>
              </w:rPr>
              <w:t>8</w:t>
            </w:r>
          </w:p>
        </w:tc>
        <w:tc>
          <w:tcPr>
            <w:tcW w:w="1486" w:type="dxa"/>
            <w:tcBorders>
              <w:top w:val="single" w:sz="8" w:space="0" w:color="FFFFFF"/>
              <w:left w:val="single" w:sz="6" w:space="0" w:color="FFFFFF"/>
              <w:bottom w:val="single" w:sz="8" w:space="0" w:color="FFFFFF"/>
            </w:tcBorders>
            <w:shd w:val="clear" w:color="auto" w:fill="D2EAF0"/>
          </w:tcPr>
          <w:p>
            <w:pPr>
              <w:pStyle w:val="TableParagraph"/>
              <w:rPr>
                <w:sz w:val="24"/>
              </w:rPr>
            </w:pPr>
            <w:r>
              <w:rPr>
                <w:sz w:val="24"/>
              </w:rPr>
              <w:t>6.8</w:t>
            </w:r>
          </w:p>
        </w:tc>
      </w:tr>
      <w:tr>
        <w:trPr>
          <w:trHeight w:val="423" w:hRule="exact"/>
        </w:trPr>
        <w:tc>
          <w:tcPr>
            <w:tcW w:w="2982" w:type="dxa"/>
            <w:tcBorders>
              <w:top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Relación canina clase III</w:t>
            </w:r>
          </w:p>
        </w:tc>
        <w:tc>
          <w:tcPr>
            <w:tcW w:w="1499" w:type="dxa"/>
            <w:tcBorders>
              <w:top w:val="single" w:sz="8" w:space="0" w:color="FFFFFF"/>
              <w:left w:val="single" w:sz="23" w:space="0" w:color="FFFFFF"/>
            </w:tcBorders>
            <w:shd w:val="clear" w:color="auto" w:fill="A4D4E1"/>
          </w:tcPr>
          <w:p>
            <w:pPr>
              <w:pStyle w:val="TableParagraph"/>
              <w:ind w:left="82"/>
              <w:rPr>
                <w:sz w:val="24"/>
              </w:rPr>
            </w:pPr>
            <w:r>
              <w:rPr>
                <w:w w:val="99"/>
                <w:sz w:val="24"/>
              </w:rPr>
              <w:t>3</w:t>
            </w:r>
          </w:p>
        </w:tc>
        <w:tc>
          <w:tcPr>
            <w:tcW w:w="1493" w:type="dxa"/>
            <w:tcBorders>
              <w:top w:val="single" w:sz="8" w:space="0" w:color="FFFFFF"/>
              <w:right w:val="single" w:sz="8" w:space="0" w:color="FFFFFF"/>
            </w:tcBorders>
            <w:shd w:val="clear" w:color="auto" w:fill="A4D4E1"/>
          </w:tcPr>
          <w:p>
            <w:pPr>
              <w:pStyle w:val="TableParagraph"/>
              <w:ind w:left="105"/>
              <w:rPr>
                <w:sz w:val="24"/>
              </w:rPr>
            </w:pPr>
            <w:r>
              <w:rPr>
                <w:sz w:val="24"/>
              </w:rPr>
              <w:t>2.6</w:t>
            </w:r>
          </w:p>
        </w:tc>
        <w:tc>
          <w:tcPr>
            <w:tcW w:w="1501" w:type="dxa"/>
            <w:tcBorders>
              <w:top w:val="single" w:sz="8" w:space="0" w:color="FFFFFF"/>
              <w:left w:val="single" w:sz="8" w:space="0" w:color="FFFFFF"/>
            </w:tcBorders>
            <w:shd w:val="clear" w:color="auto" w:fill="A4D4E1"/>
          </w:tcPr>
          <w:p>
            <w:pPr>
              <w:pStyle w:val="TableParagraph"/>
              <w:rPr>
                <w:sz w:val="24"/>
              </w:rPr>
            </w:pPr>
            <w:r>
              <w:rPr>
                <w:w w:val="99"/>
                <w:sz w:val="24"/>
              </w:rPr>
              <w:t>6</w:t>
            </w:r>
          </w:p>
        </w:tc>
        <w:tc>
          <w:tcPr>
            <w:tcW w:w="1486" w:type="dxa"/>
            <w:tcBorders>
              <w:top w:val="single" w:sz="8" w:space="0" w:color="FFFFFF"/>
            </w:tcBorders>
            <w:shd w:val="clear" w:color="auto" w:fill="A4D4E1"/>
          </w:tcPr>
          <w:p>
            <w:pPr>
              <w:pStyle w:val="TableParagraph"/>
              <w:ind w:left="107"/>
              <w:rPr>
                <w:sz w:val="24"/>
              </w:rPr>
            </w:pPr>
            <w:r>
              <w:rPr>
                <w:sz w:val="24"/>
              </w:rPr>
              <w:t>5.1</w:t>
            </w:r>
          </w:p>
        </w:tc>
      </w:tr>
    </w:tbl>
    <w:p>
      <w:pPr>
        <w:spacing w:before="114"/>
        <w:ind w:left="196" w:right="0" w:firstLine="0"/>
        <w:jc w:val="both"/>
        <w:rPr>
          <w:sz w:val="16"/>
        </w:rPr>
      </w:pPr>
      <w:r>
        <w:rPr>
          <w:sz w:val="16"/>
        </w:rPr>
        <w:t>Fuente directa</w:t>
      </w:r>
    </w:p>
    <w:p>
      <w:pPr>
        <w:pStyle w:val="BodyText"/>
        <w:rPr>
          <w:sz w:val="16"/>
        </w:rPr>
      </w:pPr>
    </w:p>
    <w:p>
      <w:pPr>
        <w:pStyle w:val="BodyText"/>
        <w:spacing w:before="9"/>
        <w:rPr>
          <w:sz w:val="12"/>
        </w:rPr>
      </w:pPr>
    </w:p>
    <w:p>
      <w:pPr>
        <w:pStyle w:val="BodyText"/>
        <w:spacing w:line="360" w:lineRule="auto"/>
        <w:ind w:left="196" w:right="99"/>
        <w:jc w:val="both"/>
      </w:pPr>
      <w:r>
        <w:rPr/>
        <w:t>La presencia de espacios generalizados </w:t>
      </w:r>
      <w:r>
        <w:rPr>
          <w:spacing w:val="-3"/>
        </w:rPr>
        <w:t>se </w:t>
      </w:r>
      <w:r>
        <w:rPr/>
        <w:t>observo en el 37.6% de los casos, espacios primates en 51.3%; en el 25.6% de los alumnos curva de Spee y en el 74.4% se observo curva de Spee plana; el 9.4% de la muestra presentó mordida cruzada anterior, 3.4% mordida cruzada posterior, 7.7% mordida abierta  anterior,3.4% mordía abierta posterior, 7.7% mordida borde a borde; 10.3% de los casos presentó apiñamiento superior y 9.4% apiñamiento inferior; la atrición se observo en el 29.9% de los alumnos, la abrasión </w:t>
      </w:r>
      <w:r>
        <w:rPr>
          <w:spacing w:val="5"/>
        </w:rPr>
        <w:t>no </w:t>
      </w:r>
      <w:r>
        <w:rPr/>
        <w:t>se observo en ninguno de los casos.(Tabla</w:t>
      </w:r>
      <w:r>
        <w:rPr>
          <w:spacing w:val="-2"/>
        </w:rPr>
        <w:t> </w:t>
      </w:r>
      <w:r>
        <w:rPr/>
        <w:t>2)</w:t>
      </w:r>
    </w:p>
    <w:p>
      <w:pPr>
        <w:spacing w:after="0" w:line="360" w:lineRule="auto"/>
        <w:jc w:val="both"/>
        <w:sectPr>
          <w:footerReference w:type="default" r:id="rId13"/>
          <w:pgSz w:w="12240" w:h="15840"/>
          <w:pgMar w:footer="1002" w:header="0" w:top="1500" w:bottom="1200" w:left="1220" w:right="1600"/>
        </w:sectPr>
      </w:pPr>
    </w:p>
    <w:p>
      <w:pPr>
        <w:pStyle w:val="BodyText"/>
        <w:spacing w:before="1"/>
        <w:rPr>
          <w:sz w:val="10"/>
        </w:rPr>
      </w:pPr>
    </w:p>
    <w:p>
      <w:pPr>
        <w:pStyle w:val="Heading1"/>
        <w:ind w:left="1989"/>
      </w:pPr>
      <w:r>
        <w:rPr/>
        <w:t>Tabla 2 Características Generales de la Oclusión.</w:t>
      </w:r>
    </w:p>
    <w:p>
      <w:pPr>
        <w:pStyle w:val="BodyText"/>
        <w:rPr>
          <w:b/>
          <w:sz w:val="20"/>
        </w:rPr>
      </w:pPr>
    </w:p>
    <w:p>
      <w:pPr>
        <w:pStyle w:val="BodyText"/>
        <w:spacing w:before="7" w:after="1"/>
        <w:rPr>
          <w:b/>
          <w:sz w:val="10"/>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97"/>
        <w:gridCol w:w="1740"/>
        <w:gridCol w:w="4247"/>
      </w:tblGrid>
      <w:tr>
        <w:trPr>
          <w:trHeight w:val="446" w:hRule="exact"/>
        </w:trPr>
        <w:tc>
          <w:tcPr>
            <w:tcW w:w="2997" w:type="dxa"/>
            <w:shd w:val="clear" w:color="auto" w:fill="4AACC5"/>
          </w:tcPr>
          <w:p>
            <w:pPr/>
          </w:p>
        </w:tc>
        <w:tc>
          <w:tcPr>
            <w:tcW w:w="1740" w:type="dxa"/>
            <w:shd w:val="clear" w:color="auto" w:fill="4AACC5"/>
          </w:tcPr>
          <w:p>
            <w:pPr>
              <w:pStyle w:val="TableParagraph"/>
              <w:spacing w:line="240" w:lineRule="auto" w:before="10"/>
              <w:ind w:left="109"/>
              <w:rPr>
                <w:b/>
                <w:sz w:val="24"/>
              </w:rPr>
            </w:pPr>
            <w:r>
              <w:rPr>
                <w:b/>
                <w:color w:val="FFFFFF"/>
                <w:w w:val="99"/>
                <w:sz w:val="24"/>
              </w:rPr>
              <w:t>N</w:t>
            </w:r>
          </w:p>
        </w:tc>
        <w:tc>
          <w:tcPr>
            <w:tcW w:w="4247" w:type="dxa"/>
            <w:shd w:val="clear" w:color="auto" w:fill="4AACC5"/>
          </w:tcPr>
          <w:p>
            <w:pPr>
              <w:pStyle w:val="TableParagraph"/>
              <w:spacing w:line="240" w:lineRule="auto" w:before="10"/>
              <w:ind w:left="1361"/>
              <w:rPr>
                <w:b/>
                <w:sz w:val="24"/>
              </w:rPr>
            </w:pPr>
            <w:r>
              <w:rPr>
                <w:b/>
                <w:color w:val="FFFFFF"/>
                <w:w w:val="99"/>
                <w:sz w:val="24"/>
              </w:rPr>
              <w:t>%</w:t>
            </w:r>
          </w:p>
        </w:tc>
      </w:tr>
      <w:tr>
        <w:trPr>
          <w:trHeight w:val="432" w:hRule="exact"/>
        </w:trPr>
        <w:tc>
          <w:tcPr>
            <w:tcW w:w="2997" w:type="dxa"/>
            <w:tcBorders>
              <w:top w:val="single" w:sz="8" w:space="0" w:color="4AACC5"/>
              <w:left w:val="single" w:sz="8" w:space="0" w:color="4AACC5"/>
              <w:bottom w:val="single" w:sz="8" w:space="0" w:color="4AACC5"/>
            </w:tcBorders>
          </w:tcPr>
          <w:p>
            <w:pPr>
              <w:pStyle w:val="TableParagraph"/>
              <w:spacing w:line="267" w:lineRule="exact"/>
              <w:ind w:right="107"/>
              <w:rPr>
                <w:b/>
                <w:sz w:val="24"/>
              </w:rPr>
            </w:pPr>
            <w:r>
              <w:rPr>
                <w:b/>
                <w:sz w:val="24"/>
              </w:rPr>
              <w:t>Espacios generalizados</w:t>
            </w:r>
          </w:p>
        </w:tc>
        <w:tc>
          <w:tcPr>
            <w:tcW w:w="1740" w:type="dxa"/>
            <w:tcBorders>
              <w:top w:val="single" w:sz="8" w:space="0" w:color="4AACC5"/>
              <w:bottom w:val="single" w:sz="8" w:space="0" w:color="4AACC5"/>
            </w:tcBorders>
          </w:tcPr>
          <w:p>
            <w:pPr>
              <w:pStyle w:val="TableParagraph"/>
              <w:ind w:left="109"/>
              <w:rPr>
                <w:sz w:val="24"/>
              </w:rPr>
            </w:pPr>
            <w:r>
              <w:rPr>
                <w:sz w:val="24"/>
              </w:rPr>
              <w:t>44</w:t>
            </w:r>
          </w:p>
        </w:tc>
        <w:tc>
          <w:tcPr>
            <w:tcW w:w="4247" w:type="dxa"/>
            <w:tcBorders>
              <w:top w:val="single" w:sz="8" w:space="0" w:color="4AACC5"/>
              <w:bottom w:val="single" w:sz="8" w:space="0" w:color="4AACC5"/>
              <w:right w:val="single" w:sz="8" w:space="0" w:color="4AACC5"/>
            </w:tcBorders>
          </w:tcPr>
          <w:p>
            <w:pPr>
              <w:pStyle w:val="TableParagraph"/>
              <w:ind w:left="1361"/>
              <w:rPr>
                <w:sz w:val="24"/>
              </w:rPr>
            </w:pPr>
            <w:r>
              <w:rPr>
                <w:sz w:val="24"/>
              </w:rPr>
              <w:t>37.6</w:t>
            </w:r>
          </w:p>
        </w:tc>
      </w:tr>
      <w:tr>
        <w:trPr>
          <w:trHeight w:val="437" w:hRule="exact"/>
        </w:trPr>
        <w:tc>
          <w:tcPr>
            <w:tcW w:w="2997" w:type="dxa"/>
            <w:tcBorders>
              <w:top w:val="single" w:sz="8" w:space="0" w:color="4AACC5"/>
              <w:left w:val="single" w:sz="8" w:space="0" w:color="4AACC5"/>
              <w:bottom w:val="single" w:sz="8" w:space="0" w:color="4AACC5"/>
            </w:tcBorders>
          </w:tcPr>
          <w:p>
            <w:pPr>
              <w:pStyle w:val="TableParagraph"/>
              <w:spacing w:line="267" w:lineRule="exact"/>
              <w:ind w:right="107"/>
              <w:rPr>
                <w:b/>
                <w:sz w:val="24"/>
              </w:rPr>
            </w:pPr>
            <w:r>
              <w:rPr>
                <w:b/>
                <w:sz w:val="24"/>
              </w:rPr>
              <w:t>Espacios primates</w:t>
            </w:r>
          </w:p>
        </w:tc>
        <w:tc>
          <w:tcPr>
            <w:tcW w:w="1740" w:type="dxa"/>
            <w:tcBorders>
              <w:top w:val="single" w:sz="8" w:space="0" w:color="4AACC5"/>
              <w:bottom w:val="single" w:sz="8" w:space="0" w:color="4AACC5"/>
            </w:tcBorders>
          </w:tcPr>
          <w:p>
            <w:pPr>
              <w:pStyle w:val="TableParagraph"/>
              <w:ind w:left="109"/>
              <w:rPr>
                <w:sz w:val="24"/>
              </w:rPr>
            </w:pPr>
            <w:r>
              <w:rPr>
                <w:sz w:val="24"/>
              </w:rPr>
              <w:t>60</w:t>
            </w:r>
          </w:p>
        </w:tc>
        <w:tc>
          <w:tcPr>
            <w:tcW w:w="4247" w:type="dxa"/>
            <w:tcBorders>
              <w:top w:val="single" w:sz="8" w:space="0" w:color="4AACC5"/>
              <w:bottom w:val="single" w:sz="8" w:space="0" w:color="4AACC5"/>
              <w:right w:val="single" w:sz="8" w:space="0" w:color="4AACC5"/>
            </w:tcBorders>
          </w:tcPr>
          <w:p>
            <w:pPr>
              <w:pStyle w:val="TableParagraph"/>
              <w:ind w:left="1361"/>
              <w:rPr>
                <w:sz w:val="24"/>
              </w:rPr>
            </w:pPr>
            <w:r>
              <w:rPr>
                <w:sz w:val="24"/>
              </w:rPr>
              <w:t>51.3</w:t>
            </w:r>
          </w:p>
        </w:tc>
      </w:tr>
      <w:tr>
        <w:trPr>
          <w:trHeight w:val="432" w:hRule="exact"/>
        </w:trPr>
        <w:tc>
          <w:tcPr>
            <w:tcW w:w="2997" w:type="dxa"/>
            <w:tcBorders>
              <w:top w:val="single" w:sz="8" w:space="0" w:color="4AACC5"/>
              <w:left w:val="single" w:sz="8" w:space="0" w:color="4AACC5"/>
              <w:bottom w:val="single" w:sz="8" w:space="0" w:color="4AACC5"/>
            </w:tcBorders>
          </w:tcPr>
          <w:p>
            <w:pPr>
              <w:pStyle w:val="TableParagraph"/>
              <w:spacing w:line="267" w:lineRule="exact"/>
              <w:ind w:right="107"/>
              <w:rPr>
                <w:b/>
                <w:sz w:val="24"/>
              </w:rPr>
            </w:pPr>
            <w:r>
              <w:rPr>
                <w:b/>
                <w:sz w:val="24"/>
              </w:rPr>
              <w:t>Curva de Spee</w:t>
            </w:r>
          </w:p>
        </w:tc>
        <w:tc>
          <w:tcPr>
            <w:tcW w:w="1740" w:type="dxa"/>
            <w:tcBorders>
              <w:top w:val="single" w:sz="8" w:space="0" w:color="4AACC5"/>
              <w:bottom w:val="single" w:sz="8" w:space="0" w:color="4AACC5"/>
            </w:tcBorders>
          </w:tcPr>
          <w:p>
            <w:pPr>
              <w:pStyle w:val="TableParagraph"/>
              <w:ind w:left="109"/>
              <w:rPr>
                <w:sz w:val="24"/>
              </w:rPr>
            </w:pPr>
            <w:r>
              <w:rPr>
                <w:sz w:val="24"/>
              </w:rPr>
              <w:t>30</w:t>
            </w:r>
          </w:p>
        </w:tc>
        <w:tc>
          <w:tcPr>
            <w:tcW w:w="4247" w:type="dxa"/>
            <w:tcBorders>
              <w:top w:val="single" w:sz="8" w:space="0" w:color="4AACC5"/>
              <w:bottom w:val="single" w:sz="8" w:space="0" w:color="4AACC5"/>
              <w:right w:val="single" w:sz="8" w:space="0" w:color="4AACC5"/>
            </w:tcBorders>
          </w:tcPr>
          <w:p>
            <w:pPr>
              <w:pStyle w:val="TableParagraph"/>
              <w:ind w:left="1361"/>
              <w:rPr>
                <w:sz w:val="24"/>
              </w:rPr>
            </w:pPr>
            <w:r>
              <w:rPr>
                <w:sz w:val="24"/>
              </w:rPr>
              <w:t>25.6</w:t>
            </w:r>
          </w:p>
        </w:tc>
      </w:tr>
      <w:tr>
        <w:trPr>
          <w:trHeight w:val="432" w:hRule="exact"/>
        </w:trPr>
        <w:tc>
          <w:tcPr>
            <w:tcW w:w="2997" w:type="dxa"/>
            <w:tcBorders>
              <w:top w:val="single" w:sz="8" w:space="0" w:color="4AACC5"/>
              <w:left w:val="single" w:sz="8" w:space="0" w:color="4AACC5"/>
              <w:bottom w:val="single" w:sz="8" w:space="0" w:color="4AACC5"/>
            </w:tcBorders>
          </w:tcPr>
          <w:p>
            <w:pPr>
              <w:pStyle w:val="TableParagraph"/>
              <w:spacing w:line="267" w:lineRule="exact"/>
              <w:ind w:right="107"/>
              <w:rPr>
                <w:b/>
                <w:sz w:val="24"/>
              </w:rPr>
            </w:pPr>
            <w:r>
              <w:rPr>
                <w:b/>
                <w:sz w:val="24"/>
              </w:rPr>
              <w:t>Apiñamiento Superior</w:t>
            </w:r>
          </w:p>
        </w:tc>
        <w:tc>
          <w:tcPr>
            <w:tcW w:w="1740" w:type="dxa"/>
            <w:tcBorders>
              <w:top w:val="single" w:sz="8" w:space="0" w:color="4AACC5"/>
              <w:bottom w:val="single" w:sz="8" w:space="0" w:color="4AACC5"/>
            </w:tcBorders>
          </w:tcPr>
          <w:p>
            <w:pPr>
              <w:pStyle w:val="TableParagraph"/>
              <w:ind w:left="109"/>
              <w:rPr>
                <w:sz w:val="24"/>
              </w:rPr>
            </w:pPr>
            <w:r>
              <w:rPr>
                <w:sz w:val="24"/>
              </w:rPr>
              <w:t>12</w:t>
            </w:r>
          </w:p>
        </w:tc>
        <w:tc>
          <w:tcPr>
            <w:tcW w:w="4247" w:type="dxa"/>
            <w:tcBorders>
              <w:top w:val="single" w:sz="8" w:space="0" w:color="4AACC5"/>
              <w:bottom w:val="single" w:sz="8" w:space="0" w:color="4AACC5"/>
              <w:right w:val="single" w:sz="8" w:space="0" w:color="4AACC5"/>
            </w:tcBorders>
          </w:tcPr>
          <w:p>
            <w:pPr>
              <w:pStyle w:val="TableParagraph"/>
              <w:ind w:left="1361"/>
              <w:rPr>
                <w:sz w:val="24"/>
              </w:rPr>
            </w:pPr>
            <w:r>
              <w:rPr>
                <w:sz w:val="24"/>
              </w:rPr>
              <w:t>10.3</w:t>
            </w:r>
          </w:p>
        </w:tc>
      </w:tr>
      <w:tr>
        <w:trPr>
          <w:trHeight w:val="437" w:hRule="exact"/>
        </w:trPr>
        <w:tc>
          <w:tcPr>
            <w:tcW w:w="2997" w:type="dxa"/>
            <w:tcBorders>
              <w:top w:val="single" w:sz="8" w:space="0" w:color="4AACC5"/>
              <w:left w:val="single" w:sz="8" w:space="0" w:color="4AACC5"/>
              <w:bottom w:val="single" w:sz="8" w:space="0" w:color="4AACC5"/>
            </w:tcBorders>
          </w:tcPr>
          <w:p>
            <w:pPr>
              <w:pStyle w:val="TableParagraph"/>
              <w:spacing w:line="267" w:lineRule="exact"/>
              <w:ind w:right="107"/>
              <w:rPr>
                <w:b/>
                <w:sz w:val="24"/>
              </w:rPr>
            </w:pPr>
            <w:r>
              <w:rPr>
                <w:b/>
                <w:sz w:val="24"/>
              </w:rPr>
              <w:t>Apiñamiento Inferior</w:t>
            </w:r>
          </w:p>
        </w:tc>
        <w:tc>
          <w:tcPr>
            <w:tcW w:w="1740" w:type="dxa"/>
            <w:tcBorders>
              <w:top w:val="single" w:sz="8" w:space="0" w:color="4AACC5"/>
              <w:bottom w:val="single" w:sz="8" w:space="0" w:color="4AACC5"/>
            </w:tcBorders>
          </w:tcPr>
          <w:p>
            <w:pPr>
              <w:pStyle w:val="TableParagraph"/>
              <w:ind w:left="109"/>
              <w:rPr>
                <w:sz w:val="24"/>
              </w:rPr>
            </w:pPr>
            <w:r>
              <w:rPr>
                <w:sz w:val="24"/>
              </w:rPr>
              <w:t>11</w:t>
            </w:r>
          </w:p>
        </w:tc>
        <w:tc>
          <w:tcPr>
            <w:tcW w:w="4247" w:type="dxa"/>
            <w:tcBorders>
              <w:top w:val="single" w:sz="8" w:space="0" w:color="4AACC5"/>
              <w:bottom w:val="single" w:sz="8" w:space="0" w:color="4AACC5"/>
              <w:right w:val="single" w:sz="8" w:space="0" w:color="4AACC5"/>
            </w:tcBorders>
          </w:tcPr>
          <w:p>
            <w:pPr>
              <w:pStyle w:val="TableParagraph"/>
              <w:ind w:left="1361"/>
              <w:rPr>
                <w:sz w:val="24"/>
              </w:rPr>
            </w:pPr>
            <w:r>
              <w:rPr>
                <w:sz w:val="24"/>
              </w:rPr>
              <w:t>9.4</w:t>
            </w:r>
          </w:p>
        </w:tc>
      </w:tr>
      <w:tr>
        <w:trPr>
          <w:trHeight w:val="845" w:hRule="exact"/>
        </w:trPr>
        <w:tc>
          <w:tcPr>
            <w:tcW w:w="2997" w:type="dxa"/>
            <w:tcBorders>
              <w:top w:val="single" w:sz="8" w:space="0" w:color="4AACC5"/>
              <w:left w:val="single" w:sz="8" w:space="0" w:color="4AACC5"/>
              <w:bottom w:val="single" w:sz="8" w:space="0" w:color="4AACC5"/>
            </w:tcBorders>
          </w:tcPr>
          <w:p>
            <w:pPr>
              <w:pStyle w:val="TableParagraph"/>
              <w:tabs>
                <w:tab w:pos="1971" w:val="left" w:leader="none"/>
              </w:tabs>
              <w:spacing w:line="360" w:lineRule="auto"/>
              <w:ind w:right="107"/>
              <w:rPr>
                <w:b/>
                <w:sz w:val="24"/>
              </w:rPr>
            </w:pPr>
            <w:r>
              <w:rPr>
                <w:b/>
                <w:sz w:val="24"/>
              </w:rPr>
              <w:t>Mordida</w:t>
              <w:tab/>
            </w:r>
            <w:r>
              <w:rPr>
                <w:b/>
                <w:w w:val="95"/>
                <w:sz w:val="24"/>
              </w:rPr>
              <w:t>cruzada </w:t>
            </w:r>
            <w:r>
              <w:rPr>
                <w:b/>
                <w:sz w:val="24"/>
              </w:rPr>
              <w:t>anterior</w:t>
            </w:r>
          </w:p>
        </w:tc>
        <w:tc>
          <w:tcPr>
            <w:tcW w:w="1740" w:type="dxa"/>
            <w:tcBorders>
              <w:top w:val="single" w:sz="8" w:space="0" w:color="4AACC5"/>
              <w:bottom w:val="single" w:sz="8" w:space="0" w:color="4AACC5"/>
            </w:tcBorders>
          </w:tcPr>
          <w:p>
            <w:pPr>
              <w:pStyle w:val="TableParagraph"/>
              <w:ind w:left="109"/>
              <w:rPr>
                <w:sz w:val="24"/>
              </w:rPr>
            </w:pPr>
            <w:r>
              <w:rPr>
                <w:sz w:val="24"/>
              </w:rPr>
              <w:t>11</w:t>
            </w:r>
          </w:p>
        </w:tc>
        <w:tc>
          <w:tcPr>
            <w:tcW w:w="4247" w:type="dxa"/>
            <w:tcBorders>
              <w:top w:val="single" w:sz="8" w:space="0" w:color="4AACC5"/>
              <w:bottom w:val="single" w:sz="8" w:space="0" w:color="4AACC5"/>
              <w:right w:val="single" w:sz="8" w:space="0" w:color="4AACC5"/>
            </w:tcBorders>
          </w:tcPr>
          <w:p>
            <w:pPr>
              <w:pStyle w:val="TableParagraph"/>
              <w:ind w:left="1361"/>
              <w:rPr>
                <w:sz w:val="24"/>
              </w:rPr>
            </w:pPr>
            <w:r>
              <w:rPr>
                <w:sz w:val="24"/>
              </w:rPr>
              <w:t>9.4</w:t>
            </w:r>
          </w:p>
        </w:tc>
      </w:tr>
      <w:tr>
        <w:trPr>
          <w:trHeight w:val="850" w:hRule="exact"/>
        </w:trPr>
        <w:tc>
          <w:tcPr>
            <w:tcW w:w="2997" w:type="dxa"/>
            <w:tcBorders>
              <w:top w:val="single" w:sz="8" w:space="0" w:color="4AACC5"/>
              <w:left w:val="single" w:sz="8" w:space="0" w:color="4AACC5"/>
              <w:bottom w:val="single" w:sz="8" w:space="0" w:color="4AACC5"/>
            </w:tcBorders>
          </w:tcPr>
          <w:p>
            <w:pPr>
              <w:pStyle w:val="TableParagraph"/>
              <w:tabs>
                <w:tab w:pos="1971" w:val="left" w:leader="none"/>
              </w:tabs>
              <w:spacing w:line="360" w:lineRule="auto"/>
              <w:ind w:right="107"/>
              <w:rPr>
                <w:b/>
                <w:sz w:val="24"/>
              </w:rPr>
            </w:pPr>
            <w:r>
              <w:rPr>
                <w:b/>
                <w:sz w:val="24"/>
              </w:rPr>
              <w:t>Mordida</w:t>
              <w:tab/>
            </w:r>
            <w:r>
              <w:rPr>
                <w:b/>
                <w:w w:val="95"/>
                <w:sz w:val="24"/>
              </w:rPr>
              <w:t>cruzada </w:t>
            </w:r>
            <w:r>
              <w:rPr>
                <w:b/>
                <w:sz w:val="24"/>
              </w:rPr>
              <w:t>posterior</w:t>
            </w:r>
          </w:p>
        </w:tc>
        <w:tc>
          <w:tcPr>
            <w:tcW w:w="1740" w:type="dxa"/>
            <w:tcBorders>
              <w:top w:val="single" w:sz="8" w:space="0" w:color="4AACC5"/>
              <w:bottom w:val="single" w:sz="8" w:space="0" w:color="4AACC5"/>
            </w:tcBorders>
          </w:tcPr>
          <w:p>
            <w:pPr>
              <w:pStyle w:val="TableParagraph"/>
              <w:spacing w:line="240" w:lineRule="auto"/>
              <w:ind w:left="109"/>
              <w:rPr>
                <w:sz w:val="24"/>
              </w:rPr>
            </w:pPr>
            <w:r>
              <w:rPr>
                <w:w w:val="99"/>
                <w:sz w:val="24"/>
              </w:rPr>
              <w:t>4</w:t>
            </w:r>
          </w:p>
        </w:tc>
        <w:tc>
          <w:tcPr>
            <w:tcW w:w="4247" w:type="dxa"/>
            <w:tcBorders>
              <w:top w:val="single" w:sz="8" w:space="0" w:color="4AACC5"/>
              <w:bottom w:val="single" w:sz="8" w:space="0" w:color="4AACC5"/>
              <w:right w:val="single" w:sz="8" w:space="0" w:color="4AACC5"/>
            </w:tcBorders>
          </w:tcPr>
          <w:p>
            <w:pPr>
              <w:pStyle w:val="TableParagraph"/>
              <w:spacing w:line="240" w:lineRule="auto"/>
              <w:ind w:left="1361"/>
              <w:rPr>
                <w:sz w:val="24"/>
              </w:rPr>
            </w:pPr>
            <w:r>
              <w:rPr>
                <w:sz w:val="24"/>
              </w:rPr>
              <w:t>3.4</w:t>
            </w:r>
          </w:p>
        </w:tc>
      </w:tr>
      <w:tr>
        <w:trPr>
          <w:trHeight w:val="432" w:hRule="exact"/>
        </w:trPr>
        <w:tc>
          <w:tcPr>
            <w:tcW w:w="2997" w:type="dxa"/>
            <w:tcBorders>
              <w:top w:val="single" w:sz="8" w:space="0" w:color="4AACC5"/>
              <w:left w:val="single" w:sz="8" w:space="0" w:color="4AACC5"/>
              <w:bottom w:val="single" w:sz="8" w:space="0" w:color="4AACC5"/>
            </w:tcBorders>
          </w:tcPr>
          <w:p>
            <w:pPr>
              <w:pStyle w:val="TableParagraph"/>
              <w:spacing w:line="267" w:lineRule="exact"/>
              <w:rPr>
                <w:b/>
                <w:sz w:val="24"/>
              </w:rPr>
            </w:pPr>
            <w:r>
              <w:rPr>
                <w:b/>
                <w:sz w:val="24"/>
              </w:rPr>
              <w:t>Mordida abierta anterior</w:t>
            </w:r>
          </w:p>
        </w:tc>
        <w:tc>
          <w:tcPr>
            <w:tcW w:w="1740" w:type="dxa"/>
            <w:tcBorders>
              <w:top w:val="single" w:sz="8" w:space="0" w:color="4AACC5"/>
              <w:bottom w:val="single" w:sz="8" w:space="0" w:color="4AACC5"/>
            </w:tcBorders>
          </w:tcPr>
          <w:p>
            <w:pPr>
              <w:pStyle w:val="TableParagraph"/>
              <w:ind w:left="109"/>
              <w:rPr>
                <w:sz w:val="24"/>
              </w:rPr>
            </w:pPr>
            <w:r>
              <w:rPr>
                <w:w w:val="99"/>
                <w:sz w:val="24"/>
              </w:rPr>
              <w:t>9</w:t>
            </w:r>
          </w:p>
        </w:tc>
        <w:tc>
          <w:tcPr>
            <w:tcW w:w="4247" w:type="dxa"/>
            <w:tcBorders>
              <w:top w:val="single" w:sz="8" w:space="0" w:color="4AACC5"/>
              <w:bottom w:val="single" w:sz="8" w:space="0" w:color="4AACC5"/>
              <w:right w:val="single" w:sz="8" w:space="0" w:color="4AACC5"/>
            </w:tcBorders>
          </w:tcPr>
          <w:p>
            <w:pPr>
              <w:pStyle w:val="TableParagraph"/>
              <w:ind w:left="1361"/>
              <w:rPr>
                <w:sz w:val="24"/>
              </w:rPr>
            </w:pPr>
            <w:r>
              <w:rPr>
                <w:sz w:val="24"/>
              </w:rPr>
              <w:t>7.7</w:t>
            </w:r>
          </w:p>
        </w:tc>
      </w:tr>
      <w:tr>
        <w:trPr>
          <w:trHeight w:val="850" w:hRule="exact"/>
        </w:trPr>
        <w:tc>
          <w:tcPr>
            <w:tcW w:w="2997" w:type="dxa"/>
            <w:tcBorders>
              <w:top w:val="single" w:sz="8" w:space="0" w:color="4AACC5"/>
              <w:left w:val="single" w:sz="8" w:space="0" w:color="4AACC5"/>
              <w:bottom w:val="single" w:sz="8" w:space="0" w:color="4AACC5"/>
            </w:tcBorders>
          </w:tcPr>
          <w:p>
            <w:pPr>
              <w:pStyle w:val="TableParagraph"/>
              <w:tabs>
                <w:tab w:pos="2091" w:val="left" w:leader="none"/>
              </w:tabs>
              <w:spacing w:line="360" w:lineRule="auto"/>
              <w:ind w:right="108"/>
              <w:rPr>
                <w:b/>
                <w:sz w:val="24"/>
              </w:rPr>
            </w:pPr>
            <w:r>
              <w:rPr>
                <w:b/>
                <w:sz w:val="24"/>
              </w:rPr>
              <w:t>Mordida</w:t>
              <w:tab/>
            </w:r>
            <w:r>
              <w:rPr>
                <w:b/>
                <w:spacing w:val="-1"/>
                <w:sz w:val="24"/>
              </w:rPr>
              <w:t>abierta </w:t>
            </w:r>
            <w:r>
              <w:rPr>
                <w:b/>
                <w:sz w:val="24"/>
              </w:rPr>
              <w:t>posterior</w:t>
            </w:r>
          </w:p>
        </w:tc>
        <w:tc>
          <w:tcPr>
            <w:tcW w:w="1740" w:type="dxa"/>
            <w:tcBorders>
              <w:top w:val="single" w:sz="8" w:space="0" w:color="4AACC5"/>
              <w:bottom w:val="single" w:sz="8" w:space="0" w:color="4AACC5"/>
            </w:tcBorders>
          </w:tcPr>
          <w:p>
            <w:pPr>
              <w:pStyle w:val="TableParagraph"/>
              <w:spacing w:line="240" w:lineRule="auto"/>
              <w:ind w:left="109"/>
              <w:rPr>
                <w:sz w:val="24"/>
              </w:rPr>
            </w:pPr>
            <w:r>
              <w:rPr>
                <w:w w:val="99"/>
                <w:sz w:val="24"/>
              </w:rPr>
              <w:t>4</w:t>
            </w:r>
          </w:p>
        </w:tc>
        <w:tc>
          <w:tcPr>
            <w:tcW w:w="4247" w:type="dxa"/>
            <w:tcBorders>
              <w:top w:val="single" w:sz="8" w:space="0" w:color="4AACC5"/>
              <w:bottom w:val="single" w:sz="8" w:space="0" w:color="4AACC5"/>
              <w:right w:val="single" w:sz="8" w:space="0" w:color="4AACC5"/>
            </w:tcBorders>
          </w:tcPr>
          <w:p>
            <w:pPr>
              <w:pStyle w:val="TableParagraph"/>
              <w:spacing w:line="240" w:lineRule="auto"/>
              <w:ind w:left="1361"/>
              <w:rPr>
                <w:sz w:val="24"/>
              </w:rPr>
            </w:pPr>
            <w:r>
              <w:rPr>
                <w:sz w:val="24"/>
              </w:rPr>
              <w:t>3.4</w:t>
            </w:r>
          </w:p>
        </w:tc>
      </w:tr>
      <w:tr>
        <w:trPr>
          <w:trHeight w:val="437" w:hRule="exact"/>
        </w:trPr>
        <w:tc>
          <w:tcPr>
            <w:tcW w:w="2997" w:type="dxa"/>
            <w:tcBorders>
              <w:top w:val="single" w:sz="8" w:space="0" w:color="4AACC5"/>
              <w:left w:val="single" w:sz="8" w:space="0" w:color="4AACC5"/>
              <w:bottom w:val="single" w:sz="8" w:space="0" w:color="4AACC5"/>
            </w:tcBorders>
          </w:tcPr>
          <w:p>
            <w:pPr>
              <w:pStyle w:val="TableParagraph"/>
              <w:spacing w:line="267" w:lineRule="exact"/>
              <w:ind w:right="107"/>
              <w:rPr>
                <w:b/>
                <w:sz w:val="24"/>
              </w:rPr>
            </w:pPr>
            <w:r>
              <w:rPr>
                <w:b/>
                <w:sz w:val="24"/>
              </w:rPr>
              <w:t>Mordida borde a borde</w:t>
            </w:r>
          </w:p>
        </w:tc>
        <w:tc>
          <w:tcPr>
            <w:tcW w:w="1740" w:type="dxa"/>
            <w:tcBorders>
              <w:top w:val="single" w:sz="8" w:space="0" w:color="4AACC5"/>
              <w:bottom w:val="single" w:sz="8" w:space="0" w:color="4AACC5"/>
            </w:tcBorders>
          </w:tcPr>
          <w:p>
            <w:pPr>
              <w:pStyle w:val="TableParagraph"/>
              <w:ind w:left="109"/>
              <w:rPr>
                <w:sz w:val="24"/>
              </w:rPr>
            </w:pPr>
            <w:r>
              <w:rPr>
                <w:w w:val="99"/>
                <w:sz w:val="24"/>
              </w:rPr>
              <w:t>9</w:t>
            </w:r>
          </w:p>
        </w:tc>
        <w:tc>
          <w:tcPr>
            <w:tcW w:w="4247" w:type="dxa"/>
            <w:tcBorders>
              <w:top w:val="single" w:sz="8" w:space="0" w:color="4AACC5"/>
              <w:bottom w:val="single" w:sz="8" w:space="0" w:color="4AACC5"/>
              <w:right w:val="single" w:sz="8" w:space="0" w:color="4AACC5"/>
            </w:tcBorders>
          </w:tcPr>
          <w:p>
            <w:pPr>
              <w:pStyle w:val="TableParagraph"/>
              <w:ind w:left="1361"/>
              <w:rPr>
                <w:sz w:val="24"/>
              </w:rPr>
            </w:pPr>
            <w:r>
              <w:rPr>
                <w:sz w:val="24"/>
              </w:rPr>
              <w:t>7.7</w:t>
            </w:r>
          </w:p>
        </w:tc>
      </w:tr>
      <w:tr>
        <w:trPr>
          <w:trHeight w:val="432" w:hRule="exact"/>
        </w:trPr>
        <w:tc>
          <w:tcPr>
            <w:tcW w:w="2997" w:type="dxa"/>
            <w:tcBorders>
              <w:top w:val="single" w:sz="8" w:space="0" w:color="4AACC5"/>
              <w:left w:val="single" w:sz="8" w:space="0" w:color="4AACC5"/>
              <w:bottom w:val="single" w:sz="8" w:space="0" w:color="4AACC5"/>
            </w:tcBorders>
          </w:tcPr>
          <w:p>
            <w:pPr>
              <w:pStyle w:val="TableParagraph"/>
              <w:spacing w:line="267" w:lineRule="exact"/>
              <w:ind w:right="107"/>
              <w:rPr>
                <w:b/>
                <w:sz w:val="24"/>
              </w:rPr>
            </w:pPr>
            <w:r>
              <w:rPr>
                <w:b/>
                <w:sz w:val="24"/>
              </w:rPr>
              <w:t>Atriccion</w:t>
            </w:r>
          </w:p>
        </w:tc>
        <w:tc>
          <w:tcPr>
            <w:tcW w:w="1740" w:type="dxa"/>
            <w:tcBorders>
              <w:top w:val="single" w:sz="8" w:space="0" w:color="4AACC5"/>
              <w:bottom w:val="single" w:sz="8" w:space="0" w:color="4AACC5"/>
            </w:tcBorders>
          </w:tcPr>
          <w:p>
            <w:pPr>
              <w:pStyle w:val="TableParagraph"/>
              <w:ind w:left="109"/>
              <w:rPr>
                <w:sz w:val="24"/>
              </w:rPr>
            </w:pPr>
            <w:r>
              <w:rPr>
                <w:sz w:val="24"/>
              </w:rPr>
              <w:t>35</w:t>
            </w:r>
          </w:p>
        </w:tc>
        <w:tc>
          <w:tcPr>
            <w:tcW w:w="4247" w:type="dxa"/>
            <w:tcBorders>
              <w:top w:val="single" w:sz="8" w:space="0" w:color="4AACC5"/>
              <w:bottom w:val="single" w:sz="8" w:space="0" w:color="4AACC5"/>
              <w:right w:val="single" w:sz="8" w:space="0" w:color="4AACC5"/>
            </w:tcBorders>
          </w:tcPr>
          <w:p>
            <w:pPr>
              <w:pStyle w:val="TableParagraph"/>
              <w:ind w:left="1361"/>
              <w:rPr>
                <w:sz w:val="24"/>
              </w:rPr>
            </w:pPr>
            <w:r>
              <w:rPr>
                <w:sz w:val="24"/>
              </w:rPr>
              <w:t>29.9</w:t>
            </w:r>
          </w:p>
        </w:tc>
      </w:tr>
    </w:tbl>
    <w:p>
      <w:pPr>
        <w:spacing w:before="94"/>
        <w:ind w:left="236" w:right="0" w:firstLine="0"/>
        <w:jc w:val="both"/>
        <w:rPr>
          <w:sz w:val="16"/>
        </w:rPr>
      </w:pPr>
      <w:r>
        <w:rPr>
          <w:sz w:val="16"/>
        </w:rPr>
        <w:t>Fuente directa</w:t>
      </w:r>
    </w:p>
    <w:p>
      <w:pPr>
        <w:pStyle w:val="BodyText"/>
        <w:rPr>
          <w:sz w:val="16"/>
        </w:rPr>
      </w:pPr>
    </w:p>
    <w:p>
      <w:pPr>
        <w:pStyle w:val="BodyText"/>
        <w:spacing w:before="9"/>
        <w:rPr>
          <w:sz w:val="12"/>
        </w:rPr>
      </w:pPr>
    </w:p>
    <w:p>
      <w:pPr>
        <w:pStyle w:val="BodyText"/>
        <w:spacing w:line="360" w:lineRule="auto"/>
        <w:ind w:left="236" w:right="106"/>
        <w:jc w:val="both"/>
      </w:pPr>
      <w:r>
        <w:rPr/>
        <w:t>Sobremordida horizontal de 2 a 3mm se presentó en el 69.2% de los casos, Sobremordida horizotal &lt;2mm &gt;3mm se presentó en 30.8%. Sobremordida vertical entre 30 a 80% lo presentó el 65% de la muestra y el 35% presentó sobremordida vertical &lt;30% y &gt;80% (Tabla 3)</w:t>
      </w:r>
    </w:p>
    <w:p>
      <w:pPr>
        <w:pStyle w:val="Heading1"/>
        <w:spacing w:before="200"/>
        <w:ind w:left="1499"/>
      </w:pPr>
      <w:r>
        <w:rPr/>
        <w:t>Tabla 3 Sobremordida Horizontal y Sobremordida Vertical</w:t>
      </w:r>
    </w:p>
    <w:p>
      <w:pPr>
        <w:pStyle w:val="BodyText"/>
        <w:rPr>
          <w:b/>
          <w:sz w:val="20"/>
        </w:rPr>
      </w:pPr>
    </w:p>
    <w:p>
      <w:pPr>
        <w:pStyle w:val="BodyText"/>
        <w:spacing w:before="7"/>
        <w:rPr>
          <w:b/>
          <w:sz w:val="10"/>
        </w:rPr>
      </w:pPr>
    </w:p>
    <w:tbl>
      <w:tblPr>
        <w:tblW w:w="0" w:type="auto"/>
        <w:jc w:val="left"/>
        <w:tblInd w:w="116"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996"/>
        <w:gridCol w:w="1499"/>
        <w:gridCol w:w="1493"/>
        <w:gridCol w:w="1498"/>
        <w:gridCol w:w="1498"/>
      </w:tblGrid>
      <w:tr>
        <w:trPr>
          <w:trHeight w:val="444" w:hRule="exact"/>
        </w:trPr>
        <w:tc>
          <w:tcPr>
            <w:tcW w:w="2996" w:type="dxa"/>
            <w:vMerge w:val="restart"/>
          </w:tcPr>
          <w:p>
            <w:pPr/>
          </w:p>
        </w:tc>
        <w:tc>
          <w:tcPr>
            <w:tcW w:w="2992" w:type="dxa"/>
            <w:gridSpan w:val="2"/>
            <w:tcBorders>
              <w:bottom w:val="single" w:sz="17" w:space="0" w:color="4AACC5"/>
            </w:tcBorders>
          </w:tcPr>
          <w:p>
            <w:pPr>
              <w:pStyle w:val="TableParagraph"/>
              <w:spacing w:line="267" w:lineRule="exact"/>
              <w:ind w:left="1194" w:right="1191"/>
              <w:jc w:val="center"/>
              <w:rPr>
                <w:b/>
                <w:sz w:val="24"/>
              </w:rPr>
            </w:pPr>
            <w:r>
              <w:rPr>
                <w:b/>
                <w:sz w:val="24"/>
              </w:rPr>
              <w:t>Ideal</w:t>
            </w:r>
          </w:p>
        </w:tc>
        <w:tc>
          <w:tcPr>
            <w:tcW w:w="2996" w:type="dxa"/>
            <w:gridSpan w:val="2"/>
            <w:tcBorders>
              <w:bottom w:val="single" w:sz="17" w:space="0" w:color="4AACC5"/>
            </w:tcBorders>
          </w:tcPr>
          <w:p>
            <w:pPr>
              <w:pStyle w:val="TableParagraph"/>
              <w:spacing w:line="267" w:lineRule="exact"/>
              <w:ind w:left="797"/>
              <w:rPr>
                <w:b/>
                <w:sz w:val="24"/>
              </w:rPr>
            </w:pPr>
            <w:r>
              <w:rPr>
                <w:b/>
                <w:sz w:val="24"/>
              </w:rPr>
              <w:t>Maloclusion</w:t>
            </w:r>
          </w:p>
        </w:tc>
      </w:tr>
      <w:tr>
        <w:trPr>
          <w:trHeight w:val="449" w:hRule="exact"/>
        </w:trPr>
        <w:tc>
          <w:tcPr>
            <w:tcW w:w="2996" w:type="dxa"/>
            <w:vMerge/>
          </w:tcPr>
          <w:p>
            <w:pPr/>
          </w:p>
        </w:tc>
        <w:tc>
          <w:tcPr>
            <w:tcW w:w="1499" w:type="dxa"/>
            <w:tcBorders>
              <w:top w:val="single" w:sz="17" w:space="0" w:color="4AACC5"/>
            </w:tcBorders>
            <w:shd w:val="clear" w:color="auto" w:fill="D2EAF0"/>
          </w:tcPr>
          <w:p>
            <w:pPr>
              <w:pStyle w:val="TableParagraph"/>
              <w:spacing w:line="267" w:lineRule="exact"/>
              <w:ind w:left="0"/>
              <w:jc w:val="center"/>
              <w:rPr>
                <w:b/>
                <w:sz w:val="24"/>
              </w:rPr>
            </w:pPr>
            <w:r>
              <w:rPr>
                <w:b/>
                <w:w w:val="99"/>
                <w:sz w:val="24"/>
              </w:rPr>
              <w:t>N</w:t>
            </w:r>
          </w:p>
        </w:tc>
        <w:tc>
          <w:tcPr>
            <w:tcW w:w="1493" w:type="dxa"/>
            <w:tcBorders>
              <w:top w:val="single" w:sz="17" w:space="0" w:color="4AACC5"/>
            </w:tcBorders>
            <w:shd w:val="clear" w:color="auto" w:fill="D2EAF0"/>
          </w:tcPr>
          <w:p>
            <w:pPr>
              <w:pStyle w:val="TableParagraph"/>
              <w:spacing w:line="267" w:lineRule="exact"/>
              <w:ind w:left="0" w:right="1"/>
              <w:jc w:val="center"/>
              <w:rPr>
                <w:b/>
                <w:sz w:val="24"/>
              </w:rPr>
            </w:pPr>
            <w:r>
              <w:rPr>
                <w:b/>
                <w:w w:val="99"/>
                <w:sz w:val="24"/>
              </w:rPr>
              <w:t>%</w:t>
            </w:r>
          </w:p>
        </w:tc>
        <w:tc>
          <w:tcPr>
            <w:tcW w:w="1498" w:type="dxa"/>
            <w:tcBorders>
              <w:top w:val="single" w:sz="17" w:space="0" w:color="4AACC5"/>
            </w:tcBorders>
            <w:shd w:val="clear" w:color="auto" w:fill="D2EAF0"/>
          </w:tcPr>
          <w:p>
            <w:pPr>
              <w:pStyle w:val="TableParagraph"/>
              <w:spacing w:line="267" w:lineRule="exact"/>
              <w:ind w:left="2"/>
              <w:jc w:val="center"/>
              <w:rPr>
                <w:b/>
                <w:sz w:val="24"/>
              </w:rPr>
            </w:pPr>
            <w:r>
              <w:rPr>
                <w:b/>
                <w:sz w:val="24"/>
              </w:rPr>
              <w:t>n</w:t>
            </w:r>
          </w:p>
        </w:tc>
        <w:tc>
          <w:tcPr>
            <w:tcW w:w="1498" w:type="dxa"/>
            <w:tcBorders>
              <w:top w:val="single" w:sz="17" w:space="0" w:color="4AACC5"/>
            </w:tcBorders>
            <w:shd w:val="clear" w:color="auto" w:fill="D2EAF0"/>
          </w:tcPr>
          <w:p>
            <w:pPr>
              <w:pStyle w:val="TableParagraph"/>
              <w:spacing w:line="267" w:lineRule="exact"/>
              <w:ind w:left="2"/>
              <w:jc w:val="center"/>
              <w:rPr>
                <w:b/>
                <w:sz w:val="24"/>
              </w:rPr>
            </w:pPr>
            <w:r>
              <w:rPr>
                <w:b/>
                <w:w w:val="99"/>
                <w:sz w:val="24"/>
              </w:rPr>
              <w:t>%</w:t>
            </w:r>
          </w:p>
        </w:tc>
      </w:tr>
      <w:tr>
        <w:trPr>
          <w:trHeight w:val="845" w:hRule="exact"/>
        </w:trPr>
        <w:tc>
          <w:tcPr>
            <w:tcW w:w="2996" w:type="dxa"/>
          </w:tcPr>
          <w:p>
            <w:pPr>
              <w:pStyle w:val="TableParagraph"/>
              <w:spacing w:line="360" w:lineRule="auto"/>
              <w:ind w:right="1230"/>
              <w:rPr>
                <w:b/>
                <w:sz w:val="24"/>
              </w:rPr>
            </w:pPr>
            <w:r>
              <w:rPr>
                <w:b/>
                <w:sz w:val="24"/>
              </w:rPr>
              <w:t>Sobremordida horizontal</w:t>
            </w:r>
          </w:p>
        </w:tc>
        <w:tc>
          <w:tcPr>
            <w:tcW w:w="1499" w:type="dxa"/>
          </w:tcPr>
          <w:p>
            <w:pPr>
              <w:pStyle w:val="TableParagraph"/>
              <w:ind w:left="101"/>
              <w:rPr>
                <w:sz w:val="24"/>
              </w:rPr>
            </w:pPr>
            <w:r>
              <w:rPr>
                <w:sz w:val="24"/>
              </w:rPr>
              <w:t>81</w:t>
            </w:r>
          </w:p>
        </w:tc>
        <w:tc>
          <w:tcPr>
            <w:tcW w:w="1493" w:type="dxa"/>
          </w:tcPr>
          <w:p>
            <w:pPr>
              <w:pStyle w:val="TableParagraph"/>
              <w:ind w:left="96"/>
              <w:rPr>
                <w:sz w:val="24"/>
              </w:rPr>
            </w:pPr>
            <w:r>
              <w:rPr>
                <w:sz w:val="24"/>
              </w:rPr>
              <w:t>69.2</w:t>
            </w:r>
          </w:p>
        </w:tc>
        <w:tc>
          <w:tcPr>
            <w:tcW w:w="1498" w:type="dxa"/>
          </w:tcPr>
          <w:p>
            <w:pPr>
              <w:pStyle w:val="TableParagraph"/>
              <w:rPr>
                <w:sz w:val="24"/>
              </w:rPr>
            </w:pPr>
            <w:r>
              <w:rPr>
                <w:sz w:val="24"/>
              </w:rPr>
              <w:t>76</w:t>
            </w:r>
          </w:p>
        </w:tc>
        <w:tc>
          <w:tcPr>
            <w:tcW w:w="1498" w:type="dxa"/>
          </w:tcPr>
          <w:p>
            <w:pPr>
              <w:pStyle w:val="TableParagraph"/>
              <w:rPr>
                <w:sz w:val="24"/>
              </w:rPr>
            </w:pPr>
            <w:r>
              <w:rPr>
                <w:sz w:val="24"/>
              </w:rPr>
              <w:t>65</w:t>
            </w:r>
          </w:p>
        </w:tc>
      </w:tr>
      <w:tr>
        <w:trPr>
          <w:trHeight w:val="437" w:hRule="exact"/>
        </w:trPr>
        <w:tc>
          <w:tcPr>
            <w:tcW w:w="2996" w:type="dxa"/>
            <w:shd w:val="clear" w:color="auto" w:fill="D2EAF0"/>
          </w:tcPr>
          <w:p>
            <w:pPr>
              <w:pStyle w:val="TableParagraph"/>
              <w:spacing w:line="267" w:lineRule="exact"/>
              <w:rPr>
                <w:b/>
                <w:sz w:val="24"/>
              </w:rPr>
            </w:pPr>
            <w:r>
              <w:rPr>
                <w:b/>
                <w:sz w:val="24"/>
              </w:rPr>
              <w:t>Sobremordida vertical</w:t>
            </w:r>
          </w:p>
        </w:tc>
        <w:tc>
          <w:tcPr>
            <w:tcW w:w="1499" w:type="dxa"/>
            <w:shd w:val="clear" w:color="auto" w:fill="D2EAF0"/>
          </w:tcPr>
          <w:p>
            <w:pPr>
              <w:pStyle w:val="TableParagraph"/>
              <w:ind w:left="101"/>
              <w:rPr>
                <w:sz w:val="24"/>
              </w:rPr>
            </w:pPr>
            <w:r>
              <w:rPr>
                <w:sz w:val="24"/>
              </w:rPr>
              <w:t>36</w:t>
            </w:r>
          </w:p>
        </w:tc>
        <w:tc>
          <w:tcPr>
            <w:tcW w:w="1493" w:type="dxa"/>
            <w:shd w:val="clear" w:color="auto" w:fill="D2EAF0"/>
          </w:tcPr>
          <w:p>
            <w:pPr>
              <w:pStyle w:val="TableParagraph"/>
              <w:ind w:left="96"/>
              <w:rPr>
                <w:sz w:val="24"/>
              </w:rPr>
            </w:pPr>
            <w:r>
              <w:rPr>
                <w:sz w:val="24"/>
              </w:rPr>
              <w:t>30.8</w:t>
            </w:r>
          </w:p>
        </w:tc>
        <w:tc>
          <w:tcPr>
            <w:tcW w:w="1498" w:type="dxa"/>
            <w:shd w:val="clear" w:color="auto" w:fill="D2EAF0"/>
          </w:tcPr>
          <w:p>
            <w:pPr>
              <w:pStyle w:val="TableParagraph"/>
              <w:rPr>
                <w:sz w:val="24"/>
              </w:rPr>
            </w:pPr>
            <w:r>
              <w:rPr>
                <w:sz w:val="24"/>
              </w:rPr>
              <w:t>41</w:t>
            </w:r>
          </w:p>
        </w:tc>
        <w:tc>
          <w:tcPr>
            <w:tcW w:w="1498" w:type="dxa"/>
            <w:shd w:val="clear" w:color="auto" w:fill="D2EAF0"/>
          </w:tcPr>
          <w:p>
            <w:pPr>
              <w:pStyle w:val="TableParagraph"/>
              <w:rPr>
                <w:sz w:val="24"/>
              </w:rPr>
            </w:pPr>
            <w:r>
              <w:rPr>
                <w:sz w:val="24"/>
              </w:rPr>
              <w:t>35</w:t>
            </w:r>
          </w:p>
        </w:tc>
      </w:tr>
    </w:tbl>
    <w:p>
      <w:pPr>
        <w:spacing w:before="94"/>
        <w:ind w:left="236" w:right="0" w:firstLine="0"/>
        <w:jc w:val="left"/>
        <w:rPr>
          <w:sz w:val="16"/>
        </w:rPr>
      </w:pPr>
      <w:r>
        <w:rPr>
          <w:sz w:val="16"/>
        </w:rPr>
        <w:t>Fuente direta</w:t>
      </w:r>
    </w:p>
    <w:p>
      <w:pPr>
        <w:spacing w:after="0"/>
        <w:jc w:val="left"/>
        <w:rPr>
          <w:sz w:val="16"/>
        </w:rPr>
        <w:sectPr>
          <w:footerReference w:type="default" r:id="rId14"/>
          <w:pgSz w:w="12240" w:h="15840"/>
          <w:pgMar w:footer="1002" w:header="0" w:top="1500" w:bottom="1200" w:left="1180" w:right="1600"/>
          <w:pgNumType w:start="31"/>
        </w:sectPr>
      </w:pPr>
    </w:p>
    <w:p>
      <w:pPr>
        <w:pStyle w:val="BodyText"/>
        <w:spacing w:before="10"/>
        <w:rPr>
          <w:sz w:val="10"/>
        </w:rPr>
      </w:pPr>
    </w:p>
    <w:p>
      <w:pPr>
        <w:pStyle w:val="BodyText"/>
        <w:spacing w:line="360" w:lineRule="auto" w:before="70"/>
        <w:ind w:left="236" w:right="110"/>
        <w:jc w:val="both"/>
      </w:pPr>
      <w:r>
        <w:rPr/>
        <w:t>La media de la anchura intercanina superior fue de 26.69mm (d,s 2.015), la anchura intercanina inferior fue de 23.09mm (d,s 1.575). La anchura intermolar superior tuvo una media de 39.72mm (d,s 2.075), la anchura intermolar inferior de 35.68mm (d,s 2.038). La sobremordida vertical presentó una media de 44.56% (d,s 31.609), la Sobremordida horizontal de 2.6mm (d,s 1.3).(Tabla 4)</w:t>
      </w:r>
    </w:p>
    <w:p>
      <w:pPr>
        <w:pStyle w:val="Heading1"/>
        <w:spacing w:before="200"/>
        <w:ind w:left="1235"/>
      </w:pPr>
      <w:r>
        <w:rPr/>
        <w:t>Tabla 4 Media Obtenidas de Anchuras Intermolar e Intercanina</w:t>
      </w:r>
    </w:p>
    <w:p>
      <w:pPr>
        <w:pStyle w:val="BodyText"/>
        <w:rPr>
          <w:b/>
          <w:sz w:val="20"/>
        </w:rPr>
      </w:pPr>
    </w:p>
    <w:p>
      <w:pPr>
        <w:pStyle w:val="BodyText"/>
        <w:spacing w:before="7"/>
        <w:rPr>
          <w:b/>
          <w:sz w:val="10"/>
        </w:rPr>
      </w:pPr>
    </w:p>
    <w:tbl>
      <w:tblPr>
        <w:tblW w:w="0" w:type="auto"/>
        <w:jc w:val="left"/>
        <w:tblInd w:w="116"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3458"/>
        <w:gridCol w:w="1407"/>
        <w:gridCol w:w="1412"/>
        <w:gridCol w:w="1301"/>
        <w:gridCol w:w="1484"/>
      </w:tblGrid>
      <w:tr>
        <w:trPr>
          <w:trHeight w:val="862" w:hRule="exact"/>
        </w:trPr>
        <w:tc>
          <w:tcPr>
            <w:tcW w:w="3458" w:type="dxa"/>
            <w:tcBorders>
              <w:bottom w:val="single" w:sz="17" w:space="0" w:color="4AACC5"/>
            </w:tcBorders>
          </w:tcPr>
          <w:p>
            <w:pPr/>
          </w:p>
        </w:tc>
        <w:tc>
          <w:tcPr>
            <w:tcW w:w="1407" w:type="dxa"/>
            <w:tcBorders>
              <w:bottom w:val="single" w:sz="17" w:space="0" w:color="4AACC5"/>
            </w:tcBorders>
          </w:tcPr>
          <w:p>
            <w:pPr>
              <w:pStyle w:val="TableParagraph"/>
              <w:spacing w:line="267" w:lineRule="exact"/>
              <w:rPr>
                <w:b/>
                <w:sz w:val="24"/>
              </w:rPr>
            </w:pPr>
            <w:r>
              <w:rPr>
                <w:b/>
                <w:sz w:val="24"/>
              </w:rPr>
              <w:t>Mínima</w:t>
            </w:r>
          </w:p>
        </w:tc>
        <w:tc>
          <w:tcPr>
            <w:tcW w:w="1412" w:type="dxa"/>
            <w:tcBorders>
              <w:bottom w:val="single" w:sz="17" w:space="0" w:color="4AACC5"/>
            </w:tcBorders>
          </w:tcPr>
          <w:p>
            <w:pPr>
              <w:pStyle w:val="TableParagraph"/>
              <w:spacing w:line="267" w:lineRule="exact"/>
              <w:rPr>
                <w:b/>
                <w:sz w:val="24"/>
              </w:rPr>
            </w:pPr>
            <w:r>
              <w:rPr>
                <w:b/>
                <w:sz w:val="24"/>
              </w:rPr>
              <w:t>Media</w:t>
            </w:r>
          </w:p>
        </w:tc>
        <w:tc>
          <w:tcPr>
            <w:tcW w:w="1301" w:type="dxa"/>
            <w:tcBorders>
              <w:bottom w:val="single" w:sz="17" w:space="0" w:color="4AACC5"/>
            </w:tcBorders>
          </w:tcPr>
          <w:p>
            <w:pPr>
              <w:pStyle w:val="TableParagraph"/>
              <w:spacing w:line="267" w:lineRule="exact"/>
              <w:rPr>
                <w:b/>
                <w:sz w:val="24"/>
              </w:rPr>
            </w:pPr>
            <w:r>
              <w:rPr>
                <w:b/>
                <w:sz w:val="24"/>
              </w:rPr>
              <w:t>Máxima</w:t>
            </w:r>
          </w:p>
        </w:tc>
        <w:tc>
          <w:tcPr>
            <w:tcW w:w="1484" w:type="dxa"/>
            <w:tcBorders>
              <w:bottom w:val="single" w:sz="17" w:space="0" w:color="4AACC5"/>
            </w:tcBorders>
          </w:tcPr>
          <w:p>
            <w:pPr>
              <w:pStyle w:val="TableParagraph"/>
              <w:spacing w:line="362" w:lineRule="auto"/>
              <w:ind w:left="96" w:right="81"/>
              <w:rPr>
                <w:b/>
                <w:sz w:val="24"/>
              </w:rPr>
            </w:pPr>
            <w:r>
              <w:rPr>
                <w:b/>
                <w:sz w:val="24"/>
              </w:rPr>
              <w:t>Desviación estándar</w:t>
            </w:r>
          </w:p>
        </w:tc>
      </w:tr>
      <w:tr>
        <w:trPr>
          <w:trHeight w:val="862" w:hRule="exact"/>
        </w:trPr>
        <w:tc>
          <w:tcPr>
            <w:tcW w:w="3458" w:type="dxa"/>
            <w:tcBorders>
              <w:top w:val="single" w:sz="17" w:space="0" w:color="4AACC5"/>
            </w:tcBorders>
            <w:shd w:val="clear" w:color="auto" w:fill="D2EAF0"/>
          </w:tcPr>
          <w:p>
            <w:pPr>
              <w:pStyle w:val="TableParagraph"/>
              <w:tabs>
                <w:tab w:pos="2053" w:val="left" w:leader="none"/>
              </w:tabs>
              <w:spacing w:line="360" w:lineRule="auto"/>
              <w:ind w:right="107"/>
              <w:rPr>
                <w:b/>
                <w:sz w:val="24"/>
              </w:rPr>
            </w:pPr>
            <w:r>
              <w:rPr>
                <w:b/>
                <w:sz w:val="24"/>
              </w:rPr>
              <w:t>Anchura</w:t>
              <w:tab/>
            </w:r>
            <w:r>
              <w:rPr>
                <w:b/>
                <w:spacing w:val="-1"/>
                <w:sz w:val="24"/>
              </w:rPr>
              <w:t>intercanina </w:t>
            </w:r>
            <w:r>
              <w:rPr>
                <w:b/>
                <w:sz w:val="24"/>
              </w:rPr>
              <w:t>superior</w:t>
            </w:r>
          </w:p>
        </w:tc>
        <w:tc>
          <w:tcPr>
            <w:tcW w:w="1407" w:type="dxa"/>
            <w:tcBorders>
              <w:top w:val="single" w:sz="17" w:space="0" w:color="4AACC5"/>
            </w:tcBorders>
            <w:shd w:val="clear" w:color="auto" w:fill="D2EAF0"/>
          </w:tcPr>
          <w:p>
            <w:pPr>
              <w:pStyle w:val="TableParagraph"/>
              <w:rPr>
                <w:sz w:val="24"/>
              </w:rPr>
            </w:pPr>
            <w:r>
              <w:rPr>
                <w:sz w:val="24"/>
              </w:rPr>
              <w:t>21 mm</w:t>
            </w:r>
          </w:p>
        </w:tc>
        <w:tc>
          <w:tcPr>
            <w:tcW w:w="1412" w:type="dxa"/>
            <w:tcBorders>
              <w:top w:val="single" w:sz="17" w:space="0" w:color="4AACC5"/>
            </w:tcBorders>
            <w:shd w:val="clear" w:color="auto" w:fill="D2EAF0"/>
          </w:tcPr>
          <w:p>
            <w:pPr>
              <w:pStyle w:val="TableParagraph"/>
              <w:rPr>
                <w:sz w:val="24"/>
              </w:rPr>
            </w:pPr>
            <w:r>
              <w:rPr>
                <w:sz w:val="24"/>
              </w:rPr>
              <w:t>26.69mm</w:t>
            </w:r>
          </w:p>
        </w:tc>
        <w:tc>
          <w:tcPr>
            <w:tcW w:w="1301" w:type="dxa"/>
            <w:tcBorders>
              <w:top w:val="single" w:sz="17" w:space="0" w:color="4AACC5"/>
            </w:tcBorders>
            <w:shd w:val="clear" w:color="auto" w:fill="D2EAF0"/>
          </w:tcPr>
          <w:p>
            <w:pPr>
              <w:pStyle w:val="TableParagraph"/>
              <w:rPr>
                <w:sz w:val="24"/>
              </w:rPr>
            </w:pPr>
            <w:r>
              <w:rPr>
                <w:sz w:val="24"/>
              </w:rPr>
              <w:t>33 mm</w:t>
            </w:r>
          </w:p>
        </w:tc>
        <w:tc>
          <w:tcPr>
            <w:tcW w:w="1484" w:type="dxa"/>
            <w:tcBorders>
              <w:top w:val="single" w:sz="17" w:space="0" w:color="4AACC5"/>
            </w:tcBorders>
            <w:shd w:val="clear" w:color="auto" w:fill="D2EAF0"/>
          </w:tcPr>
          <w:p>
            <w:pPr>
              <w:pStyle w:val="TableParagraph"/>
              <w:ind w:left="96" w:right="81"/>
              <w:rPr>
                <w:sz w:val="24"/>
              </w:rPr>
            </w:pPr>
            <w:r>
              <w:rPr>
                <w:w w:val="105"/>
                <w:sz w:val="24"/>
              </w:rPr>
              <w:t>± 2.025</w:t>
            </w:r>
          </w:p>
        </w:tc>
      </w:tr>
      <w:tr>
        <w:trPr>
          <w:trHeight w:val="432" w:hRule="exact"/>
        </w:trPr>
        <w:tc>
          <w:tcPr>
            <w:tcW w:w="3458" w:type="dxa"/>
          </w:tcPr>
          <w:p>
            <w:pPr>
              <w:pStyle w:val="TableParagraph"/>
              <w:spacing w:line="267" w:lineRule="exact"/>
              <w:ind w:left="78" w:right="102"/>
              <w:jc w:val="center"/>
              <w:rPr>
                <w:b/>
                <w:sz w:val="24"/>
              </w:rPr>
            </w:pPr>
            <w:r>
              <w:rPr>
                <w:b/>
                <w:sz w:val="24"/>
              </w:rPr>
              <w:t>Anchura intercanina inferior</w:t>
            </w:r>
          </w:p>
        </w:tc>
        <w:tc>
          <w:tcPr>
            <w:tcW w:w="1407" w:type="dxa"/>
          </w:tcPr>
          <w:p>
            <w:pPr>
              <w:pStyle w:val="TableParagraph"/>
              <w:rPr>
                <w:sz w:val="24"/>
              </w:rPr>
            </w:pPr>
            <w:r>
              <w:rPr>
                <w:sz w:val="24"/>
              </w:rPr>
              <w:t>15 mm</w:t>
            </w:r>
          </w:p>
        </w:tc>
        <w:tc>
          <w:tcPr>
            <w:tcW w:w="1412" w:type="dxa"/>
          </w:tcPr>
          <w:p>
            <w:pPr>
              <w:pStyle w:val="TableParagraph"/>
              <w:rPr>
                <w:sz w:val="24"/>
              </w:rPr>
            </w:pPr>
            <w:r>
              <w:rPr>
                <w:sz w:val="24"/>
              </w:rPr>
              <w:t>23.09mm</w:t>
            </w:r>
          </w:p>
        </w:tc>
        <w:tc>
          <w:tcPr>
            <w:tcW w:w="1301" w:type="dxa"/>
          </w:tcPr>
          <w:p>
            <w:pPr>
              <w:pStyle w:val="TableParagraph"/>
              <w:rPr>
                <w:sz w:val="24"/>
              </w:rPr>
            </w:pPr>
            <w:r>
              <w:rPr>
                <w:sz w:val="24"/>
              </w:rPr>
              <w:t>26 mm</w:t>
            </w:r>
          </w:p>
        </w:tc>
        <w:tc>
          <w:tcPr>
            <w:tcW w:w="1484" w:type="dxa"/>
          </w:tcPr>
          <w:p>
            <w:pPr>
              <w:pStyle w:val="TableParagraph"/>
              <w:ind w:left="96" w:right="81"/>
              <w:rPr>
                <w:sz w:val="24"/>
              </w:rPr>
            </w:pPr>
            <w:r>
              <w:rPr>
                <w:sz w:val="24"/>
              </w:rPr>
              <w:t>±1.576</w:t>
            </w:r>
          </w:p>
        </w:tc>
      </w:tr>
      <w:tr>
        <w:trPr>
          <w:trHeight w:val="850" w:hRule="exact"/>
        </w:trPr>
        <w:tc>
          <w:tcPr>
            <w:tcW w:w="3458" w:type="dxa"/>
            <w:shd w:val="clear" w:color="auto" w:fill="D2EAF0"/>
          </w:tcPr>
          <w:p>
            <w:pPr>
              <w:pStyle w:val="TableParagraph"/>
              <w:tabs>
                <w:tab w:pos="2159" w:val="left" w:leader="none"/>
              </w:tabs>
              <w:spacing w:line="360" w:lineRule="auto"/>
              <w:ind w:right="104"/>
              <w:rPr>
                <w:b/>
                <w:sz w:val="24"/>
              </w:rPr>
            </w:pPr>
            <w:r>
              <w:rPr>
                <w:b/>
                <w:sz w:val="24"/>
              </w:rPr>
              <w:t>Anchura</w:t>
              <w:tab/>
            </w:r>
            <w:r>
              <w:rPr>
                <w:b/>
                <w:spacing w:val="-1"/>
                <w:sz w:val="24"/>
              </w:rPr>
              <w:t>intermolar </w:t>
            </w:r>
            <w:r>
              <w:rPr>
                <w:b/>
                <w:sz w:val="24"/>
              </w:rPr>
              <w:t>superior</w:t>
            </w:r>
          </w:p>
        </w:tc>
        <w:tc>
          <w:tcPr>
            <w:tcW w:w="1407" w:type="dxa"/>
            <w:shd w:val="clear" w:color="auto" w:fill="D2EAF0"/>
          </w:tcPr>
          <w:p>
            <w:pPr>
              <w:pStyle w:val="TableParagraph"/>
              <w:rPr>
                <w:sz w:val="24"/>
              </w:rPr>
            </w:pPr>
            <w:r>
              <w:rPr>
                <w:sz w:val="24"/>
              </w:rPr>
              <w:t>34 mm</w:t>
            </w:r>
          </w:p>
        </w:tc>
        <w:tc>
          <w:tcPr>
            <w:tcW w:w="1412" w:type="dxa"/>
            <w:shd w:val="clear" w:color="auto" w:fill="D2EAF0"/>
          </w:tcPr>
          <w:p>
            <w:pPr>
              <w:pStyle w:val="TableParagraph"/>
              <w:rPr>
                <w:sz w:val="24"/>
              </w:rPr>
            </w:pPr>
            <w:r>
              <w:rPr>
                <w:sz w:val="24"/>
              </w:rPr>
              <w:t>39.72mm</w:t>
            </w:r>
          </w:p>
        </w:tc>
        <w:tc>
          <w:tcPr>
            <w:tcW w:w="1301" w:type="dxa"/>
            <w:shd w:val="clear" w:color="auto" w:fill="D2EAF0"/>
          </w:tcPr>
          <w:p>
            <w:pPr>
              <w:pStyle w:val="TableParagraph"/>
              <w:rPr>
                <w:sz w:val="24"/>
              </w:rPr>
            </w:pPr>
            <w:r>
              <w:rPr>
                <w:sz w:val="24"/>
              </w:rPr>
              <w:t>47mm</w:t>
            </w:r>
          </w:p>
        </w:tc>
        <w:tc>
          <w:tcPr>
            <w:tcW w:w="1484" w:type="dxa"/>
            <w:shd w:val="clear" w:color="auto" w:fill="D2EAF0"/>
          </w:tcPr>
          <w:p>
            <w:pPr>
              <w:pStyle w:val="TableParagraph"/>
              <w:ind w:left="96" w:right="81"/>
              <w:rPr>
                <w:sz w:val="24"/>
              </w:rPr>
            </w:pPr>
            <w:r>
              <w:rPr>
                <w:sz w:val="24"/>
              </w:rPr>
              <w:t>±2.075</w:t>
            </w:r>
          </w:p>
        </w:tc>
      </w:tr>
      <w:tr>
        <w:trPr>
          <w:trHeight w:val="432" w:hRule="exact"/>
        </w:trPr>
        <w:tc>
          <w:tcPr>
            <w:tcW w:w="3458" w:type="dxa"/>
          </w:tcPr>
          <w:p>
            <w:pPr>
              <w:pStyle w:val="TableParagraph"/>
              <w:spacing w:line="267" w:lineRule="exact"/>
              <w:ind w:left="78" w:right="212"/>
              <w:jc w:val="center"/>
              <w:rPr>
                <w:b/>
                <w:sz w:val="24"/>
              </w:rPr>
            </w:pPr>
            <w:r>
              <w:rPr>
                <w:b/>
                <w:sz w:val="24"/>
              </w:rPr>
              <w:t>Anchura intermolar inferior</w:t>
            </w:r>
          </w:p>
        </w:tc>
        <w:tc>
          <w:tcPr>
            <w:tcW w:w="1407" w:type="dxa"/>
          </w:tcPr>
          <w:p>
            <w:pPr>
              <w:pStyle w:val="TableParagraph"/>
              <w:rPr>
                <w:sz w:val="24"/>
              </w:rPr>
            </w:pPr>
            <w:r>
              <w:rPr>
                <w:sz w:val="24"/>
              </w:rPr>
              <w:t>30 mm</w:t>
            </w:r>
          </w:p>
        </w:tc>
        <w:tc>
          <w:tcPr>
            <w:tcW w:w="1412" w:type="dxa"/>
          </w:tcPr>
          <w:p>
            <w:pPr>
              <w:pStyle w:val="TableParagraph"/>
              <w:rPr>
                <w:sz w:val="24"/>
              </w:rPr>
            </w:pPr>
            <w:r>
              <w:rPr>
                <w:sz w:val="24"/>
              </w:rPr>
              <w:t>35.68mm</w:t>
            </w:r>
          </w:p>
        </w:tc>
        <w:tc>
          <w:tcPr>
            <w:tcW w:w="1301" w:type="dxa"/>
          </w:tcPr>
          <w:p>
            <w:pPr>
              <w:pStyle w:val="TableParagraph"/>
              <w:rPr>
                <w:sz w:val="24"/>
              </w:rPr>
            </w:pPr>
            <w:r>
              <w:rPr>
                <w:sz w:val="24"/>
              </w:rPr>
              <w:t>45 mm</w:t>
            </w:r>
          </w:p>
        </w:tc>
        <w:tc>
          <w:tcPr>
            <w:tcW w:w="1484" w:type="dxa"/>
          </w:tcPr>
          <w:p>
            <w:pPr>
              <w:pStyle w:val="TableParagraph"/>
              <w:ind w:left="96" w:right="81"/>
              <w:rPr>
                <w:sz w:val="24"/>
              </w:rPr>
            </w:pPr>
            <w:r>
              <w:rPr>
                <w:sz w:val="24"/>
              </w:rPr>
              <w:t>±2.038</w:t>
            </w:r>
          </w:p>
        </w:tc>
      </w:tr>
    </w:tbl>
    <w:p>
      <w:pPr>
        <w:spacing w:before="94"/>
        <w:ind w:left="236" w:right="0" w:firstLine="0"/>
        <w:jc w:val="both"/>
        <w:rPr>
          <w:sz w:val="16"/>
        </w:rPr>
      </w:pPr>
      <w:r>
        <w:rPr>
          <w:sz w:val="16"/>
        </w:rPr>
        <w:t>Fuente directa</w:t>
      </w:r>
    </w:p>
    <w:p>
      <w:pPr>
        <w:pStyle w:val="BodyText"/>
        <w:rPr>
          <w:sz w:val="16"/>
        </w:rPr>
      </w:pPr>
    </w:p>
    <w:p>
      <w:pPr>
        <w:pStyle w:val="BodyText"/>
        <w:spacing w:before="9"/>
        <w:rPr>
          <w:sz w:val="12"/>
        </w:rPr>
      </w:pPr>
    </w:p>
    <w:p>
      <w:pPr>
        <w:pStyle w:val="BodyText"/>
        <w:spacing w:line="360" w:lineRule="auto" w:before="1"/>
        <w:ind w:left="236" w:right="99"/>
        <w:jc w:val="both"/>
      </w:pPr>
      <w:r>
        <w:rPr/>
        <w:t>La relación molar derecha plano terminal recto se presentó en el 29% de los casos  de lactancia materna, 50% de los casos de lactancia mixta y 47.6% de los casos de lactancia artificial. La relación molar izquierda plano terminal recto se presentó en los casos de lactancia materna en un 19.3%, 36.3% de los casos de lactancia mixta y 69% de los casos de lactancia artificial. La relación canina derecha clase I se presentó en el 83.8% de los casos de lactancia materna, 86.3% de los casos de lactancia mixta y 80% de los casos de lactancia mixta. La relación canina izquierda clase I se observó en el 90.3% de los casos de lactancia materna, 88.6% de los  casos de lactancia mixta y 85.7% lactancia artificial (Tabla</w:t>
      </w:r>
      <w:r>
        <w:rPr>
          <w:spacing w:val="-22"/>
        </w:rPr>
        <w:t> </w:t>
      </w:r>
      <w:r>
        <w:rPr/>
        <w:t>5).</w:t>
      </w:r>
    </w:p>
    <w:p>
      <w:pPr>
        <w:spacing w:after="0" w:line="360" w:lineRule="auto"/>
        <w:jc w:val="both"/>
        <w:sectPr>
          <w:pgSz w:w="12240" w:h="15840"/>
          <w:pgMar w:header="0" w:footer="1002" w:top="1500" w:bottom="1200" w:left="1180" w:right="1600"/>
        </w:sectPr>
      </w:pPr>
    </w:p>
    <w:p>
      <w:pPr>
        <w:pStyle w:val="BodyText"/>
        <w:spacing w:before="1"/>
        <w:rPr>
          <w:sz w:val="10"/>
        </w:rPr>
      </w:pPr>
    </w:p>
    <w:p>
      <w:pPr>
        <w:pStyle w:val="Heading1"/>
        <w:ind w:left="1576"/>
      </w:pPr>
      <w:r>
        <w:rPr/>
        <w:t>Tabla 5 Relación Planos Terminales, y Tipo de Lactancia</w:t>
      </w:r>
    </w:p>
    <w:p>
      <w:pPr>
        <w:pStyle w:val="BodyText"/>
        <w:rPr>
          <w:b/>
          <w:sz w:val="20"/>
        </w:rPr>
      </w:pPr>
    </w:p>
    <w:p>
      <w:pPr>
        <w:pStyle w:val="BodyText"/>
        <w:spacing w:before="7" w:after="1"/>
        <w:rPr>
          <w:b/>
          <w:sz w:val="10"/>
        </w:rPr>
      </w:pPr>
    </w:p>
    <w:tbl>
      <w:tblPr>
        <w:tblW w:w="0" w:type="auto"/>
        <w:jc w:val="left"/>
        <w:tblInd w:w="116" w:type="dxa"/>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3515"/>
        <w:gridCol w:w="1119"/>
        <w:gridCol w:w="1008"/>
        <w:gridCol w:w="994"/>
        <w:gridCol w:w="989"/>
        <w:gridCol w:w="855"/>
        <w:gridCol w:w="903"/>
      </w:tblGrid>
      <w:tr>
        <w:trPr>
          <w:trHeight w:val="446" w:hRule="exact"/>
        </w:trPr>
        <w:tc>
          <w:tcPr>
            <w:tcW w:w="3515" w:type="dxa"/>
            <w:vMerge w:val="restart"/>
            <w:shd w:val="clear" w:color="auto" w:fill="D2EAF0"/>
          </w:tcPr>
          <w:p>
            <w:pPr>
              <w:pStyle w:val="TableParagraph"/>
              <w:spacing w:line="267" w:lineRule="exact"/>
              <w:ind w:left="792"/>
              <w:rPr>
                <w:b/>
                <w:sz w:val="24"/>
              </w:rPr>
            </w:pPr>
            <w:r>
              <w:rPr>
                <w:b/>
                <w:sz w:val="24"/>
              </w:rPr>
              <w:t>Tipo de oclusión</w:t>
            </w:r>
          </w:p>
        </w:tc>
        <w:tc>
          <w:tcPr>
            <w:tcW w:w="5868" w:type="dxa"/>
            <w:gridSpan w:val="6"/>
            <w:shd w:val="clear" w:color="auto" w:fill="D2EAF0"/>
          </w:tcPr>
          <w:p>
            <w:pPr>
              <w:pStyle w:val="TableParagraph"/>
              <w:spacing w:line="267" w:lineRule="exact"/>
              <w:ind w:left="1949"/>
              <w:rPr>
                <w:b/>
                <w:sz w:val="24"/>
              </w:rPr>
            </w:pPr>
            <w:r>
              <w:rPr>
                <w:b/>
                <w:sz w:val="24"/>
              </w:rPr>
              <w:t>Tipo de lactancia</w:t>
            </w:r>
          </w:p>
        </w:tc>
      </w:tr>
      <w:tr>
        <w:trPr>
          <w:trHeight w:val="413" w:hRule="exact"/>
        </w:trPr>
        <w:tc>
          <w:tcPr>
            <w:tcW w:w="3515" w:type="dxa"/>
            <w:vMerge/>
            <w:shd w:val="clear" w:color="auto" w:fill="D2EAF0"/>
          </w:tcPr>
          <w:p>
            <w:pPr/>
          </w:p>
        </w:tc>
        <w:tc>
          <w:tcPr>
            <w:tcW w:w="2127" w:type="dxa"/>
            <w:gridSpan w:val="2"/>
            <w:shd w:val="clear" w:color="auto" w:fill="A4D4E1"/>
          </w:tcPr>
          <w:p>
            <w:pPr>
              <w:pStyle w:val="TableParagraph"/>
              <w:spacing w:line="257" w:lineRule="exact"/>
              <w:ind w:left="489"/>
              <w:rPr>
                <w:b/>
                <w:sz w:val="24"/>
              </w:rPr>
            </w:pPr>
            <w:r>
              <w:rPr>
                <w:b/>
                <w:sz w:val="24"/>
              </w:rPr>
              <w:t>Materna/n</w:t>
            </w:r>
          </w:p>
        </w:tc>
        <w:tc>
          <w:tcPr>
            <w:tcW w:w="1983" w:type="dxa"/>
            <w:gridSpan w:val="2"/>
            <w:shd w:val="clear" w:color="auto" w:fill="A4D4E1"/>
          </w:tcPr>
          <w:p>
            <w:pPr>
              <w:pStyle w:val="TableParagraph"/>
              <w:spacing w:line="257" w:lineRule="exact"/>
              <w:ind w:left="398"/>
              <w:rPr>
                <w:b/>
                <w:sz w:val="24"/>
              </w:rPr>
            </w:pPr>
            <w:r>
              <w:rPr>
                <w:b/>
                <w:sz w:val="24"/>
              </w:rPr>
              <w:t>Artificial/n</w:t>
            </w:r>
          </w:p>
        </w:tc>
        <w:tc>
          <w:tcPr>
            <w:tcW w:w="1758" w:type="dxa"/>
            <w:gridSpan w:val="2"/>
            <w:shd w:val="clear" w:color="auto" w:fill="A4D4E1"/>
          </w:tcPr>
          <w:p>
            <w:pPr>
              <w:pStyle w:val="TableParagraph"/>
              <w:spacing w:line="257" w:lineRule="exact"/>
              <w:ind w:left="456"/>
              <w:rPr>
                <w:b/>
                <w:sz w:val="24"/>
              </w:rPr>
            </w:pPr>
            <w:r>
              <w:rPr>
                <w:b/>
                <w:sz w:val="24"/>
              </w:rPr>
              <w:t>Mixta/n</w:t>
            </w:r>
          </w:p>
        </w:tc>
      </w:tr>
      <w:tr>
        <w:trPr>
          <w:trHeight w:val="860" w:hRule="exact"/>
        </w:trPr>
        <w:tc>
          <w:tcPr>
            <w:tcW w:w="3515" w:type="dxa"/>
            <w:vMerge/>
            <w:shd w:val="clear" w:color="auto" w:fill="D2EAF0"/>
          </w:tcPr>
          <w:p>
            <w:pPr/>
          </w:p>
        </w:tc>
        <w:tc>
          <w:tcPr>
            <w:tcW w:w="1119" w:type="dxa"/>
            <w:shd w:val="clear" w:color="auto" w:fill="D2EAF0"/>
          </w:tcPr>
          <w:p>
            <w:pPr>
              <w:pStyle w:val="TableParagraph"/>
              <w:spacing w:line="362" w:lineRule="auto"/>
              <w:ind w:left="484" w:right="122" w:hanging="341"/>
              <w:rPr>
                <w:b/>
                <w:sz w:val="24"/>
              </w:rPr>
            </w:pPr>
            <w:r>
              <w:rPr>
                <w:b/>
                <w:sz w:val="24"/>
              </w:rPr>
              <w:t>Derech a</w:t>
            </w:r>
          </w:p>
        </w:tc>
        <w:tc>
          <w:tcPr>
            <w:tcW w:w="1008" w:type="dxa"/>
            <w:shd w:val="clear" w:color="auto" w:fill="D2EAF0"/>
          </w:tcPr>
          <w:p>
            <w:pPr>
              <w:pStyle w:val="TableParagraph"/>
              <w:spacing w:line="362" w:lineRule="auto"/>
              <w:ind w:left="355" w:hanging="245"/>
              <w:rPr>
                <w:b/>
                <w:sz w:val="24"/>
              </w:rPr>
            </w:pPr>
            <w:r>
              <w:rPr>
                <w:b/>
                <w:sz w:val="24"/>
              </w:rPr>
              <w:t>Izquier da</w:t>
            </w:r>
          </w:p>
        </w:tc>
        <w:tc>
          <w:tcPr>
            <w:tcW w:w="994" w:type="dxa"/>
            <w:shd w:val="clear" w:color="auto" w:fill="D2EAF0"/>
          </w:tcPr>
          <w:p>
            <w:pPr>
              <w:pStyle w:val="TableParagraph"/>
              <w:spacing w:line="362" w:lineRule="auto"/>
              <w:ind w:left="350" w:right="134" w:hanging="197"/>
              <w:rPr>
                <w:b/>
                <w:sz w:val="24"/>
              </w:rPr>
            </w:pPr>
            <w:r>
              <w:rPr>
                <w:b/>
                <w:sz w:val="24"/>
              </w:rPr>
              <w:t>Derec ha</w:t>
            </w:r>
          </w:p>
        </w:tc>
        <w:tc>
          <w:tcPr>
            <w:tcW w:w="989" w:type="dxa"/>
            <w:shd w:val="clear" w:color="auto" w:fill="D2EAF0"/>
          </w:tcPr>
          <w:p>
            <w:pPr>
              <w:pStyle w:val="TableParagraph"/>
              <w:spacing w:line="362" w:lineRule="auto"/>
              <w:ind w:left="341" w:hanging="246"/>
              <w:rPr>
                <w:b/>
                <w:sz w:val="24"/>
              </w:rPr>
            </w:pPr>
            <w:r>
              <w:rPr>
                <w:b/>
                <w:sz w:val="24"/>
              </w:rPr>
              <w:t>Izquier da</w:t>
            </w:r>
          </w:p>
        </w:tc>
        <w:tc>
          <w:tcPr>
            <w:tcW w:w="855" w:type="dxa"/>
            <w:shd w:val="clear" w:color="auto" w:fill="D2EAF0"/>
          </w:tcPr>
          <w:p>
            <w:pPr>
              <w:pStyle w:val="TableParagraph"/>
              <w:spacing w:line="362" w:lineRule="auto"/>
              <w:ind w:left="211" w:right="133" w:hanging="63"/>
              <w:rPr>
                <w:b/>
                <w:sz w:val="24"/>
              </w:rPr>
            </w:pPr>
            <w:r>
              <w:rPr>
                <w:b/>
                <w:sz w:val="24"/>
              </w:rPr>
              <w:t>Dere</w:t>
            </w:r>
            <w:r>
              <w:rPr>
                <w:b/>
                <w:w w:val="99"/>
                <w:sz w:val="24"/>
              </w:rPr>
              <w:t> </w:t>
            </w:r>
            <w:r>
              <w:rPr>
                <w:b/>
                <w:sz w:val="24"/>
              </w:rPr>
              <w:t>cha</w:t>
            </w:r>
          </w:p>
        </w:tc>
        <w:tc>
          <w:tcPr>
            <w:tcW w:w="903" w:type="dxa"/>
            <w:shd w:val="clear" w:color="auto" w:fill="D2EAF0"/>
          </w:tcPr>
          <w:p>
            <w:pPr>
              <w:pStyle w:val="TableParagraph"/>
              <w:spacing w:line="362" w:lineRule="auto"/>
              <w:ind w:left="254" w:hanging="154"/>
              <w:rPr>
                <w:b/>
                <w:sz w:val="24"/>
              </w:rPr>
            </w:pPr>
            <w:r>
              <w:rPr>
                <w:b/>
                <w:sz w:val="24"/>
              </w:rPr>
              <w:t>Izquie rda</w:t>
            </w:r>
          </w:p>
        </w:tc>
      </w:tr>
      <w:tr>
        <w:trPr>
          <w:trHeight w:val="432" w:hRule="exact"/>
        </w:trPr>
        <w:tc>
          <w:tcPr>
            <w:tcW w:w="3515" w:type="dxa"/>
            <w:shd w:val="clear" w:color="auto" w:fill="A4D4E1"/>
          </w:tcPr>
          <w:p>
            <w:pPr>
              <w:pStyle w:val="TableParagraph"/>
              <w:spacing w:line="267" w:lineRule="exact"/>
              <w:rPr>
                <w:b/>
                <w:sz w:val="24"/>
              </w:rPr>
            </w:pPr>
            <w:r>
              <w:rPr>
                <w:b/>
                <w:sz w:val="24"/>
              </w:rPr>
              <w:t>Plano terminal recto</w:t>
            </w:r>
          </w:p>
        </w:tc>
        <w:tc>
          <w:tcPr>
            <w:tcW w:w="1119" w:type="dxa"/>
            <w:shd w:val="clear" w:color="auto" w:fill="A4D4E1"/>
          </w:tcPr>
          <w:p>
            <w:pPr>
              <w:pStyle w:val="TableParagraph"/>
              <w:rPr>
                <w:sz w:val="24"/>
              </w:rPr>
            </w:pPr>
            <w:r>
              <w:rPr>
                <w:w w:val="99"/>
                <w:sz w:val="24"/>
              </w:rPr>
              <w:t>9</w:t>
            </w:r>
          </w:p>
        </w:tc>
        <w:tc>
          <w:tcPr>
            <w:tcW w:w="1008" w:type="dxa"/>
            <w:shd w:val="clear" w:color="auto" w:fill="A4D4E1"/>
          </w:tcPr>
          <w:p>
            <w:pPr>
              <w:pStyle w:val="TableParagraph"/>
              <w:rPr>
                <w:sz w:val="24"/>
              </w:rPr>
            </w:pPr>
            <w:r>
              <w:rPr>
                <w:w w:val="99"/>
                <w:sz w:val="24"/>
              </w:rPr>
              <w:t>6</w:t>
            </w:r>
          </w:p>
        </w:tc>
        <w:tc>
          <w:tcPr>
            <w:tcW w:w="994" w:type="dxa"/>
            <w:shd w:val="clear" w:color="auto" w:fill="A4D4E1"/>
          </w:tcPr>
          <w:p>
            <w:pPr>
              <w:pStyle w:val="TableParagraph"/>
              <w:ind w:right="134"/>
              <w:rPr>
                <w:sz w:val="24"/>
              </w:rPr>
            </w:pPr>
            <w:r>
              <w:rPr>
                <w:sz w:val="24"/>
              </w:rPr>
              <w:t>20</w:t>
            </w:r>
          </w:p>
        </w:tc>
        <w:tc>
          <w:tcPr>
            <w:tcW w:w="989" w:type="dxa"/>
            <w:shd w:val="clear" w:color="auto" w:fill="A4D4E1"/>
          </w:tcPr>
          <w:p>
            <w:pPr>
              <w:pStyle w:val="TableParagraph"/>
              <w:ind w:left="95"/>
              <w:rPr>
                <w:sz w:val="24"/>
              </w:rPr>
            </w:pPr>
            <w:r>
              <w:rPr>
                <w:sz w:val="24"/>
              </w:rPr>
              <w:t>13</w:t>
            </w:r>
          </w:p>
        </w:tc>
        <w:tc>
          <w:tcPr>
            <w:tcW w:w="855" w:type="dxa"/>
            <w:shd w:val="clear" w:color="auto" w:fill="A4D4E1"/>
          </w:tcPr>
          <w:p>
            <w:pPr>
              <w:pStyle w:val="TableParagraph"/>
              <w:ind w:right="133"/>
              <w:rPr>
                <w:sz w:val="24"/>
              </w:rPr>
            </w:pPr>
            <w:r>
              <w:rPr>
                <w:sz w:val="24"/>
              </w:rPr>
              <w:t>22</w:t>
            </w:r>
          </w:p>
        </w:tc>
        <w:tc>
          <w:tcPr>
            <w:tcW w:w="903" w:type="dxa"/>
            <w:shd w:val="clear" w:color="auto" w:fill="A4D4E1"/>
          </w:tcPr>
          <w:p>
            <w:pPr>
              <w:pStyle w:val="TableParagraph"/>
              <w:ind w:left="96"/>
              <w:rPr>
                <w:sz w:val="24"/>
              </w:rPr>
            </w:pPr>
            <w:r>
              <w:rPr>
                <w:sz w:val="24"/>
              </w:rPr>
              <w:t>16</w:t>
            </w:r>
          </w:p>
        </w:tc>
      </w:tr>
      <w:tr>
        <w:trPr>
          <w:trHeight w:val="437" w:hRule="exact"/>
        </w:trPr>
        <w:tc>
          <w:tcPr>
            <w:tcW w:w="3515" w:type="dxa"/>
            <w:shd w:val="clear" w:color="auto" w:fill="D2EAF0"/>
          </w:tcPr>
          <w:p>
            <w:pPr>
              <w:pStyle w:val="TableParagraph"/>
              <w:spacing w:line="267" w:lineRule="exact"/>
              <w:rPr>
                <w:b/>
                <w:sz w:val="24"/>
              </w:rPr>
            </w:pPr>
            <w:r>
              <w:rPr>
                <w:b/>
                <w:sz w:val="24"/>
              </w:rPr>
              <w:t>Plano terminal distal</w:t>
            </w:r>
          </w:p>
        </w:tc>
        <w:tc>
          <w:tcPr>
            <w:tcW w:w="1119" w:type="dxa"/>
            <w:shd w:val="clear" w:color="auto" w:fill="D2EAF0"/>
          </w:tcPr>
          <w:p>
            <w:pPr>
              <w:pStyle w:val="TableParagraph"/>
              <w:rPr>
                <w:sz w:val="24"/>
              </w:rPr>
            </w:pPr>
            <w:r>
              <w:rPr>
                <w:w w:val="99"/>
                <w:sz w:val="24"/>
              </w:rPr>
              <w:t>1</w:t>
            </w:r>
          </w:p>
        </w:tc>
        <w:tc>
          <w:tcPr>
            <w:tcW w:w="1008" w:type="dxa"/>
            <w:shd w:val="clear" w:color="auto" w:fill="D2EAF0"/>
          </w:tcPr>
          <w:p>
            <w:pPr>
              <w:pStyle w:val="TableParagraph"/>
              <w:rPr>
                <w:sz w:val="24"/>
              </w:rPr>
            </w:pPr>
            <w:r>
              <w:rPr>
                <w:w w:val="99"/>
                <w:sz w:val="24"/>
              </w:rPr>
              <w:t>4</w:t>
            </w:r>
          </w:p>
        </w:tc>
        <w:tc>
          <w:tcPr>
            <w:tcW w:w="994" w:type="dxa"/>
            <w:shd w:val="clear" w:color="auto" w:fill="D2EAF0"/>
          </w:tcPr>
          <w:p>
            <w:pPr>
              <w:pStyle w:val="TableParagraph"/>
              <w:rPr>
                <w:sz w:val="24"/>
              </w:rPr>
            </w:pPr>
            <w:r>
              <w:rPr>
                <w:w w:val="99"/>
                <w:sz w:val="24"/>
              </w:rPr>
              <w:t>2</w:t>
            </w:r>
          </w:p>
        </w:tc>
        <w:tc>
          <w:tcPr>
            <w:tcW w:w="989" w:type="dxa"/>
            <w:shd w:val="clear" w:color="auto" w:fill="D2EAF0"/>
          </w:tcPr>
          <w:p>
            <w:pPr>
              <w:pStyle w:val="TableParagraph"/>
              <w:ind w:left="95"/>
              <w:rPr>
                <w:sz w:val="24"/>
              </w:rPr>
            </w:pPr>
            <w:r>
              <w:rPr>
                <w:w w:val="99"/>
                <w:sz w:val="24"/>
              </w:rPr>
              <w:t>5</w:t>
            </w:r>
          </w:p>
        </w:tc>
        <w:tc>
          <w:tcPr>
            <w:tcW w:w="855" w:type="dxa"/>
            <w:shd w:val="clear" w:color="auto" w:fill="D2EAF0"/>
          </w:tcPr>
          <w:p>
            <w:pPr>
              <w:pStyle w:val="TableParagraph"/>
              <w:rPr>
                <w:sz w:val="24"/>
              </w:rPr>
            </w:pPr>
            <w:r>
              <w:rPr>
                <w:w w:val="99"/>
                <w:sz w:val="24"/>
              </w:rPr>
              <w:t>1</w:t>
            </w:r>
          </w:p>
        </w:tc>
        <w:tc>
          <w:tcPr>
            <w:tcW w:w="903" w:type="dxa"/>
            <w:shd w:val="clear" w:color="auto" w:fill="D2EAF0"/>
          </w:tcPr>
          <w:p>
            <w:pPr>
              <w:pStyle w:val="TableParagraph"/>
              <w:ind w:left="96"/>
              <w:rPr>
                <w:sz w:val="24"/>
              </w:rPr>
            </w:pPr>
            <w:r>
              <w:rPr>
                <w:w w:val="99"/>
                <w:sz w:val="24"/>
              </w:rPr>
              <w:t>5</w:t>
            </w:r>
          </w:p>
        </w:tc>
      </w:tr>
      <w:tr>
        <w:trPr>
          <w:trHeight w:val="845" w:hRule="exact"/>
        </w:trPr>
        <w:tc>
          <w:tcPr>
            <w:tcW w:w="3515" w:type="dxa"/>
            <w:shd w:val="clear" w:color="auto" w:fill="A4D4E1"/>
          </w:tcPr>
          <w:p>
            <w:pPr>
              <w:pStyle w:val="TableParagraph"/>
              <w:spacing w:line="360" w:lineRule="auto"/>
              <w:ind w:right="908"/>
              <w:rPr>
                <w:b/>
                <w:sz w:val="24"/>
              </w:rPr>
            </w:pPr>
            <w:r>
              <w:rPr>
                <w:b/>
                <w:sz w:val="24"/>
              </w:rPr>
              <w:t>Plano terminal mesial exagerado</w:t>
            </w:r>
          </w:p>
        </w:tc>
        <w:tc>
          <w:tcPr>
            <w:tcW w:w="1119" w:type="dxa"/>
            <w:shd w:val="clear" w:color="auto" w:fill="A4D4E1"/>
          </w:tcPr>
          <w:p>
            <w:pPr>
              <w:pStyle w:val="TableParagraph"/>
              <w:ind w:right="122"/>
              <w:rPr>
                <w:sz w:val="24"/>
              </w:rPr>
            </w:pPr>
            <w:r>
              <w:rPr>
                <w:sz w:val="24"/>
              </w:rPr>
              <w:t>21</w:t>
            </w:r>
          </w:p>
        </w:tc>
        <w:tc>
          <w:tcPr>
            <w:tcW w:w="1008" w:type="dxa"/>
            <w:shd w:val="clear" w:color="auto" w:fill="A4D4E1"/>
          </w:tcPr>
          <w:p>
            <w:pPr>
              <w:pStyle w:val="TableParagraph"/>
              <w:rPr>
                <w:sz w:val="24"/>
              </w:rPr>
            </w:pPr>
            <w:r>
              <w:rPr>
                <w:sz w:val="24"/>
              </w:rPr>
              <w:t>22</w:t>
            </w:r>
          </w:p>
        </w:tc>
        <w:tc>
          <w:tcPr>
            <w:tcW w:w="994" w:type="dxa"/>
            <w:shd w:val="clear" w:color="auto" w:fill="A4D4E1"/>
          </w:tcPr>
          <w:p>
            <w:pPr>
              <w:pStyle w:val="TableParagraph"/>
              <w:ind w:right="134"/>
              <w:rPr>
                <w:sz w:val="24"/>
              </w:rPr>
            </w:pPr>
            <w:r>
              <w:rPr>
                <w:sz w:val="24"/>
              </w:rPr>
              <w:t>17</w:t>
            </w:r>
          </w:p>
        </w:tc>
        <w:tc>
          <w:tcPr>
            <w:tcW w:w="989" w:type="dxa"/>
            <w:shd w:val="clear" w:color="auto" w:fill="A4D4E1"/>
          </w:tcPr>
          <w:p>
            <w:pPr>
              <w:pStyle w:val="TableParagraph"/>
              <w:ind w:left="95"/>
              <w:rPr>
                <w:sz w:val="24"/>
              </w:rPr>
            </w:pPr>
            <w:r>
              <w:rPr>
                <w:sz w:val="24"/>
              </w:rPr>
              <w:t>26</w:t>
            </w:r>
          </w:p>
        </w:tc>
        <w:tc>
          <w:tcPr>
            <w:tcW w:w="855" w:type="dxa"/>
            <w:shd w:val="clear" w:color="auto" w:fill="A4D4E1"/>
          </w:tcPr>
          <w:p>
            <w:pPr>
              <w:pStyle w:val="TableParagraph"/>
              <w:ind w:right="133"/>
              <w:rPr>
                <w:sz w:val="24"/>
              </w:rPr>
            </w:pPr>
            <w:r>
              <w:rPr>
                <w:sz w:val="24"/>
              </w:rPr>
              <w:t>21</w:t>
            </w:r>
          </w:p>
        </w:tc>
        <w:tc>
          <w:tcPr>
            <w:tcW w:w="903" w:type="dxa"/>
            <w:shd w:val="clear" w:color="auto" w:fill="A4D4E1"/>
          </w:tcPr>
          <w:p>
            <w:pPr>
              <w:pStyle w:val="TableParagraph"/>
              <w:ind w:left="96"/>
              <w:rPr>
                <w:sz w:val="24"/>
              </w:rPr>
            </w:pPr>
            <w:r>
              <w:rPr>
                <w:sz w:val="24"/>
              </w:rPr>
              <w:t>20</w:t>
            </w:r>
          </w:p>
        </w:tc>
      </w:tr>
      <w:tr>
        <w:trPr>
          <w:trHeight w:val="437" w:hRule="exact"/>
        </w:trPr>
        <w:tc>
          <w:tcPr>
            <w:tcW w:w="3515" w:type="dxa"/>
            <w:shd w:val="clear" w:color="auto" w:fill="D2EAF0"/>
          </w:tcPr>
          <w:p>
            <w:pPr>
              <w:pStyle w:val="TableParagraph"/>
              <w:spacing w:line="267" w:lineRule="exact"/>
              <w:rPr>
                <w:b/>
                <w:sz w:val="24"/>
              </w:rPr>
            </w:pPr>
            <w:r>
              <w:rPr>
                <w:b/>
                <w:sz w:val="24"/>
              </w:rPr>
              <w:t>Relación canina clase I</w:t>
            </w:r>
          </w:p>
        </w:tc>
        <w:tc>
          <w:tcPr>
            <w:tcW w:w="1119" w:type="dxa"/>
            <w:shd w:val="clear" w:color="auto" w:fill="D2EAF0"/>
          </w:tcPr>
          <w:p>
            <w:pPr>
              <w:pStyle w:val="TableParagraph"/>
              <w:ind w:right="122"/>
              <w:rPr>
                <w:sz w:val="24"/>
              </w:rPr>
            </w:pPr>
            <w:r>
              <w:rPr>
                <w:sz w:val="24"/>
              </w:rPr>
              <w:t>26</w:t>
            </w:r>
          </w:p>
        </w:tc>
        <w:tc>
          <w:tcPr>
            <w:tcW w:w="1008" w:type="dxa"/>
            <w:shd w:val="clear" w:color="auto" w:fill="D2EAF0"/>
          </w:tcPr>
          <w:p>
            <w:pPr>
              <w:pStyle w:val="TableParagraph"/>
              <w:rPr>
                <w:sz w:val="24"/>
              </w:rPr>
            </w:pPr>
            <w:r>
              <w:rPr>
                <w:sz w:val="24"/>
              </w:rPr>
              <w:t>28</w:t>
            </w:r>
          </w:p>
        </w:tc>
        <w:tc>
          <w:tcPr>
            <w:tcW w:w="994" w:type="dxa"/>
            <w:shd w:val="clear" w:color="auto" w:fill="D2EAF0"/>
          </w:tcPr>
          <w:p>
            <w:pPr>
              <w:pStyle w:val="TableParagraph"/>
              <w:ind w:right="134"/>
              <w:rPr>
                <w:sz w:val="24"/>
              </w:rPr>
            </w:pPr>
            <w:r>
              <w:rPr>
                <w:sz w:val="24"/>
              </w:rPr>
              <w:t>34</w:t>
            </w:r>
          </w:p>
        </w:tc>
        <w:tc>
          <w:tcPr>
            <w:tcW w:w="989" w:type="dxa"/>
            <w:shd w:val="clear" w:color="auto" w:fill="D2EAF0"/>
          </w:tcPr>
          <w:p>
            <w:pPr>
              <w:pStyle w:val="TableParagraph"/>
              <w:ind w:left="95"/>
              <w:rPr>
                <w:sz w:val="24"/>
              </w:rPr>
            </w:pPr>
            <w:r>
              <w:rPr>
                <w:sz w:val="24"/>
              </w:rPr>
              <w:t>36</w:t>
            </w:r>
          </w:p>
        </w:tc>
        <w:tc>
          <w:tcPr>
            <w:tcW w:w="855" w:type="dxa"/>
            <w:shd w:val="clear" w:color="auto" w:fill="D2EAF0"/>
          </w:tcPr>
          <w:p>
            <w:pPr>
              <w:pStyle w:val="TableParagraph"/>
              <w:ind w:right="133"/>
              <w:rPr>
                <w:sz w:val="24"/>
              </w:rPr>
            </w:pPr>
            <w:r>
              <w:rPr>
                <w:sz w:val="24"/>
              </w:rPr>
              <w:t>38</w:t>
            </w:r>
          </w:p>
        </w:tc>
        <w:tc>
          <w:tcPr>
            <w:tcW w:w="903" w:type="dxa"/>
            <w:shd w:val="clear" w:color="auto" w:fill="D2EAF0"/>
          </w:tcPr>
          <w:p>
            <w:pPr>
              <w:pStyle w:val="TableParagraph"/>
              <w:ind w:left="96"/>
              <w:rPr>
                <w:sz w:val="24"/>
              </w:rPr>
            </w:pPr>
            <w:r>
              <w:rPr>
                <w:sz w:val="24"/>
              </w:rPr>
              <w:t>39</w:t>
            </w:r>
          </w:p>
        </w:tc>
      </w:tr>
      <w:tr>
        <w:trPr>
          <w:trHeight w:val="432" w:hRule="exact"/>
        </w:trPr>
        <w:tc>
          <w:tcPr>
            <w:tcW w:w="3515" w:type="dxa"/>
            <w:shd w:val="clear" w:color="auto" w:fill="A4D4E1"/>
          </w:tcPr>
          <w:p>
            <w:pPr>
              <w:pStyle w:val="TableParagraph"/>
              <w:spacing w:line="267" w:lineRule="exact"/>
              <w:rPr>
                <w:b/>
                <w:sz w:val="24"/>
              </w:rPr>
            </w:pPr>
            <w:r>
              <w:rPr>
                <w:b/>
                <w:sz w:val="24"/>
              </w:rPr>
              <w:t>Relación canina clase II</w:t>
            </w:r>
          </w:p>
        </w:tc>
        <w:tc>
          <w:tcPr>
            <w:tcW w:w="1119" w:type="dxa"/>
            <w:shd w:val="clear" w:color="auto" w:fill="A4D4E1"/>
          </w:tcPr>
          <w:p>
            <w:pPr>
              <w:pStyle w:val="TableParagraph"/>
              <w:rPr>
                <w:sz w:val="24"/>
              </w:rPr>
            </w:pPr>
            <w:r>
              <w:rPr>
                <w:w w:val="99"/>
                <w:sz w:val="24"/>
              </w:rPr>
              <w:t>4</w:t>
            </w:r>
          </w:p>
        </w:tc>
        <w:tc>
          <w:tcPr>
            <w:tcW w:w="1008" w:type="dxa"/>
            <w:shd w:val="clear" w:color="auto" w:fill="A4D4E1"/>
          </w:tcPr>
          <w:p>
            <w:pPr>
              <w:pStyle w:val="TableParagraph"/>
              <w:rPr>
                <w:sz w:val="24"/>
              </w:rPr>
            </w:pPr>
            <w:r>
              <w:rPr>
                <w:w w:val="99"/>
                <w:sz w:val="24"/>
              </w:rPr>
              <w:t>1</w:t>
            </w:r>
          </w:p>
        </w:tc>
        <w:tc>
          <w:tcPr>
            <w:tcW w:w="994" w:type="dxa"/>
            <w:shd w:val="clear" w:color="auto" w:fill="A4D4E1"/>
          </w:tcPr>
          <w:p>
            <w:pPr>
              <w:pStyle w:val="TableParagraph"/>
              <w:rPr>
                <w:sz w:val="24"/>
              </w:rPr>
            </w:pPr>
            <w:r>
              <w:rPr>
                <w:w w:val="99"/>
                <w:sz w:val="24"/>
              </w:rPr>
              <w:t>7</w:t>
            </w:r>
          </w:p>
        </w:tc>
        <w:tc>
          <w:tcPr>
            <w:tcW w:w="989" w:type="dxa"/>
            <w:shd w:val="clear" w:color="auto" w:fill="A4D4E1"/>
          </w:tcPr>
          <w:p>
            <w:pPr>
              <w:pStyle w:val="TableParagraph"/>
              <w:ind w:left="95"/>
              <w:rPr>
                <w:sz w:val="24"/>
              </w:rPr>
            </w:pPr>
            <w:r>
              <w:rPr>
                <w:w w:val="99"/>
                <w:sz w:val="24"/>
              </w:rPr>
              <w:t>4</w:t>
            </w:r>
          </w:p>
        </w:tc>
        <w:tc>
          <w:tcPr>
            <w:tcW w:w="855" w:type="dxa"/>
            <w:shd w:val="clear" w:color="auto" w:fill="A4D4E1"/>
          </w:tcPr>
          <w:p>
            <w:pPr>
              <w:pStyle w:val="TableParagraph"/>
              <w:rPr>
                <w:sz w:val="24"/>
              </w:rPr>
            </w:pPr>
            <w:r>
              <w:rPr>
                <w:w w:val="99"/>
                <w:sz w:val="24"/>
              </w:rPr>
              <w:t>5</w:t>
            </w:r>
          </w:p>
        </w:tc>
        <w:tc>
          <w:tcPr>
            <w:tcW w:w="903" w:type="dxa"/>
            <w:shd w:val="clear" w:color="auto" w:fill="A4D4E1"/>
          </w:tcPr>
          <w:p>
            <w:pPr>
              <w:pStyle w:val="TableParagraph"/>
              <w:ind w:left="96"/>
              <w:rPr>
                <w:sz w:val="24"/>
              </w:rPr>
            </w:pPr>
            <w:r>
              <w:rPr>
                <w:w w:val="99"/>
                <w:sz w:val="24"/>
              </w:rPr>
              <w:t>3</w:t>
            </w:r>
          </w:p>
        </w:tc>
      </w:tr>
      <w:tr>
        <w:trPr>
          <w:trHeight w:val="435" w:hRule="exact"/>
        </w:trPr>
        <w:tc>
          <w:tcPr>
            <w:tcW w:w="3515" w:type="dxa"/>
            <w:shd w:val="clear" w:color="auto" w:fill="D2EAF0"/>
          </w:tcPr>
          <w:p>
            <w:pPr>
              <w:pStyle w:val="TableParagraph"/>
              <w:spacing w:line="267" w:lineRule="exact"/>
              <w:rPr>
                <w:b/>
                <w:sz w:val="24"/>
              </w:rPr>
            </w:pPr>
            <w:r>
              <w:rPr>
                <w:b/>
                <w:sz w:val="24"/>
              </w:rPr>
              <w:t>Relación canina clase III</w:t>
            </w:r>
          </w:p>
        </w:tc>
        <w:tc>
          <w:tcPr>
            <w:tcW w:w="1119" w:type="dxa"/>
            <w:shd w:val="clear" w:color="auto" w:fill="D2EAF0"/>
          </w:tcPr>
          <w:p>
            <w:pPr>
              <w:pStyle w:val="TableParagraph"/>
              <w:rPr>
                <w:sz w:val="24"/>
              </w:rPr>
            </w:pPr>
            <w:r>
              <w:rPr>
                <w:w w:val="99"/>
                <w:sz w:val="24"/>
              </w:rPr>
              <w:t>1</w:t>
            </w:r>
          </w:p>
        </w:tc>
        <w:tc>
          <w:tcPr>
            <w:tcW w:w="1008" w:type="dxa"/>
            <w:shd w:val="clear" w:color="auto" w:fill="D2EAF0"/>
          </w:tcPr>
          <w:p>
            <w:pPr>
              <w:pStyle w:val="TableParagraph"/>
              <w:rPr>
                <w:sz w:val="24"/>
              </w:rPr>
            </w:pPr>
            <w:r>
              <w:rPr>
                <w:w w:val="99"/>
                <w:sz w:val="24"/>
              </w:rPr>
              <w:t>2</w:t>
            </w:r>
          </w:p>
        </w:tc>
        <w:tc>
          <w:tcPr>
            <w:tcW w:w="994" w:type="dxa"/>
            <w:shd w:val="clear" w:color="auto" w:fill="D2EAF0"/>
          </w:tcPr>
          <w:p>
            <w:pPr>
              <w:pStyle w:val="TableParagraph"/>
              <w:rPr>
                <w:sz w:val="24"/>
              </w:rPr>
            </w:pPr>
            <w:r>
              <w:rPr>
                <w:w w:val="99"/>
                <w:sz w:val="24"/>
              </w:rPr>
              <w:t>1</w:t>
            </w:r>
          </w:p>
        </w:tc>
        <w:tc>
          <w:tcPr>
            <w:tcW w:w="989" w:type="dxa"/>
            <w:shd w:val="clear" w:color="auto" w:fill="D2EAF0"/>
          </w:tcPr>
          <w:p>
            <w:pPr>
              <w:pStyle w:val="TableParagraph"/>
              <w:ind w:left="105"/>
              <w:rPr>
                <w:sz w:val="24"/>
              </w:rPr>
            </w:pPr>
            <w:r>
              <w:rPr>
                <w:w w:val="99"/>
                <w:sz w:val="24"/>
              </w:rPr>
              <w:t>2</w:t>
            </w:r>
          </w:p>
        </w:tc>
        <w:tc>
          <w:tcPr>
            <w:tcW w:w="855" w:type="dxa"/>
            <w:shd w:val="clear" w:color="auto" w:fill="D2EAF0"/>
          </w:tcPr>
          <w:p>
            <w:pPr>
              <w:pStyle w:val="TableParagraph"/>
              <w:rPr>
                <w:sz w:val="24"/>
              </w:rPr>
            </w:pPr>
            <w:r>
              <w:rPr>
                <w:w w:val="99"/>
                <w:sz w:val="24"/>
              </w:rPr>
              <w:t>1</w:t>
            </w:r>
          </w:p>
        </w:tc>
        <w:tc>
          <w:tcPr>
            <w:tcW w:w="903" w:type="dxa"/>
            <w:shd w:val="clear" w:color="auto" w:fill="D2EAF0"/>
          </w:tcPr>
          <w:p>
            <w:pPr>
              <w:pStyle w:val="TableParagraph"/>
              <w:ind w:left="96"/>
              <w:rPr>
                <w:sz w:val="24"/>
              </w:rPr>
            </w:pPr>
            <w:r>
              <w:rPr>
                <w:w w:val="99"/>
                <w:sz w:val="24"/>
              </w:rPr>
              <w:t>2</w:t>
            </w:r>
          </w:p>
        </w:tc>
      </w:tr>
    </w:tbl>
    <w:p>
      <w:pPr>
        <w:spacing w:before="97"/>
        <w:ind w:left="236" w:right="0" w:firstLine="0"/>
        <w:jc w:val="both"/>
        <w:rPr>
          <w:sz w:val="16"/>
        </w:rPr>
      </w:pPr>
      <w:r>
        <w:rPr>
          <w:sz w:val="16"/>
        </w:rPr>
        <w:t>Fuente directa</w:t>
      </w:r>
    </w:p>
    <w:p>
      <w:pPr>
        <w:pStyle w:val="BodyText"/>
        <w:rPr>
          <w:sz w:val="16"/>
        </w:rPr>
      </w:pPr>
    </w:p>
    <w:p>
      <w:pPr>
        <w:pStyle w:val="BodyText"/>
        <w:spacing w:before="9"/>
        <w:rPr>
          <w:sz w:val="12"/>
        </w:rPr>
      </w:pPr>
    </w:p>
    <w:p>
      <w:pPr>
        <w:pStyle w:val="BodyText"/>
        <w:spacing w:line="360" w:lineRule="auto"/>
        <w:ind w:left="236" w:right="282"/>
        <w:jc w:val="both"/>
      </w:pPr>
      <w:r>
        <w:rPr/>
        <w:t>Los espacios generalizados estuvieron presentes en el 35.4% de los casos de lactancia materna, 38.6% de los casos de lactancia mixta y 38% de los casos de lactancia artificial. Los espacios primates estuvieron presentes en el 51.6% de los casos de lactancia materna, en el 50% de lactancia mixta y 52.3% la lactancia artificial. El apiñamiento inferior se presento en el 6.4% de los casos de lactancia materna, 9.6% de lactancia mixta y 19.3% lactancia artificial. Mordida cruzada anterior </w:t>
      </w:r>
      <w:r>
        <w:rPr>
          <w:spacing w:val="-3"/>
        </w:rPr>
        <w:t>se </w:t>
      </w:r>
      <w:r>
        <w:rPr/>
        <w:t>observo en el 6.4% de los casos de lactancia materna, 6.4% de los casos de lactancia mixta y en el 16.6% de los casos de lactancia artificial. Mordida cruzada posterior </w:t>
      </w:r>
      <w:r>
        <w:rPr>
          <w:spacing w:val="-3"/>
        </w:rPr>
        <w:t>se </w:t>
      </w:r>
      <w:r>
        <w:rPr/>
        <w:t>presentó en el 6.4% de los casos de lactancia materna, 0% de lactancia mixta y 6.4% de lactancia artificial. Mordida abierta anterior estuvo presente en el 6.4% de los casos de lactancia materna, </w:t>
      </w:r>
      <w:r>
        <w:rPr>
          <w:spacing w:val="-3"/>
        </w:rPr>
        <w:t>6.8% </w:t>
      </w:r>
      <w:r>
        <w:rPr/>
        <w:t>de los casos de lactancia mixta y 9% de los casos de lactancia artificial. Mordida abierta posterior se observó en el 3.2%  de los casos de la lactancia materna, 0% de los casos de lactancia mixta y 9.5% de los casos de lactancia artificial. Mordida borde a borde se presentó en el 9.6% de los casos de lactancia materna 9% de los casos de lactancia mixta y 4.7 % de los casos de lactancia artificial. Atrición estuvo presente en el  38.7% de los casos de </w:t>
      </w:r>
      <w:r>
        <w:rPr>
          <w:spacing w:val="2"/>
        </w:rPr>
        <w:t> </w:t>
      </w:r>
      <w:r>
        <w:rPr/>
        <w:t>lactancia</w:t>
      </w:r>
    </w:p>
    <w:p>
      <w:pPr>
        <w:spacing w:after="0" w:line="360" w:lineRule="auto"/>
        <w:jc w:val="both"/>
        <w:sectPr>
          <w:pgSz w:w="12240" w:h="15840"/>
          <w:pgMar w:header="0" w:footer="1002" w:top="1500" w:bottom="1200" w:left="1180" w:right="1420"/>
        </w:sectPr>
      </w:pPr>
    </w:p>
    <w:p>
      <w:pPr>
        <w:pStyle w:val="BodyText"/>
        <w:spacing w:before="10"/>
        <w:rPr>
          <w:sz w:val="10"/>
        </w:rPr>
      </w:pPr>
    </w:p>
    <w:p>
      <w:pPr>
        <w:pStyle w:val="BodyText"/>
        <w:spacing w:line="360" w:lineRule="auto" w:before="70"/>
        <w:ind w:left="196" w:right="116"/>
        <w:jc w:val="both"/>
      </w:pPr>
      <w:r>
        <w:rPr/>
        <w:t>materna 25% de los casos de lactancia artificial y 54 % de los casos de lactancia mixta (Tabla 6)</w:t>
      </w:r>
    </w:p>
    <w:p>
      <w:pPr>
        <w:pStyle w:val="Heading1"/>
        <w:spacing w:line="357" w:lineRule="auto" w:before="204"/>
        <w:ind w:left="196" w:right="115"/>
        <w:jc w:val="both"/>
      </w:pPr>
      <w:r>
        <w:rPr/>
        <w:t>Tabla 6 Características Generales de los Arcos y Tipo de Lactancia de los  Niños de 3 a 5 Años del Jardín de Niños “Consuelo Rodríguez de Fernández Albarrán”.</w:t>
      </w:r>
    </w:p>
    <w:p>
      <w:pPr>
        <w:pStyle w:val="BodyText"/>
        <w:rPr>
          <w:b/>
          <w:sz w:val="20"/>
        </w:rPr>
      </w:pPr>
    </w:p>
    <w:p>
      <w:pPr>
        <w:pStyle w:val="BodyText"/>
        <w:spacing w:before="2"/>
        <w:rPr>
          <w:b/>
          <w:sz w:val="1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01"/>
        <w:gridCol w:w="1820"/>
        <w:gridCol w:w="1827"/>
        <w:gridCol w:w="1812"/>
      </w:tblGrid>
      <w:tr>
        <w:trPr>
          <w:trHeight w:val="444" w:hRule="exact"/>
        </w:trPr>
        <w:tc>
          <w:tcPr>
            <w:tcW w:w="3501" w:type="dxa"/>
            <w:vMerge w:val="restart"/>
            <w:shd w:val="clear" w:color="auto" w:fill="4AACC5"/>
          </w:tcPr>
          <w:p>
            <w:pPr>
              <w:pStyle w:val="TableParagraph"/>
              <w:spacing w:line="267" w:lineRule="exact"/>
              <w:ind w:left="148"/>
              <w:rPr>
                <w:b/>
                <w:sz w:val="24"/>
              </w:rPr>
            </w:pPr>
            <w:r>
              <w:rPr>
                <w:b/>
                <w:color w:val="FFFFFF"/>
                <w:sz w:val="24"/>
              </w:rPr>
              <w:t>Características de los arcos</w:t>
            </w:r>
          </w:p>
        </w:tc>
        <w:tc>
          <w:tcPr>
            <w:tcW w:w="5459" w:type="dxa"/>
            <w:gridSpan w:val="3"/>
            <w:tcBorders>
              <w:bottom w:val="single" w:sz="25" w:space="0" w:color="FFFFFF"/>
            </w:tcBorders>
            <w:shd w:val="clear" w:color="auto" w:fill="4AACC5"/>
          </w:tcPr>
          <w:p>
            <w:pPr>
              <w:pStyle w:val="TableParagraph"/>
              <w:spacing w:line="267" w:lineRule="exact"/>
              <w:ind w:left="1762"/>
              <w:rPr>
                <w:b/>
                <w:sz w:val="24"/>
              </w:rPr>
            </w:pPr>
            <w:r>
              <w:rPr>
                <w:b/>
                <w:color w:val="FFFFFF"/>
                <w:sz w:val="24"/>
              </w:rPr>
              <w:t>Tipo de lactancia</w:t>
            </w:r>
          </w:p>
        </w:tc>
      </w:tr>
      <w:tr>
        <w:trPr>
          <w:trHeight w:val="454" w:hRule="exact"/>
        </w:trPr>
        <w:tc>
          <w:tcPr>
            <w:tcW w:w="3501" w:type="dxa"/>
            <w:vMerge/>
            <w:tcBorders>
              <w:bottom w:val="single" w:sz="8" w:space="0" w:color="FFFFFF"/>
            </w:tcBorders>
            <w:shd w:val="clear" w:color="auto" w:fill="4AACC5"/>
          </w:tcPr>
          <w:p>
            <w:pPr/>
          </w:p>
        </w:tc>
        <w:tc>
          <w:tcPr>
            <w:tcW w:w="1820" w:type="dxa"/>
            <w:tcBorders>
              <w:top w:val="single" w:sz="25" w:space="0" w:color="FFFFFF"/>
              <w:left w:val="single" w:sz="23" w:space="0" w:color="FFFFFF"/>
              <w:bottom w:val="single" w:sz="8" w:space="0" w:color="FFFFFF"/>
              <w:right w:val="single" w:sz="8" w:space="0" w:color="FFFFFF"/>
            </w:tcBorders>
            <w:shd w:val="clear" w:color="auto" w:fill="A4D4E1"/>
          </w:tcPr>
          <w:p>
            <w:pPr>
              <w:pStyle w:val="TableParagraph"/>
              <w:spacing w:line="267" w:lineRule="exact"/>
              <w:ind w:left="283"/>
              <w:rPr>
                <w:b/>
                <w:sz w:val="24"/>
              </w:rPr>
            </w:pPr>
            <w:r>
              <w:rPr>
                <w:b/>
                <w:sz w:val="24"/>
              </w:rPr>
              <w:t>Materna /n</w:t>
            </w:r>
          </w:p>
        </w:tc>
        <w:tc>
          <w:tcPr>
            <w:tcW w:w="1827" w:type="dxa"/>
            <w:tcBorders>
              <w:top w:val="single" w:sz="25" w:space="0" w:color="FFFFFF"/>
              <w:left w:val="single" w:sz="8" w:space="0" w:color="FFFFFF"/>
              <w:bottom w:val="single" w:sz="8" w:space="0" w:color="FFFFFF"/>
            </w:tcBorders>
            <w:shd w:val="clear" w:color="auto" w:fill="A4D4E1"/>
          </w:tcPr>
          <w:p>
            <w:pPr>
              <w:pStyle w:val="TableParagraph"/>
              <w:spacing w:line="267" w:lineRule="exact"/>
              <w:ind w:left="283"/>
              <w:rPr>
                <w:b/>
                <w:sz w:val="24"/>
              </w:rPr>
            </w:pPr>
            <w:r>
              <w:rPr>
                <w:b/>
                <w:sz w:val="24"/>
              </w:rPr>
              <w:t>Artificial /n</w:t>
            </w:r>
          </w:p>
        </w:tc>
        <w:tc>
          <w:tcPr>
            <w:tcW w:w="1812" w:type="dxa"/>
            <w:tcBorders>
              <w:top w:val="single" w:sz="25" w:space="0" w:color="FFFFFF"/>
              <w:bottom w:val="single" w:sz="8" w:space="0" w:color="FFFFFF"/>
            </w:tcBorders>
            <w:shd w:val="clear" w:color="auto" w:fill="A4D4E1"/>
          </w:tcPr>
          <w:p>
            <w:pPr>
              <w:pStyle w:val="TableParagraph"/>
              <w:spacing w:line="267" w:lineRule="exact"/>
              <w:ind w:left="463"/>
              <w:rPr>
                <w:b/>
                <w:sz w:val="24"/>
              </w:rPr>
            </w:pPr>
            <w:r>
              <w:rPr>
                <w:b/>
                <w:sz w:val="24"/>
              </w:rPr>
              <w:t>Mixta /n</w:t>
            </w:r>
          </w:p>
        </w:tc>
      </w:tr>
      <w:tr>
        <w:trPr>
          <w:trHeight w:val="437" w:hRule="exact"/>
        </w:trPr>
        <w:tc>
          <w:tcPr>
            <w:tcW w:w="3501" w:type="dxa"/>
            <w:tcBorders>
              <w:top w:val="single" w:sz="8" w:space="0" w:color="FFFFFF"/>
              <w:bottom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Espacios generalizados</w:t>
            </w:r>
          </w:p>
        </w:tc>
        <w:tc>
          <w:tcPr>
            <w:tcW w:w="1820" w:type="dxa"/>
            <w:tcBorders>
              <w:top w:val="single" w:sz="8" w:space="0" w:color="FFFFFF"/>
              <w:left w:val="single" w:sz="23" w:space="0" w:color="FFFFFF"/>
              <w:bottom w:val="single" w:sz="8" w:space="0" w:color="FFFFFF"/>
              <w:right w:val="single" w:sz="6" w:space="0" w:color="FFFFFF"/>
            </w:tcBorders>
            <w:shd w:val="clear" w:color="auto" w:fill="D2EAF0"/>
          </w:tcPr>
          <w:p>
            <w:pPr>
              <w:pStyle w:val="TableParagraph"/>
              <w:ind w:left="81"/>
              <w:rPr>
                <w:sz w:val="24"/>
              </w:rPr>
            </w:pPr>
            <w:r>
              <w:rPr>
                <w:sz w:val="24"/>
              </w:rPr>
              <w:t>11</w:t>
            </w:r>
          </w:p>
        </w:tc>
        <w:tc>
          <w:tcPr>
            <w:tcW w:w="1827" w:type="dxa"/>
            <w:tcBorders>
              <w:top w:val="single" w:sz="8" w:space="0" w:color="FFFFFF"/>
              <w:left w:val="single" w:sz="6" w:space="0" w:color="FFFFFF"/>
              <w:bottom w:val="single" w:sz="8" w:space="0" w:color="FFFFFF"/>
              <w:right w:val="single" w:sz="6" w:space="0" w:color="FFFFFF"/>
            </w:tcBorders>
            <w:shd w:val="clear" w:color="auto" w:fill="D2EAF0"/>
          </w:tcPr>
          <w:p>
            <w:pPr>
              <w:pStyle w:val="TableParagraph"/>
              <w:ind w:left="103"/>
              <w:rPr>
                <w:sz w:val="24"/>
              </w:rPr>
            </w:pPr>
            <w:r>
              <w:rPr>
                <w:sz w:val="24"/>
              </w:rPr>
              <w:t>16</w:t>
            </w:r>
          </w:p>
        </w:tc>
        <w:tc>
          <w:tcPr>
            <w:tcW w:w="1812" w:type="dxa"/>
            <w:tcBorders>
              <w:top w:val="single" w:sz="8" w:space="0" w:color="FFFFFF"/>
              <w:left w:val="single" w:sz="6" w:space="0" w:color="FFFFFF"/>
              <w:bottom w:val="single" w:sz="8" w:space="0" w:color="FFFFFF"/>
            </w:tcBorders>
            <w:shd w:val="clear" w:color="auto" w:fill="D2EAF0"/>
          </w:tcPr>
          <w:p>
            <w:pPr>
              <w:pStyle w:val="TableParagraph"/>
              <w:rPr>
                <w:sz w:val="24"/>
              </w:rPr>
            </w:pPr>
            <w:r>
              <w:rPr>
                <w:sz w:val="24"/>
              </w:rPr>
              <w:t>17</w:t>
            </w:r>
          </w:p>
        </w:tc>
      </w:tr>
      <w:tr>
        <w:trPr>
          <w:trHeight w:val="432" w:hRule="exact"/>
        </w:trPr>
        <w:tc>
          <w:tcPr>
            <w:tcW w:w="3501" w:type="dxa"/>
            <w:tcBorders>
              <w:top w:val="single" w:sz="8" w:space="0" w:color="FFFFFF"/>
              <w:bottom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Espacios primates</w:t>
            </w:r>
          </w:p>
        </w:tc>
        <w:tc>
          <w:tcPr>
            <w:tcW w:w="1820" w:type="dxa"/>
            <w:tcBorders>
              <w:top w:val="single" w:sz="8" w:space="0" w:color="FFFFFF"/>
              <w:left w:val="single" w:sz="23" w:space="0" w:color="FFFFFF"/>
              <w:bottom w:val="single" w:sz="8" w:space="0" w:color="FFFFFF"/>
              <w:right w:val="single" w:sz="8" w:space="0" w:color="FFFFFF"/>
            </w:tcBorders>
            <w:shd w:val="clear" w:color="auto" w:fill="A4D4E1"/>
          </w:tcPr>
          <w:p>
            <w:pPr>
              <w:pStyle w:val="TableParagraph"/>
              <w:ind w:left="81"/>
              <w:rPr>
                <w:sz w:val="24"/>
              </w:rPr>
            </w:pPr>
            <w:r>
              <w:rPr>
                <w:sz w:val="24"/>
              </w:rPr>
              <w:t>15</w:t>
            </w:r>
          </w:p>
        </w:tc>
        <w:tc>
          <w:tcPr>
            <w:tcW w:w="1827" w:type="dxa"/>
            <w:tcBorders>
              <w:top w:val="single" w:sz="8" w:space="0" w:color="FFFFFF"/>
              <w:left w:val="single" w:sz="8" w:space="0" w:color="FFFFFF"/>
              <w:bottom w:val="single" w:sz="8" w:space="0" w:color="FFFFFF"/>
            </w:tcBorders>
            <w:shd w:val="clear" w:color="auto" w:fill="A4D4E1"/>
          </w:tcPr>
          <w:p>
            <w:pPr>
              <w:pStyle w:val="TableParagraph"/>
              <w:rPr>
                <w:sz w:val="24"/>
              </w:rPr>
            </w:pPr>
            <w:r>
              <w:rPr>
                <w:sz w:val="24"/>
              </w:rPr>
              <w:t>22</w:t>
            </w:r>
          </w:p>
        </w:tc>
        <w:tc>
          <w:tcPr>
            <w:tcW w:w="1812" w:type="dxa"/>
            <w:tcBorders>
              <w:top w:val="single" w:sz="8" w:space="0" w:color="FFFFFF"/>
              <w:bottom w:val="single" w:sz="8" w:space="0" w:color="FFFFFF"/>
            </w:tcBorders>
            <w:shd w:val="clear" w:color="auto" w:fill="A4D4E1"/>
          </w:tcPr>
          <w:p>
            <w:pPr>
              <w:pStyle w:val="TableParagraph"/>
              <w:ind w:left="108"/>
              <w:rPr>
                <w:sz w:val="24"/>
              </w:rPr>
            </w:pPr>
            <w:r>
              <w:rPr>
                <w:sz w:val="24"/>
              </w:rPr>
              <w:t>22</w:t>
            </w:r>
          </w:p>
        </w:tc>
      </w:tr>
      <w:tr>
        <w:trPr>
          <w:trHeight w:val="434" w:hRule="exact"/>
        </w:trPr>
        <w:tc>
          <w:tcPr>
            <w:tcW w:w="3501" w:type="dxa"/>
            <w:tcBorders>
              <w:top w:val="single" w:sz="8" w:space="0" w:color="FFFFFF"/>
              <w:bottom w:val="single" w:sz="10" w:space="0" w:color="FFFFFF"/>
              <w:right w:val="single" w:sz="23" w:space="0" w:color="FFFFFF"/>
            </w:tcBorders>
            <w:shd w:val="clear" w:color="auto" w:fill="4AACC5"/>
          </w:tcPr>
          <w:p>
            <w:pPr>
              <w:pStyle w:val="TableParagraph"/>
              <w:spacing w:line="267" w:lineRule="exact"/>
              <w:ind w:left="95"/>
              <w:rPr>
                <w:b/>
                <w:sz w:val="24"/>
              </w:rPr>
            </w:pPr>
            <w:r>
              <w:rPr>
                <w:b/>
                <w:color w:val="FFFFFF"/>
                <w:sz w:val="24"/>
              </w:rPr>
              <w:t>Curva de Spee</w:t>
            </w:r>
          </w:p>
        </w:tc>
        <w:tc>
          <w:tcPr>
            <w:tcW w:w="1820" w:type="dxa"/>
            <w:tcBorders>
              <w:top w:val="single" w:sz="8" w:space="0" w:color="FFFFFF"/>
              <w:left w:val="single" w:sz="23" w:space="0" w:color="FFFFFF"/>
              <w:bottom w:val="single" w:sz="10" w:space="0" w:color="FFFFFF"/>
              <w:right w:val="single" w:sz="6" w:space="0" w:color="FFFFFF"/>
            </w:tcBorders>
            <w:shd w:val="clear" w:color="auto" w:fill="D2EAF0"/>
          </w:tcPr>
          <w:p>
            <w:pPr>
              <w:pStyle w:val="TableParagraph"/>
              <w:ind w:left="81"/>
              <w:rPr>
                <w:sz w:val="24"/>
              </w:rPr>
            </w:pPr>
            <w:r>
              <w:rPr>
                <w:w w:val="99"/>
                <w:sz w:val="24"/>
              </w:rPr>
              <w:t>2</w:t>
            </w:r>
          </w:p>
        </w:tc>
        <w:tc>
          <w:tcPr>
            <w:tcW w:w="1827" w:type="dxa"/>
            <w:tcBorders>
              <w:top w:val="single" w:sz="8" w:space="0" w:color="FFFFFF"/>
              <w:left w:val="single" w:sz="6" w:space="0" w:color="FFFFFF"/>
              <w:bottom w:val="single" w:sz="10" w:space="0" w:color="FFFFFF"/>
              <w:right w:val="single" w:sz="6" w:space="0" w:color="FFFFFF"/>
            </w:tcBorders>
            <w:shd w:val="clear" w:color="auto" w:fill="D2EAF0"/>
          </w:tcPr>
          <w:p>
            <w:pPr>
              <w:pStyle w:val="TableParagraph"/>
              <w:ind w:left="103"/>
              <w:rPr>
                <w:sz w:val="24"/>
              </w:rPr>
            </w:pPr>
            <w:r>
              <w:rPr>
                <w:sz w:val="24"/>
              </w:rPr>
              <w:t>16</w:t>
            </w:r>
          </w:p>
        </w:tc>
        <w:tc>
          <w:tcPr>
            <w:tcW w:w="1812" w:type="dxa"/>
            <w:tcBorders>
              <w:top w:val="single" w:sz="8" w:space="0" w:color="FFFFFF"/>
              <w:left w:val="single" w:sz="6" w:space="0" w:color="FFFFFF"/>
              <w:bottom w:val="single" w:sz="10" w:space="0" w:color="FFFFFF"/>
            </w:tcBorders>
            <w:shd w:val="clear" w:color="auto" w:fill="D2EAF0"/>
          </w:tcPr>
          <w:p>
            <w:pPr>
              <w:pStyle w:val="TableParagraph"/>
              <w:rPr>
                <w:sz w:val="24"/>
              </w:rPr>
            </w:pPr>
            <w:r>
              <w:rPr>
                <w:sz w:val="24"/>
              </w:rPr>
              <w:t>12</w:t>
            </w:r>
          </w:p>
        </w:tc>
      </w:tr>
      <w:tr>
        <w:trPr>
          <w:trHeight w:val="435" w:hRule="exact"/>
        </w:trPr>
        <w:tc>
          <w:tcPr>
            <w:tcW w:w="3501" w:type="dxa"/>
            <w:tcBorders>
              <w:top w:val="single" w:sz="10" w:space="0" w:color="FFFFFF"/>
              <w:bottom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Apiñamiento superior</w:t>
            </w:r>
          </w:p>
        </w:tc>
        <w:tc>
          <w:tcPr>
            <w:tcW w:w="1820" w:type="dxa"/>
            <w:tcBorders>
              <w:top w:val="single" w:sz="10" w:space="0" w:color="FFFFFF"/>
              <w:left w:val="single" w:sz="23" w:space="0" w:color="FFFFFF"/>
              <w:bottom w:val="single" w:sz="8" w:space="0" w:color="FFFFFF"/>
              <w:right w:val="single" w:sz="8" w:space="0" w:color="FFFFFF"/>
            </w:tcBorders>
            <w:shd w:val="clear" w:color="auto" w:fill="A4D4E1"/>
          </w:tcPr>
          <w:p>
            <w:pPr>
              <w:pStyle w:val="TableParagraph"/>
              <w:ind w:left="81"/>
              <w:rPr>
                <w:sz w:val="24"/>
              </w:rPr>
            </w:pPr>
            <w:r>
              <w:rPr>
                <w:w w:val="99"/>
                <w:sz w:val="24"/>
              </w:rPr>
              <w:t>0</w:t>
            </w:r>
          </w:p>
        </w:tc>
        <w:tc>
          <w:tcPr>
            <w:tcW w:w="1827" w:type="dxa"/>
            <w:tcBorders>
              <w:top w:val="single" w:sz="10" w:space="0" w:color="FFFFFF"/>
              <w:left w:val="single" w:sz="8" w:space="0" w:color="FFFFFF"/>
              <w:bottom w:val="single" w:sz="8" w:space="0" w:color="FFFFFF"/>
            </w:tcBorders>
            <w:shd w:val="clear" w:color="auto" w:fill="A4D4E1"/>
          </w:tcPr>
          <w:p>
            <w:pPr>
              <w:pStyle w:val="TableParagraph"/>
              <w:rPr>
                <w:sz w:val="24"/>
              </w:rPr>
            </w:pPr>
            <w:r>
              <w:rPr>
                <w:w w:val="99"/>
                <w:sz w:val="24"/>
              </w:rPr>
              <w:t>4</w:t>
            </w:r>
          </w:p>
        </w:tc>
        <w:tc>
          <w:tcPr>
            <w:tcW w:w="1812" w:type="dxa"/>
            <w:tcBorders>
              <w:top w:val="single" w:sz="10" w:space="0" w:color="FFFFFF"/>
              <w:bottom w:val="single" w:sz="8" w:space="0" w:color="FFFFFF"/>
            </w:tcBorders>
            <w:shd w:val="clear" w:color="auto" w:fill="A4D4E1"/>
          </w:tcPr>
          <w:p>
            <w:pPr>
              <w:pStyle w:val="TableParagraph"/>
              <w:ind w:left="108"/>
              <w:rPr>
                <w:sz w:val="24"/>
              </w:rPr>
            </w:pPr>
            <w:r>
              <w:rPr>
                <w:w w:val="99"/>
                <w:sz w:val="24"/>
              </w:rPr>
              <w:t>8</w:t>
            </w:r>
          </w:p>
        </w:tc>
      </w:tr>
      <w:tr>
        <w:trPr>
          <w:trHeight w:val="432" w:hRule="exact"/>
        </w:trPr>
        <w:tc>
          <w:tcPr>
            <w:tcW w:w="3501" w:type="dxa"/>
            <w:tcBorders>
              <w:top w:val="single" w:sz="8" w:space="0" w:color="FFFFFF"/>
              <w:bottom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Apiñamiento inferior</w:t>
            </w:r>
          </w:p>
        </w:tc>
        <w:tc>
          <w:tcPr>
            <w:tcW w:w="1820" w:type="dxa"/>
            <w:tcBorders>
              <w:top w:val="single" w:sz="8" w:space="0" w:color="FFFFFF"/>
              <w:left w:val="single" w:sz="23" w:space="0" w:color="FFFFFF"/>
              <w:bottom w:val="single" w:sz="8" w:space="0" w:color="FFFFFF"/>
              <w:right w:val="single" w:sz="6" w:space="0" w:color="FFFFFF"/>
            </w:tcBorders>
            <w:shd w:val="clear" w:color="auto" w:fill="D2EAF0"/>
          </w:tcPr>
          <w:p>
            <w:pPr>
              <w:pStyle w:val="TableParagraph"/>
              <w:ind w:left="81"/>
              <w:rPr>
                <w:sz w:val="24"/>
              </w:rPr>
            </w:pPr>
            <w:r>
              <w:rPr>
                <w:w w:val="99"/>
                <w:sz w:val="24"/>
              </w:rPr>
              <w:t>2</w:t>
            </w:r>
          </w:p>
        </w:tc>
        <w:tc>
          <w:tcPr>
            <w:tcW w:w="1827" w:type="dxa"/>
            <w:tcBorders>
              <w:top w:val="single" w:sz="8" w:space="0" w:color="FFFFFF"/>
              <w:left w:val="single" w:sz="6" w:space="0" w:color="FFFFFF"/>
              <w:bottom w:val="single" w:sz="8" w:space="0" w:color="FFFFFF"/>
              <w:right w:val="single" w:sz="6" w:space="0" w:color="FFFFFF"/>
            </w:tcBorders>
            <w:shd w:val="clear" w:color="auto" w:fill="D2EAF0"/>
          </w:tcPr>
          <w:p>
            <w:pPr>
              <w:pStyle w:val="TableParagraph"/>
              <w:ind w:left="103"/>
              <w:rPr>
                <w:sz w:val="24"/>
              </w:rPr>
            </w:pPr>
            <w:r>
              <w:rPr>
                <w:w w:val="99"/>
                <w:sz w:val="24"/>
              </w:rPr>
              <w:t>3</w:t>
            </w:r>
          </w:p>
        </w:tc>
        <w:tc>
          <w:tcPr>
            <w:tcW w:w="1812" w:type="dxa"/>
            <w:tcBorders>
              <w:top w:val="single" w:sz="8" w:space="0" w:color="FFFFFF"/>
              <w:left w:val="single" w:sz="6" w:space="0" w:color="FFFFFF"/>
              <w:bottom w:val="single" w:sz="8" w:space="0" w:color="FFFFFF"/>
            </w:tcBorders>
            <w:shd w:val="clear" w:color="auto" w:fill="D2EAF0"/>
          </w:tcPr>
          <w:p>
            <w:pPr>
              <w:pStyle w:val="TableParagraph"/>
              <w:rPr>
                <w:sz w:val="24"/>
              </w:rPr>
            </w:pPr>
            <w:r>
              <w:rPr>
                <w:w w:val="99"/>
                <w:sz w:val="24"/>
              </w:rPr>
              <w:t>6</w:t>
            </w:r>
          </w:p>
        </w:tc>
      </w:tr>
      <w:tr>
        <w:trPr>
          <w:trHeight w:val="437" w:hRule="exact"/>
        </w:trPr>
        <w:tc>
          <w:tcPr>
            <w:tcW w:w="3501" w:type="dxa"/>
            <w:tcBorders>
              <w:top w:val="single" w:sz="8" w:space="0" w:color="FFFFFF"/>
              <w:bottom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Mordida cruzada anterior</w:t>
            </w:r>
          </w:p>
        </w:tc>
        <w:tc>
          <w:tcPr>
            <w:tcW w:w="1820" w:type="dxa"/>
            <w:tcBorders>
              <w:top w:val="single" w:sz="8" w:space="0" w:color="FFFFFF"/>
              <w:left w:val="single" w:sz="23" w:space="0" w:color="FFFFFF"/>
              <w:bottom w:val="single" w:sz="8" w:space="0" w:color="FFFFFF"/>
              <w:right w:val="single" w:sz="8" w:space="0" w:color="FFFFFF"/>
            </w:tcBorders>
            <w:shd w:val="clear" w:color="auto" w:fill="A4D4E1"/>
          </w:tcPr>
          <w:p>
            <w:pPr>
              <w:pStyle w:val="TableParagraph"/>
              <w:ind w:left="81"/>
              <w:rPr>
                <w:sz w:val="24"/>
              </w:rPr>
            </w:pPr>
            <w:r>
              <w:rPr>
                <w:w w:val="99"/>
                <w:sz w:val="24"/>
              </w:rPr>
              <w:t>2</w:t>
            </w:r>
          </w:p>
        </w:tc>
        <w:tc>
          <w:tcPr>
            <w:tcW w:w="1827" w:type="dxa"/>
            <w:tcBorders>
              <w:top w:val="single" w:sz="8" w:space="0" w:color="FFFFFF"/>
              <w:left w:val="single" w:sz="8" w:space="0" w:color="FFFFFF"/>
              <w:bottom w:val="single" w:sz="8" w:space="0" w:color="FFFFFF"/>
            </w:tcBorders>
            <w:shd w:val="clear" w:color="auto" w:fill="A4D4E1"/>
          </w:tcPr>
          <w:p>
            <w:pPr>
              <w:pStyle w:val="TableParagraph"/>
              <w:rPr>
                <w:sz w:val="24"/>
              </w:rPr>
            </w:pPr>
            <w:r>
              <w:rPr>
                <w:w w:val="99"/>
                <w:sz w:val="24"/>
              </w:rPr>
              <w:t>2</w:t>
            </w:r>
          </w:p>
        </w:tc>
        <w:tc>
          <w:tcPr>
            <w:tcW w:w="1812" w:type="dxa"/>
            <w:tcBorders>
              <w:top w:val="single" w:sz="8" w:space="0" w:color="FFFFFF"/>
              <w:bottom w:val="single" w:sz="8" w:space="0" w:color="FFFFFF"/>
            </w:tcBorders>
            <w:shd w:val="clear" w:color="auto" w:fill="A4D4E1"/>
          </w:tcPr>
          <w:p>
            <w:pPr>
              <w:pStyle w:val="TableParagraph"/>
              <w:ind w:left="108"/>
              <w:rPr>
                <w:sz w:val="24"/>
              </w:rPr>
            </w:pPr>
            <w:r>
              <w:rPr>
                <w:w w:val="99"/>
                <w:sz w:val="24"/>
              </w:rPr>
              <w:t>7</w:t>
            </w:r>
          </w:p>
        </w:tc>
      </w:tr>
      <w:tr>
        <w:trPr>
          <w:trHeight w:val="432" w:hRule="exact"/>
        </w:trPr>
        <w:tc>
          <w:tcPr>
            <w:tcW w:w="3501" w:type="dxa"/>
            <w:tcBorders>
              <w:top w:val="single" w:sz="8" w:space="0" w:color="FFFFFF"/>
              <w:bottom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Mordida cruzada posterior</w:t>
            </w:r>
          </w:p>
        </w:tc>
        <w:tc>
          <w:tcPr>
            <w:tcW w:w="1820" w:type="dxa"/>
            <w:tcBorders>
              <w:top w:val="single" w:sz="8" w:space="0" w:color="FFFFFF"/>
              <w:left w:val="single" w:sz="23" w:space="0" w:color="FFFFFF"/>
              <w:bottom w:val="single" w:sz="8" w:space="0" w:color="FFFFFF"/>
              <w:right w:val="single" w:sz="6" w:space="0" w:color="FFFFFF"/>
            </w:tcBorders>
            <w:shd w:val="clear" w:color="auto" w:fill="D2EAF0"/>
          </w:tcPr>
          <w:p>
            <w:pPr>
              <w:pStyle w:val="TableParagraph"/>
              <w:ind w:left="81"/>
              <w:rPr>
                <w:sz w:val="24"/>
              </w:rPr>
            </w:pPr>
            <w:r>
              <w:rPr>
                <w:w w:val="99"/>
                <w:sz w:val="24"/>
              </w:rPr>
              <w:t>2</w:t>
            </w:r>
          </w:p>
        </w:tc>
        <w:tc>
          <w:tcPr>
            <w:tcW w:w="1827" w:type="dxa"/>
            <w:tcBorders>
              <w:top w:val="single" w:sz="8" w:space="0" w:color="FFFFFF"/>
              <w:left w:val="single" w:sz="6" w:space="0" w:color="FFFFFF"/>
              <w:bottom w:val="single" w:sz="8" w:space="0" w:color="FFFFFF"/>
              <w:right w:val="single" w:sz="6" w:space="0" w:color="FFFFFF"/>
            </w:tcBorders>
            <w:shd w:val="clear" w:color="auto" w:fill="D2EAF0"/>
          </w:tcPr>
          <w:p>
            <w:pPr>
              <w:pStyle w:val="TableParagraph"/>
              <w:ind w:left="103"/>
              <w:rPr>
                <w:sz w:val="24"/>
              </w:rPr>
            </w:pPr>
            <w:r>
              <w:rPr>
                <w:w w:val="99"/>
                <w:sz w:val="24"/>
              </w:rPr>
              <w:t>2</w:t>
            </w:r>
          </w:p>
        </w:tc>
        <w:tc>
          <w:tcPr>
            <w:tcW w:w="1812" w:type="dxa"/>
            <w:tcBorders>
              <w:top w:val="single" w:sz="8" w:space="0" w:color="FFFFFF"/>
              <w:left w:val="single" w:sz="6" w:space="0" w:color="FFFFFF"/>
              <w:bottom w:val="single" w:sz="8" w:space="0" w:color="FFFFFF"/>
            </w:tcBorders>
            <w:shd w:val="clear" w:color="auto" w:fill="D2EAF0"/>
          </w:tcPr>
          <w:p>
            <w:pPr>
              <w:pStyle w:val="TableParagraph"/>
              <w:rPr>
                <w:sz w:val="24"/>
              </w:rPr>
            </w:pPr>
            <w:r>
              <w:rPr>
                <w:w w:val="99"/>
                <w:sz w:val="24"/>
              </w:rPr>
              <w:t>0</w:t>
            </w:r>
          </w:p>
        </w:tc>
      </w:tr>
      <w:tr>
        <w:trPr>
          <w:trHeight w:val="435" w:hRule="exact"/>
        </w:trPr>
        <w:tc>
          <w:tcPr>
            <w:tcW w:w="3501" w:type="dxa"/>
            <w:tcBorders>
              <w:top w:val="single" w:sz="8" w:space="0" w:color="FFFFFF"/>
              <w:bottom w:val="single" w:sz="10" w:space="0" w:color="FFFFFF"/>
              <w:right w:val="single" w:sz="23" w:space="0" w:color="FFFFFF"/>
            </w:tcBorders>
            <w:shd w:val="clear" w:color="auto" w:fill="4AACC5"/>
          </w:tcPr>
          <w:p>
            <w:pPr>
              <w:pStyle w:val="TableParagraph"/>
              <w:spacing w:line="267" w:lineRule="exact"/>
              <w:ind w:left="95"/>
              <w:rPr>
                <w:b/>
                <w:sz w:val="24"/>
              </w:rPr>
            </w:pPr>
            <w:r>
              <w:rPr>
                <w:b/>
                <w:color w:val="FFFFFF"/>
                <w:sz w:val="24"/>
              </w:rPr>
              <w:t>Mordida abierta anterior</w:t>
            </w:r>
          </w:p>
        </w:tc>
        <w:tc>
          <w:tcPr>
            <w:tcW w:w="1820" w:type="dxa"/>
            <w:tcBorders>
              <w:top w:val="single" w:sz="8" w:space="0" w:color="FFFFFF"/>
              <w:left w:val="single" w:sz="23" w:space="0" w:color="FFFFFF"/>
              <w:bottom w:val="single" w:sz="10" w:space="0" w:color="FFFFFF"/>
              <w:right w:val="single" w:sz="8" w:space="0" w:color="FFFFFF"/>
            </w:tcBorders>
            <w:shd w:val="clear" w:color="auto" w:fill="A4D4E1"/>
          </w:tcPr>
          <w:p>
            <w:pPr>
              <w:pStyle w:val="TableParagraph"/>
              <w:ind w:left="81"/>
              <w:rPr>
                <w:sz w:val="24"/>
              </w:rPr>
            </w:pPr>
            <w:r>
              <w:rPr>
                <w:w w:val="99"/>
                <w:sz w:val="24"/>
              </w:rPr>
              <w:t>2</w:t>
            </w:r>
          </w:p>
        </w:tc>
        <w:tc>
          <w:tcPr>
            <w:tcW w:w="1827" w:type="dxa"/>
            <w:tcBorders>
              <w:top w:val="single" w:sz="8" w:space="0" w:color="FFFFFF"/>
              <w:left w:val="single" w:sz="8" w:space="0" w:color="FFFFFF"/>
              <w:bottom w:val="single" w:sz="10" w:space="0" w:color="FFFFFF"/>
            </w:tcBorders>
            <w:shd w:val="clear" w:color="auto" w:fill="A4D4E1"/>
          </w:tcPr>
          <w:p>
            <w:pPr>
              <w:pStyle w:val="TableParagraph"/>
              <w:rPr>
                <w:sz w:val="24"/>
              </w:rPr>
            </w:pPr>
            <w:r>
              <w:rPr>
                <w:w w:val="99"/>
                <w:sz w:val="24"/>
              </w:rPr>
              <w:t>4</w:t>
            </w:r>
          </w:p>
        </w:tc>
        <w:tc>
          <w:tcPr>
            <w:tcW w:w="1812" w:type="dxa"/>
            <w:tcBorders>
              <w:top w:val="single" w:sz="8" w:space="0" w:color="FFFFFF"/>
              <w:bottom w:val="single" w:sz="10" w:space="0" w:color="FFFFFF"/>
            </w:tcBorders>
            <w:shd w:val="clear" w:color="auto" w:fill="A4D4E1"/>
          </w:tcPr>
          <w:p>
            <w:pPr>
              <w:pStyle w:val="TableParagraph"/>
              <w:ind w:left="108"/>
              <w:rPr>
                <w:sz w:val="24"/>
              </w:rPr>
            </w:pPr>
            <w:r>
              <w:rPr>
                <w:w w:val="99"/>
                <w:sz w:val="24"/>
              </w:rPr>
              <w:t>3</w:t>
            </w:r>
          </w:p>
        </w:tc>
      </w:tr>
      <w:tr>
        <w:trPr>
          <w:trHeight w:val="434" w:hRule="exact"/>
        </w:trPr>
        <w:tc>
          <w:tcPr>
            <w:tcW w:w="3501" w:type="dxa"/>
            <w:tcBorders>
              <w:top w:val="single" w:sz="10" w:space="0" w:color="FFFFFF"/>
              <w:bottom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Mordida abierta posterior</w:t>
            </w:r>
          </w:p>
        </w:tc>
        <w:tc>
          <w:tcPr>
            <w:tcW w:w="1820" w:type="dxa"/>
            <w:tcBorders>
              <w:top w:val="single" w:sz="10" w:space="0" w:color="FFFFFF"/>
              <w:left w:val="single" w:sz="23" w:space="0" w:color="FFFFFF"/>
              <w:bottom w:val="single" w:sz="8" w:space="0" w:color="FFFFFF"/>
              <w:right w:val="single" w:sz="6" w:space="0" w:color="FFFFFF"/>
            </w:tcBorders>
            <w:shd w:val="clear" w:color="auto" w:fill="D2EAF0"/>
          </w:tcPr>
          <w:p>
            <w:pPr>
              <w:pStyle w:val="TableParagraph"/>
              <w:ind w:left="81"/>
              <w:rPr>
                <w:sz w:val="24"/>
              </w:rPr>
            </w:pPr>
            <w:r>
              <w:rPr>
                <w:w w:val="99"/>
                <w:sz w:val="24"/>
              </w:rPr>
              <w:t>1</w:t>
            </w:r>
          </w:p>
        </w:tc>
        <w:tc>
          <w:tcPr>
            <w:tcW w:w="1827" w:type="dxa"/>
            <w:tcBorders>
              <w:top w:val="single" w:sz="10" w:space="0" w:color="FFFFFF"/>
              <w:left w:val="single" w:sz="6" w:space="0" w:color="FFFFFF"/>
              <w:bottom w:val="single" w:sz="8" w:space="0" w:color="FFFFFF"/>
              <w:right w:val="single" w:sz="6" w:space="0" w:color="FFFFFF"/>
            </w:tcBorders>
            <w:shd w:val="clear" w:color="auto" w:fill="D2EAF0"/>
          </w:tcPr>
          <w:p>
            <w:pPr>
              <w:pStyle w:val="TableParagraph"/>
              <w:ind w:left="103"/>
              <w:rPr>
                <w:sz w:val="24"/>
              </w:rPr>
            </w:pPr>
            <w:r>
              <w:rPr>
                <w:w w:val="99"/>
                <w:sz w:val="24"/>
              </w:rPr>
              <w:t>3</w:t>
            </w:r>
          </w:p>
        </w:tc>
        <w:tc>
          <w:tcPr>
            <w:tcW w:w="1812" w:type="dxa"/>
            <w:tcBorders>
              <w:top w:val="single" w:sz="10" w:space="0" w:color="FFFFFF"/>
              <w:left w:val="single" w:sz="6" w:space="0" w:color="FFFFFF"/>
              <w:bottom w:val="single" w:sz="8" w:space="0" w:color="FFFFFF"/>
            </w:tcBorders>
            <w:shd w:val="clear" w:color="auto" w:fill="D2EAF0"/>
          </w:tcPr>
          <w:p>
            <w:pPr>
              <w:pStyle w:val="TableParagraph"/>
              <w:rPr>
                <w:sz w:val="24"/>
              </w:rPr>
            </w:pPr>
            <w:r>
              <w:rPr>
                <w:w w:val="99"/>
                <w:sz w:val="24"/>
              </w:rPr>
              <w:t>0</w:t>
            </w:r>
          </w:p>
        </w:tc>
      </w:tr>
      <w:tr>
        <w:trPr>
          <w:trHeight w:val="432" w:hRule="exact"/>
        </w:trPr>
        <w:tc>
          <w:tcPr>
            <w:tcW w:w="3501" w:type="dxa"/>
            <w:tcBorders>
              <w:top w:val="single" w:sz="8" w:space="0" w:color="FFFFFF"/>
              <w:bottom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Mordida borde a borde</w:t>
            </w:r>
          </w:p>
        </w:tc>
        <w:tc>
          <w:tcPr>
            <w:tcW w:w="1820" w:type="dxa"/>
            <w:tcBorders>
              <w:top w:val="single" w:sz="8" w:space="0" w:color="FFFFFF"/>
              <w:left w:val="single" w:sz="23" w:space="0" w:color="FFFFFF"/>
              <w:bottom w:val="single" w:sz="8" w:space="0" w:color="FFFFFF"/>
              <w:right w:val="single" w:sz="8" w:space="0" w:color="FFFFFF"/>
            </w:tcBorders>
            <w:shd w:val="clear" w:color="auto" w:fill="A4D4E1"/>
          </w:tcPr>
          <w:p>
            <w:pPr>
              <w:pStyle w:val="TableParagraph"/>
              <w:ind w:left="81"/>
              <w:rPr>
                <w:sz w:val="24"/>
              </w:rPr>
            </w:pPr>
            <w:r>
              <w:rPr>
                <w:w w:val="99"/>
                <w:sz w:val="24"/>
              </w:rPr>
              <w:t>3</w:t>
            </w:r>
          </w:p>
        </w:tc>
        <w:tc>
          <w:tcPr>
            <w:tcW w:w="1827" w:type="dxa"/>
            <w:tcBorders>
              <w:top w:val="single" w:sz="8" w:space="0" w:color="FFFFFF"/>
              <w:left w:val="single" w:sz="8" w:space="0" w:color="FFFFFF"/>
              <w:bottom w:val="single" w:sz="8" w:space="0" w:color="FFFFFF"/>
            </w:tcBorders>
            <w:shd w:val="clear" w:color="auto" w:fill="A4D4E1"/>
          </w:tcPr>
          <w:p>
            <w:pPr>
              <w:pStyle w:val="TableParagraph"/>
              <w:rPr>
                <w:sz w:val="24"/>
              </w:rPr>
            </w:pPr>
            <w:r>
              <w:rPr>
                <w:w w:val="99"/>
                <w:sz w:val="24"/>
              </w:rPr>
              <w:t>2</w:t>
            </w:r>
          </w:p>
        </w:tc>
        <w:tc>
          <w:tcPr>
            <w:tcW w:w="1812" w:type="dxa"/>
            <w:tcBorders>
              <w:top w:val="single" w:sz="8" w:space="0" w:color="FFFFFF"/>
              <w:bottom w:val="single" w:sz="8" w:space="0" w:color="FFFFFF"/>
            </w:tcBorders>
            <w:shd w:val="clear" w:color="auto" w:fill="A4D4E1"/>
          </w:tcPr>
          <w:p>
            <w:pPr>
              <w:pStyle w:val="TableParagraph"/>
              <w:ind w:left="108"/>
              <w:rPr>
                <w:sz w:val="24"/>
              </w:rPr>
            </w:pPr>
            <w:r>
              <w:rPr>
                <w:w w:val="99"/>
                <w:sz w:val="24"/>
              </w:rPr>
              <w:t>4</w:t>
            </w:r>
          </w:p>
        </w:tc>
      </w:tr>
      <w:tr>
        <w:trPr>
          <w:trHeight w:val="428" w:hRule="exact"/>
        </w:trPr>
        <w:tc>
          <w:tcPr>
            <w:tcW w:w="3501" w:type="dxa"/>
            <w:tcBorders>
              <w:top w:val="single" w:sz="8" w:space="0" w:color="FFFFFF"/>
              <w:right w:val="single" w:sz="23" w:space="0" w:color="FFFFFF"/>
            </w:tcBorders>
            <w:shd w:val="clear" w:color="auto" w:fill="4AACC5"/>
          </w:tcPr>
          <w:p>
            <w:pPr>
              <w:pStyle w:val="TableParagraph"/>
              <w:spacing w:line="267" w:lineRule="exact"/>
              <w:ind w:left="95"/>
              <w:rPr>
                <w:b/>
                <w:sz w:val="24"/>
              </w:rPr>
            </w:pPr>
            <w:r>
              <w:rPr>
                <w:b/>
                <w:color w:val="FFFFFF"/>
                <w:sz w:val="24"/>
              </w:rPr>
              <w:t>Atrición</w:t>
            </w:r>
          </w:p>
        </w:tc>
        <w:tc>
          <w:tcPr>
            <w:tcW w:w="1820" w:type="dxa"/>
            <w:tcBorders>
              <w:top w:val="single" w:sz="8" w:space="0" w:color="FFFFFF"/>
              <w:left w:val="single" w:sz="23" w:space="0" w:color="FFFFFF"/>
              <w:right w:val="single" w:sz="6" w:space="0" w:color="FFFFFF"/>
            </w:tcBorders>
            <w:shd w:val="clear" w:color="auto" w:fill="D2EAF0"/>
          </w:tcPr>
          <w:p>
            <w:pPr>
              <w:pStyle w:val="TableParagraph"/>
              <w:ind w:left="81"/>
              <w:rPr>
                <w:sz w:val="24"/>
              </w:rPr>
            </w:pPr>
            <w:r>
              <w:rPr>
                <w:sz w:val="24"/>
              </w:rPr>
              <w:t>11</w:t>
            </w:r>
          </w:p>
        </w:tc>
        <w:tc>
          <w:tcPr>
            <w:tcW w:w="1827" w:type="dxa"/>
            <w:tcBorders>
              <w:top w:val="single" w:sz="8" w:space="0" w:color="FFFFFF"/>
              <w:left w:val="single" w:sz="6" w:space="0" w:color="FFFFFF"/>
              <w:right w:val="single" w:sz="6" w:space="0" w:color="FFFFFF"/>
            </w:tcBorders>
            <w:shd w:val="clear" w:color="auto" w:fill="D2EAF0"/>
          </w:tcPr>
          <w:p>
            <w:pPr>
              <w:pStyle w:val="TableParagraph"/>
              <w:ind w:left="103"/>
              <w:rPr>
                <w:sz w:val="24"/>
              </w:rPr>
            </w:pPr>
            <w:r>
              <w:rPr>
                <w:sz w:val="24"/>
              </w:rPr>
              <w:t>10</w:t>
            </w:r>
          </w:p>
        </w:tc>
        <w:tc>
          <w:tcPr>
            <w:tcW w:w="1812" w:type="dxa"/>
            <w:tcBorders>
              <w:top w:val="single" w:sz="8" w:space="0" w:color="FFFFFF"/>
              <w:left w:val="single" w:sz="6" w:space="0" w:color="FFFFFF"/>
            </w:tcBorders>
            <w:shd w:val="clear" w:color="auto" w:fill="D2EAF0"/>
          </w:tcPr>
          <w:p>
            <w:pPr>
              <w:pStyle w:val="TableParagraph"/>
              <w:rPr>
                <w:sz w:val="24"/>
              </w:rPr>
            </w:pPr>
            <w:r>
              <w:rPr>
                <w:sz w:val="24"/>
              </w:rPr>
              <w:t>17</w:t>
            </w:r>
          </w:p>
        </w:tc>
      </w:tr>
    </w:tbl>
    <w:p>
      <w:pPr>
        <w:spacing w:before="109"/>
        <w:ind w:left="196" w:right="0" w:firstLine="0"/>
        <w:jc w:val="both"/>
        <w:rPr>
          <w:b/>
          <w:sz w:val="16"/>
        </w:rPr>
      </w:pPr>
      <w:r>
        <w:rPr>
          <w:b/>
          <w:sz w:val="16"/>
        </w:rPr>
        <w:t>Fuente directa</w:t>
      </w:r>
    </w:p>
    <w:p>
      <w:pPr>
        <w:pStyle w:val="BodyText"/>
        <w:rPr>
          <w:b/>
          <w:sz w:val="16"/>
        </w:rPr>
      </w:pPr>
    </w:p>
    <w:p>
      <w:pPr>
        <w:pStyle w:val="BodyText"/>
        <w:spacing w:before="2"/>
        <w:rPr>
          <w:b/>
          <w:sz w:val="13"/>
        </w:rPr>
      </w:pPr>
    </w:p>
    <w:p>
      <w:pPr>
        <w:pStyle w:val="BodyText"/>
        <w:spacing w:line="360" w:lineRule="auto"/>
        <w:ind w:left="196" w:right="124"/>
        <w:jc w:val="both"/>
      </w:pPr>
      <w:r>
        <w:rPr/>
        <w:t>La sobremordida horizontal de 2 a 3mm se presentó en el 80% de los casos lactancia materna,</w:t>
      </w:r>
      <w:r>
        <w:rPr>
          <w:spacing w:val="50"/>
        </w:rPr>
        <w:t> </w:t>
      </w:r>
      <w:r>
        <w:rPr/>
        <w:t>68% lactancia</w:t>
      </w:r>
      <w:r>
        <w:rPr>
          <w:spacing w:val="51"/>
        </w:rPr>
        <w:t> </w:t>
      </w:r>
      <w:r>
        <w:rPr/>
        <w:t>mixta</w:t>
      </w:r>
      <w:r>
        <w:rPr>
          <w:spacing w:val="51"/>
        </w:rPr>
        <w:t> </w:t>
      </w:r>
      <w:r>
        <w:rPr/>
        <w:t>y</w:t>
      </w:r>
      <w:r>
        <w:rPr>
          <w:spacing w:val="50"/>
        </w:rPr>
        <w:t> </w:t>
      </w:r>
      <w:r>
        <w:rPr/>
        <w:t>61.9% lactancia</w:t>
      </w:r>
      <w:r>
        <w:rPr>
          <w:spacing w:val="51"/>
        </w:rPr>
        <w:t> </w:t>
      </w:r>
      <w:r>
        <w:rPr/>
        <w:t>artificia;</w:t>
      </w:r>
      <w:r>
        <w:rPr>
          <w:spacing w:val="50"/>
        </w:rPr>
        <w:t> </w:t>
      </w:r>
      <w:r>
        <w:rPr/>
        <w:t>sobremordida</w:t>
      </w:r>
      <w:r>
        <w:rPr>
          <w:spacing w:val="51"/>
        </w:rPr>
        <w:t> </w:t>
      </w:r>
      <w:r>
        <w:rPr/>
        <w:t>horizontal</w:t>
      </w:r>
    </w:p>
    <w:p>
      <w:pPr>
        <w:pStyle w:val="BodyText"/>
        <w:spacing w:line="360" w:lineRule="auto" w:before="3"/>
        <w:ind w:left="196" w:right="125"/>
        <w:jc w:val="both"/>
      </w:pPr>
      <w:r>
        <w:rPr/>
        <w:t>&lt;2mm &gt;3mm se presento en un 19.3% en los casos de lactancia materna, 31.8% lactancia mixta y 38% lactancia artificial (Tabla 7). Al realizar la relación lineal por lineal estos datos mostraron una relación estadísticamente no significativa (p&gt;0.05) con el tipo de lactancia.</w:t>
      </w:r>
    </w:p>
    <w:p>
      <w:pPr>
        <w:spacing w:after="0" w:line="360" w:lineRule="auto"/>
        <w:jc w:val="both"/>
        <w:sectPr>
          <w:pgSz w:w="12240" w:h="15840"/>
          <w:pgMar w:header="0" w:footer="1002" w:top="1500" w:bottom="1200" w:left="1220" w:right="1580"/>
        </w:sectPr>
      </w:pPr>
    </w:p>
    <w:p>
      <w:pPr>
        <w:pStyle w:val="BodyText"/>
        <w:spacing w:before="1"/>
        <w:rPr>
          <w:sz w:val="10"/>
        </w:rPr>
      </w:pPr>
    </w:p>
    <w:p>
      <w:pPr>
        <w:pStyle w:val="Heading1"/>
        <w:ind w:left="1168"/>
      </w:pPr>
      <w:r>
        <w:rPr/>
        <w:t>Tabla 7 Sobremordida Horizontal y Vertical y Lactancia Materna</w:t>
      </w:r>
    </w:p>
    <w:p>
      <w:pPr>
        <w:pStyle w:val="BodyText"/>
        <w:rPr>
          <w:b/>
          <w:sz w:val="20"/>
        </w:rPr>
      </w:pPr>
    </w:p>
    <w:p>
      <w:pPr>
        <w:pStyle w:val="BodyText"/>
        <w:spacing w:before="7" w:after="1"/>
        <w:rPr>
          <w:b/>
          <w:sz w:val="10"/>
        </w:rPr>
      </w:pPr>
    </w:p>
    <w:tbl>
      <w:tblPr>
        <w:tblW w:w="0" w:type="auto"/>
        <w:jc w:val="left"/>
        <w:tblInd w:w="116"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161"/>
        <w:gridCol w:w="1297"/>
        <w:gridCol w:w="994"/>
        <w:gridCol w:w="1253"/>
        <w:gridCol w:w="1301"/>
        <w:gridCol w:w="1080"/>
        <w:gridCol w:w="1258"/>
      </w:tblGrid>
      <w:tr>
        <w:trPr>
          <w:trHeight w:val="437" w:hRule="exact"/>
        </w:trPr>
        <w:tc>
          <w:tcPr>
            <w:tcW w:w="2161" w:type="dxa"/>
            <w:vMerge w:val="restart"/>
            <w:tcBorders>
              <w:top w:val="nil"/>
              <w:left w:val="nil"/>
            </w:tcBorders>
          </w:tcPr>
          <w:p>
            <w:pPr/>
          </w:p>
        </w:tc>
        <w:tc>
          <w:tcPr>
            <w:tcW w:w="3544" w:type="dxa"/>
            <w:gridSpan w:val="3"/>
            <w:shd w:val="clear" w:color="auto" w:fill="ECF6F8"/>
          </w:tcPr>
          <w:p>
            <w:pPr>
              <w:pStyle w:val="TableParagraph"/>
              <w:spacing w:line="267" w:lineRule="exact"/>
              <w:ind w:left="1335" w:right="1335"/>
              <w:jc w:val="center"/>
              <w:rPr>
                <w:sz w:val="24"/>
              </w:rPr>
            </w:pPr>
            <w:r>
              <w:rPr>
                <w:b/>
                <w:sz w:val="24"/>
              </w:rPr>
              <w:t>Ideal </w:t>
            </w:r>
            <w:r>
              <w:rPr>
                <w:sz w:val="24"/>
              </w:rPr>
              <w:t>/n</w:t>
            </w:r>
          </w:p>
        </w:tc>
        <w:tc>
          <w:tcPr>
            <w:tcW w:w="3640" w:type="dxa"/>
            <w:gridSpan w:val="3"/>
            <w:shd w:val="clear" w:color="auto" w:fill="ECF6F8"/>
          </w:tcPr>
          <w:p>
            <w:pPr>
              <w:pStyle w:val="TableParagraph"/>
              <w:spacing w:line="267" w:lineRule="exact"/>
              <w:ind w:left="1012"/>
              <w:rPr>
                <w:sz w:val="24"/>
              </w:rPr>
            </w:pPr>
            <w:r>
              <w:rPr>
                <w:b/>
                <w:sz w:val="24"/>
              </w:rPr>
              <w:t>Maloclusion</w:t>
            </w:r>
            <w:r>
              <w:rPr>
                <w:sz w:val="24"/>
              </w:rPr>
              <w:t>/n</w:t>
            </w:r>
          </w:p>
        </w:tc>
      </w:tr>
      <w:tr>
        <w:trPr>
          <w:trHeight w:val="432" w:hRule="exact"/>
        </w:trPr>
        <w:tc>
          <w:tcPr>
            <w:tcW w:w="2161" w:type="dxa"/>
            <w:vMerge/>
            <w:tcBorders>
              <w:left w:val="nil"/>
            </w:tcBorders>
          </w:tcPr>
          <w:p>
            <w:pPr/>
          </w:p>
        </w:tc>
        <w:tc>
          <w:tcPr>
            <w:tcW w:w="1297" w:type="dxa"/>
            <w:tcBorders>
              <w:left w:val="single" w:sz="6" w:space="0" w:color="4AACC5"/>
              <w:right w:val="single" w:sz="6" w:space="0" w:color="4AACC5"/>
            </w:tcBorders>
            <w:shd w:val="clear" w:color="auto" w:fill="A4D4E1"/>
          </w:tcPr>
          <w:p>
            <w:pPr>
              <w:pStyle w:val="TableParagraph"/>
              <w:ind w:left="103"/>
              <w:rPr>
                <w:sz w:val="24"/>
              </w:rPr>
            </w:pPr>
            <w:r>
              <w:rPr>
                <w:sz w:val="24"/>
              </w:rPr>
              <w:t>L.Materna</w:t>
            </w:r>
          </w:p>
        </w:tc>
        <w:tc>
          <w:tcPr>
            <w:tcW w:w="994" w:type="dxa"/>
            <w:tcBorders>
              <w:left w:val="single" w:sz="6" w:space="0" w:color="4AACC5"/>
              <w:right w:val="single" w:sz="6" w:space="0" w:color="4AACC5"/>
            </w:tcBorders>
            <w:shd w:val="clear" w:color="auto" w:fill="A4D4E1"/>
          </w:tcPr>
          <w:p>
            <w:pPr>
              <w:pStyle w:val="TableParagraph"/>
              <w:ind w:left="103"/>
              <w:rPr>
                <w:sz w:val="24"/>
              </w:rPr>
            </w:pPr>
            <w:r>
              <w:rPr>
                <w:sz w:val="24"/>
              </w:rPr>
              <w:t>L.Mixta</w:t>
            </w:r>
          </w:p>
        </w:tc>
        <w:tc>
          <w:tcPr>
            <w:tcW w:w="1253" w:type="dxa"/>
            <w:tcBorders>
              <w:left w:val="single" w:sz="6" w:space="0" w:color="4AACC5"/>
              <w:right w:val="single" w:sz="6" w:space="0" w:color="4AACC5"/>
            </w:tcBorders>
            <w:shd w:val="clear" w:color="auto" w:fill="A4D4E1"/>
          </w:tcPr>
          <w:p>
            <w:pPr>
              <w:pStyle w:val="TableParagraph"/>
              <w:ind w:left="98"/>
              <w:rPr>
                <w:sz w:val="24"/>
              </w:rPr>
            </w:pPr>
            <w:r>
              <w:rPr>
                <w:sz w:val="24"/>
              </w:rPr>
              <w:t>L.Artificial</w:t>
            </w:r>
          </w:p>
        </w:tc>
        <w:tc>
          <w:tcPr>
            <w:tcW w:w="1301" w:type="dxa"/>
            <w:tcBorders>
              <w:left w:val="single" w:sz="6" w:space="0" w:color="4AACC5"/>
              <w:right w:val="single" w:sz="6" w:space="0" w:color="4AACC5"/>
            </w:tcBorders>
            <w:shd w:val="clear" w:color="auto" w:fill="A4D4E1"/>
          </w:tcPr>
          <w:p>
            <w:pPr>
              <w:pStyle w:val="TableParagraph"/>
              <w:ind w:left="103"/>
              <w:rPr>
                <w:sz w:val="24"/>
              </w:rPr>
            </w:pPr>
            <w:r>
              <w:rPr>
                <w:sz w:val="24"/>
              </w:rPr>
              <w:t>L.Materna</w:t>
            </w:r>
          </w:p>
        </w:tc>
        <w:tc>
          <w:tcPr>
            <w:tcW w:w="1080" w:type="dxa"/>
            <w:tcBorders>
              <w:left w:val="single" w:sz="6" w:space="0" w:color="4AACC5"/>
              <w:right w:val="single" w:sz="6" w:space="0" w:color="4AACC5"/>
            </w:tcBorders>
            <w:shd w:val="clear" w:color="auto" w:fill="A4D4E1"/>
          </w:tcPr>
          <w:p>
            <w:pPr>
              <w:pStyle w:val="TableParagraph"/>
              <w:ind w:left="146"/>
              <w:rPr>
                <w:sz w:val="24"/>
              </w:rPr>
            </w:pPr>
            <w:r>
              <w:rPr>
                <w:sz w:val="24"/>
              </w:rPr>
              <w:t>L.Mixta</w:t>
            </w:r>
          </w:p>
        </w:tc>
        <w:tc>
          <w:tcPr>
            <w:tcW w:w="1258" w:type="dxa"/>
            <w:tcBorders>
              <w:left w:val="single" w:sz="6" w:space="0" w:color="4AACC5"/>
            </w:tcBorders>
            <w:shd w:val="clear" w:color="auto" w:fill="A4D4E1"/>
          </w:tcPr>
          <w:p>
            <w:pPr>
              <w:pStyle w:val="TableParagraph"/>
              <w:ind w:left="103"/>
              <w:rPr>
                <w:sz w:val="24"/>
              </w:rPr>
            </w:pPr>
            <w:r>
              <w:rPr>
                <w:sz w:val="24"/>
              </w:rPr>
              <w:t>L.Artificial</w:t>
            </w:r>
          </w:p>
        </w:tc>
      </w:tr>
      <w:tr>
        <w:trPr>
          <w:trHeight w:val="850" w:hRule="exact"/>
        </w:trPr>
        <w:tc>
          <w:tcPr>
            <w:tcW w:w="2161" w:type="dxa"/>
            <w:tcBorders>
              <w:left w:val="nil"/>
            </w:tcBorders>
          </w:tcPr>
          <w:p>
            <w:pPr>
              <w:pStyle w:val="TableParagraph"/>
              <w:spacing w:line="362" w:lineRule="auto"/>
              <w:ind w:left="110" w:right="394"/>
              <w:rPr>
                <w:b/>
                <w:sz w:val="24"/>
              </w:rPr>
            </w:pPr>
            <w:r>
              <w:rPr>
                <w:b/>
                <w:sz w:val="24"/>
              </w:rPr>
              <w:t>Sobremordida horizontal</w:t>
            </w:r>
          </w:p>
        </w:tc>
        <w:tc>
          <w:tcPr>
            <w:tcW w:w="1297" w:type="dxa"/>
            <w:shd w:val="clear" w:color="auto" w:fill="D2EAF0"/>
          </w:tcPr>
          <w:p>
            <w:pPr>
              <w:pStyle w:val="TableParagraph"/>
              <w:rPr>
                <w:sz w:val="24"/>
              </w:rPr>
            </w:pPr>
            <w:r>
              <w:rPr>
                <w:sz w:val="24"/>
              </w:rPr>
              <w:t>25</w:t>
            </w:r>
          </w:p>
        </w:tc>
        <w:tc>
          <w:tcPr>
            <w:tcW w:w="994" w:type="dxa"/>
            <w:shd w:val="clear" w:color="auto" w:fill="D2EAF0"/>
          </w:tcPr>
          <w:p>
            <w:pPr>
              <w:pStyle w:val="TableParagraph"/>
              <w:rPr>
                <w:sz w:val="24"/>
              </w:rPr>
            </w:pPr>
            <w:r>
              <w:rPr>
                <w:sz w:val="24"/>
              </w:rPr>
              <w:t>30</w:t>
            </w:r>
          </w:p>
        </w:tc>
        <w:tc>
          <w:tcPr>
            <w:tcW w:w="1253" w:type="dxa"/>
            <w:shd w:val="clear" w:color="auto" w:fill="D2EAF0"/>
          </w:tcPr>
          <w:p>
            <w:pPr>
              <w:pStyle w:val="TableParagraph"/>
              <w:ind w:left="95"/>
              <w:rPr>
                <w:sz w:val="24"/>
              </w:rPr>
            </w:pPr>
            <w:r>
              <w:rPr>
                <w:sz w:val="24"/>
              </w:rPr>
              <w:t>26</w:t>
            </w:r>
          </w:p>
        </w:tc>
        <w:tc>
          <w:tcPr>
            <w:tcW w:w="1301" w:type="dxa"/>
            <w:shd w:val="clear" w:color="auto" w:fill="D2EAF0"/>
          </w:tcPr>
          <w:p>
            <w:pPr>
              <w:pStyle w:val="TableParagraph"/>
              <w:rPr>
                <w:sz w:val="24"/>
              </w:rPr>
            </w:pPr>
            <w:r>
              <w:rPr>
                <w:w w:val="99"/>
                <w:sz w:val="24"/>
              </w:rPr>
              <w:t>6</w:t>
            </w:r>
          </w:p>
        </w:tc>
        <w:tc>
          <w:tcPr>
            <w:tcW w:w="1080" w:type="dxa"/>
            <w:shd w:val="clear" w:color="auto" w:fill="D2EAF0"/>
          </w:tcPr>
          <w:p>
            <w:pPr>
              <w:pStyle w:val="TableParagraph"/>
              <w:rPr>
                <w:sz w:val="24"/>
              </w:rPr>
            </w:pPr>
            <w:r>
              <w:rPr>
                <w:sz w:val="24"/>
              </w:rPr>
              <w:t>14</w:t>
            </w:r>
          </w:p>
        </w:tc>
        <w:tc>
          <w:tcPr>
            <w:tcW w:w="1258" w:type="dxa"/>
            <w:shd w:val="clear" w:color="auto" w:fill="D2EAF0"/>
          </w:tcPr>
          <w:p>
            <w:pPr>
              <w:pStyle w:val="TableParagraph"/>
              <w:rPr>
                <w:sz w:val="24"/>
              </w:rPr>
            </w:pPr>
            <w:r>
              <w:rPr>
                <w:sz w:val="24"/>
              </w:rPr>
              <w:t>16</w:t>
            </w:r>
          </w:p>
        </w:tc>
      </w:tr>
      <w:tr>
        <w:trPr>
          <w:trHeight w:val="847" w:hRule="exact"/>
        </w:trPr>
        <w:tc>
          <w:tcPr>
            <w:tcW w:w="2161" w:type="dxa"/>
            <w:tcBorders>
              <w:left w:val="nil"/>
              <w:bottom w:val="nil"/>
              <w:right w:val="single" w:sz="6" w:space="0" w:color="4AACC5"/>
            </w:tcBorders>
          </w:tcPr>
          <w:p>
            <w:pPr>
              <w:pStyle w:val="TableParagraph"/>
              <w:spacing w:line="360" w:lineRule="auto"/>
              <w:ind w:left="110" w:right="396"/>
              <w:rPr>
                <w:b/>
                <w:sz w:val="24"/>
              </w:rPr>
            </w:pPr>
            <w:r>
              <w:rPr>
                <w:b/>
                <w:sz w:val="24"/>
              </w:rPr>
              <w:t>Sobremordida vertical</w:t>
            </w:r>
          </w:p>
        </w:tc>
        <w:tc>
          <w:tcPr>
            <w:tcW w:w="1297" w:type="dxa"/>
            <w:tcBorders>
              <w:left w:val="single" w:sz="6" w:space="0" w:color="4AACC5"/>
              <w:right w:val="single" w:sz="6" w:space="0" w:color="4AACC5"/>
            </w:tcBorders>
            <w:shd w:val="clear" w:color="auto" w:fill="A4D4E1"/>
          </w:tcPr>
          <w:p>
            <w:pPr>
              <w:pStyle w:val="TableParagraph"/>
              <w:ind w:left="103"/>
              <w:rPr>
                <w:sz w:val="24"/>
              </w:rPr>
            </w:pPr>
            <w:r>
              <w:rPr>
                <w:sz w:val="24"/>
              </w:rPr>
              <w:t>25</w:t>
            </w:r>
          </w:p>
        </w:tc>
        <w:tc>
          <w:tcPr>
            <w:tcW w:w="994" w:type="dxa"/>
            <w:tcBorders>
              <w:left w:val="single" w:sz="6" w:space="0" w:color="4AACC5"/>
              <w:right w:val="single" w:sz="6" w:space="0" w:color="4AACC5"/>
            </w:tcBorders>
            <w:shd w:val="clear" w:color="auto" w:fill="A4D4E1"/>
          </w:tcPr>
          <w:p>
            <w:pPr>
              <w:pStyle w:val="TableParagraph"/>
              <w:ind w:left="103"/>
              <w:rPr>
                <w:sz w:val="24"/>
              </w:rPr>
            </w:pPr>
            <w:r>
              <w:rPr>
                <w:sz w:val="24"/>
              </w:rPr>
              <w:t>29</w:t>
            </w:r>
          </w:p>
        </w:tc>
        <w:tc>
          <w:tcPr>
            <w:tcW w:w="1253" w:type="dxa"/>
            <w:tcBorders>
              <w:left w:val="single" w:sz="6" w:space="0" w:color="4AACC5"/>
              <w:right w:val="single" w:sz="6" w:space="0" w:color="4AACC5"/>
            </w:tcBorders>
            <w:shd w:val="clear" w:color="auto" w:fill="A4D4E1"/>
          </w:tcPr>
          <w:p>
            <w:pPr>
              <w:pStyle w:val="TableParagraph"/>
              <w:ind w:left="98"/>
              <w:rPr>
                <w:sz w:val="24"/>
              </w:rPr>
            </w:pPr>
            <w:r>
              <w:rPr>
                <w:sz w:val="24"/>
              </w:rPr>
              <w:t>22</w:t>
            </w:r>
          </w:p>
        </w:tc>
        <w:tc>
          <w:tcPr>
            <w:tcW w:w="1301" w:type="dxa"/>
            <w:tcBorders>
              <w:left w:val="single" w:sz="6" w:space="0" w:color="4AACC5"/>
              <w:right w:val="single" w:sz="6" w:space="0" w:color="4AACC5"/>
            </w:tcBorders>
            <w:shd w:val="clear" w:color="auto" w:fill="A4D4E1"/>
          </w:tcPr>
          <w:p>
            <w:pPr>
              <w:pStyle w:val="TableParagraph"/>
              <w:ind w:left="103"/>
              <w:rPr>
                <w:sz w:val="24"/>
              </w:rPr>
            </w:pPr>
            <w:r>
              <w:rPr>
                <w:w w:val="99"/>
                <w:sz w:val="24"/>
              </w:rPr>
              <w:t>5</w:t>
            </w:r>
          </w:p>
        </w:tc>
        <w:tc>
          <w:tcPr>
            <w:tcW w:w="1080" w:type="dxa"/>
            <w:tcBorders>
              <w:left w:val="single" w:sz="6" w:space="0" w:color="4AACC5"/>
              <w:right w:val="single" w:sz="6" w:space="0" w:color="4AACC5"/>
            </w:tcBorders>
            <w:shd w:val="clear" w:color="auto" w:fill="A4D4E1"/>
          </w:tcPr>
          <w:p>
            <w:pPr>
              <w:pStyle w:val="TableParagraph"/>
              <w:ind w:left="103"/>
              <w:rPr>
                <w:sz w:val="24"/>
              </w:rPr>
            </w:pPr>
            <w:r>
              <w:rPr>
                <w:sz w:val="24"/>
              </w:rPr>
              <w:t>15</w:t>
            </w:r>
          </w:p>
        </w:tc>
        <w:tc>
          <w:tcPr>
            <w:tcW w:w="1258" w:type="dxa"/>
            <w:tcBorders>
              <w:left w:val="single" w:sz="6" w:space="0" w:color="4AACC5"/>
            </w:tcBorders>
            <w:shd w:val="clear" w:color="auto" w:fill="A4D4E1"/>
          </w:tcPr>
          <w:p>
            <w:pPr>
              <w:pStyle w:val="TableParagraph"/>
              <w:ind w:left="103"/>
              <w:rPr>
                <w:sz w:val="24"/>
              </w:rPr>
            </w:pPr>
            <w:r>
              <w:rPr>
                <w:sz w:val="24"/>
              </w:rPr>
              <w:t>20</w:t>
            </w:r>
          </w:p>
        </w:tc>
      </w:tr>
    </w:tbl>
    <w:p>
      <w:pPr>
        <w:spacing w:before="97"/>
        <w:ind w:left="236" w:right="0" w:firstLine="0"/>
        <w:jc w:val="both"/>
        <w:rPr>
          <w:sz w:val="16"/>
        </w:rPr>
      </w:pPr>
      <w:r>
        <w:rPr>
          <w:sz w:val="16"/>
        </w:rPr>
        <w:t>Fuente directa</w:t>
      </w:r>
    </w:p>
    <w:p>
      <w:pPr>
        <w:pStyle w:val="BodyText"/>
        <w:rPr>
          <w:sz w:val="16"/>
        </w:rPr>
      </w:pPr>
    </w:p>
    <w:p>
      <w:pPr>
        <w:pStyle w:val="BodyText"/>
        <w:spacing w:line="360" w:lineRule="auto" w:before="143"/>
        <w:ind w:left="236" w:right="238"/>
        <w:jc w:val="both"/>
      </w:pPr>
      <w:r>
        <w:rPr/>
        <w:t>La sobremordida vertical entre 30 a 80% se presentó en el 80% de los casos de lactancia materna, 65% lactancia mixta y 52.3% lactancia artificial; la sobremordida vertical &lt;30% y &gt;80% se observó en 19.3% de los casos de lactancia materna, 34% de lactancia mixta y 47.2% lactancia artificial, teniendo significancia estadística 0.013 (Grafica 2).</w:t>
      </w:r>
    </w:p>
    <w:p>
      <w:pPr>
        <w:pStyle w:val="BodyText"/>
      </w:pPr>
    </w:p>
    <w:p>
      <w:pPr>
        <w:pStyle w:val="BodyText"/>
      </w:pPr>
    </w:p>
    <w:p>
      <w:pPr>
        <w:pStyle w:val="BodyText"/>
        <w:spacing w:before="9"/>
        <w:rPr>
          <w:sz w:val="22"/>
        </w:rPr>
      </w:pPr>
    </w:p>
    <w:p>
      <w:pPr>
        <w:pStyle w:val="Heading1"/>
        <w:spacing w:before="0"/>
        <w:ind w:left="1821"/>
      </w:pPr>
      <w:r>
        <w:rPr/>
        <w:t>Grafica 2 Sobremordida Vertical y Tipo de Lactancia</w:t>
      </w:r>
    </w:p>
    <w:p>
      <w:pPr>
        <w:pStyle w:val="BodyText"/>
        <w:rPr>
          <w:b/>
          <w:sz w:val="27"/>
        </w:rPr>
      </w:pPr>
      <w:r>
        <w:rPr/>
        <w:pict>
          <v:shape style="position:absolute;margin-left:83.849998pt;margin-top:109.047043pt;width:50.35pt;height:19.95pt;mso-position-horizontal-relative:page;mso-position-vertical-relative:paragraph;z-index:1120;mso-wrap-distance-left:0;mso-wrap-distance-right:0" type="#_x0000_t202" filled="false" stroked="true" strokeweight=".75pt" strokecolor="#000000">
            <v:textbox inset="0,0,0,0">
              <w:txbxContent>
                <w:p>
                  <w:pPr>
                    <w:spacing w:before="76"/>
                    <w:ind w:left="144" w:right="0" w:firstLine="0"/>
                    <w:jc w:val="left"/>
                    <w:rPr>
                      <w:rFonts w:ascii="Calibri"/>
                      <w:b/>
                      <w:sz w:val="22"/>
                    </w:rPr>
                  </w:pPr>
                  <w:r>
                    <w:rPr>
                      <w:rFonts w:ascii="Calibri"/>
                      <w:b/>
                      <w:sz w:val="22"/>
                    </w:rPr>
                    <w:t>Casos</w:t>
                  </w:r>
                </w:p>
              </w:txbxContent>
            </v:textbox>
            <w10:wrap type="topAndBottom"/>
          </v:shape>
        </w:pict>
      </w:r>
      <w:r>
        <w:rPr/>
        <w:drawing>
          <wp:anchor distT="0" distB="0" distL="0" distR="0" allowOverlap="1" layoutInCell="1" locked="0" behindDoc="0" simplePos="0" relativeHeight="1144">
            <wp:simplePos x="0" y="0"/>
            <wp:positionH relativeFrom="page">
              <wp:posOffset>1910333</wp:posOffset>
            </wp:positionH>
            <wp:positionV relativeFrom="paragraph">
              <wp:posOffset>222466</wp:posOffset>
            </wp:positionV>
            <wp:extent cx="3791980" cy="2993040"/>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5" cstate="print"/>
                    <a:stretch>
                      <a:fillRect/>
                    </a:stretch>
                  </pic:blipFill>
                  <pic:spPr>
                    <a:xfrm>
                      <a:off x="0" y="0"/>
                      <a:ext cx="3791980" cy="2993040"/>
                    </a:xfrm>
                    <a:prstGeom prst="rect">
                      <a:avLst/>
                    </a:prstGeom>
                  </pic:spPr>
                </pic:pic>
              </a:graphicData>
            </a:graphic>
          </wp:anchor>
        </w:drawing>
      </w:r>
    </w:p>
    <w:p>
      <w:pPr>
        <w:pStyle w:val="BodyText"/>
        <w:rPr>
          <w:b/>
          <w:sz w:val="31"/>
        </w:rPr>
      </w:pPr>
    </w:p>
    <w:p>
      <w:pPr>
        <w:spacing w:before="1"/>
        <w:ind w:left="236" w:right="0" w:firstLine="0"/>
        <w:jc w:val="both"/>
        <w:rPr>
          <w:b/>
          <w:sz w:val="16"/>
        </w:rPr>
      </w:pPr>
      <w:r>
        <w:rPr>
          <w:b/>
          <w:sz w:val="16"/>
        </w:rPr>
        <w:t>Fuente directa</w:t>
      </w:r>
    </w:p>
    <w:p>
      <w:pPr>
        <w:spacing w:after="0"/>
        <w:jc w:val="both"/>
        <w:rPr>
          <w:sz w:val="16"/>
        </w:rPr>
        <w:sectPr>
          <w:pgSz w:w="12240" w:h="15840"/>
          <w:pgMar w:header="0" w:footer="1002" w:top="1500" w:bottom="1200" w:left="1180" w:right="1460"/>
        </w:sectPr>
      </w:pPr>
    </w:p>
    <w:p>
      <w:pPr>
        <w:pStyle w:val="BodyText"/>
        <w:spacing w:before="10"/>
        <w:rPr>
          <w:b/>
          <w:sz w:val="10"/>
        </w:rPr>
      </w:pPr>
    </w:p>
    <w:p>
      <w:pPr>
        <w:pStyle w:val="BodyText"/>
        <w:spacing w:line="360" w:lineRule="auto" w:before="70"/>
        <w:ind w:left="116" w:right="99"/>
        <w:jc w:val="both"/>
      </w:pPr>
      <w:r>
        <w:rPr/>
        <w:t>El apiñamiento superior estuvo ausente en los caso de lactancia materna, se presento en el 19% de los casos de lactancia artificial y en el 9% de los casos de lactancia mixta, mostrando significancia estadística de 0.008 (Grafica</w:t>
      </w:r>
      <w:r>
        <w:rPr>
          <w:spacing w:val="-30"/>
        </w:rPr>
        <w:t> </w:t>
      </w:r>
      <w:r>
        <w:rPr/>
        <w:t>3).</w:t>
      </w:r>
    </w:p>
    <w:p>
      <w:pPr>
        <w:pStyle w:val="Heading1"/>
        <w:spacing w:before="199"/>
        <w:ind w:left="1729" w:right="104"/>
      </w:pPr>
      <w:r>
        <w:rPr/>
        <w:t>Grafica 3 Apiñamiento Superior y Tipo de Lactancia</w:t>
      </w:r>
    </w:p>
    <w:p>
      <w:pPr>
        <w:pStyle w:val="BodyText"/>
        <w:spacing w:before="1"/>
        <w:rPr>
          <w:b/>
          <w:sz w:val="27"/>
        </w:rPr>
      </w:pPr>
      <w:r>
        <w:rPr/>
        <w:pict>
          <v:shape style="position:absolute;margin-left:83.349998pt;margin-top:93.047035pt;width:50.85pt;height:26.5pt;mso-position-horizontal-relative:page;mso-position-vertical-relative:paragraph;z-index:1168;mso-wrap-distance-left:0;mso-wrap-distance-right:0" type="#_x0000_t202" filled="false" stroked="true" strokeweight=".75pt" strokecolor="#000000">
            <v:textbox inset="0,0,0,0">
              <w:txbxContent>
                <w:p>
                  <w:pPr>
                    <w:spacing w:before="75"/>
                    <w:ind w:left="145" w:right="0" w:firstLine="0"/>
                    <w:jc w:val="left"/>
                    <w:rPr>
                      <w:rFonts w:ascii="Calibri"/>
                      <w:b/>
                      <w:sz w:val="22"/>
                    </w:rPr>
                  </w:pPr>
                  <w:r>
                    <w:rPr>
                      <w:rFonts w:ascii="Calibri"/>
                      <w:b/>
                      <w:sz w:val="22"/>
                    </w:rPr>
                    <w:t>Casos</w:t>
                  </w:r>
                </w:p>
              </w:txbxContent>
            </v:textbox>
            <w10:wrap type="topAndBottom"/>
          </v:shape>
        </w:pict>
      </w:r>
      <w:r>
        <w:rPr/>
        <w:drawing>
          <wp:anchor distT="0" distB="0" distL="0" distR="0" allowOverlap="1" layoutInCell="1" locked="0" behindDoc="0" simplePos="0" relativeHeight="1192">
            <wp:simplePos x="0" y="0"/>
            <wp:positionH relativeFrom="page">
              <wp:posOffset>1934336</wp:posOffset>
            </wp:positionH>
            <wp:positionV relativeFrom="paragraph">
              <wp:posOffset>223101</wp:posOffset>
            </wp:positionV>
            <wp:extent cx="3739546" cy="2954654"/>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6" cstate="print"/>
                    <a:stretch>
                      <a:fillRect/>
                    </a:stretch>
                  </pic:blipFill>
                  <pic:spPr>
                    <a:xfrm>
                      <a:off x="0" y="0"/>
                      <a:ext cx="3739546" cy="2954654"/>
                    </a:xfrm>
                    <a:prstGeom prst="rect">
                      <a:avLst/>
                    </a:prstGeom>
                  </pic:spPr>
                </pic:pic>
              </a:graphicData>
            </a:graphic>
          </wp:anchor>
        </w:drawing>
      </w:r>
    </w:p>
    <w:p>
      <w:pPr>
        <w:pStyle w:val="BodyText"/>
        <w:spacing w:before="3"/>
        <w:rPr>
          <w:b/>
          <w:sz w:val="31"/>
        </w:rPr>
      </w:pPr>
    </w:p>
    <w:p>
      <w:pPr>
        <w:spacing w:before="0"/>
        <w:ind w:left="116" w:right="0" w:firstLine="0"/>
        <w:jc w:val="both"/>
        <w:rPr>
          <w:b/>
          <w:sz w:val="16"/>
        </w:rPr>
      </w:pPr>
      <w:r>
        <w:rPr>
          <w:b/>
          <w:sz w:val="16"/>
        </w:rPr>
        <w:t>Fuente directa</w:t>
      </w:r>
    </w:p>
    <w:p>
      <w:pPr>
        <w:spacing w:after="0"/>
        <w:jc w:val="both"/>
        <w:rPr>
          <w:sz w:val="16"/>
        </w:rPr>
        <w:sectPr>
          <w:pgSz w:w="12240" w:h="15840"/>
          <w:pgMar w:header="0" w:footer="1002" w:top="1500" w:bottom="1200" w:left="1300" w:right="1600"/>
        </w:sectPr>
      </w:pPr>
    </w:p>
    <w:p>
      <w:pPr>
        <w:pStyle w:val="BodyText"/>
        <w:spacing w:before="10"/>
        <w:rPr>
          <w:b/>
          <w:sz w:val="10"/>
        </w:rPr>
      </w:pPr>
    </w:p>
    <w:p>
      <w:pPr>
        <w:pStyle w:val="BodyText"/>
        <w:spacing w:line="360" w:lineRule="auto" w:before="70"/>
        <w:ind w:left="116" w:right="104"/>
      </w:pPr>
      <w:r>
        <w:rPr/>
        <w:t>La curva de Spee estuvo presente en el 6.4% de los casos de lactancia materna, en el 27.2% de los casos de lactancia mixta y 38% de los casos de lactancia artificial, mostrando significancia estadística de 0.003 (Grafica 4).</w:t>
      </w:r>
    </w:p>
    <w:p>
      <w:pPr>
        <w:pStyle w:val="Heading1"/>
        <w:spacing w:before="199"/>
        <w:ind w:left="2114" w:right="104"/>
      </w:pPr>
      <w:r>
        <w:rPr/>
        <w:t>Grafica 4 Curva de Spee y Lactancia Materna</w:t>
      </w:r>
    </w:p>
    <w:p>
      <w:pPr>
        <w:pStyle w:val="BodyText"/>
        <w:spacing w:before="1"/>
        <w:rPr>
          <w:b/>
          <w:sz w:val="27"/>
        </w:rPr>
      </w:pPr>
      <w:r>
        <w:rPr/>
        <w:pict>
          <v:shape style="position:absolute;margin-left:93.849998pt;margin-top:114.397034pt;width:46.95pt;height:20.4pt;mso-position-horizontal-relative:page;mso-position-vertical-relative:paragraph;z-index:1216;mso-wrap-distance-left:0;mso-wrap-distance-right:0" type="#_x0000_t202" filled="false" stroked="true" strokeweight=".75pt" strokecolor="#000000">
            <v:textbox inset="0,0,0,0">
              <w:txbxContent>
                <w:p>
                  <w:pPr>
                    <w:spacing w:before="75"/>
                    <w:ind w:left="146" w:right="0" w:firstLine="0"/>
                    <w:jc w:val="left"/>
                    <w:rPr>
                      <w:rFonts w:ascii="Calibri"/>
                      <w:b/>
                      <w:sz w:val="22"/>
                    </w:rPr>
                  </w:pPr>
                  <w:r>
                    <w:rPr>
                      <w:rFonts w:ascii="Calibri"/>
                      <w:b/>
                      <w:sz w:val="22"/>
                    </w:rPr>
                    <w:t>Casos</w:t>
                  </w:r>
                </w:p>
              </w:txbxContent>
            </v:textbox>
            <w10:wrap type="topAndBottom"/>
          </v:shape>
        </w:pict>
      </w:r>
      <w:r>
        <w:rPr/>
        <w:drawing>
          <wp:anchor distT="0" distB="0" distL="0" distR="0" allowOverlap="1" layoutInCell="1" locked="0" behindDoc="0" simplePos="0" relativeHeight="1240">
            <wp:simplePos x="0" y="0"/>
            <wp:positionH relativeFrom="page">
              <wp:posOffset>1834133</wp:posOffset>
            </wp:positionH>
            <wp:positionV relativeFrom="paragraph">
              <wp:posOffset>223101</wp:posOffset>
            </wp:positionV>
            <wp:extent cx="3948416" cy="3107054"/>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7" cstate="print"/>
                    <a:stretch>
                      <a:fillRect/>
                    </a:stretch>
                  </pic:blipFill>
                  <pic:spPr>
                    <a:xfrm>
                      <a:off x="0" y="0"/>
                      <a:ext cx="3948416" cy="3107054"/>
                    </a:xfrm>
                    <a:prstGeom prst="rect">
                      <a:avLst/>
                    </a:prstGeom>
                  </pic:spPr>
                </pic:pic>
              </a:graphicData>
            </a:graphic>
          </wp:anchor>
        </w:drawing>
      </w:r>
    </w:p>
    <w:p>
      <w:pPr>
        <w:pStyle w:val="BodyText"/>
        <w:rPr>
          <w:b/>
          <w:sz w:val="30"/>
        </w:rPr>
      </w:pPr>
    </w:p>
    <w:p>
      <w:pPr>
        <w:spacing w:before="0"/>
        <w:ind w:left="116" w:right="104" w:firstLine="0"/>
        <w:jc w:val="left"/>
        <w:rPr>
          <w:b/>
          <w:sz w:val="16"/>
        </w:rPr>
      </w:pPr>
      <w:r>
        <w:rPr>
          <w:b/>
          <w:sz w:val="16"/>
        </w:rPr>
        <w:t>Fuente directa</w:t>
      </w:r>
    </w:p>
    <w:p>
      <w:pPr>
        <w:pStyle w:val="BodyText"/>
        <w:rPr>
          <w:b/>
          <w:sz w:val="16"/>
        </w:rPr>
      </w:pPr>
    </w:p>
    <w:p>
      <w:pPr>
        <w:pStyle w:val="BodyText"/>
        <w:spacing w:before="2"/>
        <w:rPr>
          <w:b/>
          <w:sz w:val="13"/>
        </w:rPr>
      </w:pPr>
    </w:p>
    <w:p>
      <w:pPr>
        <w:pStyle w:val="BodyText"/>
        <w:spacing w:line="357" w:lineRule="auto"/>
        <w:ind w:left="116" w:right="108"/>
        <w:jc w:val="both"/>
      </w:pPr>
      <w:r>
        <w:rPr/>
        <w:t>Del total de la muestra estudiada únicamente 16 sujetos presentaron características que favorecen una oclusión ideal, el resto presentaron </w:t>
      </w:r>
      <w:r>
        <w:rPr>
          <w:spacing w:val="-3"/>
        </w:rPr>
        <w:t>más </w:t>
      </w:r>
      <w:r>
        <w:rPr/>
        <w:t>de dos características  que favorecen el desarrollo de</w:t>
      </w:r>
      <w:r>
        <w:rPr>
          <w:spacing w:val="-21"/>
        </w:rPr>
        <w:t> </w:t>
      </w:r>
      <w:r>
        <w:rPr/>
        <w:t>maloclusiones.</w:t>
      </w:r>
    </w:p>
    <w:p>
      <w:pPr>
        <w:spacing w:after="0" w:line="357" w:lineRule="auto"/>
        <w:jc w:val="both"/>
        <w:sectPr>
          <w:pgSz w:w="12240" w:h="15840"/>
          <w:pgMar w:header="0" w:footer="1002" w:top="1500" w:bottom="1200" w:left="1300" w:right="1600"/>
        </w:sectPr>
      </w:pPr>
    </w:p>
    <w:p>
      <w:pPr>
        <w:pStyle w:val="BodyText"/>
        <w:spacing w:before="1"/>
        <w:rPr>
          <w:sz w:val="10"/>
        </w:rPr>
      </w:pPr>
    </w:p>
    <w:p>
      <w:pPr>
        <w:pStyle w:val="Heading1"/>
        <w:ind w:left="3121" w:right="3133"/>
        <w:jc w:val="center"/>
      </w:pPr>
      <w:r>
        <w:rPr/>
        <w:t>IX DISCUSIÓN</w:t>
      </w:r>
    </w:p>
    <w:p>
      <w:pPr>
        <w:pStyle w:val="BodyText"/>
        <w:spacing w:before="3"/>
        <w:rPr>
          <w:b/>
          <w:sz w:val="30"/>
        </w:rPr>
      </w:pPr>
    </w:p>
    <w:p>
      <w:pPr>
        <w:pStyle w:val="BodyText"/>
        <w:spacing w:line="360" w:lineRule="auto"/>
        <w:ind w:left="116" w:right="124"/>
        <w:jc w:val="both"/>
      </w:pPr>
      <w:r>
        <w:rPr/>
        <w:t>Diversas organizaciones como la OMS, UNICEF, la Academia Americana de Odontopediatría de Chicago, recomiendan alimentación exclusiva a seno materno durante los primeros seis meses de vida y continuar combinándola con alimentación complementaria hasta los doce meses de edad; este tipo de alimentación traerá consigo múltiples beneficios a la salud general y bucal del infante.</w:t>
      </w:r>
    </w:p>
    <w:p>
      <w:pPr>
        <w:pStyle w:val="BodyText"/>
        <w:spacing w:line="360" w:lineRule="auto" w:before="174"/>
        <w:ind w:left="116" w:right="115"/>
        <w:jc w:val="both"/>
      </w:pPr>
      <w:r>
        <w:rPr/>
        <w:t>En estudios realizados por López (1999)</w:t>
      </w:r>
      <w:r>
        <w:rPr>
          <w:position w:val="11"/>
          <w:sz w:val="16"/>
        </w:rPr>
        <w:t>5</w:t>
      </w:r>
      <w:r>
        <w:rPr/>
        <w:t>, Pérez (2011)</w:t>
      </w:r>
      <w:r>
        <w:rPr>
          <w:position w:val="11"/>
          <w:sz w:val="16"/>
        </w:rPr>
        <w:t>1 </w:t>
      </w:r>
      <w:r>
        <w:rPr/>
        <w:t>y Renick (2013)</w:t>
      </w:r>
      <w:r>
        <w:rPr>
          <w:position w:val="11"/>
          <w:sz w:val="16"/>
        </w:rPr>
        <w:t>13 </w:t>
      </w:r>
      <w:r>
        <w:rPr/>
        <w:t>reportan múltiples ventajas de la lactancia materna en la salud bucal; favorece el desarrollo de la musculatura, el avance mandibular, así como la correcta posición y función lingual, contribuyendo a la correcta configuración de los arcos dentarios; todos estos factores coadyuvan a disminuir en un 50% los indicadores de maloclusiones y el desarrollo de los hábitos de succión no nutritiva, esta última con gran influencia sobre la aparición de malocusiones en dentición temporal y mixta.</w:t>
      </w:r>
    </w:p>
    <w:p>
      <w:pPr>
        <w:pStyle w:val="BodyText"/>
        <w:spacing w:line="345" w:lineRule="auto" w:before="174"/>
        <w:ind w:left="116" w:right="113"/>
        <w:jc w:val="both"/>
      </w:pPr>
      <w:r>
        <w:rPr/>
        <w:t>Muniaco (2005)</w:t>
      </w:r>
      <w:r>
        <w:rPr>
          <w:position w:val="11"/>
          <w:sz w:val="16"/>
        </w:rPr>
        <w:t>6 </w:t>
      </w:r>
      <w:r>
        <w:rPr/>
        <w:t>reportó en su estudio una mayor prevalencia de espacios primates, coincidiendo con lo encontrado en nuestro estudio en donde hubo mayor incidencia de espacios primates en los casos de lactancia materna. Rephelli (2011)</w:t>
      </w:r>
      <w:r>
        <w:rPr>
          <w:position w:val="11"/>
          <w:sz w:val="16"/>
        </w:rPr>
        <w:t>20 </w:t>
      </w:r>
      <w:r>
        <w:rPr/>
        <w:t>y Rennick (2013)</w:t>
      </w:r>
      <w:r>
        <w:rPr>
          <w:position w:val="11"/>
          <w:sz w:val="16"/>
        </w:rPr>
        <w:t>13 </w:t>
      </w:r>
      <w:r>
        <w:rPr/>
        <w:t>encontraron mayor incidencia de plano terminal distal en los casos que fueron alimentados mediante lactancia artificial, coincidiendo con nuestro estudio; así mismo en el presente estudio se encontró mayor incidencia de plano terminal recto en los casos en los que hubo lactancia materna, contrario a  lo  reportado  por Munaico (2005)</w:t>
      </w:r>
      <w:r>
        <w:rPr>
          <w:position w:val="11"/>
          <w:sz w:val="16"/>
        </w:rPr>
        <w:t>6 </w:t>
      </w:r>
      <w:r>
        <w:rPr/>
        <w:t>que encontró mayor prevalencia de escalón mesial, </w:t>
      </w:r>
      <w:r>
        <w:rPr>
          <w:spacing w:val="-2"/>
        </w:rPr>
        <w:t>Por </w:t>
      </w:r>
      <w:r>
        <w:rPr/>
        <w:t>otro lado Raftowickz (2011)</w:t>
      </w:r>
      <w:r>
        <w:rPr>
          <w:position w:val="11"/>
          <w:sz w:val="16"/>
        </w:rPr>
        <w:t>8 </w:t>
      </w:r>
      <w:r>
        <w:rPr/>
        <w:t>reportó mayor prevalencia de mordida abierta anterior en los casos de lactancia artificial y mixta coincidiendo con nuestros</w:t>
      </w:r>
      <w:r>
        <w:rPr>
          <w:spacing w:val="-19"/>
        </w:rPr>
        <w:t> </w:t>
      </w:r>
      <w:r>
        <w:rPr/>
        <w:t>resultados.</w:t>
      </w:r>
    </w:p>
    <w:p>
      <w:pPr>
        <w:pStyle w:val="BodyText"/>
        <w:spacing w:line="360" w:lineRule="auto" w:before="190"/>
        <w:ind w:left="116" w:right="120"/>
        <w:jc w:val="both"/>
      </w:pPr>
      <w:r>
        <w:rPr/>
        <w:t>Viggiano (2004)</w:t>
      </w:r>
      <w:r>
        <w:rPr>
          <w:position w:val="11"/>
          <w:sz w:val="16"/>
        </w:rPr>
        <w:t>16 </w:t>
      </w:r>
      <w:r>
        <w:rPr/>
        <w:t>sugiere un efecto positivo de la alimentación a seno materno en el desarrollo de la oclusión de la dentición temporal, reportando en su estudio mayor prevalencia de maloclusiones en los niños que fueron alimentados con biberón; en nuestro estudio encontramos en los niños alimentados a seno materno, características que favorecen la oclusión ideal en  dentición temporal:   sobremordida</w:t>
      </w:r>
    </w:p>
    <w:p>
      <w:pPr>
        <w:spacing w:after="0" w:line="360" w:lineRule="auto"/>
        <w:jc w:val="both"/>
        <w:sectPr>
          <w:pgSz w:w="12240" w:h="15840"/>
          <w:pgMar w:header="0" w:footer="1002" w:top="1500" w:bottom="1200" w:left="1300" w:right="1580"/>
        </w:sectPr>
      </w:pPr>
    </w:p>
    <w:p>
      <w:pPr>
        <w:pStyle w:val="BodyText"/>
        <w:spacing w:before="10"/>
        <w:rPr>
          <w:sz w:val="10"/>
        </w:rPr>
      </w:pPr>
    </w:p>
    <w:p>
      <w:pPr>
        <w:pStyle w:val="BodyText"/>
        <w:spacing w:line="360" w:lineRule="auto" w:before="70"/>
        <w:ind w:left="116" w:right="118"/>
        <w:jc w:val="both"/>
      </w:pPr>
      <w:r>
        <w:rPr/>
        <w:t>vertical de 30 a 80%, ausencia de curva de Spee y menor apiñamiento en arcada superior.</w:t>
      </w:r>
    </w:p>
    <w:p>
      <w:pPr>
        <w:pStyle w:val="BodyText"/>
        <w:spacing w:line="357" w:lineRule="auto" w:before="174"/>
        <w:ind w:left="116" w:right="114"/>
        <w:jc w:val="both"/>
      </w:pPr>
      <w:r>
        <w:rPr/>
        <w:t>Otros estudios</w:t>
      </w:r>
      <w:r>
        <w:rPr>
          <w:position w:val="11"/>
          <w:sz w:val="16"/>
        </w:rPr>
        <w:t>3, 6, 13, 12, 18, 20, 21, 26</w:t>
      </w:r>
      <w:r>
        <w:rPr/>
        <w:t>; han relacionado la lactancia materna, las relaciones oclusales y los hábitos de succión no nutritiva, concluyendo que la lactancia materna tiene efectos positivos en la disminución de desarrollo de hábitos de succión no nutritiva y con ello favorece el adecuado desarrollo de las relaciones oclusales en la dentición temporal.</w:t>
      </w:r>
    </w:p>
    <w:p>
      <w:pPr>
        <w:pStyle w:val="BodyText"/>
        <w:spacing w:line="360" w:lineRule="auto" w:before="212"/>
        <w:ind w:left="116" w:right="120"/>
        <w:jc w:val="both"/>
      </w:pPr>
      <w:r>
        <w:rPr/>
        <w:t>Sin embargo el estudio de los efectos positivos de la lactancia materna en el desarrollo de la dentición temporal se dificulta como lo ha  mencionado  Bishara (2006) ya que es complicado separar los efectos del tipo de lactancia y los hábitos parafuncionales que se desarrollan en los primeros años de vida.</w:t>
      </w:r>
    </w:p>
    <w:p>
      <w:pPr>
        <w:spacing w:after="0" w:line="360" w:lineRule="auto"/>
        <w:jc w:val="both"/>
        <w:sectPr>
          <w:pgSz w:w="12240" w:h="15840"/>
          <w:pgMar w:header="0" w:footer="1002" w:top="1500" w:bottom="1200" w:left="1300" w:right="1580"/>
        </w:sectPr>
      </w:pPr>
    </w:p>
    <w:p>
      <w:pPr>
        <w:pStyle w:val="BodyText"/>
        <w:spacing w:before="1"/>
        <w:rPr>
          <w:sz w:val="10"/>
        </w:rPr>
      </w:pPr>
    </w:p>
    <w:p>
      <w:pPr>
        <w:pStyle w:val="Heading1"/>
        <w:ind w:left="3127" w:right="3133"/>
        <w:jc w:val="center"/>
      </w:pPr>
      <w:r>
        <w:rPr/>
        <w:t>X CONCLUSIONES</w:t>
      </w:r>
    </w:p>
    <w:p>
      <w:pPr>
        <w:pStyle w:val="BodyText"/>
        <w:spacing w:before="3"/>
        <w:rPr>
          <w:b/>
          <w:sz w:val="30"/>
        </w:rPr>
      </w:pPr>
    </w:p>
    <w:p>
      <w:pPr>
        <w:pStyle w:val="BodyText"/>
        <w:spacing w:line="360" w:lineRule="auto"/>
        <w:ind w:left="116" w:right="118"/>
        <w:jc w:val="both"/>
      </w:pPr>
      <w:r>
        <w:rPr/>
        <w:t>Los niños que tuvieron lactancia materna presentaron mayor número de características que favorecen una oclusión ideal en la dentición temporal, en comparación de los niños que tuvieron lactancia mixta y lactancia artificial.</w:t>
      </w:r>
    </w:p>
    <w:p>
      <w:pPr>
        <w:pStyle w:val="BodyText"/>
        <w:spacing w:line="360" w:lineRule="auto" w:before="209"/>
        <w:ind w:left="116" w:right="114"/>
        <w:jc w:val="both"/>
      </w:pPr>
      <w:r>
        <w:rPr/>
        <w:t>En los niños que tuvieron lactancia artificial y lactancia mixta se presentaron características que indican la presencia o que favorecen el desarrollo de maloclusiones; como mordida cruzada anterior, escalón mesial exagerado, mordida abierta anterior y mordida borde a borde. Estos datos encontrados nos indican que la lactancia materna contribuye a un </w:t>
      </w:r>
      <w:r>
        <w:rPr>
          <w:spacing w:val="-3"/>
        </w:rPr>
        <w:t>mejor </w:t>
      </w:r>
      <w:r>
        <w:rPr/>
        <w:t>desarrollo de la oclusión en comparación a  la lactancia mixta y</w:t>
      </w:r>
      <w:r>
        <w:rPr>
          <w:spacing w:val="-8"/>
        </w:rPr>
        <w:t> </w:t>
      </w:r>
      <w:r>
        <w:rPr/>
        <w:t>artificial.</w:t>
      </w:r>
    </w:p>
    <w:p>
      <w:pPr>
        <w:pStyle w:val="BodyText"/>
        <w:spacing w:line="360" w:lineRule="auto" w:before="209"/>
        <w:ind w:left="116" w:right="118"/>
        <w:jc w:val="both"/>
      </w:pPr>
      <w:r>
        <w:rPr/>
        <w:t>Debido a que la presencia de hábitos parafuncionales influyen en el desarrollo de la oclusión, se recomienda ampliar el estudio, incluyendo dichos hábitos; así como realizar la entrevista sobre el tipo y tiempo de lactancia a los padres en edades más cercanas al momento de la misma, esto nos ayudaría a evitar el sesgo de memoria debido al tiempo transcurrido entre la lactancia y la aplicación del cuestionario.</w:t>
      </w:r>
    </w:p>
    <w:p>
      <w:pPr>
        <w:spacing w:after="0" w:line="360" w:lineRule="auto"/>
        <w:jc w:val="both"/>
        <w:sectPr>
          <w:footerReference w:type="default" r:id="rId18"/>
          <w:pgSz w:w="12240" w:h="15840"/>
          <w:pgMar w:footer="1002" w:header="0" w:top="1500" w:bottom="1200" w:left="1300" w:right="1580"/>
        </w:sectPr>
      </w:pPr>
    </w:p>
    <w:p>
      <w:pPr>
        <w:pStyle w:val="BodyText"/>
        <w:spacing w:before="1"/>
        <w:rPr>
          <w:sz w:val="10"/>
        </w:rPr>
      </w:pPr>
    </w:p>
    <w:p>
      <w:pPr>
        <w:pStyle w:val="Heading1"/>
        <w:ind w:left="2603"/>
      </w:pPr>
      <w:r>
        <w:rPr/>
        <w:t>XI REFERENCIAS BIBLIOGRÁFICAS</w:t>
      </w:r>
    </w:p>
    <w:p>
      <w:pPr>
        <w:pStyle w:val="BodyText"/>
        <w:spacing w:before="3"/>
        <w:rPr>
          <w:b/>
          <w:sz w:val="30"/>
        </w:rPr>
      </w:pPr>
    </w:p>
    <w:p>
      <w:pPr>
        <w:pStyle w:val="ListParagraph"/>
        <w:numPr>
          <w:ilvl w:val="0"/>
          <w:numId w:val="15"/>
        </w:numPr>
        <w:tabs>
          <w:tab w:pos="477" w:val="left" w:leader="none"/>
        </w:tabs>
        <w:spacing w:line="360" w:lineRule="auto" w:before="0" w:after="0"/>
        <w:ind w:left="477" w:right="116" w:hanging="361"/>
        <w:jc w:val="both"/>
        <w:rPr>
          <w:sz w:val="24"/>
        </w:rPr>
      </w:pPr>
      <w:r>
        <w:rPr>
          <w:sz w:val="24"/>
        </w:rPr>
        <w:t>Pérez G E, Guillen R J. Lactancia materna y su importancia para evitar la aparición de anomalías dentomaxilofaciales.16 abril Rev Ciencias Med Cuba. 2011; 243 (2):</w:t>
      </w:r>
      <w:r>
        <w:rPr>
          <w:spacing w:val="-7"/>
          <w:sz w:val="24"/>
        </w:rPr>
        <w:t> </w:t>
      </w:r>
      <w:r>
        <w:rPr>
          <w:sz w:val="24"/>
        </w:rPr>
        <w:t>32-7.</w:t>
      </w:r>
    </w:p>
    <w:p>
      <w:pPr>
        <w:pStyle w:val="ListParagraph"/>
        <w:numPr>
          <w:ilvl w:val="0"/>
          <w:numId w:val="15"/>
        </w:numPr>
        <w:tabs>
          <w:tab w:pos="477" w:val="left" w:leader="none"/>
        </w:tabs>
        <w:spacing w:line="360" w:lineRule="auto" w:before="2" w:after="0"/>
        <w:ind w:left="477" w:right="128" w:hanging="361"/>
        <w:jc w:val="both"/>
        <w:rPr>
          <w:sz w:val="24"/>
        </w:rPr>
      </w:pPr>
      <w:r>
        <w:rPr>
          <w:sz w:val="24"/>
        </w:rPr>
        <w:t>Paredes N K, Valdivieso </w:t>
      </w:r>
      <w:r>
        <w:rPr>
          <w:spacing w:val="-3"/>
          <w:sz w:val="24"/>
        </w:rPr>
        <w:t>MM. </w:t>
      </w:r>
      <w:r>
        <w:rPr>
          <w:sz w:val="24"/>
        </w:rPr>
        <w:t>Lactancia en el infante: materna, artificial y sus implicaciones odontológicas. Odontol Pediat. 2008,7 (2);</w:t>
      </w:r>
      <w:r>
        <w:rPr>
          <w:spacing w:val="-18"/>
          <w:sz w:val="24"/>
        </w:rPr>
        <w:t> </w:t>
      </w:r>
      <w:r>
        <w:rPr>
          <w:sz w:val="24"/>
        </w:rPr>
        <w:t>27-32.</w:t>
      </w:r>
    </w:p>
    <w:p>
      <w:pPr>
        <w:pStyle w:val="ListParagraph"/>
        <w:numPr>
          <w:ilvl w:val="0"/>
          <w:numId w:val="15"/>
        </w:numPr>
        <w:tabs>
          <w:tab w:pos="477" w:val="left" w:leader="none"/>
        </w:tabs>
        <w:spacing w:line="360" w:lineRule="auto" w:before="2" w:after="0"/>
        <w:ind w:left="477" w:right="121" w:hanging="361"/>
        <w:jc w:val="both"/>
        <w:rPr>
          <w:sz w:val="24"/>
        </w:rPr>
      </w:pPr>
      <w:r>
        <w:rPr>
          <w:sz w:val="24"/>
        </w:rPr>
        <w:t>Benítez L, Calvo L, Quirós O, Maza P, Jurasic A, Alcedo C, Fuenmayor D. Estudio de la lactancia materna como factor determinante para prevenir las anomalías dentomaxilofaciales. Rev Lat Ortodon Odontoped. [Revista en Internet] septiembre 2009. [acceso octubre</w:t>
      </w:r>
      <w:r>
        <w:rPr>
          <w:spacing w:val="-16"/>
          <w:sz w:val="24"/>
        </w:rPr>
        <w:t> </w:t>
      </w:r>
      <w:r>
        <w:rPr>
          <w:sz w:val="24"/>
        </w:rPr>
        <w:t>2012].</w:t>
      </w:r>
    </w:p>
    <w:p>
      <w:pPr>
        <w:pStyle w:val="ListParagraph"/>
        <w:numPr>
          <w:ilvl w:val="0"/>
          <w:numId w:val="15"/>
        </w:numPr>
        <w:tabs>
          <w:tab w:pos="477" w:val="left" w:leader="none"/>
        </w:tabs>
        <w:spacing w:line="362" w:lineRule="auto" w:before="2" w:after="0"/>
        <w:ind w:left="477" w:right="122" w:hanging="361"/>
        <w:jc w:val="both"/>
        <w:rPr>
          <w:sz w:val="24"/>
        </w:rPr>
      </w:pPr>
      <w:r>
        <w:rPr>
          <w:sz w:val="24"/>
        </w:rPr>
        <w:t>Padilla M, Tello L, Hernández J. Enfoque temprano de las maloclusiones transversales diagnostico y tratamiento. Revisión de la literatura. Rev.  Estomat. 2009; 17(1)</w:t>
      </w:r>
      <w:r>
        <w:rPr>
          <w:spacing w:val="-10"/>
          <w:sz w:val="24"/>
        </w:rPr>
        <w:t> </w:t>
      </w:r>
      <w:r>
        <w:rPr>
          <w:sz w:val="24"/>
        </w:rPr>
        <w:t>:30-37.</w:t>
      </w:r>
    </w:p>
    <w:p>
      <w:pPr>
        <w:pStyle w:val="ListParagraph"/>
        <w:numPr>
          <w:ilvl w:val="0"/>
          <w:numId w:val="15"/>
        </w:numPr>
        <w:tabs>
          <w:tab w:pos="477" w:val="left" w:leader="none"/>
        </w:tabs>
        <w:spacing w:line="360" w:lineRule="auto" w:before="0" w:after="0"/>
        <w:ind w:left="477" w:right="114" w:hanging="361"/>
        <w:jc w:val="both"/>
        <w:rPr>
          <w:sz w:val="24"/>
        </w:rPr>
      </w:pPr>
      <w:r>
        <w:rPr>
          <w:sz w:val="24"/>
        </w:rPr>
        <w:t>López M Y, Arias A M, Del Valle Z O. Lactancia materna en la prevención de las anomalías dentomaxilofaciales. Rev. Cub Ort. 1999; 14 (1):</w:t>
      </w:r>
      <w:r>
        <w:rPr>
          <w:spacing w:val="-18"/>
          <w:sz w:val="24"/>
        </w:rPr>
        <w:t> </w:t>
      </w:r>
      <w:r>
        <w:rPr>
          <w:sz w:val="24"/>
        </w:rPr>
        <w:t>32-8.</w:t>
      </w:r>
    </w:p>
    <w:p>
      <w:pPr>
        <w:pStyle w:val="ListParagraph"/>
        <w:numPr>
          <w:ilvl w:val="0"/>
          <w:numId w:val="15"/>
        </w:numPr>
        <w:tabs>
          <w:tab w:pos="477" w:val="left" w:leader="none"/>
        </w:tabs>
        <w:spacing w:line="360" w:lineRule="auto" w:before="7" w:after="0"/>
        <w:ind w:left="477" w:right="319" w:hanging="361"/>
        <w:jc w:val="left"/>
        <w:rPr>
          <w:sz w:val="24"/>
        </w:rPr>
      </w:pPr>
      <w:r>
        <w:rPr>
          <w:sz w:val="24"/>
        </w:rPr>
        <w:t>Munaico MA, Piedara RR, Cortez </w:t>
      </w:r>
      <w:r>
        <w:rPr>
          <w:spacing w:val="-3"/>
          <w:sz w:val="24"/>
        </w:rPr>
        <w:t>MM. </w:t>
      </w:r>
      <w:r>
        <w:rPr>
          <w:sz w:val="24"/>
        </w:rPr>
        <w:t>Lactancia materna asociada al crecimiento mandibular en niños de 3 años de edad. KIRU. 2005; 2 (1);</w:t>
      </w:r>
      <w:r>
        <w:rPr>
          <w:spacing w:val="-30"/>
          <w:sz w:val="24"/>
        </w:rPr>
        <w:t> </w:t>
      </w:r>
      <w:r>
        <w:rPr>
          <w:spacing w:val="2"/>
          <w:sz w:val="24"/>
        </w:rPr>
        <w:t>4-10.</w:t>
      </w:r>
    </w:p>
    <w:p>
      <w:pPr>
        <w:pStyle w:val="ListParagraph"/>
        <w:numPr>
          <w:ilvl w:val="0"/>
          <w:numId w:val="15"/>
        </w:numPr>
        <w:tabs>
          <w:tab w:pos="477" w:val="left" w:leader="none"/>
        </w:tabs>
        <w:spacing w:line="360" w:lineRule="auto" w:before="2" w:after="0"/>
        <w:ind w:left="477" w:right="122" w:hanging="361"/>
        <w:jc w:val="both"/>
        <w:rPr>
          <w:sz w:val="24"/>
        </w:rPr>
      </w:pPr>
      <w:r>
        <w:rPr>
          <w:sz w:val="24"/>
        </w:rPr>
        <w:t>Merino ME. Lactancia materna y su relación con las anomalías dentofaciales. Revisión de la Literatura. Acta Odontol Venez. 2003;41(2):</w:t>
      </w:r>
      <w:r>
        <w:rPr>
          <w:spacing w:val="-15"/>
          <w:sz w:val="24"/>
        </w:rPr>
        <w:t> </w:t>
      </w:r>
      <w:r>
        <w:rPr>
          <w:sz w:val="24"/>
        </w:rPr>
        <w:t>2-9</w:t>
      </w:r>
    </w:p>
    <w:p>
      <w:pPr>
        <w:pStyle w:val="ListParagraph"/>
        <w:numPr>
          <w:ilvl w:val="0"/>
          <w:numId w:val="15"/>
        </w:numPr>
        <w:tabs>
          <w:tab w:pos="477" w:val="left" w:leader="none"/>
        </w:tabs>
        <w:spacing w:line="360" w:lineRule="auto" w:before="8" w:after="0"/>
        <w:ind w:left="477" w:right="295" w:hanging="361"/>
        <w:jc w:val="left"/>
        <w:rPr>
          <w:sz w:val="24"/>
        </w:rPr>
      </w:pPr>
      <w:r>
        <w:rPr>
          <w:sz w:val="24"/>
        </w:rPr>
        <w:t>Raftowicz </w:t>
      </w:r>
      <w:r>
        <w:rPr>
          <w:spacing w:val="2"/>
          <w:sz w:val="24"/>
        </w:rPr>
        <w:t>WK, </w:t>
      </w:r>
      <w:r>
        <w:rPr>
          <w:sz w:val="24"/>
        </w:rPr>
        <w:t>Matthews BT, Kawala B, Antoszewska J. The effects of</w:t>
      </w:r>
      <w:r>
        <w:rPr>
          <w:spacing w:val="-40"/>
          <w:sz w:val="24"/>
        </w:rPr>
        <w:t> </w:t>
      </w:r>
      <w:r>
        <w:rPr>
          <w:sz w:val="24"/>
        </w:rPr>
        <w:t>breast feeding on occlusion in primary dentition. W Med Univ. 2011;20 (3):372-</w:t>
      </w:r>
      <w:r>
        <w:rPr>
          <w:spacing w:val="-20"/>
          <w:sz w:val="24"/>
        </w:rPr>
        <w:t> </w:t>
      </w:r>
      <w:r>
        <w:rPr>
          <w:sz w:val="24"/>
        </w:rPr>
        <w:t>375.</w:t>
      </w:r>
    </w:p>
    <w:p>
      <w:pPr>
        <w:pStyle w:val="ListParagraph"/>
        <w:numPr>
          <w:ilvl w:val="0"/>
          <w:numId w:val="15"/>
        </w:numPr>
        <w:tabs>
          <w:tab w:pos="477" w:val="left" w:leader="none"/>
        </w:tabs>
        <w:spacing w:line="362" w:lineRule="auto" w:before="2" w:after="0"/>
        <w:ind w:left="477" w:right="120" w:hanging="361"/>
        <w:jc w:val="both"/>
        <w:rPr>
          <w:sz w:val="24"/>
        </w:rPr>
      </w:pPr>
      <w:r>
        <w:rPr>
          <w:sz w:val="24"/>
        </w:rPr>
        <w:t>Santiago CA, Santiago LY, Cidere ZM, Gómez RI, Díaz BR. Evaluación del tiempo de la lactancia materna como factor </w:t>
      </w:r>
      <w:r>
        <w:rPr>
          <w:spacing w:val="5"/>
          <w:sz w:val="24"/>
        </w:rPr>
        <w:t>de </w:t>
      </w:r>
      <w:r>
        <w:rPr>
          <w:sz w:val="24"/>
        </w:rPr>
        <w:t>riesgo en alteraciones del la oclusión dentaria temporal. Mediciego 2011;17(1):</w:t>
      </w:r>
      <w:r>
        <w:rPr>
          <w:spacing w:val="-15"/>
          <w:sz w:val="24"/>
        </w:rPr>
        <w:t> </w:t>
      </w:r>
      <w:r>
        <w:rPr>
          <w:sz w:val="24"/>
        </w:rPr>
        <w:t>5-13.</w:t>
      </w:r>
    </w:p>
    <w:p>
      <w:pPr>
        <w:pStyle w:val="ListParagraph"/>
        <w:numPr>
          <w:ilvl w:val="0"/>
          <w:numId w:val="15"/>
        </w:numPr>
        <w:tabs>
          <w:tab w:pos="477" w:val="left" w:leader="none"/>
        </w:tabs>
        <w:spacing w:line="360" w:lineRule="auto" w:before="0" w:after="0"/>
        <w:ind w:left="477" w:right="375" w:hanging="361"/>
        <w:jc w:val="left"/>
        <w:rPr>
          <w:sz w:val="24"/>
        </w:rPr>
      </w:pPr>
      <w:r>
        <w:rPr>
          <w:sz w:val="24"/>
        </w:rPr>
        <w:t>Blanco CL, Guerra ME, Rodríguez S. Lactancia materna en la prevención</w:t>
      </w:r>
      <w:r>
        <w:rPr>
          <w:spacing w:val="-32"/>
          <w:sz w:val="24"/>
        </w:rPr>
        <w:t> </w:t>
      </w:r>
      <w:r>
        <w:rPr>
          <w:sz w:val="24"/>
        </w:rPr>
        <w:t>de hábitos orales viciosos de succión y deglución. Acta Odontol Venez. 2007;45(1):</w:t>
      </w:r>
      <w:r>
        <w:rPr>
          <w:spacing w:val="-3"/>
          <w:sz w:val="24"/>
        </w:rPr>
        <w:t> </w:t>
      </w:r>
      <w:r>
        <w:rPr>
          <w:sz w:val="24"/>
        </w:rPr>
        <w:t>21-5</w:t>
      </w:r>
    </w:p>
    <w:p>
      <w:pPr>
        <w:pStyle w:val="ListParagraph"/>
        <w:numPr>
          <w:ilvl w:val="0"/>
          <w:numId w:val="15"/>
        </w:numPr>
        <w:tabs>
          <w:tab w:pos="477" w:val="left" w:leader="none"/>
        </w:tabs>
        <w:spacing w:line="360" w:lineRule="auto" w:before="8" w:after="0"/>
        <w:ind w:left="477" w:right="117" w:hanging="361"/>
        <w:jc w:val="both"/>
        <w:rPr>
          <w:sz w:val="24"/>
        </w:rPr>
      </w:pPr>
      <w:r>
        <w:rPr>
          <w:sz w:val="24"/>
        </w:rPr>
        <w:t>Larsson E. Sucking, chewing and feeding habits and the development of cross bite: a longitudinal study of girls from birth </w:t>
      </w:r>
      <w:r>
        <w:rPr>
          <w:spacing w:val="-3"/>
          <w:sz w:val="24"/>
        </w:rPr>
        <w:t>to </w:t>
      </w:r>
      <w:r>
        <w:rPr>
          <w:sz w:val="24"/>
        </w:rPr>
        <w:t>3 years of age. Angle Orthod. 2001; 71(2):</w:t>
      </w:r>
      <w:r>
        <w:rPr>
          <w:spacing w:val="-9"/>
          <w:sz w:val="24"/>
        </w:rPr>
        <w:t> </w:t>
      </w:r>
      <w:r>
        <w:rPr>
          <w:sz w:val="24"/>
        </w:rPr>
        <w:t>116-119.</w:t>
      </w:r>
    </w:p>
    <w:p>
      <w:pPr>
        <w:spacing w:after="0" w:line="360" w:lineRule="auto"/>
        <w:jc w:val="both"/>
        <w:rPr>
          <w:sz w:val="24"/>
        </w:rPr>
        <w:sectPr>
          <w:footerReference w:type="default" r:id="rId19"/>
          <w:pgSz w:w="12240" w:h="15840"/>
          <w:pgMar w:footer="942" w:header="0" w:top="1500" w:bottom="1140" w:left="1660" w:right="1580"/>
          <w:pgNumType w:start="41"/>
        </w:sectPr>
      </w:pPr>
    </w:p>
    <w:p>
      <w:pPr>
        <w:pStyle w:val="BodyText"/>
        <w:spacing w:before="10"/>
        <w:rPr>
          <w:sz w:val="10"/>
        </w:rPr>
      </w:pPr>
    </w:p>
    <w:p>
      <w:pPr>
        <w:pStyle w:val="ListParagraph"/>
        <w:numPr>
          <w:ilvl w:val="0"/>
          <w:numId w:val="15"/>
        </w:numPr>
        <w:tabs>
          <w:tab w:pos="477" w:val="left" w:leader="none"/>
        </w:tabs>
        <w:spacing w:line="362" w:lineRule="auto" w:before="70" w:after="0"/>
        <w:ind w:left="477" w:right="115" w:hanging="361"/>
        <w:jc w:val="both"/>
        <w:rPr>
          <w:sz w:val="24"/>
        </w:rPr>
      </w:pPr>
      <w:r>
        <w:rPr>
          <w:sz w:val="24"/>
        </w:rPr>
        <w:t>Sanchez M, Grau J,Lisheid C, Ustrel J. Comparative study of the craniofacial growth depending on the type of lactation recived. Eur J Paediatr Dent.2010;11 (2): 87-92.</w:t>
      </w:r>
    </w:p>
    <w:p>
      <w:pPr>
        <w:pStyle w:val="ListParagraph"/>
        <w:numPr>
          <w:ilvl w:val="0"/>
          <w:numId w:val="15"/>
        </w:numPr>
        <w:tabs>
          <w:tab w:pos="477" w:val="left" w:leader="none"/>
        </w:tabs>
        <w:spacing w:line="360" w:lineRule="auto" w:before="0" w:after="0"/>
        <w:ind w:left="477" w:right="123" w:hanging="361"/>
        <w:jc w:val="both"/>
        <w:rPr>
          <w:sz w:val="24"/>
        </w:rPr>
      </w:pPr>
      <w:r>
        <w:rPr>
          <w:sz w:val="24"/>
        </w:rPr>
        <w:t>Rennick L, VannW, Dee </w:t>
      </w:r>
      <w:r>
        <w:rPr>
          <w:spacing w:val="-3"/>
          <w:sz w:val="24"/>
        </w:rPr>
        <w:t>D. </w:t>
      </w:r>
      <w:r>
        <w:rPr>
          <w:sz w:val="24"/>
        </w:rPr>
        <w:t>Breastfeeding. An overview of oral and general health benefits. JADA 2013; 144 (2):</w:t>
      </w:r>
      <w:r>
        <w:rPr>
          <w:spacing w:val="-15"/>
          <w:sz w:val="24"/>
        </w:rPr>
        <w:t> </w:t>
      </w:r>
      <w:r>
        <w:rPr>
          <w:sz w:val="24"/>
        </w:rPr>
        <w:t>143-151.</w:t>
      </w:r>
    </w:p>
    <w:p>
      <w:pPr>
        <w:pStyle w:val="ListParagraph"/>
        <w:numPr>
          <w:ilvl w:val="0"/>
          <w:numId w:val="15"/>
        </w:numPr>
        <w:tabs>
          <w:tab w:pos="477" w:val="left" w:leader="none"/>
        </w:tabs>
        <w:spacing w:line="360" w:lineRule="auto" w:before="8" w:after="0"/>
        <w:ind w:left="477" w:right="115" w:hanging="361"/>
        <w:jc w:val="both"/>
        <w:rPr>
          <w:sz w:val="24"/>
        </w:rPr>
      </w:pPr>
      <w:r>
        <w:rPr>
          <w:sz w:val="24"/>
        </w:rPr>
        <w:t>Osorio J, Botero B. Factors associated to the duration </w:t>
      </w:r>
      <w:r>
        <w:rPr>
          <w:spacing w:val="5"/>
          <w:sz w:val="24"/>
        </w:rPr>
        <w:t>of </w:t>
      </w:r>
      <w:r>
        <w:rPr>
          <w:sz w:val="24"/>
        </w:rPr>
        <w:t>exclusive breastfeeding. Invest Educ Enferm. 2012;</w:t>
      </w:r>
      <w:r>
        <w:rPr>
          <w:spacing w:val="-22"/>
          <w:sz w:val="24"/>
        </w:rPr>
        <w:t> </w:t>
      </w:r>
      <w:r>
        <w:rPr>
          <w:sz w:val="24"/>
        </w:rPr>
        <w:t>30(3):390-396.</w:t>
      </w:r>
    </w:p>
    <w:p>
      <w:pPr>
        <w:pStyle w:val="ListParagraph"/>
        <w:numPr>
          <w:ilvl w:val="0"/>
          <w:numId w:val="15"/>
        </w:numPr>
        <w:tabs>
          <w:tab w:pos="477" w:val="left" w:leader="none"/>
        </w:tabs>
        <w:spacing w:line="362" w:lineRule="auto" w:before="2" w:after="0"/>
        <w:ind w:left="477" w:right="124" w:hanging="361"/>
        <w:jc w:val="both"/>
        <w:rPr>
          <w:sz w:val="24"/>
        </w:rPr>
      </w:pPr>
      <w:r>
        <w:rPr>
          <w:sz w:val="24"/>
        </w:rPr>
        <w:t>Montaldo L, Montaldo P, Cuccaro P, Caramico N, Minervini G. Effects of feeding on non-nutritive sucking habits and implications on occlusion in mixed dentition. International Journal of Pediatric Dentistry.</w:t>
      </w:r>
      <w:r>
        <w:rPr>
          <w:spacing w:val="-22"/>
          <w:sz w:val="24"/>
        </w:rPr>
        <w:t> </w:t>
      </w:r>
      <w:r>
        <w:rPr>
          <w:sz w:val="24"/>
        </w:rPr>
        <w:t>2011;(21):68-73.</w:t>
      </w:r>
    </w:p>
    <w:p>
      <w:pPr>
        <w:pStyle w:val="ListParagraph"/>
        <w:numPr>
          <w:ilvl w:val="0"/>
          <w:numId w:val="15"/>
        </w:numPr>
        <w:tabs>
          <w:tab w:pos="477" w:val="left" w:leader="none"/>
        </w:tabs>
        <w:spacing w:line="360" w:lineRule="auto" w:before="0" w:after="0"/>
        <w:ind w:left="477" w:right="115" w:hanging="361"/>
        <w:jc w:val="both"/>
        <w:rPr>
          <w:sz w:val="24"/>
        </w:rPr>
      </w:pPr>
      <w:r>
        <w:rPr>
          <w:sz w:val="24"/>
        </w:rPr>
        <w:t>Viggiano D, Fasano D, Monaco G, Strohme L. Breast feeding, bottle feeding, and non-nutritive sucking; effects on occlusion in deciduous dentition. Arch Dis Child 2004;</w:t>
      </w:r>
      <w:r>
        <w:rPr>
          <w:spacing w:val="-8"/>
          <w:sz w:val="24"/>
        </w:rPr>
        <w:t> </w:t>
      </w:r>
      <w:r>
        <w:rPr>
          <w:sz w:val="24"/>
        </w:rPr>
        <w:t>(89):1121-1123.</w:t>
      </w:r>
    </w:p>
    <w:p>
      <w:pPr>
        <w:pStyle w:val="ListParagraph"/>
        <w:numPr>
          <w:ilvl w:val="0"/>
          <w:numId w:val="15"/>
        </w:numPr>
        <w:tabs>
          <w:tab w:pos="477" w:val="left" w:leader="none"/>
        </w:tabs>
        <w:spacing w:line="360" w:lineRule="auto" w:before="7" w:after="0"/>
        <w:ind w:left="477" w:right="120" w:hanging="361"/>
        <w:jc w:val="both"/>
        <w:rPr>
          <w:sz w:val="24"/>
        </w:rPr>
      </w:pPr>
      <w:r>
        <w:rPr>
          <w:sz w:val="24"/>
        </w:rPr>
        <w:t>Bishara S, Warren J, Broffitt B, Levy S. Changes in the prevalence of nonnutritive sucking patterns in the first 8 years of life. Am J Orthop 2006. 130 (1): 31-36.</w:t>
      </w:r>
    </w:p>
    <w:p>
      <w:pPr>
        <w:pStyle w:val="ListParagraph"/>
        <w:numPr>
          <w:ilvl w:val="0"/>
          <w:numId w:val="15"/>
        </w:numPr>
        <w:tabs>
          <w:tab w:pos="477" w:val="left" w:leader="none"/>
        </w:tabs>
        <w:spacing w:line="360" w:lineRule="auto" w:before="3" w:after="0"/>
        <w:ind w:left="477" w:right="119" w:hanging="361"/>
        <w:jc w:val="both"/>
        <w:rPr>
          <w:sz w:val="24"/>
        </w:rPr>
      </w:pPr>
      <w:r>
        <w:rPr>
          <w:sz w:val="24"/>
        </w:rPr>
        <w:t>Warren J, Bishara S. Duration of nutritive an nonnutritive sucking behaviors and their effects on the dental arches in the primary dentition. Am J Orthop 2002; 121:</w:t>
      </w:r>
      <w:r>
        <w:rPr>
          <w:spacing w:val="-5"/>
          <w:sz w:val="24"/>
        </w:rPr>
        <w:t> </w:t>
      </w:r>
      <w:r>
        <w:rPr>
          <w:sz w:val="24"/>
        </w:rPr>
        <w:t>347-356.</w:t>
      </w:r>
    </w:p>
    <w:p>
      <w:pPr>
        <w:pStyle w:val="ListParagraph"/>
        <w:numPr>
          <w:ilvl w:val="0"/>
          <w:numId w:val="15"/>
        </w:numPr>
        <w:tabs>
          <w:tab w:pos="477" w:val="left" w:leader="none"/>
        </w:tabs>
        <w:spacing w:line="360" w:lineRule="auto" w:before="2" w:after="0"/>
        <w:ind w:left="477" w:right="114" w:hanging="361"/>
        <w:jc w:val="both"/>
        <w:rPr>
          <w:sz w:val="24"/>
        </w:rPr>
      </w:pPr>
      <w:r>
        <w:rPr>
          <w:sz w:val="24"/>
        </w:rPr>
        <w:t>Rodríguez A, Rodríguez E, Araujo J, Rivas </w:t>
      </w:r>
      <w:r>
        <w:rPr>
          <w:spacing w:val="-4"/>
          <w:sz w:val="24"/>
        </w:rPr>
        <w:t>E, </w:t>
      </w:r>
      <w:r>
        <w:rPr>
          <w:sz w:val="24"/>
        </w:rPr>
        <w:t>Taren D. Prácticas de lactancia materna en niños de la ciudad de Durango, Dgo, México.  Enlaces académicos. 2008;1 (1):</w:t>
      </w:r>
      <w:r>
        <w:rPr>
          <w:spacing w:val="-11"/>
          <w:sz w:val="24"/>
        </w:rPr>
        <w:t> </w:t>
      </w:r>
      <w:r>
        <w:rPr>
          <w:sz w:val="24"/>
        </w:rPr>
        <w:t>5-15.</w:t>
      </w:r>
    </w:p>
    <w:p>
      <w:pPr>
        <w:pStyle w:val="ListParagraph"/>
        <w:numPr>
          <w:ilvl w:val="0"/>
          <w:numId w:val="15"/>
        </w:numPr>
        <w:tabs>
          <w:tab w:pos="545" w:val="left" w:leader="none"/>
        </w:tabs>
        <w:spacing w:line="360" w:lineRule="auto" w:before="7" w:after="0"/>
        <w:ind w:left="477" w:right="118" w:hanging="361"/>
        <w:jc w:val="both"/>
        <w:rPr>
          <w:sz w:val="24"/>
        </w:rPr>
      </w:pPr>
      <w:r>
        <w:rPr>
          <w:sz w:val="24"/>
        </w:rPr>
        <w:t>Rephelli NA, Xavier </w:t>
      </w:r>
      <w:r>
        <w:rPr>
          <w:spacing w:val="-2"/>
          <w:sz w:val="24"/>
        </w:rPr>
        <w:t>MP, </w:t>
      </w:r>
      <w:r>
        <w:rPr>
          <w:sz w:val="24"/>
        </w:rPr>
        <w:t>Barra MR, Phineiro AA, Inés FR, Malester GF. Association Between infant feeding duration and the terminal relationshipos of the primary seconds molars. Braz. J Oral.</w:t>
      </w:r>
      <w:r>
        <w:rPr>
          <w:spacing w:val="-15"/>
          <w:sz w:val="24"/>
        </w:rPr>
        <w:t> </w:t>
      </w:r>
      <w:r>
        <w:rPr>
          <w:sz w:val="24"/>
        </w:rPr>
        <w:t>2011;10(2):141-145</w:t>
      </w:r>
    </w:p>
    <w:p>
      <w:pPr>
        <w:pStyle w:val="ListParagraph"/>
        <w:numPr>
          <w:ilvl w:val="0"/>
          <w:numId w:val="15"/>
        </w:numPr>
        <w:tabs>
          <w:tab w:pos="477" w:val="left" w:leader="none"/>
        </w:tabs>
        <w:spacing w:line="362" w:lineRule="auto" w:before="2" w:after="0"/>
        <w:ind w:left="477" w:right="115" w:hanging="361"/>
        <w:jc w:val="both"/>
        <w:rPr>
          <w:sz w:val="24"/>
        </w:rPr>
      </w:pPr>
      <w:r>
        <w:rPr>
          <w:sz w:val="24"/>
        </w:rPr>
        <w:t>Suzely M, ZinaLG, Saliba NA, Saliba O. Association between Brest-feeding practices and sucking habits: Across sectional study of children in the first years of life. J Indian Soc of Pedod Prev Dent. 2008;</w:t>
      </w:r>
      <w:r>
        <w:rPr>
          <w:spacing w:val="-18"/>
          <w:sz w:val="24"/>
        </w:rPr>
        <w:t> </w:t>
      </w:r>
      <w:r>
        <w:rPr>
          <w:sz w:val="24"/>
        </w:rPr>
        <w:t>26(3):102-106.</w:t>
      </w:r>
    </w:p>
    <w:p>
      <w:pPr>
        <w:pStyle w:val="ListParagraph"/>
        <w:numPr>
          <w:ilvl w:val="0"/>
          <w:numId w:val="15"/>
        </w:numPr>
        <w:tabs>
          <w:tab w:pos="477" w:val="left" w:leader="none"/>
        </w:tabs>
        <w:spacing w:line="360" w:lineRule="auto" w:before="0" w:after="0"/>
        <w:ind w:left="477" w:right="129" w:hanging="361"/>
        <w:jc w:val="both"/>
        <w:rPr>
          <w:sz w:val="24"/>
        </w:rPr>
      </w:pPr>
      <w:r>
        <w:rPr>
          <w:sz w:val="24"/>
        </w:rPr>
        <w:t>Torres M. Desarrollo de la dentición. La dentición primaria. Rev Lat Ortodon Odontoped. [Revista en Internet] octubre  2009. [acceso 15 julio 2013</w:t>
      </w:r>
      <w:r>
        <w:rPr>
          <w:spacing w:val="-24"/>
          <w:sz w:val="24"/>
        </w:rPr>
        <w:t> </w:t>
      </w:r>
      <w:r>
        <w:rPr>
          <w:sz w:val="24"/>
        </w:rPr>
        <w:t>]</w:t>
      </w:r>
    </w:p>
    <w:p>
      <w:pPr>
        <w:spacing w:after="0" w:line="360" w:lineRule="auto"/>
        <w:jc w:val="both"/>
        <w:rPr>
          <w:sz w:val="24"/>
        </w:rPr>
        <w:sectPr>
          <w:pgSz w:w="12240" w:h="15840"/>
          <w:pgMar w:header="0" w:footer="942" w:top="1500" w:bottom="1200" w:left="1660" w:right="1580"/>
        </w:sectPr>
      </w:pPr>
    </w:p>
    <w:p>
      <w:pPr>
        <w:pStyle w:val="BodyText"/>
        <w:spacing w:before="10"/>
        <w:rPr>
          <w:sz w:val="10"/>
        </w:rPr>
      </w:pPr>
    </w:p>
    <w:p>
      <w:pPr>
        <w:pStyle w:val="ListParagraph"/>
        <w:numPr>
          <w:ilvl w:val="0"/>
          <w:numId w:val="15"/>
        </w:numPr>
        <w:tabs>
          <w:tab w:pos="477" w:val="left" w:leader="none"/>
        </w:tabs>
        <w:spacing w:line="364" w:lineRule="auto" w:before="70" w:after="0"/>
        <w:ind w:left="477" w:right="126" w:hanging="361"/>
        <w:jc w:val="both"/>
        <w:rPr>
          <w:sz w:val="24"/>
        </w:rPr>
      </w:pPr>
      <w:r>
        <w:rPr>
          <w:sz w:val="24"/>
        </w:rPr>
        <w:t>Rodríguez M, Díaz N. Características de la oclusión en niños prescolares. Odous científica.</w:t>
      </w:r>
      <w:r>
        <w:rPr>
          <w:spacing w:val="-8"/>
          <w:sz w:val="24"/>
        </w:rPr>
        <w:t> </w:t>
      </w:r>
      <w:r>
        <w:rPr>
          <w:sz w:val="24"/>
        </w:rPr>
        <w:t>2012;1(13):13-18.</w:t>
      </w:r>
    </w:p>
    <w:p>
      <w:pPr>
        <w:pStyle w:val="ListParagraph"/>
        <w:numPr>
          <w:ilvl w:val="0"/>
          <w:numId w:val="15"/>
        </w:numPr>
        <w:tabs>
          <w:tab w:pos="477" w:val="left" w:leader="none"/>
        </w:tabs>
        <w:spacing w:line="360" w:lineRule="auto" w:before="0" w:after="0"/>
        <w:ind w:left="477" w:right="127" w:hanging="361"/>
        <w:jc w:val="both"/>
        <w:rPr>
          <w:sz w:val="24"/>
        </w:rPr>
      </w:pPr>
      <w:r>
        <w:rPr>
          <w:sz w:val="24"/>
        </w:rPr>
        <w:t>Serna C, Silva R. Características de la Oclusión con dentición primaria en la Ciudad de México. Rev. ADM. 2005;</w:t>
      </w:r>
      <w:r>
        <w:rPr>
          <w:spacing w:val="-13"/>
          <w:sz w:val="24"/>
        </w:rPr>
        <w:t> </w:t>
      </w:r>
      <w:r>
        <w:rPr>
          <w:sz w:val="24"/>
        </w:rPr>
        <w:t>62(2):45-51.</w:t>
      </w:r>
    </w:p>
    <w:p>
      <w:pPr>
        <w:pStyle w:val="ListParagraph"/>
        <w:numPr>
          <w:ilvl w:val="0"/>
          <w:numId w:val="15"/>
        </w:numPr>
        <w:tabs>
          <w:tab w:pos="477" w:val="left" w:leader="none"/>
        </w:tabs>
        <w:spacing w:line="362" w:lineRule="auto" w:before="2" w:after="0"/>
        <w:ind w:left="477" w:right="126" w:hanging="361"/>
        <w:jc w:val="both"/>
        <w:rPr>
          <w:sz w:val="24"/>
        </w:rPr>
      </w:pPr>
      <w:r>
        <w:rPr>
          <w:sz w:val="24"/>
        </w:rPr>
        <w:t>Da Silva F, Nunes do Rego V, Balerine S, Penteado L, Okada T, Fernández J. Relación intrarcada en la dentición temporal: Diastemas, ausencia de diastemas y apiñamiento. Ortodoncia española 2002; 42</w:t>
      </w:r>
      <w:r>
        <w:rPr>
          <w:spacing w:val="-23"/>
          <w:sz w:val="24"/>
        </w:rPr>
        <w:t> </w:t>
      </w:r>
      <w:r>
        <w:rPr>
          <w:sz w:val="24"/>
        </w:rPr>
        <w:t>(2):77-84.</w:t>
      </w:r>
    </w:p>
    <w:p>
      <w:pPr>
        <w:pStyle w:val="ListParagraph"/>
        <w:numPr>
          <w:ilvl w:val="0"/>
          <w:numId w:val="15"/>
        </w:numPr>
        <w:tabs>
          <w:tab w:pos="477" w:val="left" w:leader="none"/>
        </w:tabs>
        <w:spacing w:line="362" w:lineRule="auto" w:before="0" w:after="0"/>
        <w:ind w:left="477" w:right="120" w:hanging="361"/>
        <w:jc w:val="both"/>
        <w:rPr>
          <w:sz w:val="24"/>
        </w:rPr>
      </w:pPr>
      <w:r>
        <w:rPr>
          <w:sz w:val="24"/>
        </w:rPr>
        <w:t>Williams F, Valverde R, Meneses A. Dimensiones de arcos y relaciones oclusales en dentición decidua completa. Rev Estomatol Herediana 2004; 14 (1-2):22-26.</w:t>
      </w:r>
    </w:p>
    <w:p>
      <w:pPr>
        <w:pStyle w:val="ListParagraph"/>
        <w:numPr>
          <w:ilvl w:val="0"/>
          <w:numId w:val="15"/>
        </w:numPr>
        <w:tabs>
          <w:tab w:pos="477" w:val="left" w:leader="none"/>
        </w:tabs>
        <w:spacing w:line="357" w:lineRule="auto" w:before="0" w:after="0"/>
        <w:ind w:left="477" w:right="114" w:hanging="361"/>
        <w:jc w:val="both"/>
        <w:rPr>
          <w:sz w:val="24"/>
        </w:rPr>
      </w:pPr>
      <w:r>
        <w:rPr>
          <w:sz w:val="24"/>
        </w:rPr>
        <w:t>Romero C, Scavonne-Jinior H, Garib D, Cotrim-Ferreira F. Breastfeding and non-nutritive sucking patterns related to the prevalence of anterior open bite in primary dentition. J App Oral Sci 2011; 19 (2):</w:t>
      </w:r>
      <w:r>
        <w:rPr>
          <w:spacing w:val="-16"/>
          <w:sz w:val="24"/>
        </w:rPr>
        <w:t> </w:t>
      </w:r>
      <w:r>
        <w:rPr>
          <w:sz w:val="24"/>
        </w:rPr>
        <w:t>161-8.</w:t>
      </w:r>
    </w:p>
    <w:p>
      <w:pPr>
        <w:spacing w:after="0" w:line="357" w:lineRule="auto"/>
        <w:jc w:val="both"/>
        <w:rPr>
          <w:sz w:val="24"/>
        </w:rPr>
        <w:sectPr>
          <w:pgSz w:w="12240" w:h="15840"/>
          <w:pgMar w:header="0" w:footer="942" w:top="1500" w:bottom="1200" w:left="1660" w:right="1580"/>
        </w:sectPr>
      </w:pPr>
    </w:p>
    <w:p>
      <w:pPr>
        <w:pStyle w:val="BodyText"/>
        <w:spacing w:before="1"/>
        <w:rPr>
          <w:sz w:val="10"/>
        </w:rPr>
      </w:pPr>
    </w:p>
    <w:p>
      <w:pPr>
        <w:pStyle w:val="Heading1"/>
        <w:ind w:left="5366" w:right="3439"/>
        <w:jc w:val="center"/>
      </w:pPr>
      <w:r>
        <w:rPr/>
        <w:drawing>
          <wp:anchor distT="0" distB="0" distL="0" distR="0" allowOverlap="1" layoutInCell="1" locked="0" behindDoc="1" simplePos="0" relativeHeight="268372559">
            <wp:simplePos x="0" y="0"/>
            <wp:positionH relativeFrom="page">
              <wp:posOffset>344170</wp:posOffset>
            </wp:positionH>
            <wp:positionV relativeFrom="paragraph">
              <wp:posOffset>-55678</wp:posOffset>
            </wp:positionV>
            <wp:extent cx="973455" cy="876300"/>
            <wp:effectExtent l="0" t="0" r="0" b="0"/>
            <wp:wrapNone/>
            <wp:docPr id="13" name="image1.jpeg" descr=""/>
            <wp:cNvGraphicFramePr>
              <a:graphicFrameLocks noChangeAspect="1"/>
            </wp:cNvGraphicFramePr>
            <a:graphic>
              <a:graphicData uri="http://schemas.openxmlformats.org/drawingml/2006/picture">
                <pic:pic>
                  <pic:nvPicPr>
                    <pic:cNvPr id="14" name="image1.jpeg"/>
                    <pic:cNvPicPr/>
                  </pic:nvPicPr>
                  <pic:blipFill>
                    <a:blip r:embed="rId5" cstate="print"/>
                    <a:stretch>
                      <a:fillRect/>
                    </a:stretch>
                  </pic:blipFill>
                  <pic:spPr>
                    <a:xfrm>
                      <a:off x="0" y="0"/>
                      <a:ext cx="973455" cy="876300"/>
                    </a:xfrm>
                    <a:prstGeom prst="rect">
                      <a:avLst/>
                    </a:prstGeom>
                  </pic:spPr>
                </pic:pic>
              </a:graphicData>
            </a:graphic>
          </wp:anchor>
        </w:drawing>
      </w:r>
      <w:r>
        <w:rPr/>
        <w:t>XII ANEXOS</w:t>
      </w:r>
    </w:p>
    <w:p>
      <w:pPr>
        <w:pStyle w:val="BodyText"/>
        <w:spacing w:before="5"/>
        <w:rPr>
          <w:b/>
          <w:sz w:val="29"/>
        </w:rPr>
      </w:pPr>
    </w:p>
    <w:p>
      <w:pPr>
        <w:spacing w:before="0"/>
        <w:ind w:left="4659" w:right="51" w:firstLine="0"/>
        <w:jc w:val="left"/>
        <w:rPr>
          <w:b/>
          <w:sz w:val="24"/>
        </w:rPr>
      </w:pPr>
      <w:r>
        <w:rPr>
          <w:b/>
          <w:sz w:val="24"/>
          <w:u w:val="thick"/>
        </w:rPr>
        <w:t>Cuestionario </w:t>
      </w:r>
      <w:r>
        <w:rPr>
          <w:b/>
          <w:sz w:val="24"/>
        </w:rPr>
        <w:t>(anexo 1)</w:t>
      </w:r>
    </w:p>
    <w:p>
      <w:pPr>
        <w:pStyle w:val="BodyText"/>
        <w:spacing w:before="10"/>
        <w:rPr>
          <w:b/>
          <w:sz w:val="15"/>
        </w:rPr>
      </w:pPr>
    </w:p>
    <w:p>
      <w:pPr>
        <w:pStyle w:val="BodyText"/>
        <w:spacing w:line="271" w:lineRule="auto" w:before="69"/>
        <w:ind w:left="976" w:right="51" w:firstLine="835"/>
      </w:pPr>
      <w:r>
        <w:rPr/>
        <w:t>El Objetivo de esta investigación es el evaluar si la lactancia materna influye en el desarrollo de la oclusión de los dientes temporales.</w:t>
      </w:r>
    </w:p>
    <w:p>
      <w:pPr>
        <w:pStyle w:val="BodyText"/>
        <w:rPr>
          <w:sz w:val="12"/>
        </w:rPr>
      </w:pPr>
    </w:p>
    <w:p>
      <w:pPr>
        <w:pStyle w:val="BodyText"/>
        <w:tabs>
          <w:tab w:pos="3842" w:val="left" w:leader="none"/>
          <w:tab w:pos="5972" w:val="left" w:leader="none"/>
          <w:tab w:pos="9095" w:val="left" w:leader="none"/>
        </w:tabs>
        <w:spacing w:before="70"/>
        <w:ind w:left="976" w:right="51"/>
      </w:pPr>
      <w:r>
        <w:rPr/>
        <w:t>Fecha:</w:t>
      </w:r>
      <w:r>
        <w:rPr>
          <w:u w:val="single"/>
        </w:rPr>
        <w:t> </w:t>
        <w:tab/>
      </w:r>
      <w:r>
        <w:rPr/>
        <w:tab/>
        <w:t>Folio:</w:t>
      </w:r>
      <w:r>
        <w:rPr>
          <w:spacing w:val="1"/>
        </w:rPr>
        <w:t> </w:t>
      </w:r>
      <w:r>
        <w:rPr>
          <w:w w:val="100"/>
          <w:u w:val="single"/>
        </w:rPr>
        <w:t> </w:t>
      </w:r>
      <w:r>
        <w:rPr>
          <w:u w:val="single"/>
        </w:rPr>
        <w:tab/>
      </w:r>
    </w:p>
    <w:p>
      <w:pPr>
        <w:pStyle w:val="BodyText"/>
        <w:rPr>
          <w:sz w:val="15"/>
        </w:rPr>
      </w:pPr>
    </w:p>
    <w:p>
      <w:pPr>
        <w:pStyle w:val="BodyText"/>
        <w:tabs>
          <w:tab w:pos="9898" w:val="left" w:leader="none"/>
        </w:tabs>
        <w:spacing w:before="70"/>
        <w:ind w:left="976" w:right="51"/>
      </w:pPr>
      <w:r>
        <w:rPr/>
        <w:t>Nombre:</w:t>
      </w:r>
      <w:r>
        <w:rPr>
          <w:spacing w:val="1"/>
        </w:rPr>
        <w:t> </w:t>
      </w:r>
      <w:r>
        <w:rPr>
          <w:w w:val="100"/>
          <w:u w:val="single"/>
        </w:rPr>
        <w:t> </w:t>
      </w:r>
      <w:r>
        <w:rPr>
          <w:u w:val="single"/>
        </w:rPr>
        <w:tab/>
      </w:r>
    </w:p>
    <w:p>
      <w:pPr>
        <w:pStyle w:val="BodyText"/>
        <w:rPr>
          <w:sz w:val="15"/>
        </w:rPr>
      </w:pPr>
    </w:p>
    <w:p>
      <w:pPr>
        <w:pStyle w:val="BodyText"/>
        <w:tabs>
          <w:tab w:pos="3468" w:val="left" w:leader="none"/>
        </w:tabs>
        <w:spacing w:before="70"/>
        <w:ind w:left="976" w:right="51"/>
      </w:pPr>
      <w:r>
        <w:rPr/>
        <w:t>Edad:</w:t>
      </w:r>
      <w:r>
        <w:rPr>
          <w:spacing w:val="2"/>
        </w:rPr>
        <w:t> </w:t>
      </w:r>
      <w:r>
        <w:rPr>
          <w:w w:val="100"/>
          <w:u w:val="single"/>
        </w:rPr>
        <w:t> </w:t>
      </w:r>
      <w:r>
        <w:rPr>
          <w:u w:val="single"/>
        </w:rPr>
        <w:tab/>
      </w:r>
    </w:p>
    <w:p>
      <w:pPr>
        <w:pStyle w:val="BodyText"/>
        <w:spacing w:before="1"/>
        <w:rPr>
          <w:sz w:val="15"/>
        </w:rPr>
      </w:pPr>
    </w:p>
    <w:p>
      <w:pPr>
        <w:pStyle w:val="BodyText"/>
        <w:spacing w:line="276" w:lineRule="auto" w:before="69"/>
        <w:ind w:left="976" w:right="122"/>
        <w:jc w:val="both"/>
      </w:pPr>
      <w:r>
        <w:rPr/>
        <w:t>INSTRUCCIONES: coloque una cruz en el recuadro que indique el tiempo durante el cual el niño fue alimentado a Seno Materno, con Biberón, o si fue alimentado tanto a Seno materno como con Biberón</w:t>
      </w:r>
    </w:p>
    <w:p>
      <w:pPr>
        <w:pStyle w:val="BodyText"/>
        <w:spacing w:before="197"/>
        <w:ind w:left="976"/>
        <w:jc w:val="both"/>
      </w:pPr>
      <w:r>
        <w:rPr/>
        <w:t>Alimentación exclusiva  a Seno materno:</w:t>
      </w:r>
    </w:p>
    <w:p>
      <w:pPr>
        <w:pStyle w:val="BodyText"/>
        <w:spacing w:before="10"/>
        <w:rPr>
          <w:sz w:val="21"/>
        </w:rPr>
      </w:pPr>
    </w:p>
    <w:tbl>
      <w:tblPr>
        <w:tblW w:w="0" w:type="auto"/>
        <w:jc w:val="left"/>
        <w:tblInd w:w="1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39"/>
        <w:gridCol w:w="1138"/>
      </w:tblGrid>
      <w:tr>
        <w:trPr>
          <w:trHeight w:val="326" w:hRule="exact"/>
        </w:trPr>
        <w:tc>
          <w:tcPr>
            <w:tcW w:w="2439" w:type="dxa"/>
          </w:tcPr>
          <w:p>
            <w:pPr>
              <w:pStyle w:val="TableParagraph"/>
              <w:rPr>
                <w:i/>
                <w:sz w:val="24"/>
              </w:rPr>
            </w:pPr>
            <w:r>
              <w:rPr>
                <w:i/>
                <w:sz w:val="24"/>
              </w:rPr>
              <w:t>0 a  3 meses</w:t>
            </w:r>
          </w:p>
        </w:tc>
        <w:tc>
          <w:tcPr>
            <w:tcW w:w="1138" w:type="dxa"/>
          </w:tcPr>
          <w:p>
            <w:pPr/>
          </w:p>
        </w:tc>
      </w:tr>
      <w:tr>
        <w:trPr>
          <w:trHeight w:val="331" w:hRule="exact"/>
        </w:trPr>
        <w:tc>
          <w:tcPr>
            <w:tcW w:w="2439" w:type="dxa"/>
          </w:tcPr>
          <w:p>
            <w:pPr/>
          </w:p>
        </w:tc>
        <w:tc>
          <w:tcPr>
            <w:tcW w:w="1138" w:type="dxa"/>
          </w:tcPr>
          <w:p>
            <w:pPr/>
          </w:p>
        </w:tc>
      </w:tr>
      <w:tr>
        <w:trPr>
          <w:trHeight w:val="326" w:hRule="exact"/>
        </w:trPr>
        <w:tc>
          <w:tcPr>
            <w:tcW w:w="2439" w:type="dxa"/>
          </w:tcPr>
          <w:p>
            <w:pPr>
              <w:pStyle w:val="TableParagraph"/>
              <w:rPr>
                <w:i/>
                <w:sz w:val="24"/>
              </w:rPr>
            </w:pPr>
            <w:r>
              <w:rPr>
                <w:i/>
                <w:sz w:val="24"/>
              </w:rPr>
              <w:t>3 meses  a  6 meses</w:t>
            </w:r>
          </w:p>
        </w:tc>
        <w:tc>
          <w:tcPr>
            <w:tcW w:w="1138" w:type="dxa"/>
          </w:tcPr>
          <w:p>
            <w:pPr/>
          </w:p>
        </w:tc>
      </w:tr>
      <w:tr>
        <w:trPr>
          <w:trHeight w:val="326" w:hRule="exact"/>
        </w:trPr>
        <w:tc>
          <w:tcPr>
            <w:tcW w:w="2439" w:type="dxa"/>
          </w:tcPr>
          <w:p>
            <w:pPr>
              <w:pStyle w:val="TableParagraph"/>
              <w:rPr>
                <w:i/>
                <w:sz w:val="24"/>
              </w:rPr>
            </w:pPr>
            <w:r>
              <w:rPr>
                <w:i/>
                <w:sz w:val="24"/>
              </w:rPr>
              <w:t>6 meses a 9 meses</w:t>
            </w:r>
          </w:p>
        </w:tc>
        <w:tc>
          <w:tcPr>
            <w:tcW w:w="1138" w:type="dxa"/>
          </w:tcPr>
          <w:p>
            <w:pPr/>
          </w:p>
        </w:tc>
      </w:tr>
      <w:tr>
        <w:trPr>
          <w:trHeight w:val="327" w:hRule="exact"/>
        </w:trPr>
        <w:tc>
          <w:tcPr>
            <w:tcW w:w="2439" w:type="dxa"/>
          </w:tcPr>
          <w:p>
            <w:pPr>
              <w:pStyle w:val="TableParagraph"/>
              <w:rPr>
                <w:i/>
                <w:sz w:val="24"/>
              </w:rPr>
            </w:pPr>
            <w:r>
              <w:rPr>
                <w:i/>
                <w:sz w:val="24"/>
              </w:rPr>
              <w:t>9 meses a 12 meses</w:t>
            </w:r>
          </w:p>
        </w:tc>
        <w:tc>
          <w:tcPr>
            <w:tcW w:w="1138" w:type="dxa"/>
          </w:tcPr>
          <w:p>
            <w:pPr/>
          </w:p>
        </w:tc>
      </w:tr>
      <w:tr>
        <w:trPr>
          <w:trHeight w:val="326" w:hRule="exact"/>
        </w:trPr>
        <w:tc>
          <w:tcPr>
            <w:tcW w:w="2439" w:type="dxa"/>
          </w:tcPr>
          <w:p>
            <w:pPr>
              <w:pStyle w:val="TableParagraph"/>
              <w:rPr>
                <w:i/>
                <w:sz w:val="24"/>
              </w:rPr>
            </w:pPr>
            <w:r>
              <w:rPr>
                <w:i/>
                <w:sz w:val="24"/>
              </w:rPr>
              <w:t>12 meses o más</w:t>
            </w:r>
          </w:p>
        </w:tc>
        <w:tc>
          <w:tcPr>
            <w:tcW w:w="1138" w:type="dxa"/>
          </w:tcPr>
          <w:p>
            <w:pPr/>
          </w:p>
        </w:tc>
      </w:tr>
    </w:tbl>
    <w:p>
      <w:pPr>
        <w:pStyle w:val="BodyText"/>
        <w:spacing w:before="6"/>
        <w:rPr>
          <w:sz w:val="21"/>
        </w:rPr>
      </w:pPr>
    </w:p>
    <w:p>
      <w:pPr>
        <w:pStyle w:val="BodyText"/>
        <w:spacing w:before="70"/>
        <w:ind w:left="976" w:right="51"/>
      </w:pPr>
      <w:r>
        <w:rPr/>
        <w:t>Alimentación exclusiva con Biberón:</w:t>
      </w:r>
    </w:p>
    <w:p>
      <w:pPr>
        <w:pStyle w:val="BodyText"/>
        <w:rPr>
          <w:sz w:val="20"/>
        </w:rPr>
      </w:pPr>
    </w:p>
    <w:p>
      <w:pPr>
        <w:pStyle w:val="BodyText"/>
        <w:spacing w:before="5"/>
        <w:rPr>
          <w:sz w:val="11"/>
        </w:rPr>
      </w:pPr>
    </w:p>
    <w:tbl>
      <w:tblPr>
        <w:tblW w:w="0" w:type="auto"/>
        <w:jc w:val="left"/>
        <w:tblInd w:w="1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39"/>
        <w:gridCol w:w="1138"/>
      </w:tblGrid>
      <w:tr>
        <w:trPr>
          <w:trHeight w:val="327" w:hRule="exact"/>
        </w:trPr>
        <w:tc>
          <w:tcPr>
            <w:tcW w:w="2439" w:type="dxa"/>
          </w:tcPr>
          <w:p>
            <w:pPr>
              <w:pStyle w:val="TableParagraph"/>
              <w:rPr>
                <w:i/>
                <w:sz w:val="24"/>
              </w:rPr>
            </w:pPr>
            <w:r>
              <w:rPr>
                <w:i/>
                <w:sz w:val="24"/>
              </w:rPr>
              <w:t>0 a  3 meses</w:t>
            </w:r>
          </w:p>
        </w:tc>
        <w:tc>
          <w:tcPr>
            <w:tcW w:w="1138" w:type="dxa"/>
          </w:tcPr>
          <w:p>
            <w:pPr/>
          </w:p>
        </w:tc>
      </w:tr>
      <w:tr>
        <w:trPr>
          <w:trHeight w:val="326" w:hRule="exact"/>
        </w:trPr>
        <w:tc>
          <w:tcPr>
            <w:tcW w:w="2439" w:type="dxa"/>
          </w:tcPr>
          <w:p>
            <w:pPr>
              <w:pStyle w:val="TableParagraph"/>
              <w:rPr>
                <w:i/>
                <w:sz w:val="24"/>
              </w:rPr>
            </w:pPr>
            <w:r>
              <w:rPr>
                <w:i/>
                <w:sz w:val="24"/>
              </w:rPr>
              <w:t>3 meses  a  6 meses</w:t>
            </w:r>
          </w:p>
        </w:tc>
        <w:tc>
          <w:tcPr>
            <w:tcW w:w="1138" w:type="dxa"/>
          </w:tcPr>
          <w:p>
            <w:pPr/>
          </w:p>
        </w:tc>
      </w:tr>
      <w:tr>
        <w:trPr>
          <w:trHeight w:val="326" w:hRule="exact"/>
        </w:trPr>
        <w:tc>
          <w:tcPr>
            <w:tcW w:w="2439" w:type="dxa"/>
          </w:tcPr>
          <w:p>
            <w:pPr>
              <w:pStyle w:val="TableParagraph"/>
              <w:rPr>
                <w:i/>
                <w:sz w:val="24"/>
              </w:rPr>
            </w:pPr>
            <w:r>
              <w:rPr>
                <w:i/>
                <w:sz w:val="24"/>
              </w:rPr>
              <w:t>6 meses a 9 meses</w:t>
            </w:r>
          </w:p>
        </w:tc>
        <w:tc>
          <w:tcPr>
            <w:tcW w:w="1138" w:type="dxa"/>
          </w:tcPr>
          <w:p>
            <w:pPr/>
          </w:p>
        </w:tc>
      </w:tr>
      <w:tr>
        <w:trPr>
          <w:trHeight w:val="331" w:hRule="exact"/>
        </w:trPr>
        <w:tc>
          <w:tcPr>
            <w:tcW w:w="2439" w:type="dxa"/>
          </w:tcPr>
          <w:p>
            <w:pPr>
              <w:pStyle w:val="TableParagraph"/>
              <w:rPr>
                <w:i/>
                <w:sz w:val="24"/>
              </w:rPr>
            </w:pPr>
            <w:r>
              <w:rPr>
                <w:i/>
                <w:sz w:val="24"/>
              </w:rPr>
              <w:t>9 meses a 12 meses</w:t>
            </w:r>
          </w:p>
        </w:tc>
        <w:tc>
          <w:tcPr>
            <w:tcW w:w="1138" w:type="dxa"/>
          </w:tcPr>
          <w:p>
            <w:pPr/>
          </w:p>
        </w:tc>
      </w:tr>
      <w:tr>
        <w:trPr>
          <w:trHeight w:val="327" w:hRule="exact"/>
        </w:trPr>
        <w:tc>
          <w:tcPr>
            <w:tcW w:w="2439" w:type="dxa"/>
          </w:tcPr>
          <w:p>
            <w:pPr>
              <w:pStyle w:val="TableParagraph"/>
              <w:rPr>
                <w:i/>
                <w:sz w:val="24"/>
              </w:rPr>
            </w:pPr>
            <w:r>
              <w:rPr>
                <w:i/>
                <w:sz w:val="24"/>
              </w:rPr>
              <w:t>12 meses o más</w:t>
            </w:r>
          </w:p>
        </w:tc>
        <w:tc>
          <w:tcPr>
            <w:tcW w:w="1138" w:type="dxa"/>
          </w:tcPr>
          <w:p>
            <w:pPr/>
          </w:p>
        </w:tc>
      </w:tr>
    </w:tbl>
    <w:p>
      <w:pPr>
        <w:pStyle w:val="BodyText"/>
        <w:spacing w:before="1"/>
        <w:rPr>
          <w:sz w:val="21"/>
        </w:rPr>
      </w:pPr>
    </w:p>
    <w:p>
      <w:pPr>
        <w:pStyle w:val="BodyText"/>
        <w:spacing w:before="70" w:after="45"/>
        <w:ind w:left="1043" w:right="51"/>
      </w:pPr>
      <w:r>
        <w:rPr/>
        <w:t>Alimentación  a seno materno y con biberón</w:t>
      </w:r>
    </w:p>
    <w:tbl>
      <w:tblPr>
        <w:tblW w:w="0" w:type="auto"/>
        <w:jc w:val="left"/>
        <w:tblInd w:w="1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39"/>
        <w:gridCol w:w="1138"/>
      </w:tblGrid>
      <w:tr>
        <w:trPr>
          <w:trHeight w:val="326" w:hRule="exact"/>
        </w:trPr>
        <w:tc>
          <w:tcPr>
            <w:tcW w:w="2439" w:type="dxa"/>
          </w:tcPr>
          <w:p>
            <w:pPr>
              <w:pStyle w:val="TableParagraph"/>
              <w:rPr>
                <w:i/>
                <w:sz w:val="24"/>
              </w:rPr>
            </w:pPr>
            <w:r>
              <w:rPr>
                <w:i/>
                <w:sz w:val="24"/>
              </w:rPr>
              <w:t>0 a  3 meses</w:t>
            </w:r>
          </w:p>
        </w:tc>
        <w:tc>
          <w:tcPr>
            <w:tcW w:w="1138" w:type="dxa"/>
          </w:tcPr>
          <w:p>
            <w:pPr/>
          </w:p>
        </w:tc>
      </w:tr>
      <w:tr>
        <w:trPr>
          <w:trHeight w:val="331" w:hRule="exact"/>
        </w:trPr>
        <w:tc>
          <w:tcPr>
            <w:tcW w:w="2439" w:type="dxa"/>
          </w:tcPr>
          <w:p>
            <w:pPr>
              <w:pStyle w:val="TableParagraph"/>
              <w:rPr>
                <w:i/>
                <w:sz w:val="24"/>
              </w:rPr>
            </w:pPr>
            <w:r>
              <w:rPr>
                <w:i/>
                <w:sz w:val="24"/>
              </w:rPr>
              <w:t>3 meses  a  6 meses</w:t>
            </w:r>
          </w:p>
        </w:tc>
        <w:tc>
          <w:tcPr>
            <w:tcW w:w="1138" w:type="dxa"/>
          </w:tcPr>
          <w:p>
            <w:pPr/>
          </w:p>
        </w:tc>
      </w:tr>
      <w:tr>
        <w:trPr>
          <w:trHeight w:val="327" w:hRule="exact"/>
        </w:trPr>
        <w:tc>
          <w:tcPr>
            <w:tcW w:w="2439" w:type="dxa"/>
          </w:tcPr>
          <w:p>
            <w:pPr>
              <w:pStyle w:val="TableParagraph"/>
              <w:rPr>
                <w:i/>
                <w:sz w:val="24"/>
              </w:rPr>
            </w:pPr>
            <w:r>
              <w:rPr>
                <w:i/>
                <w:sz w:val="24"/>
              </w:rPr>
              <w:t>6 meses a 9 meses</w:t>
            </w:r>
          </w:p>
        </w:tc>
        <w:tc>
          <w:tcPr>
            <w:tcW w:w="1138" w:type="dxa"/>
          </w:tcPr>
          <w:p>
            <w:pPr/>
          </w:p>
        </w:tc>
      </w:tr>
      <w:tr>
        <w:trPr>
          <w:trHeight w:val="326" w:hRule="exact"/>
        </w:trPr>
        <w:tc>
          <w:tcPr>
            <w:tcW w:w="2439" w:type="dxa"/>
          </w:tcPr>
          <w:p>
            <w:pPr>
              <w:pStyle w:val="TableParagraph"/>
              <w:rPr>
                <w:i/>
                <w:sz w:val="24"/>
              </w:rPr>
            </w:pPr>
            <w:r>
              <w:rPr>
                <w:i/>
                <w:sz w:val="24"/>
              </w:rPr>
              <w:t>9 meses a 12 meses</w:t>
            </w:r>
          </w:p>
        </w:tc>
        <w:tc>
          <w:tcPr>
            <w:tcW w:w="1138" w:type="dxa"/>
          </w:tcPr>
          <w:p>
            <w:pPr/>
          </w:p>
        </w:tc>
      </w:tr>
      <w:tr>
        <w:trPr>
          <w:trHeight w:val="326" w:hRule="exact"/>
        </w:trPr>
        <w:tc>
          <w:tcPr>
            <w:tcW w:w="2439" w:type="dxa"/>
          </w:tcPr>
          <w:p>
            <w:pPr>
              <w:pStyle w:val="TableParagraph"/>
              <w:rPr>
                <w:i/>
                <w:sz w:val="24"/>
              </w:rPr>
            </w:pPr>
            <w:r>
              <w:rPr>
                <w:i/>
                <w:sz w:val="24"/>
              </w:rPr>
              <w:t>12 meses o más</w:t>
            </w:r>
          </w:p>
        </w:tc>
        <w:tc>
          <w:tcPr>
            <w:tcW w:w="1138" w:type="dxa"/>
          </w:tcPr>
          <w:p>
            <w:pPr/>
          </w:p>
        </w:tc>
      </w:tr>
    </w:tbl>
    <w:p>
      <w:pPr>
        <w:spacing w:after="0"/>
        <w:sectPr>
          <w:pgSz w:w="12240" w:h="15840"/>
          <w:pgMar w:header="0" w:footer="942" w:top="1500" w:bottom="1200" w:left="440" w:right="1580"/>
        </w:sectPr>
      </w:pPr>
    </w:p>
    <w:p>
      <w:pPr>
        <w:pStyle w:val="BodyText"/>
        <w:rPr>
          <w:sz w:val="20"/>
        </w:rPr>
      </w:pPr>
    </w:p>
    <w:p>
      <w:pPr>
        <w:pStyle w:val="BodyText"/>
        <w:rPr>
          <w:sz w:val="20"/>
        </w:rPr>
      </w:pPr>
    </w:p>
    <w:p>
      <w:pPr>
        <w:pStyle w:val="BodyText"/>
        <w:spacing w:before="11"/>
        <w:rPr>
          <w:sz w:val="20"/>
        </w:rPr>
      </w:pPr>
    </w:p>
    <w:p>
      <w:pPr>
        <w:pStyle w:val="Heading2"/>
        <w:spacing w:before="69"/>
        <w:ind w:left="4410" w:right="4261" w:firstLine="0"/>
        <w:jc w:val="center"/>
        <w:rPr>
          <w:i/>
        </w:rPr>
      </w:pPr>
      <w:r>
        <w:rPr/>
        <w:drawing>
          <wp:anchor distT="0" distB="0" distL="0" distR="0" allowOverlap="1" layoutInCell="1" locked="0" behindDoc="0" simplePos="0" relativeHeight="1288">
            <wp:simplePos x="0" y="0"/>
            <wp:positionH relativeFrom="page">
              <wp:posOffset>347345</wp:posOffset>
            </wp:positionH>
            <wp:positionV relativeFrom="paragraph">
              <wp:posOffset>-442901</wp:posOffset>
            </wp:positionV>
            <wp:extent cx="949960" cy="857884"/>
            <wp:effectExtent l="0" t="0" r="0" b="0"/>
            <wp:wrapNone/>
            <wp:docPr id="15" name="image1.jpeg" descr=""/>
            <wp:cNvGraphicFramePr>
              <a:graphicFrameLocks noChangeAspect="1"/>
            </wp:cNvGraphicFramePr>
            <a:graphic>
              <a:graphicData uri="http://schemas.openxmlformats.org/drawingml/2006/picture">
                <pic:pic>
                  <pic:nvPicPr>
                    <pic:cNvPr id="16" name="image1.jpeg"/>
                    <pic:cNvPicPr/>
                  </pic:nvPicPr>
                  <pic:blipFill>
                    <a:blip r:embed="rId5" cstate="print"/>
                    <a:stretch>
                      <a:fillRect/>
                    </a:stretch>
                  </pic:blipFill>
                  <pic:spPr>
                    <a:xfrm>
                      <a:off x="0" y="0"/>
                      <a:ext cx="949960" cy="857884"/>
                    </a:xfrm>
                    <a:prstGeom prst="rect">
                      <a:avLst/>
                    </a:prstGeom>
                  </pic:spPr>
                </pic:pic>
              </a:graphicData>
            </a:graphic>
          </wp:anchor>
        </w:drawing>
      </w:r>
      <w:r>
        <w:rPr>
          <w:i/>
          <w:u w:val="thick"/>
        </w:rPr>
        <w:t>Hoja de Registro </w:t>
      </w:r>
      <w:r>
        <w:rPr>
          <w:i/>
        </w:rPr>
        <w:t>(anexo 2)</w:t>
      </w:r>
    </w:p>
    <w:p>
      <w:pPr>
        <w:pStyle w:val="BodyText"/>
        <w:spacing w:before="1"/>
        <w:rPr>
          <w:b/>
          <w:i/>
          <w:sz w:val="15"/>
        </w:rPr>
      </w:pPr>
    </w:p>
    <w:p>
      <w:pPr>
        <w:tabs>
          <w:tab w:pos="5323" w:val="left" w:leader="none"/>
          <w:tab w:pos="6460" w:val="left" w:leader="none"/>
          <w:tab w:pos="8911" w:val="left" w:leader="none"/>
        </w:tabs>
        <w:spacing w:before="69"/>
        <w:ind w:left="1788" w:right="0" w:firstLine="0"/>
        <w:jc w:val="left"/>
        <w:rPr>
          <w:i/>
          <w:sz w:val="24"/>
        </w:rPr>
      </w:pPr>
      <w:r>
        <w:rPr>
          <w:i/>
          <w:sz w:val="24"/>
        </w:rPr>
        <w:t>Fecha:</w:t>
      </w:r>
      <w:r>
        <w:rPr>
          <w:i/>
          <w:sz w:val="24"/>
          <w:u w:val="single"/>
        </w:rPr>
        <w:t> </w:t>
        <w:tab/>
      </w:r>
      <w:r>
        <w:rPr>
          <w:i/>
          <w:sz w:val="24"/>
        </w:rPr>
        <w:tab/>
        <w:t>Folio:</w:t>
      </w:r>
      <w:r>
        <w:rPr>
          <w:i/>
          <w:spacing w:val="1"/>
          <w:sz w:val="24"/>
        </w:rPr>
        <w:t> </w:t>
      </w:r>
      <w:r>
        <w:rPr>
          <w:i/>
          <w:sz w:val="24"/>
          <w:u w:val="single"/>
        </w:rPr>
        <w:t> </w:t>
        <w:tab/>
      </w:r>
    </w:p>
    <w:p>
      <w:pPr>
        <w:pStyle w:val="BodyText"/>
        <w:rPr>
          <w:i/>
          <w:sz w:val="15"/>
        </w:rPr>
      </w:pPr>
    </w:p>
    <w:p>
      <w:pPr>
        <w:tabs>
          <w:tab w:pos="9280" w:val="left" w:leader="none"/>
        </w:tabs>
        <w:spacing w:before="70"/>
        <w:ind w:left="976" w:right="0" w:firstLine="0"/>
        <w:jc w:val="left"/>
        <w:rPr>
          <w:i/>
          <w:sz w:val="24"/>
        </w:rPr>
      </w:pPr>
      <w:r>
        <w:rPr>
          <w:i/>
          <w:sz w:val="24"/>
        </w:rPr>
        <w:t>Nombre del</w:t>
      </w:r>
      <w:r>
        <w:rPr>
          <w:i/>
          <w:spacing w:val="-10"/>
          <w:sz w:val="24"/>
        </w:rPr>
        <w:t> </w:t>
      </w:r>
      <w:r>
        <w:rPr>
          <w:i/>
          <w:sz w:val="24"/>
        </w:rPr>
        <w:t>Paciente:</w:t>
      </w:r>
      <w:r>
        <w:rPr>
          <w:i/>
          <w:spacing w:val="4"/>
          <w:sz w:val="24"/>
        </w:rPr>
        <w:t> </w:t>
      </w:r>
      <w:r>
        <w:rPr>
          <w:i/>
          <w:sz w:val="24"/>
          <w:u w:val="single"/>
        </w:rPr>
        <w:t> </w:t>
        <w:tab/>
      </w:r>
    </w:p>
    <w:p>
      <w:pPr>
        <w:pStyle w:val="BodyText"/>
        <w:rPr>
          <w:i/>
          <w:sz w:val="15"/>
        </w:rPr>
      </w:pPr>
    </w:p>
    <w:p>
      <w:pPr>
        <w:tabs>
          <w:tab w:pos="2936" w:val="left" w:leader="none"/>
        </w:tabs>
        <w:spacing w:before="70"/>
        <w:ind w:left="976" w:right="0" w:firstLine="0"/>
        <w:jc w:val="left"/>
        <w:rPr>
          <w:i/>
          <w:sz w:val="24"/>
        </w:rPr>
      </w:pPr>
      <w:r>
        <w:rPr>
          <w:i/>
          <w:sz w:val="24"/>
        </w:rPr>
        <w:t>Edad:</w:t>
      </w:r>
      <w:r>
        <w:rPr>
          <w:i/>
          <w:spacing w:val="2"/>
          <w:sz w:val="24"/>
        </w:rPr>
        <w:t> </w:t>
      </w:r>
      <w:r>
        <w:rPr>
          <w:i/>
          <w:sz w:val="24"/>
          <w:u w:val="single"/>
        </w:rPr>
        <w:t> </w:t>
        <w:tab/>
      </w:r>
    </w:p>
    <w:p>
      <w:pPr>
        <w:pStyle w:val="BodyText"/>
        <w:rPr>
          <w:i/>
          <w:sz w:val="20"/>
        </w:rPr>
      </w:pPr>
    </w:p>
    <w:p>
      <w:pPr>
        <w:pStyle w:val="BodyText"/>
        <w:rPr>
          <w:i/>
          <w:sz w:val="26"/>
        </w:rPr>
      </w:pPr>
      <w:r>
        <w:rPr/>
        <w:pict>
          <v:shape style="position:absolute;margin-left:65.064003pt;margin-top:16.938pt;width:240.35pt;height:98.2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9"/>
                    <w:gridCol w:w="1273"/>
                    <w:gridCol w:w="1421"/>
                  </w:tblGrid>
                  <w:tr>
                    <w:trPr>
                      <w:trHeight w:val="326" w:hRule="exact"/>
                    </w:trPr>
                    <w:tc>
                      <w:tcPr>
                        <w:tcW w:w="2099" w:type="dxa"/>
                      </w:tcPr>
                      <w:p>
                        <w:pPr>
                          <w:pStyle w:val="TableParagraph"/>
                          <w:ind w:left="105"/>
                          <w:rPr>
                            <w:b/>
                            <w:i/>
                            <w:sz w:val="24"/>
                          </w:rPr>
                        </w:pPr>
                        <w:r>
                          <w:rPr>
                            <w:b/>
                            <w:i/>
                            <w:sz w:val="24"/>
                          </w:rPr>
                          <w:t>Relación Molar</w:t>
                        </w:r>
                      </w:p>
                    </w:tc>
                    <w:tc>
                      <w:tcPr>
                        <w:tcW w:w="1273" w:type="dxa"/>
                      </w:tcPr>
                      <w:p>
                        <w:pPr>
                          <w:pStyle w:val="TableParagraph"/>
                          <w:rPr>
                            <w:i/>
                            <w:sz w:val="24"/>
                          </w:rPr>
                        </w:pPr>
                        <w:r>
                          <w:rPr>
                            <w:i/>
                            <w:sz w:val="24"/>
                          </w:rPr>
                          <w:t>Derecha</w:t>
                        </w:r>
                      </w:p>
                    </w:tc>
                    <w:tc>
                      <w:tcPr>
                        <w:tcW w:w="1421" w:type="dxa"/>
                      </w:tcPr>
                      <w:p>
                        <w:pPr>
                          <w:pStyle w:val="TableParagraph"/>
                          <w:ind w:left="105"/>
                          <w:rPr>
                            <w:i/>
                            <w:sz w:val="24"/>
                          </w:rPr>
                        </w:pPr>
                        <w:r>
                          <w:rPr>
                            <w:i/>
                            <w:sz w:val="24"/>
                          </w:rPr>
                          <w:t>Izquierda</w:t>
                        </w:r>
                      </w:p>
                    </w:tc>
                  </w:tr>
                  <w:tr>
                    <w:trPr>
                      <w:trHeight w:val="326" w:hRule="exact"/>
                    </w:trPr>
                    <w:tc>
                      <w:tcPr>
                        <w:tcW w:w="2099" w:type="dxa"/>
                      </w:tcPr>
                      <w:p>
                        <w:pPr>
                          <w:pStyle w:val="TableParagraph"/>
                          <w:ind w:left="105"/>
                          <w:rPr>
                            <w:i/>
                            <w:sz w:val="24"/>
                          </w:rPr>
                        </w:pPr>
                        <w:r>
                          <w:rPr>
                            <w:i/>
                            <w:sz w:val="24"/>
                          </w:rPr>
                          <w:t>Escalón recto</w:t>
                        </w:r>
                      </w:p>
                    </w:tc>
                    <w:tc>
                      <w:tcPr>
                        <w:tcW w:w="1273" w:type="dxa"/>
                      </w:tcPr>
                      <w:p>
                        <w:pPr/>
                      </w:p>
                    </w:tc>
                    <w:tc>
                      <w:tcPr>
                        <w:tcW w:w="1421" w:type="dxa"/>
                      </w:tcPr>
                      <w:p>
                        <w:pPr/>
                      </w:p>
                    </w:tc>
                  </w:tr>
                  <w:tr>
                    <w:trPr>
                      <w:trHeight w:val="326" w:hRule="exact"/>
                    </w:trPr>
                    <w:tc>
                      <w:tcPr>
                        <w:tcW w:w="2099" w:type="dxa"/>
                      </w:tcPr>
                      <w:p>
                        <w:pPr>
                          <w:pStyle w:val="TableParagraph"/>
                          <w:ind w:left="105"/>
                          <w:rPr>
                            <w:i/>
                            <w:sz w:val="24"/>
                          </w:rPr>
                        </w:pPr>
                        <w:r>
                          <w:rPr>
                            <w:i/>
                            <w:sz w:val="24"/>
                          </w:rPr>
                          <w:t>Escalón mesial</w:t>
                        </w:r>
                      </w:p>
                    </w:tc>
                    <w:tc>
                      <w:tcPr>
                        <w:tcW w:w="1273" w:type="dxa"/>
                      </w:tcPr>
                      <w:p>
                        <w:pPr/>
                      </w:p>
                    </w:tc>
                    <w:tc>
                      <w:tcPr>
                        <w:tcW w:w="1421" w:type="dxa"/>
                      </w:tcPr>
                      <w:p>
                        <w:pPr/>
                      </w:p>
                    </w:tc>
                  </w:tr>
                  <w:tr>
                    <w:trPr>
                      <w:trHeight w:val="327" w:hRule="exact"/>
                    </w:trPr>
                    <w:tc>
                      <w:tcPr>
                        <w:tcW w:w="2099" w:type="dxa"/>
                      </w:tcPr>
                      <w:p>
                        <w:pPr>
                          <w:pStyle w:val="TableParagraph"/>
                          <w:ind w:left="105"/>
                          <w:rPr>
                            <w:i/>
                            <w:sz w:val="24"/>
                          </w:rPr>
                        </w:pPr>
                        <w:r>
                          <w:rPr>
                            <w:i/>
                            <w:sz w:val="24"/>
                          </w:rPr>
                          <w:t>Escalón distal</w:t>
                        </w:r>
                      </w:p>
                    </w:tc>
                    <w:tc>
                      <w:tcPr>
                        <w:tcW w:w="1273" w:type="dxa"/>
                      </w:tcPr>
                      <w:p>
                        <w:pPr/>
                      </w:p>
                    </w:tc>
                    <w:tc>
                      <w:tcPr>
                        <w:tcW w:w="1421" w:type="dxa"/>
                      </w:tcPr>
                      <w:p>
                        <w:pPr/>
                      </w:p>
                    </w:tc>
                  </w:tr>
                  <w:tr>
                    <w:trPr>
                      <w:trHeight w:val="648" w:hRule="exact"/>
                    </w:trPr>
                    <w:tc>
                      <w:tcPr>
                        <w:tcW w:w="2099" w:type="dxa"/>
                      </w:tcPr>
                      <w:p>
                        <w:pPr>
                          <w:pStyle w:val="TableParagraph"/>
                          <w:spacing w:line="276" w:lineRule="auto"/>
                          <w:ind w:left="105" w:right="349"/>
                          <w:rPr>
                            <w:i/>
                            <w:sz w:val="24"/>
                          </w:rPr>
                        </w:pPr>
                        <w:r>
                          <w:rPr>
                            <w:i/>
                            <w:sz w:val="24"/>
                          </w:rPr>
                          <w:t>Escalón mesial </w:t>
                        </w:r>
                        <w:r>
                          <w:rPr>
                            <w:i/>
                            <w:sz w:val="24"/>
                          </w:rPr>
                          <w:t>exagerado</w:t>
                        </w:r>
                      </w:p>
                    </w:tc>
                    <w:tc>
                      <w:tcPr>
                        <w:tcW w:w="1273" w:type="dxa"/>
                      </w:tcPr>
                      <w:p>
                        <w:pPr/>
                      </w:p>
                    </w:tc>
                    <w:tc>
                      <w:tcPr>
                        <w:tcW w:w="1421" w:type="dxa"/>
                      </w:tcPr>
                      <w:p>
                        <w:pPr/>
                      </w:p>
                    </w:tc>
                  </w:tr>
                </w:tbl>
                <w:p>
                  <w:pPr>
                    <w:pStyle w:val="BodyText"/>
                  </w:pPr>
                </w:p>
              </w:txbxContent>
            </v:textbox>
            <w10:wrap type="topAndBottom"/>
          </v:shape>
        </w:pict>
      </w:r>
      <w:r>
        <w:rPr/>
        <w:pict>
          <v:shape style="position:absolute;margin-left:337.320007pt;margin-top:36.378002pt;width:240.35pt;height:66.0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9"/>
                    <w:gridCol w:w="1272"/>
                    <w:gridCol w:w="1421"/>
                  </w:tblGrid>
                  <w:tr>
                    <w:trPr>
                      <w:trHeight w:val="326" w:hRule="exact"/>
                    </w:trPr>
                    <w:tc>
                      <w:tcPr>
                        <w:tcW w:w="2099" w:type="dxa"/>
                      </w:tcPr>
                      <w:p>
                        <w:pPr>
                          <w:pStyle w:val="TableParagraph"/>
                          <w:ind w:left="106"/>
                          <w:rPr>
                            <w:b/>
                            <w:i/>
                            <w:sz w:val="24"/>
                          </w:rPr>
                        </w:pPr>
                        <w:r>
                          <w:rPr>
                            <w:b/>
                            <w:i/>
                            <w:sz w:val="24"/>
                          </w:rPr>
                          <w:t>Relación canina</w:t>
                        </w:r>
                      </w:p>
                    </w:tc>
                    <w:tc>
                      <w:tcPr>
                        <w:tcW w:w="1272" w:type="dxa"/>
                      </w:tcPr>
                      <w:p>
                        <w:pPr>
                          <w:pStyle w:val="TableParagraph"/>
                          <w:rPr>
                            <w:i/>
                            <w:sz w:val="24"/>
                          </w:rPr>
                        </w:pPr>
                        <w:r>
                          <w:rPr>
                            <w:i/>
                            <w:sz w:val="24"/>
                          </w:rPr>
                          <w:t>Derecha</w:t>
                        </w:r>
                      </w:p>
                    </w:tc>
                    <w:tc>
                      <w:tcPr>
                        <w:tcW w:w="1421" w:type="dxa"/>
                      </w:tcPr>
                      <w:p>
                        <w:pPr>
                          <w:pStyle w:val="TableParagraph"/>
                          <w:rPr>
                            <w:i/>
                            <w:sz w:val="24"/>
                          </w:rPr>
                        </w:pPr>
                        <w:r>
                          <w:rPr>
                            <w:i/>
                            <w:sz w:val="24"/>
                          </w:rPr>
                          <w:t>Izquierda</w:t>
                        </w:r>
                      </w:p>
                    </w:tc>
                  </w:tr>
                  <w:tr>
                    <w:trPr>
                      <w:trHeight w:val="326" w:hRule="exact"/>
                    </w:trPr>
                    <w:tc>
                      <w:tcPr>
                        <w:tcW w:w="2099" w:type="dxa"/>
                      </w:tcPr>
                      <w:p>
                        <w:pPr>
                          <w:pStyle w:val="TableParagraph"/>
                          <w:ind w:left="106"/>
                          <w:rPr>
                            <w:i/>
                            <w:sz w:val="24"/>
                          </w:rPr>
                        </w:pPr>
                        <w:r>
                          <w:rPr>
                            <w:i/>
                            <w:sz w:val="24"/>
                          </w:rPr>
                          <w:t>Clase I</w:t>
                        </w:r>
                      </w:p>
                    </w:tc>
                    <w:tc>
                      <w:tcPr>
                        <w:tcW w:w="1272" w:type="dxa"/>
                      </w:tcPr>
                      <w:p>
                        <w:pPr/>
                      </w:p>
                    </w:tc>
                    <w:tc>
                      <w:tcPr>
                        <w:tcW w:w="1421" w:type="dxa"/>
                      </w:tcPr>
                      <w:p>
                        <w:pPr/>
                      </w:p>
                    </w:tc>
                  </w:tr>
                  <w:tr>
                    <w:trPr>
                      <w:trHeight w:val="332" w:hRule="exact"/>
                    </w:trPr>
                    <w:tc>
                      <w:tcPr>
                        <w:tcW w:w="2099" w:type="dxa"/>
                      </w:tcPr>
                      <w:p>
                        <w:pPr>
                          <w:pStyle w:val="TableParagraph"/>
                          <w:ind w:left="106"/>
                          <w:rPr>
                            <w:i/>
                            <w:sz w:val="24"/>
                          </w:rPr>
                        </w:pPr>
                        <w:r>
                          <w:rPr>
                            <w:i/>
                            <w:sz w:val="24"/>
                          </w:rPr>
                          <w:t>Clase II</w:t>
                        </w:r>
                      </w:p>
                    </w:tc>
                    <w:tc>
                      <w:tcPr>
                        <w:tcW w:w="1272" w:type="dxa"/>
                      </w:tcPr>
                      <w:p>
                        <w:pPr/>
                      </w:p>
                    </w:tc>
                    <w:tc>
                      <w:tcPr>
                        <w:tcW w:w="1421" w:type="dxa"/>
                      </w:tcPr>
                      <w:p>
                        <w:pPr/>
                      </w:p>
                    </w:tc>
                  </w:tr>
                  <w:tr>
                    <w:trPr>
                      <w:trHeight w:val="326" w:hRule="exact"/>
                    </w:trPr>
                    <w:tc>
                      <w:tcPr>
                        <w:tcW w:w="2099" w:type="dxa"/>
                      </w:tcPr>
                      <w:p>
                        <w:pPr>
                          <w:pStyle w:val="TableParagraph"/>
                          <w:ind w:left="173"/>
                          <w:rPr>
                            <w:i/>
                            <w:sz w:val="24"/>
                          </w:rPr>
                        </w:pPr>
                        <w:r>
                          <w:rPr>
                            <w:i/>
                            <w:sz w:val="24"/>
                          </w:rPr>
                          <w:t>Clase III</w:t>
                        </w:r>
                      </w:p>
                    </w:tc>
                    <w:tc>
                      <w:tcPr>
                        <w:tcW w:w="1272" w:type="dxa"/>
                      </w:tcPr>
                      <w:p>
                        <w:pPr/>
                      </w:p>
                    </w:tc>
                    <w:tc>
                      <w:tcPr>
                        <w:tcW w:w="1421" w:type="dxa"/>
                      </w:tcPr>
                      <w:p>
                        <w:pPr/>
                      </w:p>
                    </w:tc>
                  </w:tr>
                </w:tbl>
                <w:p>
                  <w:pPr>
                    <w:pStyle w:val="BodyText"/>
                  </w:pPr>
                </w:p>
              </w:txbxContent>
            </v:textbox>
            <w10:wrap type="topAndBottom"/>
          </v:shape>
        </w:pict>
      </w:r>
    </w:p>
    <w:p>
      <w:pPr>
        <w:pStyle w:val="BodyText"/>
        <w:rPr>
          <w:i/>
          <w:sz w:val="20"/>
        </w:rPr>
      </w:pPr>
    </w:p>
    <w:p>
      <w:pPr>
        <w:pStyle w:val="BodyText"/>
        <w:rPr>
          <w:i/>
          <w:sz w:val="20"/>
        </w:rPr>
      </w:pPr>
    </w:p>
    <w:p>
      <w:pPr>
        <w:pStyle w:val="BodyText"/>
        <w:rPr>
          <w:i/>
          <w:sz w:val="12"/>
        </w:rPr>
      </w:pPr>
      <w:r>
        <w:rPr/>
        <w:pict>
          <v:shape style="position:absolute;margin-left:65.064003pt;margin-top:8.891943pt;width:247.3pt;height:98.7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8"/>
                    <w:gridCol w:w="994"/>
                    <w:gridCol w:w="989"/>
                  </w:tblGrid>
                  <w:tr>
                    <w:trPr>
                      <w:trHeight w:val="327" w:hRule="exact"/>
                    </w:trPr>
                    <w:tc>
                      <w:tcPr>
                        <w:tcW w:w="2948" w:type="dxa"/>
                      </w:tcPr>
                      <w:p>
                        <w:pPr/>
                      </w:p>
                    </w:tc>
                    <w:tc>
                      <w:tcPr>
                        <w:tcW w:w="994" w:type="dxa"/>
                      </w:tcPr>
                      <w:p>
                        <w:pPr>
                          <w:pStyle w:val="TableParagraph"/>
                          <w:ind w:left="106"/>
                          <w:rPr>
                            <w:sz w:val="24"/>
                          </w:rPr>
                        </w:pPr>
                        <w:r>
                          <w:rPr>
                            <w:sz w:val="24"/>
                          </w:rPr>
                          <w:t>SI</w:t>
                        </w:r>
                      </w:p>
                    </w:tc>
                    <w:tc>
                      <w:tcPr>
                        <w:tcW w:w="989" w:type="dxa"/>
                      </w:tcPr>
                      <w:p>
                        <w:pPr>
                          <w:pStyle w:val="TableParagraph"/>
                          <w:rPr>
                            <w:sz w:val="24"/>
                          </w:rPr>
                        </w:pPr>
                        <w:r>
                          <w:rPr>
                            <w:sz w:val="24"/>
                          </w:rPr>
                          <w:t>NO</w:t>
                        </w:r>
                      </w:p>
                    </w:tc>
                  </w:tr>
                  <w:tr>
                    <w:trPr>
                      <w:trHeight w:val="326" w:hRule="exact"/>
                    </w:trPr>
                    <w:tc>
                      <w:tcPr>
                        <w:tcW w:w="2948" w:type="dxa"/>
                      </w:tcPr>
                      <w:p>
                        <w:pPr>
                          <w:pStyle w:val="TableParagraph"/>
                          <w:ind w:left="105"/>
                          <w:rPr>
                            <w:sz w:val="24"/>
                          </w:rPr>
                        </w:pPr>
                        <w:r>
                          <w:rPr>
                            <w:sz w:val="24"/>
                          </w:rPr>
                          <w:t>Espacios generalizados</w:t>
                        </w:r>
                      </w:p>
                    </w:tc>
                    <w:tc>
                      <w:tcPr>
                        <w:tcW w:w="994" w:type="dxa"/>
                      </w:tcPr>
                      <w:p>
                        <w:pPr/>
                      </w:p>
                    </w:tc>
                    <w:tc>
                      <w:tcPr>
                        <w:tcW w:w="989" w:type="dxa"/>
                      </w:tcPr>
                      <w:p>
                        <w:pPr/>
                      </w:p>
                    </w:tc>
                  </w:tr>
                  <w:tr>
                    <w:trPr>
                      <w:trHeight w:val="326" w:hRule="exact"/>
                    </w:trPr>
                    <w:tc>
                      <w:tcPr>
                        <w:tcW w:w="2948" w:type="dxa"/>
                      </w:tcPr>
                      <w:p>
                        <w:pPr>
                          <w:pStyle w:val="TableParagraph"/>
                          <w:ind w:left="105"/>
                          <w:rPr>
                            <w:sz w:val="24"/>
                          </w:rPr>
                        </w:pPr>
                        <w:r>
                          <w:rPr>
                            <w:sz w:val="24"/>
                          </w:rPr>
                          <w:t>Espacios primates</w:t>
                        </w:r>
                      </w:p>
                    </w:tc>
                    <w:tc>
                      <w:tcPr>
                        <w:tcW w:w="994" w:type="dxa"/>
                      </w:tcPr>
                      <w:p>
                        <w:pPr/>
                      </w:p>
                    </w:tc>
                    <w:tc>
                      <w:tcPr>
                        <w:tcW w:w="989" w:type="dxa"/>
                      </w:tcPr>
                      <w:p>
                        <w:pPr/>
                      </w:p>
                    </w:tc>
                  </w:tr>
                  <w:tr>
                    <w:trPr>
                      <w:trHeight w:val="331" w:hRule="exact"/>
                    </w:trPr>
                    <w:tc>
                      <w:tcPr>
                        <w:tcW w:w="2948" w:type="dxa"/>
                      </w:tcPr>
                      <w:p>
                        <w:pPr>
                          <w:pStyle w:val="TableParagraph"/>
                          <w:spacing w:line="240" w:lineRule="auto"/>
                          <w:ind w:left="105"/>
                          <w:rPr>
                            <w:sz w:val="24"/>
                          </w:rPr>
                        </w:pPr>
                        <w:r>
                          <w:rPr>
                            <w:sz w:val="24"/>
                          </w:rPr>
                          <w:t>Curva de Spee</w:t>
                        </w:r>
                      </w:p>
                    </w:tc>
                    <w:tc>
                      <w:tcPr>
                        <w:tcW w:w="994" w:type="dxa"/>
                      </w:tcPr>
                      <w:p>
                        <w:pPr/>
                      </w:p>
                    </w:tc>
                    <w:tc>
                      <w:tcPr>
                        <w:tcW w:w="989" w:type="dxa"/>
                      </w:tcPr>
                      <w:p>
                        <w:pPr/>
                      </w:p>
                    </w:tc>
                  </w:tr>
                  <w:tr>
                    <w:trPr>
                      <w:trHeight w:val="326" w:hRule="exact"/>
                    </w:trPr>
                    <w:tc>
                      <w:tcPr>
                        <w:tcW w:w="2948" w:type="dxa"/>
                      </w:tcPr>
                      <w:p>
                        <w:pPr>
                          <w:pStyle w:val="TableParagraph"/>
                          <w:ind w:left="105"/>
                          <w:rPr>
                            <w:sz w:val="24"/>
                          </w:rPr>
                        </w:pPr>
                        <w:r>
                          <w:rPr>
                            <w:sz w:val="24"/>
                          </w:rPr>
                          <w:t>Atrición</w:t>
                        </w:r>
                      </w:p>
                    </w:tc>
                    <w:tc>
                      <w:tcPr>
                        <w:tcW w:w="994" w:type="dxa"/>
                      </w:tcPr>
                      <w:p>
                        <w:pPr/>
                      </w:p>
                    </w:tc>
                    <w:tc>
                      <w:tcPr>
                        <w:tcW w:w="989" w:type="dxa"/>
                      </w:tcPr>
                      <w:p>
                        <w:pPr/>
                      </w:p>
                    </w:tc>
                  </w:tr>
                  <w:tr>
                    <w:trPr>
                      <w:trHeight w:val="327" w:hRule="exact"/>
                    </w:trPr>
                    <w:tc>
                      <w:tcPr>
                        <w:tcW w:w="2948" w:type="dxa"/>
                      </w:tcPr>
                      <w:p>
                        <w:pPr>
                          <w:pStyle w:val="TableParagraph"/>
                          <w:ind w:left="105"/>
                          <w:rPr>
                            <w:sz w:val="24"/>
                          </w:rPr>
                        </w:pPr>
                        <w:r>
                          <w:rPr>
                            <w:sz w:val="24"/>
                          </w:rPr>
                          <w:t>Abrasión</w:t>
                        </w:r>
                      </w:p>
                    </w:tc>
                    <w:tc>
                      <w:tcPr>
                        <w:tcW w:w="994" w:type="dxa"/>
                      </w:tcPr>
                      <w:p>
                        <w:pPr/>
                      </w:p>
                    </w:tc>
                    <w:tc>
                      <w:tcPr>
                        <w:tcW w:w="989" w:type="dxa"/>
                      </w:tcPr>
                      <w:p>
                        <w:pPr/>
                      </w:p>
                    </w:tc>
                  </w:tr>
                </w:tbl>
                <w:p>
                  <w:pPr>
                    <w:pStyle w:val="BodyText"/>
                  </w:pPr>
                </w:p>
              </w:txbxContent>
            </v:textbox>
            <w10:wrap type="topAndBottom"/>
          </v:shape>
        </w:pict>
      </w:r>
      <w:r>
        <w:rPr/>
        <w:pict>
          <v:shape style="position:absolute;margin-left:370.459991pt;margin-top:17.791943pt;width:233.15pt;height:81.4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6"/>
                    <w:gridCol w:w="1085"/>
                    <w:gridCol w:w="1037"/>
                  </w:tblGrid>
                  <w:tr>
                    <w:trPr>
                      <w:trHeight w:val="331" w:hRule="exact"/>
                    </w:trPr>
                    <w:tc>
                      <w:tcPr>
                        <w:tcW w:w="2526" w:type="dxa"/>
                      </w:tcPr>
                      <w:p>
                        <w:pPr/>
                      </w:p>
                    </w:tc>
                    <w:tc>
                      <w:tcPr>
                        <w:tcW w:w="1085" w:type="dxa"/>
                      </w:tcPr>
                      <w:p>
                        <w:pPr>
                          <w:pStyle w:val="TableParagraph"/>
                          <w:rPr>
                            <w:sz w:val="24"/>
                          </w:rPr>
                        </w:pPr>
                        <w:r>
                          <w:rPr>
                            <w:sz w:val="24"/>
                          </w:rPr>
                          <w:t>mm</w:t>
                        </w:r>
                      </w:p>
                    </w:tc>
                    <w:tc>
                      <w:tcPr>
                        <w:tcW w:w="1037" w:type="dxa"/>
                      </w:tcPr>
                      <w:p>
                        <w:pPr>
                          <w:pStyle w:val="TableParagraph"/>
                          <w:rPr>
                            <w:sz w:val="24"/>
                          </w:rPr>
                        </w:pPr>
                        <w:r>
                          <w:rPr>
                            <w:w w:val="99"/>
                            <w:sz w:val="24"/>
                          </w:rPr>
                          <w:t>%</w:t>
                        </w:r>
                      </w:p>
                    </w:tc>
                  </w:tr>
                  <w:tr>
                    <w:trPr>
                      <w:trHeight w:val="643" w:hRule="exact"/>
                    </w:trPr>
                    <w:tc>
                      <w:tcPr>
                        <w:tcW w:w="2526" w:type="dxa"/>
                      </w:tcPr>
                      <w:p>
                        <w:pPr>
                          <w:pStyle w:val="TableParagraph"/>
                          <w:spacing w:line="276" w:lineRule="auto"/>
                          <w:ind w:left="105" w:right="883"/>
                          <w:rPr>
                            <w:sz w:val="24"/>
                          </w:rPr>
                        </w:pPr>
                        <w:r>
                          <w:rPr>
                            <w:sz w:val="24"/>
                          </w:rPr>
                          <w:t>Sobremordida vertical</w:t>
                        </w:r>
                      </w:p>
                    </w:tc>
                    <w:tc>
                      <w:tcPr>
                        <w:tcW w:w="1085" w:type="dxa"/>
                      </w:tcPr>
                      <w:p>
                        <w:pPr/>
                      </w:p>
                    </w:tc>
                    <w:tc>
                      <w:tcPr>
                        <w:tcW w:w="1037" w:type="dxa"/>
                      </w:tcPr>
                      <w:p>
                        <w:pPr/>
                      </w:p>
                    </w:tc>
                  </w:tr>
                  <w:tr>
                    <w:trPr>
                      <w:trHeight w:val="644" w:hRule="exact"/>
                    </w:trPr>
                    <w:tc>
                      <w:tcPr>
                        <w:tcW w:w="2526" w:type="dxa"/>
                      </w:tcPr>
                      <w:p>
                        <w:pPr>
                          <w:pStyle w:val="TableParagraph"/>
                          <w:spacing w:line="276" w:lineRule="auto"/>
                          <w:ind w:left="105" w:right="883"/>
                          <w:rPr>
                            <w:sz w:val="24"/>
                          </w:rPr>
                        </w:pPr>
                        <w:r>
                          <w:rPr>
                            <w:sz w:val="24"/>
                          </w:rPr>
                          <w:t>Bobremordida horizontal</w:t>
                        </w:r>
                      </w:p>
                    </w:tc>
                    <w:tc>
                      <w:tcPr>
                        <w:tcW w:w="1085" w:type="dxa"/>
                      </w:tcPr>
                      <w:p>
                        <w:pPr/>
                      </w:p>
                    </w:tc>
                    <w:tc>
                      <w:tcPr>
                        <w:tcW w:w="1037" w:type="dxa"/>
                      </w:tcPr>
                      <w:p>
                        <w:pPr/>
                      </w:p>
                    </w:tc>
                  </w:tr>
                </w:tbl>
                <w:p>
                  <w:pPr>
                    <w:pStyle w:val="BodyText"/>
                  </w:pPr>
                </w:p>
              </w:txbxContent>
            </v:textbox>
            <w10:wrap type="topAndBottom"/>
          </v:shape>
        </w:pict>
      </w:r>
    </w:p>
    <w:p>
      <w:pPr>
        <w:pStyle w:val="BodyText"/>
        <w:rPr>
          <w:i/>
          <w:sz w:val="20"/>
        </w:rPr>
      </w:pPr>
    </w:p>
    <w:p>
      <w:pPr>
        <w:pStyle w:val="BodyText"/>
        <w:spacing w:before="10" w:after="1"/>
        <w:rPr>
          <w:i/>
          <w:sz w:val="27"/>
        </w:rPr>
      </w:pPr>
    </w:p>
    <w:tbl>
      <w:tblPr>
        <w:tblW w:w="0" w:type="auto"/>
        <w:jc w:val="left"/>
        <w:tblInd w:w="8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2"/>
        <w:gridCol w:w="1417"/>
        <w:gridCol w:w="1416"/>
      </w:tblGrid>
      <w:tr>
        <w:trPr>
          <w:trHeight w:val="326" w:hRule="exact"/>
        </w:trPr>
        <w:tc>
          <w:tcPr>
            <w:tcW w:w="2382" w:type="dxa"/>
          </w:tcPr>
          <w:p>
            <w:pPr>
              <w:pStyle w:val="TableParagraph"/>
              <w:ind w:left="105"/>
              <w:rPr>
                <w:sz w:val="24"/>
              </w:rPr>
            </w:pPr>
            <w:r>
              <w:rPr>
                <w:sz w:val="24"/>
              </w:rPr>
              <w:t>APIÑAMIENTO</w:t>
            </w:r>
          </w:p>
        </w:tc>
        <w:tc>
          <w:tcPr>
            <w:tcW w:w="1417" w:type="dxa"/>
          </w:tcPr>
          <w:p>
            <w:pPr>
              <w:pStyle w:val="TableParagraph"/>
              <w:rPr>
                <w:sz w:val="24"/>
              </w:rPr>
            </w:pPr>
            <w:r>
              <w:rPr>
                <w:sz w:val="24"/>
              </w:rPr>
              <w:t>SI</w:t>
            </w:r>
          </w:p>
        </w:tc>
        <w:tc>
          <w:tcPr>
            <w:tcW w:w="1416" w:type="dxa"/>
          </w:tcPr>
          <w:p>
            <w:pPr>
              <w:pStyle w:val="TableParagraph"/>
              <w:ind w:left="105"/>
              <w:rPr>
                <w:sz w:val="24"/>
              </w:rPr>
            </w:pPr>
            <w:r>
              <w:rPr>
                <w:sz w:val="24"/>
              </w:rPr>
              <w:t>NO</w:t>
            </w:r>
          </w:p>
        </w:tc>
      </w:tr>
      <w:tr>
        <w:trPr>
          <w:trHeight w:val="327" w:hRule="exact"/>
        </w:trPr>
        <w:tc>
          <w:tcPr>
            <w:tcW w:w="2382" w:type="dxa"/>
            <w:tcBorders>
              <w:bottom w:val="single" w:sz="4" w:space="0" w:color="000000"/>
            </w:tcBorders>
          </w:tcPr>
          <w:p>
            <w:pPr>
              <w:pStyle w:val="TableParagraph"/>
              <w:ind w:left="105"/>
              <w:rPr>
                <w:sz w:val="24"/>
              </w:rPr>
            </w:pPr>
            <w:r>
              <w:rPr>
                <w:sz w:val="24"/>
              </w:rPr>
              <w:t>Arcada superior</w:t>
            </w:r>
          </w:p>
        </w:tc>
        <w:tc>
          <w:tcPr>
            <w:tcW w:w="1417" w:type="dxa"/>
            <w:tcBorders>
              <w:bottom w:val="single" w:sz="4" w:space="0" w:color="000000"/>
            </w:tcBorders>
          </w:tcPr>
          <w:p>
            <w:pPr/>
          </w:p>
        </w:tc>
        <w:tc>
          <w:tcPr>
            <w:tcW w:w="1416" w:type="dxa"/>
            <w:tcBorders>
              <w:bottom w:val="single" w:sz="4" w:space="0" w:color="000000"/>
            </w:tcBorders>
          </w:tcPr>
          <w:p>
            <w:pPr/>
          </w:p>
        </w:tc>
      </w:tr>
      <w:tr>
        <w:trPr>
          <w:trHeight w:val="327" w:hRule="exact"/>
        </w:trPr>
        <w:tc>
          <w:tcPr>
            <w:tcW w:w="2382" w:type="dxa"/>
            <w:tcBorders>
              <w:top w:val="single" w:sz="4" w:space="0" w:color="000000"/>
            </w:tcBorders>
          </w:tcPr>
          <w:p>
            <w:pPr>
              <w:pStyle w:val="TableParagraph"/>
              <w:ind w:left="105"/>
              <w:rPr>
                <w:sz w:val="24"/>
              </w:rPr>
            </w:pPr>
            <w:r>
              <w:rPr>
                <w:sz w:val="24"/>
              </w:rPr>
              <w:t>Arcada inferior</w:t>
            </w:r>
          </w:p>
        </w:tc>
        <w:tc>
          <w:tcPr>
            <w:tcW w:w="1417" w:type="dxa"/>
            <w:tcBorders>
              <w:top w:val="single" w:sz="4" w:space="0" w:color="000000"/>
            </w:tcBorders>
          </w:tcPr>
          <w:p>
            <w:pPr/>
          </w:p>
        </w:tc>
        <w:tc>
          <w:tcPr>
            <w:tcW w:w="1416" w:type="dxa"/>
            <w:tcBorders>
              <w:top w:val="single" w:sz="4" w:space="0" w:color="000000"/>
            </w:tcBorders>
          </w:tcPr>
          <w:p>
            <w:pPr/>
          </w:p>
        </w:tc>
      </w:tr>
    </w:tbl>
    <w:p>
      <w:pPr>
        <w:pStyle w:val="BodyText"/>
        <w:spacing w:before="8"/>
        <w:rPr>
          <w:i/>
          <w:sz w:val="21"/>
        </w:rPr>
      </w:pPr>
    </w:p>
    <w:tbl>
      <w:tblPr>
        <w:tblW w:w="0" w:type="auto"/>
        <w:jc w:val="left"/>
        <w:tblInd w:w="8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8"/>
        <w:gridCol w:w="1983"/>
        <w:gridCol w:w="1988"/>
      </w:tblGrid>
      <w:tr>
        <w:trPr>
          <w:trHeight w:val="326" w:hRule="exact"/>
        </w:trPr>
        <w:tc>
          <w:tcPr>
            <w:tcW w:w="2948" w:type="dxa"/>
          </w:tcPr>
          <w:p>
            <w:pPr/>
          </w:p>
        </w:tc>
        <w:tc>
          <w:tcPr>
            <w:tcW w:w="1983" w:type="dxa"/>
          </w:tcPr>
          <w:p>
            <w:pPr>
              <w:pStyle w:val="TableParagraph"/>
              <w:spacing w:line="267" w:lineRule="exact"/>
              <w:ind w:left="106"/>
              <w:rPr>
                <w:b/>
                <w:sz w:val="24"/>
              </w:rPr>
            </w:pPr>
            <w:r>
              <w:rPr>
                <w:b/>
                <w:sz w:val="24"/>
              </w:rPr>
              <w:t>Superior</w:t>
            </w:r>
          </w:p>
        </w:tc>
        <w:tc>
          <w:tcPr>
            <w:tcW w:w="1988" w:type="dxa"/>
          </w:tcPr>
          <w:p>
            <w:pPr>
              <w:pStyle w:val="TableParagraph"/>
              <w:spacing w:line="267" w:lineRule="exact"/>
              <w:ind w:left="105"/>
              <w:rPr>
                <w:b/>
                <w:sz w:val="24"/>
              </w:rPr>
            </w:pPr>
            <w:r>
              <w:rPr>
                <w:b/>
                <w:sz w:val="24"/>
              </w:rPr>
              <w:t>Inferior</w:t>
            </w:r>
          </w:p>
        </w:tc>
      </w:tr>
      <w:tr>
        <w:trPr>
          <w:trHeight w:val="326" w:hRule="exact"/>
        </w:trPr>
        <w:tc>
          <w:tcPr>
            <w:tcW w:w="2948" w:type="dxa"/>
          </w:tcPr>
          <w:p>
            <w:pPr>
              <w:pStyle w:val="TableParagraph"/>
              <w:spacing w:line="267" w:lineRule="exact"/>
              <w:ind w:left="105"/>
              <w:rPr>
                <w:b/>
                <w:sz w:val="24"/>
              </w:rPr>
            </w:pPr>
            <w:r>
              <w:rPr>
                <w:b/>
                <w:sz w:val="24"/>
              </w:rPr>
              <w:t>Ancho intercanino</w:t>
            </w:r>
          </w:p>
        </w:tc>
        <w:tc>
          <w:tcPr>
            <w:tcW w:w="1983" w:type="dxa"/>
          </w:tcPr>
          <w:p>
            <w:pPr/>
          </w:p>
        </w:tc>
        <w:tc>
          <w:tcPr>
            <w:tcW w:w="1988" w:type="dxa"/>
          </w:tcPr>
          <w:p>
            <w:pPr/>
          </w:p>
        </w:tc>
      </w:tr>
      <w:tr>
        <w:trPr>
          <w:trHeight w:val="332" w:hRule="exact"/>
        </w:trPr>
        <w:tc>
          <w:tcPr>
            <w:tcW w:w="2948" w:type="dxa"/>
          </w:tcPr>
          <w:p>
            <w:pPr>
              <w:pStyle w:val="TableParagraph"/>
              <w:spacing w:line="267" w:lineRule="exact"/>
              <w:ind w:left="105"/>
              <w:rPr>
                <w:b/>
                <w:sz w:val="24"/>
              </w:rPr>
            </w:pPr>
            <w:r>
              <w:rPr>
                <w:b/>
                <w:sz w:val="24"/>
              </w:rPr>
              <w:t>Ancho intermolar</w:t>
            </w:r>
          </w:p>
        </w:tc>
        <w:tc>
          <w:tcPr>
            <w:tcW w:w="1983" w:type="dxa"/>
          </w:tcPr>
          <w:p>
            <w:pPr/>
          </w:p>
        </w:tc>
        <w:tc>
          <w:tcPr>
            <w:tcW w:w="1988" w:type="dxa"/>
          </w:tcPr>
          <w:p>
            <w:pPr/>
          </w:p>
        </w:tc>
      </w:tr>
    </w:tbl>
    <w:p>
      <w:pPr>
        <w:pStyle w:val="BodyText"/>
        <w:rPr>
          <w:i/>
          <w:sz w:val="20"/>
        </w:rPr>
      </w:pPr>
    </w:p>
    <w:p>
      <w:pPr>
        <w:pStyle w:val="BodyText"/>
        <w:spacing w:before="1" w:after="1"/>
        <w:rPr>
          <w:i/>
          <w:sz w:val="27"/>
        </w:rPr>
      </w:pPr>
    </w:p>
    <w:tbl>
      <w:tblPr>
        <w:tblW w:w="0" w:type="auto"/>
        <w:jc w:val="left"/>
        <w:tblInd w:w="8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8"/>
        <w:gridCol w:w="898"/>
        <w:gridCol w:w="898"/>
      </w:tblGrid>
      <w:tr>
        <w:trPr>
          <w:trHeight w:val="326" w:hRule="exact"/>
        </w:trPr>
        <w:tc>
          <w:tcPr>
            <w:tcW w:w="2948" w:type="dxa"/>
          </w:tcPr>
          <w:p>
            <w:pPr>
              <w:pStyle w:val="TableParagraph"/>
              <w:spacing w:line="267" w:lineRule="exact"/>
              <w:ind w:left="105"/>
              <w:rPr>
                <w:b/>
                <w:sz w:val="24"/>
              </w:rPr>
            </w:pPr>
            <w:r>
              <w:rPr>
                <w:b/>
                <w:sz w:val="24"/>
              </w:rPr>
              <w:t>MALOCLUSIONES</w:t>
            </w:r>
          </w:p>
        </w:tc>
        <w:tc>
          <w:tcPr>
            <w:tcW w:w="898" w:type="dxa"/>
          </w:tcPr>
          <w:p>
            <w:pPr>
              <w:pStyle w:val="TableParagraph"/>
              <w:ind w:left="106"/>
              <w:rPr>
                <w:sz w:val="24"/>
              </w:rPr>
            </w:pPr>
            <w:r>
              <w:rPr>
                <w:sz w:val="24"/>
              </w:rPr>
              <w:t>Si</w:t>
            </w:r>
          </w:p>
        </w:tc>
        <w:tc>
          <w:tcPr>
            <w:tcW w:w="898" w:type="dxa"/>
          </w:tcPr>
          <w:p>
            <w:pPr>
              <w:pStyle w:val="TableParagraph"/>
              <w:ind w:left="105"/>
              <w:rPr>
                <w:sz w:val="24"/>
              </w:rPr>
            </w:pPr>
            <w:r>
              <w:rPr>
                <w:sz w:val="24"/>
              </w:rPr>
              <w:t>No</w:t>
            </w:r>
          </w:p>
        </w:tc>
      </w:tr>
      <w:tr>
        <w:trPr>
          <w:trHeight w:val="326" w:hRule="exact"/>
        </w:trPr>
        <w:tc>
          <w:tcPr>
            <w:tcW w:w="2948" w:type="dxa"/>
          </w:tcPr>
          <w:p>
            <w:pPr>
              <w:pStyle w:val="TableParagraph"/>
              <w:ind w:left="105"/>
              <w:rPr>
                <w:sz w:val="24"/>
              </w:rPr>
            </w:pPr>
            <w:r>
              <w:rPr>
                <w:sz w:val="24"/>
              </w:rPr>
              <w:t>Mordica Cruzada anterior</w:t>
            </w:r>
          </w:p>
        </w:tc>
        <w:tc>
          <w:tcPr>
            <w:tcW w:w="898" w:type="dxa"/>
          </w:tcPr>
          <w:p>
            <w:pPr/>
          </w:p>
        </w:tc>
        <w:tc>
          <w:tcPr>
            <w:tcW w:w="898" w:type="dxa"/>
          </w:tcPr>
          <w:p>
            <w:pPr/>
          </w:p>
        </w:tc>
      </w:tr>
      <w:tr>
        <w:trPr>
          <w:trHeight w:val="644" w:hRule="exact"/>
        </w:trPr>
        <w:tc>
          <w:tcPr>
            <w:tcW w:w="2948" w:type="dxa"/>
          </w:tcPr>
          <w:p>
            <w:pPr>
              <w:pStyle w:val="TableParagraph"/>
              <w:tabs>
                <w:tab w:pos="1981" w:val="left" w:leader="none"/>
              </w:tabs>
              <w:spacing w:line="276" w:lineRule="auto"/>
              <w:ind w:left="105" w:right="102"/>
              <w:rPr>
                <w:sz w:val="24"/>
              </w:rPr>
            </w:pPr>
            <w:r>
              <w:rPr>
                <w:sz w:val="24"/>
              </w:rPr>
              <w:t>Mordida</w:t>
              <w:tab/>
            </w:r>
            <w:r>
              <w:rPr>
                <w:spacing w:val="-1"/>
                <w:sz w:val="24"/>
              </w:rPr>
              <w:t>cruzada </w:t>
            </w:r>
            <w:r>
              <w:rPr>
                <w:sz w:val="24"/>
              </w:rPr>
              <w:t>Posterior</w:t>
            </w:r>
          </w:p>
        </w:tc>
        <w:tc>
          <w:tcPr>
            <w:tcW w:w="898" w:type="dxa"/>
          </w:tcPr>
          <w:p>
            <w:pPr/>
          </w:p>
        </w:tc>
        <w:tc>
          <w:tcPr>
            <w:tcW w:w="898" w:type="dxa"/>
          </w:tcPr>
          <w:p>
            <w:pPr/>
          </w:p>
        </w:tc>
      </w:tr>
      <w:tr>
        <w:trPr>
          <w:trHeight w:val="331" w:hRule="exact"/>
        </w:trPr>
        <w:tc>
          <w:tcPr>
            <w:tcW w:w="2948" w:type="dxa"/>
          </w:tcPr>
          <w:p>
            <w:pPr>
              <w:pStyle w:val="TableParagraph"/>
              <w:spacing w:line="240" w:lineRule="auto"/>
              <w:ind w:left="105"/>
              <w:rPr>
                <w:sz w:val="24"/>
              </w:rPr>
            </w:pPr>
            <w:r>
              <w:rPr>
                <w:sz w:val="24"/>
              </w:rPr>
              <w:t>Mordida Abierta anterior</w:t>
            </w:r>
          </w:p>
        </w:tc>
        <w:tc>
          <w:tcPr>
            <w:tcW w:w="898" w:type="dxa"/>
          </w:tcPr>
          <w:p>
            <w:pPr/>
          </w:p>
        </w:tc>
        <w:tc>
          <w:tcPr>
            <w:tcW w:w="898" w:type="dxa"/>
          </w:tcPr>
          <w:p>
            <w:pPr/>
          </w:p>
        </w:tc>
      </w:tr>
      <w:tr>
        <w:trPr>
          <w:trHeight w:val="326" w:hRule="exact"/>
        </w:trPr>
        <w:tc>
          <w:tcPr>
            <w:tcW w:w="2948" w:type="dxa"/>
          </w:tcPr>
          <w:p>
            <w:pPr>
              <w:pStyle w:val="TableParagraph"/>
              <w:ind w:left="105"/>
              <w:rPr>
                <w:sz w:val="24"/>
              </w:rPr>
            </w:pPr>
            <w:r>
              <w:rPr>
                <w:sz w:val="24"/>
              </w:rPr>
              <w:t>Mordida abierta Posterior</w:t>
            </w:r>
          </w:p>
        </w:tc>
        <w:tc>
          <w:tcPr>
            <w:tcW w:w="898" w:type="dxa"/>
          </w:tcPr>
          <w:p>
            <w:pPr/>
          </w:p>
        </w:tc>
        <w:tc>
          <w:tcPr>
            <w:tcW w:w="898" w:type="dxa"/>
          </w:tcPr>
          <w:p>
            <w:pPr/>
          </w:p>
        </w:tc>
      </w:tr>
      <w:tr>
        <w:trPr>
          <w:trHeight w:val="326" w:hRule="exact"/>
        </w:trPr>
        <w:tc>
          <w:tcPr>
            <w:tcW w:w="2948" w:type="dxa"/>
          </w:tcPr>
          <w:p>
            <w:pPr>
              <w:pStyle w:val="TableParagraph"/>
              <w:ind w:left="105"/>
              <w:rPr>
                <w:sz w:val="24"/>
              </w:rPr>
            </w:pPr>
            <w:r>
              <w:rPr>
                <w:sz w:val="24"/>
              </w:rPr>
              <w:t>Mordida Borde a Borde</w:t>
            </w:r>
          </w:p>
        </w:tc>
        <w:tc>
          <w:tcPr>
            <w:tcW w:w="898" w:type="dxa"/>
          </w:tcPr>
          <w:p>
            <w:pPr/>
          </w:p>
        </w:tc>
        <w:tc>
          <w:tcPr>
            <w:tcW w:w="898" w:type="dxa"/>
          </w:tcPr>
          <w:p>
            <w:pPr/>
          </w:p>
        </w:tc>
      </w:tr>
    </w:tbl>
    <w:p>
      <w:pPr>
        <w:spacing w:after="0"/>
        <w:sectPr>
          <w:pgSz w:w="12240" w:h="15840"/>
          <w:pgMar w:header="0" w:footer="942" w:top="920" w:bottom="1200" w:left="440" w:right="60"/>
        </w:sectPr>
      </w:pPr>
    </w:p>
    <w:p>
      <w:pPr>
        <w:pStyle w:val="BodyText"/>
        <w:rPr>
          <w:i/>
          <w:sz w:val="20"/>
        </w:rPr>
      </w:pPr>
    </w:p>
    <w:p>
      <w:pPr>
        <w:pStyle w:val="BodyText"/>
        <w:rPr>
          <w:i/>
          <w:sz w:val="20"/>
        </w:rPr>
      </w:pPr>
    </w:p>
    <w:p>
      <w:pPr>
        <w:pStyle w:val="BodyText"/>
        <w:spacing w:before="3"/>
        <w:rPr>
          <w:i/>
          <w:sz w:val="21"/>
        </w:rPr>
      </w:pPr>
    </w:p>
    <w:p>
      <w:pPr>
        <w:pStyle w:val="Heading1"/>
        <w:spacing w:before="0"/>
        <w:ind w:left="3649"/>
      </w:pPr>
      <w:r>
        <w:rPr/>
        <w:drawing>
          <wp:anchor distT="0" distB="0" distL="0" distR="0" allowOverlap="1" layoutInCell="1" locked="0" behindDoc="0" simplePos="0" relativeHeight="1336">
            <wp:simplePos x="0" y="0"/>
            <wp:positionH relativeFrom="page">
              <wp:posOffset>695325</wp:posOffset>
            </wp:positionH>
            <wp:positionV relativeFrom="paragraph">
              <wp:posOffset>-283643</wp:posOffset>
            </wp:positionV>
            <wp:extent cx="1024255" cy="914400"/>
            <wp:effectExtent l="0" t="0" r="0" b="0"/>
            <wp:wrapNone/>
            <wp:docPr id="17" name="image1.jpeg" descr=""/>
            <wp:cNvGraphicFramePr>
              <a:graphicFrameLocks noChangeAspect="1"/>
            </wp:cNvGraphicFramePr>
            <a:graphic>
              <a:graphicData uri="http://schemas.openxmlformats.org/drawingml/2006/picture">
                <pic:pic>
                  <pic:nvPicPr>
                    <pic:cNvPr id="18" name="image1.jpeg"/>
                    <pic:cNvPicPr/>
                  </pic:nvPicPr>
                  <pic:blipFill>
                    <a:blip r:embed="rId5" cstate="print"/>
                    <a:stretch>
                      <a:fillRect/>
                    </a:stretch>
                  </pic:blipFill>
                  <pic:spPr>
                    <a:xfrm>
                      <a:off x="0" y="0"/>
                      <a:ext cx="1024255" cy="914400"/>
                    </a:xfrm>
                    <a:prstGeom prst="rect">
                      <a:avLst/>
                    </a:prstGeom>
                  </pic:spPr>
                </pic:pic>
              </a:graphicData>
            </a:graphic>
          </wp:anchor>
        </w:drawing>
      </w:r>
      <w:r>
        <w:rPr>
          <w:u w:val="thick"/>
        </w:rPr>
        <w:t>Consentimiento informado </w:t>
      </w:r>
      <w:r>
        <w:rPr/>
        <w:t>(anexo 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5"/>
        </w:rPr>
      </w:pPr>
    </w:p>
    <w:p>
      <w:pPr>
        <w:pStyle w:val="BodyText"/>
        <w:tabs>
          <w:tab w:pos="6346" w:val="left" w:leader="none"/>
        </w:tabs>
        <w:spacing w:before="70"/>
        <w:ind w:left="436"/>
        <w:jc w:val="both"/>
      </w:pPr>
      <w:r>
        <w:rPr/>
        <w:t>El (la) que suscribe en </w:t>
      </w:r>
      <w:r>
        <w:rPr>
          <w:spacing w:val="-4"/>
        </w:rPr>
        <w:t>mi</w:t>
      </w:r>
      <w:r>
        <w:rPr>
          <w:spacing w:val="1"/>
        </w:rPr>
        <w:t> </w:t>
      </w:r>
      <w:r>
        <w:rPr/>
        <w:t>carácter</w:t>
      </w:r>
      <w:r>
        <w:rPr>
          <w:spacing w:val="-1"/>
        </w:rPr>
        <w:t> </w:t>
      </w:r>
      <w:r>
        <w:rPr/>
        <w:t>de</w:t>
      </w:r>
      <w:r>
        <w:rPr>
          <w:u w:val="single"/>
        </w:rPr>
        <w:t> </w:t>
        <w:tab/>
      </w:r>
      <w:r>
        <w:rPr/>
        <w:t>manifiesto que la</w:t>
      </w:r>
      <w:r>
        <w:rPr>
          <w:spacing w:val="-14"/>
        </w:rPr>
        <w:t> </w:t>
      </w:r>
      <w:r>
        <w:rPr/>
        <w:t>cirujano</w:t>
      </w:r>
    </w:p>
    <w:p>
      <w:pPr>
        <w:pStyle w:val="BodyText"/>
        <w:rPr>
          <w:sz w:val="21"/>
        </w:rPr>
      </w:pPr>
    </w:p>
    <w:p>
      <w:pPr>
        <w:pStyle w:val="BodyText"/>
        <w:spacing w:line="271" w:lineRule="auto" w:before="1"/>
        <w:ind w:left="436" w:right="169"/>
        <w:jc w:val="both"/>
      </w:pPr>
      <w:r>
        <w:rPr/>
        <w:t>Dentista Alejandra Requena Mendoza, estudiante del postgrado de Odontopediatría de la Facultad de Odontología de la UAEMEX</w:t>
      </w:r>
    </w:p>
    <w:p>
      <w:pPr>
        <w:pStyle w:val="BodyText"/>
      </w:pPr>
    </w:p>
    <w:p>
      <w:pPr>
        <w:pStyle w:val="BodyText"/>
      </w:pPr>
    </w:p>
    <w:p>
      <w:pPr>
        <w:pStyle w:val="BodyText"/>
        <w:spacing w:line="273" w:lineRule="auto" w:before="179"/>
        <w:ind w:left="436" w:right="162"/>
        <w:jc w:val="both"/>
      </w:pPr>
      <w:r>
        <w:rPr/>
        <w:t>Amablemente me informó de manera verbal, libre y sin coerción alguna, en forma clara, sencilla y suficiente acerca del cuestionario y la revisión de la boca, que se aplicarán con fines de investigación sin ánimo de lucro y no se afectará la integridad física de mi hijo.</w:t>
      </w:r>
    </w:p>
    <w:p>
      <w:pPr>
        <w:pStyle w:val="BodyText"/>
      </w:pPr>
    </w:p>
    <w:p>
      <w:pPr>
        <w:pStyle w:val="BodyText"/>
      </w:pPr>
    </w:p>
    <w:p>
      <w:pPr>
        <w:pStyle w:val="BodyText"/>
        <w:spacing w:line="273" w:lineRule="auto" w:before="176"/>
        <w:ind w:left="436" w:right="160"/>
        <w:jc w:val="both"/>
      </w:pPr>
      <w:r>
        <w:rPr/>
        <w:t>Estoy informado (a) y enterado (a) por lo que acepto a participar y colaborar con lo solicitado por la cirujano dentista Alejandra Requena Mendoza con los fines académicos a que se tenga efecto</w:t>
      </w:r>
    </w:p>
    <w:p>
      <w:pPr>
        <w:pStyle w:val="BodyText"/>
      </w:pPr>
    </w:p>
    <w:p>
      <w:pPr>
        <w:pStyle w:val="BodyText"/>
      </w:pPr>
    </w:p>
    <w:p>
      <w:pPr>
        <w:pStyle w:val="BodyText"/>
        <w:spacing w:before="171"/>
        <w:ind w:left="2664"/>
      </w:pPr>
      <w:r>
        <w:rPr/>
        <w:t>NOMBRE Y FIRMA DEL PADRE O TUTOR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1312;mso-wrap-distance-left:0;mso-wrap-distance-right:0" from="69.384003pt,10.050930pt" to="528.454003pt,10.050930pt" stroked="true" strokeweight="1.44pt" strokecolor="#000000">
            <w10:wrap type="topAndBottom"/>
          </v:line>
        </w:pict>
      </w:r>
    </w:p>
    <w:p>
      <w:pPr>
        <w:spacing w:after="0"/>
        <w:rPr>
          <w:sz w:val="12"/>
        </w:rPr>
        <w:sectPr>
          <w:pgSz w:w="12240" w:h="15840"/>
          <w:pgMar w:header="0" w:footer="942" w:top="1500" w:bottom="1200" w:left="980" w:right="1540"/>
        </w:sectPr>
      </w:pPr>
    </w:p>
    <w:p>
      <w:pPr>
        <w:pStyle w:val="BodyText"/>
        <w:spacing w:before="5"/>
        <w:rPr>
          <w:rFonts w:ascii="Times New Roman"/>
          <w:sz w:val="17"/>
        </w:rPr>
      </w:pPr>
    </w:p>
    <w:p>
      <w:pPr>
        <w:pStyle w:val="BodyText"/>
        <w:ind w:left="107"/>
        <w:rPr>
          <w:rFonts w:ascii="Times New Roman"/>
          <w:sz w:val="20"/>
        </w:rPr>
      </w:pPr>
      <w:r>
        <w:rPr>
          <w:rFonts w:ascii="Times New Roman"/>
          <w:sz w:val="20"/>
        </w:rPr>
        <w:drawing>
          <wp:inline distT="0" distB="0" distL="0" distR="0">
            <wp:extent cx="5682853" cy="7470933"/>
            <wp:effectExtent l="0" t="0" r="0" b="0"/>
            <wp:docPr id="19" name="image7.jpeg" descr=""/>
            <wp:cNvGraphicFramePr>
              <a:graphicFrameLocks noChangeAspect="1"/>
            </wp:cNvGraphicFramePr>
            <a:graphic>
              <a:graphicData uri="http://schemas.openxmlformats.org/drawingml/2006/picture">
                <pic:pic>
                  <pic:nvPicPr>
                    <pic:cNvPr id="20" name="image7.jpeg"/>
                    <pic:cNvPicPr/>
                  </pic:nvPicPr>
                  <pic:blipFill>
                    <a:blip r:embed="rId20" cstate="print"/>
                    <a:stretch>
                      <a:fillRect/>
                    </a:stretch>
                  </pic:blipFill>
                  <pic:spPr>
                    <a:xfrm>
                      <a:off x="0" y="0"/>
                      <a:ext cx="5682853" cy="747093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42" w:top="1500" w:bottom="1140" w:left="1340" w:right="1540"/>
        </w:sectPr>
      </w:pPr>
    </w:p>
    <w:p>
      <w:pPr>
        <w:pStyle w:val="BodyText"/>
        <w:spacing w:before="5"/>
        <w:rPr>
          <w:rFonts w:ascii="Times New Roman"/>
          <w:sz w:val="17"/>
        </w:rPr>
      </w:pPr>
    </w:p>
    <w:p>
      <w:pPr>
        <w:pStyle w:val="BodyText"/>
        <w:ind w:left="108"/>
        <w:rPr>
          <w:rFonts w:ascii="Times New Roman"/>
          <w:sz w:val="20"/>
        </w:rPr>
      </w:pPr>
      <w:r>
        <w:rPr>
          <w:rFonts w:ascii="Times New Roman"/>
          <w:sz w:val="20"/>
        </w:rPr>
        <w:drawing>
          <wp:inline distT="0" distB="0" distL="0" distR="0">
            <wp:extent cx="6292444" cy="7837170"/>
            <wp:effectExtent l="0" t="0" r="0" b="0"/>
            <wp:docPr id="21" name="image8.jpeg" descr=""/>
            <wp:cNvGraphicFramePr>
              <a:graphicFrameLocks noChangeAspect="1"/>
            </wp:cNvGraphicFramePr>
            <a:graphic>
              <a:graphicData uri="http://schemas.openxmlformats.org/drawingml/2006/picture">
                <pic:pic>
                  <pic:nvPicPr>
                    <pic:cNvPr id="22" name="image8.jpeg"/>
                    <pic:cNvPicPr/>
                  </pic:nvPicPr>
                  <pic:blipFill>
                    <a:blip r:embed="rId21" cstate="print"/>
                    <a:stretch>
                      <a:fillRect/>
                    </a:stretch>
                  </pic:blipFill>
                  <pic:spPr>
                    <a:xfrm>
                      <a:off x="0" y="0"/>
                      <a:ext cx="6292444" cy="783717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42" w:top="1500" w:bottom="1140" w:left="1340" w:right="580"/>
        </w:sectPr>
      </w:pPr>
    </w:p>
    <w:p>
      <w:pPr>
        <w:pStyle w:val="BodyText"/>
        <w:spacing w:before="5"/>
        <w:rPr>
          <w:rFonts w:ascii="Times New Roman"/>
          <w:sz w:val="17"/>
        </w:rPr>
      </w:pPr>
      <w:r>
        <w:rPr/>
        <w:pict>
          <v:shape style="position:absolute;margin-left:72.400002pt;margin-top:85.054001pt;width:498.15pt;height:684.25pt;mso-position-horizontal-relative:page;mso-position-vertical-relative:page;z-index:-62800" type="#_x0000_t202" filled="false" stroked="false">
            <v:textbox inset="0,0,0,0">
              <w:txbxContent>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2"/>
                    <w:rPr>
                      <w:rFonts w:ascii="Times New Roman"/>
                      <w:sz w:val="21"/>
                    </w:rPr>
                  </w:pPr>
                </w:p>
                <w:p>
                  <w:pPr>
                    <w:spacing w:before="0"/>
                    <w:ind w:left="4400" w:right="5299" w:firstLine="0"/>
                    <w:jc w:val="center"/>
                    <w:rPr>
                      <w:rFonts w:ascii="Calibri"/>
                      <w:sz w:val="22"/>
                    </w:rPr>
                  </w:pPr>
                  <w:r>
                    <w:rPr>
                      <w:rFonts w:ascii="Calibri"/>
                      <w:sz w:val="22"/>
                    </w:rPr>
                    <w:t>49</w:t>
                  </w:r>
                </w:p>
              </w:txbxContent>
            </v:textbox>
            <w10:wrap type="none"/>
          </v:shape>
        </w:pict>
      </w:r>
    </w:p>
    <w:p>
      <w:pPr>
        <w:pStyle w:val="BodyText"/>
        <w:ind w:left="108"/>
        <w:rPr>
          <w:rFonts w:ascii="Times New Roman"/>
          <w:sz w:val="20"/>
        </w:rPr>
      </w:pPr>
      <w:r>
        <w:rPr>
          <w:rFonts w:ascii="Times New Roman"/>
          <w:sz w:val="20"/>
        </w:rPr>
        <w:drawing>
          <wp:inline distT="0" distB="0" distL="0" distR="0">
            <wp:extent cx="6217722" cy="8541067"/>
            <wp:effectExtent l="0" t="0" r="0" b="0"/>
            <wp:docPr id="23" name="image9.jpeg" descr=""/>
            <wp:cNvGraphicFramePr>
              <a:graphicFrameLocks noChangeAspect="1"/>
            </wp:cNvGraphicFramePr>
            <a:graphic>
              <a:graphicData uri="http://schemas.openxmlformats.org/drawingml/2006/picture">
                <pic:pic>
                  <pic:nvPicPr>
                    <pic:cNvPr id="24" name="image9.jpeg"/>
                    <pic:cNvPicPr/>
                  </pic:nvPicPr>
                  <pic:blipFill>
                    <a:blip r:embed="rId23" cstate="print"/>
                    <a:stretch>
                      <a:fillRect/>
                    </a:stretch>
                  </pic:blipFill>
                  <pic:spPr>
                    <a:xfrm>
                      <a:off x="0" y="0"/>
                      <a:ext cx="6217722" cy="8541067"/>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22"/>
          <w:pgSz w:w="12240" w:h="15840"/>
          <w:pgMar w:footer="0" w:header="0" w:top="1500" w:bottom="280" w:left="1340" w:right="720"/>
        </w:sectPr>
      </w:pPr>
    </w:p>
    <w:p>
      <w:pPr>
        <w:pStyle w:val="BodyText"/>
        <w:spacing w:before="5"/>
        <w:rPr>
          <w:rFonts w:ascii="Times New Roman"/>
          <w:sz w:val="17"/>
        </w:rPr>
      </w:pPr>
    </w:p>
    <w:p>
      <w:pPr>
        <w:pStyle w:val="BodyText"/>
        <w:ind w:left="108"/>
        <w:rPr>
          <w:rFonts w:ascii="Times New Roman"/>
          <w:sz w:val="20"/>
        </w:rPr>
      </w:pPr>
      <w:r>
        <w:rPr>
          <w:rFonts w:ascii="Times New Roman"/>
          <w:sz w:val="20"/>
        </w:rPr>
        <w:drawing>
          <wp:inline distT="0" distB="0" distL="0" distR="0">
            <wp:extent cx="6035923" cy="7912227"/>
            <wp:effectExtent l="0" t="0" r="0" b="0"/>
            <wp:docPr id="25" name="image10.jpeg" descr=""/>
            <wp:cNvGraphicFramePr>
              <a:graphicFrameLocks noChangeAspect="1"/>
            </wp:cNvGraphicFramePr>
            <a:graphic>
              <a:graphicData uri="http://schemas.openxmlformats.org/drawingml/2006/picture">
                <pic:pic>
                  <pic:nvPicPr>
                    <pic:cNvPr id="26" name="image10.jpeg"/>
                    <pic:cNvPicPr/>
                  </pic:nvPicPr>
                  <pic:blipFill>
                    <a:blip r:embed="rId25" cstate="print"/>
                    <a:stretch>
                      <a:fillRect/>
                    </a:stretch>
                  </pic:blipFill>
                  <pic:spPr>
                    <a:xfrm>
                      <a:off x="0" y="0"/>
                      <a:ext cx="6035923" cy="7912227"/>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24"/>
          <w:pgSz w:w="12240" w:h="15840"/>
          <w:pgMar w:footer="942" w:header="0" w:top="1500" w:bottom="1140" w:left="1340" w:right="1000"/>
          <w:pgNumType w:start="50"/>
        </w:sectPr>
      </w:pPr>
    </w:p>
    <w:p>
      <w:pPr>
        <w:pStyle w:val="BodyText"/>
        <w:spacing w:before="4"/>
        <w:rPr>
          <w:rFonts w:ascii="Times New Roman"/>
          <w:sz w:val="17"/>
        </w:rPr>
      </w:pPr>
    </w:p>
    <w:sectPr>
      <w:pgSz w:w="12240" w:h="15840"/>
      <w:pgMar w:header="0" w:footer="942" w:top="1500" w:bottom="114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4.040009pt;margin-top:730.880005pt;width:9.6pt;height:13.05pt;mso-position-horizontal-relative:page;mso-position-vertical-relative:page;z-index:-63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399994pt;margin-top:730.880005pt;width:15.05pt;height:13.05pt;mso-position-horizontal-relative:page;mso-position-vertical-relative:page;z-index:-62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399994pt;margin-top:730.880005pt;width:13.05pt;height:13.05pt;mso-position-horizontal-relative:page;mso-position-vertical-relative:page;z-index:-63112"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399994pt;margin-top:730.880005pt;width:15.05pt;height:13.05pt;mso-position-horizontal-relative:page;mso-position-vertical-relative:page;z-index:-63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399994pt;margin-top:730.880005pt;width:13.05pt;height:13.05pt;mso-position-horizontal-relative:page;mso-position-vertical-relative:page;z-index:-63064"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1.399994pt;margin-top:730.880005pt;width:15.05pt;height:13.05pt;mso-position-horizontal-relative:page;mso-position-vertical-relative:page;z-index:-63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399994pt;margin-top:730.880005pt;width:13.05pt;height:13.05pt;mso-position-horizontal-relative:page;mso-position-vertical-relative:page;z-index:-63016"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399994pt;margin-top:730.880005pt;width:15.05pt;height:13.05pt;mso-position-horizontal-relative:page;mso-position-vertical-relative:page;z-index:-62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399994pt;margin-top:730.880005pt;width:13.05pt;height:13.05pt;mso-position-horizontal-relative:page;mso-position-vertical-relative:page;z-index:-62968"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1.399994pt;margin-top:730.880005pt;width:15.05pt;height:13.05pt;mso-position-horizontal-relative:page;mso-position-vertical-relative:page;z-index:-62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837" w:hanging="361"/>
        <w:jc w:val="left"/>
      </w:pPr>
      <w:rPr>
        <w:rFonts w:hint="default" w:ascii="Arial" w:hAnsi="Arial" w:eastAsia="Arial" w:cs="Arial"/>
        <w:b/>
        <w:bCs/>
        <w:spacing w:val="0"/>
        <w:w w:val="100"/>
        <w:sz w:val="22"/>
        <w:szCs w:val="22"/>
      </w:rPr>
    </w:lvl>
    <w:lvl w:ilvl="1">
      <w:start w:val="1"/>
      <w:numFmt w:val="bullet"/>
      <w:lvlText w:val="•"/>
      <w:lvlJc w:val="left"/>
      <w:pPr>
        <w:ind w:left="1692" w:hanging="361"/>
      </w:pPr>
      <w:rPr>
        <w:rFonts w:hint="default"/>
      </w:rPr>
    </w:lvl>
    <w:lvl w:ilvl="2">
      <w:start w:val="1"/>
      <w:numFmt w:val="bullet"/>
      <w:lvlText w:val="•"/>
      <w:lvlJc w:val="left"/>
      <w:pPr>
        <w:ind w:left="254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248" w:hanging="361"/>
      </w:pPr>
      <w:rPr>
        <w:rFonts w:hint="default"/>
      </w:rPr>
    </w:lvl>
    <w:lvl w:ilvl="5">
      <w:start w:val="1"/>
      <w:numFmt w:val="bullet"/>
      <w:lvlText w:val="•"/>
      <w:lvlJc w:val="left"/>
      <w:pPr>
        <w:ind w:left="5100" w:hanging="361"/>
      </w:pPr>
      <w:rPr>
        <w:rFonts w:hint="default"/>
      </w:rPr>
    </w:lvl>
    <w:lvl w:ilvl="6">
      <w:start w:val="1"/>
      <w:numFmt w:val="bullet"/>
      <w:lvlText w:val="•"/>
      <w:lvlJc w:val="left"/>
      <w:pPr>
        <w:ind w:left="5952" w:hanging="361"/>
      </w:pPr>
      <w:rPr>
        <w:rFonts w:hint="default"/>
      </w:rPr>
    </w:lvl>
    <w:lvl w:ilvl="7">
      <w:start w:val="1"/>
      <w:numFmt w:val="bullet"/>
      <w:lvlText w:val="•"/>
      <w:lvlJc w:val="left"/>
      <w:pPr>
        <w:ind w:left="6804" w:hanging="361"/>
      </w:pPr>
      <w:rPr>
        <w:rFonts w:hint="default"/>
      </w:rPr>
    </w:lvl>
    <w:lvl w:ilvl="8">
      <w:start w:val="1"/>
      <w:numFmt w:val="bullet"/>
      <w:lvlText w:val="•"/>
      <w:lvlJc w:val="left"/>
      <w:pPr>
        <w:ind w:left="7656" w:hanging="361"/>
      </w:pPr>
      <w:rPr>
        <w:rFonts w:hint="default"/>
      </w:rPr>
    </w:lvl>
  </w:abstractNum>
  <w:abstractNum w:abstractNumId="14">
    <w:multiLevelType w:val="hybridMultilevel"/>
    <w:lvl w:ilvl="0">
      <w:start w:val="1"/>
      <w:numFmt w:val="decimal"/>
      <w:lvlText w:val="%1."/>
      <w:lvlJc w:val="left"/>
      <w:pPr>
        <w:ind w:left="477" w:hanging="361"/>
        <w:jc w:val="left"/>
      </w:pPr>
      <w:rPr>
        <w:rFonts w:hint="default" w:ascii="Arial" w:hAnsi="Arial" w:eastAsia="Arial" w:cs="Arial"/>
        <w:spacing w:val="-23"/>
        <w:w w:val="99"/>
        <w:sz w:val="24"/>
        <w:szCs w:val="24"/>
      </w:rPr>
    </w:lvl>
    <w:lvl w:ilvl="1">
      <w:start w:val="1"/>
      <w:numFmt w:val="bullet"/>
      <w:lvlText w:val="•"/>
      <w:lvlJc w:val="left"/>
      <w:pPr>
        <w:ind w:left="1332" w:hanging="361"/>
      </w:pPr>
      <w:rPr>
        <w:rFonts w:hint="default"/>
      </w:rPr>
    </w:lvl>
    <w:lvl w:ilvl="2">
      <w:start w:val="1"/>
      <w:numFmt w:val="bullet"/>
      <w:lvlText w:val="•"/>
      <w:lvlJc w:val="left"/>
      <w:pPr>
        <w:ind w:left="2184" w:hanging="361"/>
      </w:pPr>
      <w:rPr>
        <w:rFonts w:hint="default"/>
      </w:rPr>
    </w:lvl>
    <w:lvl w:ilvl="3">
      <w:start w:val="1"/>
      <w:numFmt w:val="bullet"/>
      <w:lvlText w:val="•"/>
      <w:lvlJc w:val="left"/>
      <w:pPr>
        <w:ind w:left="3036" w:hanging="361"/>
      </w:pPr>
      <w:rPr>
        <w:rFonts w:hint="default"/>
      </w:rPr>
    </w:lvl>
    <w:lvl w:ilvl="4">
      <w:start w:val="1"/>
      <w:numFmt w:val="bullet"/>
      <w:lvlText w:val="•"/>
      <w:lvlJc w:val="left"/>
      <w:pPr>
        <w:ind w:left="3888" w:hanging="361"/>
      </w:pPr>
      <w:rPr>
        <w:rFonts w:hint="default"/>
      </w:rPr>
    </w:lvl>
    <w:lvl w:ilvl="5">
      <w:start w:val="1"/>
      <w:numFmt w:val="bullet"/>
      <w:lvlText w:val="•"/>
      <w:lvlJc w:val="left"/>
      <w:pPr>
        <w:ind w:left="4740" w:hanging="361"/>
      </w:pPr>
      <w:rPr>
        <w:rFonts w:hint="default"/>
      </w:rPr>
    </w:lvl>
    <w:lvl w:ilvl="6">
      <w:start w:val="1"/>
      <w:numFmt w:val="bullet"/>
      <w:lvlText w:val="•"/>
      <w:lvlJc w:val="left"/>
      <w:pPr>
        <w:ind w:left="5592" w:hanging="361"/>
      </w:pPr>
      <w:rPr>
        <w:rFonts w:hint="default"/>
      </w:rPr>
    </w:lvl>
    <w:lvl w:ilvl="7">
      <w:start w:val="1"/>
      <w:numFmt w:val="bullet"/>
      <w:lvlText w:val="•"/>
      <w:lvlJc w:val="left"/>
      <w:pPr>
        <w:ind w:left="6444" w:hanging="361"/>
      </w:pPr>
      <w:rPr>
        <w:rFonts w:hint="default"/>
      </w:rPr>
    </w:lvl>
    <w:lvl w:ilvl="8">
      <w:start w:val="1"/>
      <w:numFmt w:val="bullet"/>
      <w:lvlText w:val="•"/>
      <w:lvlJc w:val="left"/>
      <w:pPr>
        <w:ind w:left="7296" w:hanging="361"/>
      </w:pPr>
      <w:rPr>
        <w:rFonts w:hint="default"/>
      </w:rPr>
    </w:lvl>
  </w:abstractNum>
  <w:abstractNum w:abstractNumId="13">
    <w:multiLevelType w:val="hybridMultilevel"/>
    <w:lvl w:ilvl="0">
      <w:start w:val="1"/>
      <w:numFmt w:val="decimal"/>
      <w:lvlText w:val="%1."/>
      <w:lvlJc w:val="left"/>
      <w:pPr>
        <w:ind w:left="1197" w:hanging="360"/>
        <w:jc w:val="left"/>
      </w:pPr>
      <w:rPr>
        <w:rFonts w:hint="default" w:ascii="Arial" w:hAnsi="Arial" w:eastAsia="Arial" w:cs="Arial"/>
        <w:w w:val="99"/>
        <w:sz w:val="24"/>
        <w:szCs w:val="24"/>
      </w:rPr>
    </w:lvl>
    <w:lvl w:ilvl="1">
      <w:start w:val="1"/>
      <w:numFmt w:val="bullet"/>
      <w:lvlText w:val="•"/>
      <w:lvlJc w:val="left"/>
      <w:pPr>
        <w:ind w:left="2016" w:hanging="360"/>
      </w:pPr>
      <w:rPr>
        <w:rFonts w:hint="default"/>
      </w:rPr>
    </w:lvl>
    <w:lvl w:ilvl="2">
      <w:start w:val="1"/>
      <w:numFmt w:val="bullet"/>
      <w:lvlText w:val="•"/>
      <w:lvlJc w:val="left"/>
      <w:pPr>
        <w:ind w:left="283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464"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12" w:hanging="360"/>
      </w:pPr>
      <w:rPr>
        <w:rFonts w:hint="default"/>
      </w:rPr>
    </w:lvl>
    <w:lvl w:ilvl="8">
      <w:start w:val="1"/>
      <w:numFmt w:val="bullet"/>
      <w:lvlText w:val="•"/>
      <w:lvlJc w:val="left"/>
      <w:pPr>
        <w:ind w:left="7728" w:hanging="360"/>
      </w:pPr>
      <w:rPr>
        <w:rFonts w:hint="default"/>
      </w:rPr>
    </w:lvl>
  </w:abstractNum>
  <w:abstractNum w:abstractNumId="12">
    <w:multiLevelType w:val="hybridMultilevel"/>
    <w:lvl w:ilvl="0">
      <w:start w:val="1"/>
      <w:numFmt w:val="upperLetter"/>
      <w:lvlText w:val="%1)"/>
      <w:lvlJc w:val="left"/>
      <w:pPr>
        <w:ind w:left="476" w:hanging="360"/>
        <w:jc w:val="left"/>
      </w:pPr>
      <w:rPr>
        <w:rFonts w:hint="default" w:ascii="Arial" w:hAnsi="Arial" w:eastAsia="Arial" w:cs="Arial"/>
        <w:spacing w:val="-12"/>
        <w:w w:val="99"/>
        <w:sz w:val="24"/>
        <w:szCs w:val="24"/>
      </w:rPr>
    </w:lvl>
    <w:lvl w:ilvl="1">
      <w:start w:val="1"/>
      <w:numFmt w:val="bullet"/>
      <w:lvlText w:val=""/>
      <w:lvlJc w:val="left"/>
      <w:pPr>
        <w:ind w:left="476" w:hanging="361"/>
      </w:pPr>
      <w:rPr>
        <w:rFonts w:hint="default" w:ascii="Symbol" w:hAnsi="Symbol" w:eastAsia="Symbol" w:cs="Symbol"/>
        <w:w w:val="100"/>
        <w:sz w:val="24"/>
        <w:szCs w:val="24"/>
      </w:rPr>
    </w:lvl>
    <w:lvl w:ilvl="2">
      <w:start w:val="1"/>
      <w:numFmt w:val="bullet"/>
      <w:lvlText w:val="•"/>
      <w:lvlJc w:val="left"/>
      <w:pPr>
        <w:ind w:left="2256" w:hanging="361"/>
      </w:pPr>
      <w:rPr>
        <w:rFonts w:hint="default"/>
      </w:rPr>
    </w:lvl>
    <w:lvl w:ilvl="3">
      <w:start w:val="1"/>
      <w:numFmt w:val="bullet"/>
      <w:lvlText w:val="•"/>
      <w:lvlJc w:val="left"/>
      <w:pPr>
        <w:ind w:left="3144" w:hanging="361"/>
      </w:pPr>
      <w:rPr>
        <w:rFonts w:hint="default"/>
      </w:rPr>
    </w:lvl>
    <w:lvl w:ilvl="4">
      <w:start w:val="1"/>
      <w:numFmt w:val="bullet"/>
      <w:lvlText w:val="•"/>
      <w:lvlJc w:val="left"/>
      <w:pPr>
        <w:ind w:left="4032" w:hanging="361"/>
      </w:pPr>
      <w:rPr>
        <w:rFonts w:hint="default"/>
      </w:rPr>
    </w:lvl>
    <w:lvl w:ilvl="5">
      <w:start w:val="1"/>
      <w:numFmt w:val="bullet"/>
      <w:lvlText w:val="•"/>
      <w:lvlJc w:val="left"/>
      <w:pPr>
        <w:ind w:left="4920" w:hanging="361"/>
      </w:pPr>
      <w:rPr>
        <w:rFonts w:hint="default"/>
      </w:rPr>
    </w:lvl>
    <w:lvl w:ilvl="6">
      <w:start w:val="1"/>
      <w:numFmt w:val="bullet"/>
      <w:lvlText w:val="•"/>
      <w:lvlJc w:val="left"/>
      <w:pPr>
        <w:ind w:left="5808" w:hanging="361"/>
      </w:pPr>
      <w:rPr>
        <w:rFonts w:hint="default"/>
      </w:rPr>
    </w:lvl>
    <w:lvl w:ilvl="7">
      <w:start w:val="1"/>
      <w:numFmt w:val="bullet"/>
      <w:lvlText w:val="•"/>
      <w:lvlJc w:val="left"/>
      <w:pPr>
        <w:ind w:left="6696" w:hanging="361"/>
      </w:pPr>
      <w:rPr>
        <w:rFonts w:hint="default"/>
      </w:rPr>
    </w:lvl>
    <w:lvl w:ilvl="8">
      <w:start w:val="1"/>
      <w:numFmt w:val="bullet"/>
      <w:lvlText w:val="•"/>
      <w:lvlJc w:val="left"/>
      <w:pPr>
        <w:ind w:left="7584" w:hanging="361"/>
      </w:pPr>
      <w:rPr>
        <w:rFonts w:hint="default"/>
      </w:rPr>
    </w:lvl>
  </w:abstractNum>
  <w:abstractNum w:abstractNumId="11">
    <w:multiLevelType w:val="hybridMultilevel"/>
    <w:lvl w:ilvl="0">
      <w:start w:val="7"/>
      <w:numFmt w:val="decimal"/>
      <w:lvlText w:val="%1"/>
      <w:lvlJc w:val="left"/>
      <w:pPr>
        <w:ind w:left="519" w:hanging="404"/>
        <w:jc w:val="left"/>
      </w:pPr>
      <w:rPr>
        <w:rFonts w:hint="default"/>
      </w:rPr>
    </w:lvl>
    <w:lvl w:ilvl="1">
      <w:start w:val="1"/>
      <w:numFmt w:val="decimal"/>
      <w:lvlText w:val="%1.%2"/>
      <w:lvlJc w:val="left"/>
      <w:pPr>
        <w:ind w:left="519" w:hanging="404"/>
        <w:jc w:val="right"/>
      </w:pPr>
      <w:rPr>
        <w:rFonts w:hint="default" w:ascii="Arial" w:hAnsi="Arial" w:eastAsia="Arial" w:cs="Arial"/>
        <w:b/>
        <w:bCs/>
        <w:w w:val="99"/>
        <w:sz w:val="24"/>
        <w:szCs w:val="24"/>
      </w:rPr>
    </w:lvl>
    <w:lvl w:ilvl="2">
      <w:start w:val="1"/>
      <w:numFmt w:val="decimal"/>
      <w:lvlText w:val="%1.%2.%3"/>
      <w:lvlJc w:val="left"/>
      <w:pPr>
        <w:ind w:left="721" w:hanging="606"/>
        <w:jc w:val="right"/>
      </w:pPr>
      <w:rPr>
        <w:rFonts w:hint="default" w:ascii="Arial" w:hAnsi="Arial" w:eastAsia="Arial" w:cs="Arial"/>
        <w:b/>
        <w:bCs/>
        <w:w w:val="99"/>
        <w:sz w:val="24"/>
        <w:szCs w:val="24"/>
      </w:rPr>
    </w:lvl>
    <w:lvl w:ilvl="3">
      <w:start w:val="1"/>
      <w:numFmt w:val="bullet"/>
      <w:lvlText w:val="•"/>
      <w:lvlJc w:val="left"/>
      <w:pPr>
        <w:ind w:left="2640" w:hanging="606"/>
      </w:pPr>
      <w:rPr>
        <w:rFonts w:hint="default"/>
      </w:rPr>
    </w:lvl>
    <w:lvl w:ilvl="4">
      <w:start w:val="1"/>
      <w:numFmt w:val="bullet"/>
      <w:lvlText w:val="•"/>
      <w:lvlJc w:val="left"/>
      <w:pPr>
        <w:ind w:left="3600" w:hanging="606"/>
      </w:pPr>
      <w:rPr>
        <w:rFonts w:hint="default"/>
      </w:rPr>
    </w:lvl>
    <w:lvl w:ilvl="5">
      <w:start w:val="1"/>
      <w:numFmt w:val="bullet"/>
      <w:lvlText w:val="•"/>
      <w:lvlJc w:val="left"/>
      <w:pPr>
        <w:ind w:left="4560" w:hanging="606"/>
      </w:pPr>
      <w:rPr>
        <w:rFonts w:hint="default"/>
      </w:rPr>
    </w:lvl>
    <w:lvl w:ilvl="6">
      <w:start w:val="1"/>
      <w:numFmt w:val="bullet"/>
      <w:lvlText w:val="•"/>
      <w:lvlJc w:val="left"/>
      <w:pPr>
        <w:ind w:left="5520" w:hanging="606"/>
      </w:pPr>
      <w:rPr>
        <w:rFonts w:hint="default"/>
      </w:rPr>
    </w:lvl>
    <w:lvl w:ilvl="7">
      <w:start w:val="1"/>
      <w:numFmt w:val="bullet"/>
      <w:lvlText w:val="•"/>
      <w:lvlJc w:val="left"/>
      <w:pPr>
        <w:ind w:left="6480" w:hanging="606"/>
      </w:pPr>
      <w:rPr>
        <w:rFonts w:hint="default"/>
      </w:rPr>
    </w:lvl>
    <w:lvl w:ilvl="8">
      <w:start w:val="1"/>
      <w:numFmt w:val="bullet"/>
      <w:lvlText w:val="•"/>
      <w:lvlJc w:val="left"/>
      <w:pPr>
        <w:ind w:left="7440" w:hanging="606"/>
      </w:pPr>
      <w:rPr>
        <w:rFonts w:hint="default"/>
      </w:rPr>
    </w:lvl>
  </w:abstractNum>
  <w:abstractNum w:abstractNumId="10">
    <w:multiLevelType w:val="hybridMultilevel"/>
    <w:lvl w:ilvl="0">
      <w:start w:val="5"/>
      <w:numFmt w:val="decimal"/>
      <w:lvlText w:val="%1"/>
      <w:lvlJc w:val="left"/>
      <w:pPr>
        <w:ind w:left="519" w:hanging="404"/>
        <w:jc w:val="left"/>
      </w:pPr>
      <w:rPr>
        <w:rFonts w:hint="default"/>
      </w:rPr>
    </w:lvl>
    <w:lvl w:ilvl="1">
      <w:start w:val="1"/>
      <w:numFmt w:val="decimal"/>
      <w:lvlText w:val="%1.%2"/>
      <w:lvlJc w:val="left"/>
      <w:pPr>
        <w:ind w:left="519" w:hanging="404"/>
        <w:jc w:val="left"/>
      </w:pPr>
      <w:rPr>
        <w:rFonts w:hint="default" w:ascii="Arial" w:hAnsi="Arial" w:eastAsia="Arial" w:cs="Arial"/>
        <w:b/>
        <w:bCs/>
        <w:w w:val="99"/>
        <w:sz w:val="24"/>
        <w:szCs w:val="24"/>
      </w:rPr>
    </w:lvl>
    <w:lvl w:ilvl="2">
      <w:start w:val="1"/>
      <w:numFmt w:val="decimal"/>
      <w:lvlText w:val="%3."/>
      <w:lvlJc w:val="left"/>
      <w:pPr>
        <w:ind w:left="837" w:hanging="361"/>
        <w:jc w:val="left"/>
      </w:pPr>
      <w:rPr>
        <w:rFonts w:hint="default" w:ascii="Arial" w:hAnsi="Arial" w:eastAsia="Arial" w:cs="Arial"/>
        <w:spacing w:val="-8"/>
        <w:w w:val="99"/>
        <w:sz w:val="24"/>
        <w:szCs w:val="24"/>
      </w:rPr>
    </w:lvl>
    <w:lvl w:ilvl="3">
      <w:start w:val="1"/>
      <w:numFmt w:val="bullet"/>
      <w:lvlText w:val="•"/>
      <w:lvlJc w:val="left"/>
      <w:pPr>
        <w:ind w:left="2728" w:hanging="361"/>
      </w:pPr>
      <w:rPr>
        <w:rFonts w:hint="default"/>
      </w:rPr>
    </w:lvl>
    <w:lvl w:ilvl="4">
      <w:start w:val="1"/>
      <w:numFmt w:val="bullet"/>
      <w:lvlText w:val="•"/>
      <w:lvlJc w:val="left"/>
      <w:pPr>
        <w:ind w:left="3673" w:hanging="361"/>
      </w:pPr>
      <w:rPr>
        <w:rFonts w:hint="default"/>
      </w:rPr>
    </w:lvl>
    <w:lvl w:ilvl="5">
      <w:start w:val="1"/>
      <w:numFmt w:val="bullet"/>
      <w:lvlText w:val="•"/>
      <w:lvlJc w:val="left"/>
      <w:pPr>
        <w:ind w:left="4617" w:hanging="361"/>
      </w:pPr>
      <w:rPr>
        <w:rFonts w:hint="default"/>
      </w:rPr>
    </w:lvl>
    <w:lvl w:ilvl="6">
      <w:start w:val="1"/>
      <w:numFmt w:val="bullet"/>
      <w:lvlText w:val="•"/>
      <w:lvlJc w:val="left"/>
      <w:pPr>
        <w:ind w:left="5562" w:hanging="361"/>
      </w:pPr>
      <w:rPr>
        <w:rFonts w:hint="default"/>
      </w:rPr>
    </w:lvl>
    <w:lvl w:ilvl="7">
      <w:start w:val="1"/>
      <w:numFmt w:val="bullet"/>
      <w:lvlText w:val="•"/>
      <w:lvlJc w:val="left"/>
      <w:pPr>
        <w:ind w:left="6506" w:hanging="361"/>
      </w:pPr>
      <w:rPr>
        <w:rFonts w:hint="default"/>
      </w:rPr>
    </w:lvl>
    <w:lvl w:ilvl="8">
      <w:start w:val="1"/>
      <w:numFmt w:val="bullet"/>
      <w:lvlText w:val="•"/>
      <w:lvlJc w:val="left"/>
      <w:pPr>
        <w:ind w:left="7451" w:hanging="361"/>
      </w:pPr>
      <w:rPr>
        <w:rFonts w:hint="default"/>
      </w:rPr>
    </w:lvl>
  </w:abstractNum>
  <w:abstractNum w:abstractNumId="9">
    <w:multiLevelType w:val="hybridMultilevel"/>
    <w:lvl w:ilvl="0">
      <w:start w:val="4"/>
      <w:numFmt w:val="decimal"/>
      <w:lvlText w:val="%1"/>
      <w:lvlJc w:val="left"/>
      <w:pPr>
        <w:ind w:left="519" w:hanging="404"/>
        <w:jc w:val="left"/>
      </w:pPr>
      <w:rPr>
        <w:rFonts w:hint="default"/>
      </w:rPr>
    </w:lvl>
    <w:lvl w:ilvl="1">
      <w:start w:val="1"/>
      <w:numFmt w:val="decimal"/>
      <w:lvlText w:val="%1.%2"/>
      <w:lvlJc w:val="left"/>
      <w:pPr>
        <w:ind w:left="519" w:hanging="404"/>
        <w:jc w:val="left"/>
      </w:pPr>
      <w:rPr>
        <w:rFonts w:hint="default" w:ascii="Arial" w:hAnsi="Arial" w:eastAsia="Arial" w:cs="Arial"/>
        <w:b/>
        <w:bCs/>
        <w:w w:val="99"/>
        <w:sz w:val="24"/>
        <w:szCs w:val="24"/>
      </w:rPr>
    </w:lvl>
    <w:lvl w:ilvl="2">
      <w:start w:val="1"/>
      <w:numFmt w:val="bullet"/>
      <w:lvlText w:val="•"/>
      <w:lvlJc w:val="left"/>
      <w:pPr>
        <w:ind w:left="2288" w:hanging="404"/>
      </w:pPr>
      <w:rPr>
        <w:rFonts w:hint="default"/>
      </w:rPr>
    </w:lvl>
    <w:lvl w:ilvl="3">
      <w:start w:val="1"/>
      <w:numFmt w:val="bullet"/>
      <w:lvlText w:val="•"/>
      <w:lvlJc w:val="left"/>
      <w:pPr>
        <w:ind w:left="3172" w:hanging="404"/>
      </w:pPr>
      <w:rPr>
        <w:rFonts w:hint="default"/>
      </w:rPr>
    </w:lvl>
    <w:lvl w:ilvl="4">
      <w:start w:val="1"/>
      <w:numFmt w:val="bullet"/>
      <w:lvlText w:val="•"/>
      <w:lvlJc w:val="left"/>
      <w:pPr>
        <w:ind w:left="4056" w:hanging="404"/>
      </w:pPr>
      <w:rPr>
        <w:rFonts w:hint="default"/>
      </w:rPr>
    </w:lvl>
    <w:lvl w:ilvl="5">
      <w:start w:val="1"/>
      <w:numFmt w:val="bullet"/>
      <w:lvlText w:val="•"/>
      <w:lvlJc w:val="left"/>
      <w:pPr>
        <w:ind w:left="4940" w:hanging="404"/>
      </w:pPr>
      <w:rPr>
        <w:rFonts w:hint="default"/>
      </w:rPr>
    </w:lvl>
    <w:lvl w:ilvl="6">
      <w:start w:val="1"/>
      <w:numFmt w:val="bullet"/>
      <w:lvlText w:val="•"/>
      <w:lvlJc w:val="left"/>
      <w:pPr>
        <w:ind w:left="5824" w:hanging="404"/>
      </w:pPr>
      <w:rPr>
        <w:rFonts w:hint="default"/>
      </w:rPr>
    </w:lvl>
    <w:lvl w:ilvl="7">
      <w:start w:val="1"/>
      <w:numFmt w:val="bullet"/>
      <w:lvlText w:val="•"/>
      <w:lvlJc w:val="left"/>
      <w:pPr>
        <w:ind w:left="6708" w:hanging="404"/>
      </w:pPr>
      <w:rPr>
        <w:rFonts w:hint="default"/>
      </w:rPr>
    </w:lvl>
    <w:lvl w:ilvl="8">
      <w:start w:val="1"/>
      <w:numFmt w:val="bullet"/>
      <w:lvlText w:val="•"/>
      <w:lvlJc w:val="left"/>
      <w:pPr>
        <w:ind w:left="7592" w:hanging="404"/>
      </w:pPr>
      <w:rPr>
        <w:rFonts w:hint="default"/>
      </w:rPr>
    </w:lvl>
  </w:abstractNum>
  <w:abstractNum w:abstractNumId="8">
    <w:multiLevelType w:val="hybridMultilevel"/>
    <w:lvl w:ilvl="0">
      <w:start w:val="2"/>
      <w:numFmt w:val="decimal"/>
      <w:lvlText w:val="%1"/>
      <w:lvlJc w:val="left"/>
      <w:pPr>
        <w:ind w:left="1197" w:hanging="1081"/>
        <w:jc w:val="left"/>
      </w:pPr>
      <w:rPr>
        <w:rFonts w:hint="default"/>
      </w:rPr>
    </w:lvl>
    <w:lvl w:ilvl="1">
      <w:start w:val="3"/>
      <w:numFmt w:val="decimal"/>
      <w:lvlText w:val="%1.%2"/>
      <w:lvlJc w:val="left"/>
      <w:pPr>
        <w:ind w:left="1197" w:hanging="1081"/>
        <w:jc w:val="left"/>
      </w:pPr>
      <w:rPr>
        <w:rFonts w:hint="default"/>
      </w:rPr>
    </w:lvl>
    <w:lvl w:ilvl="2">
      <w:start w:val="2"/>
      <w:numFmt w:val="decimal"/>
      <w:lvlText w:val="%1.%2.%3"/>
      <w:lvlJc w:val="left"/>
      <w:pPr>
        <w:ind w:left="1197" w:hanging="1081"/>
        <w:jc w:val="left"/>
      </w:pPr>
      <w:rPr>
        <w:rFonts w:hint="default"/>
      </w:rPr>
    </w:lvl>
    <w:lvl w:ilvl="3">
      <w:start w:val="1"/>
      <w:numFmt w:val="decimal"/>
      <w:lvlText w:val="%1.%2.%3.%4"/>
      <w:lvlJc w:val="left"/>
      <w:pPr>
        <w:ind w:left="1197" w:hanging="1081"/>
        <w:jc w:val="left"/>
      </w:pPr>
      <w:rPr>
        <w:rFonts w:hint="default" w:ascii="Arial" w:hAnsi="Arial" w:eastAsia="Arial" w:cs="Arial"/>
        <w:spacing w:val="-33"/>
        <w:w w:val="99"/>
        <w:sz w:val="24"/>
        <w:szCs w:val="24"/>
      </w:rPr>
    </w:lvl>
    <w:lvl w:ilvl="4">
      <w:start w:val="1"/>
      <w:numFmt w:val="bullet"/>
      <w:lvlText w:val="•"/>
      <w:lvlJc w:val="left"/>
      <w:pPr>
        <w:ind w:left="4464" w:hanging="1081"/>
      </w:pPr>
      <w:rPr>
        <w:rFonts w:hint="default"/>
      </w:rPr>
    </w:lvl>
    <w:lvl w:ilvl="5">
      <w:start w:val="1"/>
      <w:numFmt w:val="bullet"/>
      <w:lvlText w:val="•"/>
      <w:lvlJc w:val="left"/>
      <w:pPr>
        <w:ind w:left="5280" w:hanging="1081"/>
      </w:pPr>
      <w:rPr>
        <w:rFonts w:hint="default"/>
      </w:rPr>
    </w:lvl>
    <w:lvl w:ilvl="6">
      <w:start w:val="1"/>
      <w:numFmt w:val="bullet"/>
      <w:lvlText w:val="•"/>
      <w:lvlJc w:val="left"/>
      <w:pPr>
        <w:ind w:left="6096" w:hanging="1081"/>
      </w:pPr>
      <w:rPr>
        <w:rFonts w:hint="default"/>
      </w:rPr>
    </w:lvl>
    <w:lvl w:ilvl="7">
      <w:start w:val="1"/>
      <w:numFmt w:val="bullet"/>
      <w:lvlText w:val="•"/>
      <w:lvlJc w:val="left"/>
      <w:pPr>
        <w:ind w:left="6912" w:hanging="1081"/>
      </w:pPr>
      <w:rPr>
        <w:rFonts w:hint="default"/>
      </w:rPr>
    </w:lvl>
    <w:lvl w:ilvl="8">
      <w:start w:val="1"/>
      <w:numFmt w:val="bullet"/>
      <w:lvlText w:val="•"/>
      <w:lvlJc w:val="left"/>
      <w:pPr>
        <w:ind w:left="7728" w:hanging="1081"/>
      </w:pPr>
      <w:rPr>
        <w:rFonts w:hint="default"/>
      </w:rPr>
    </w:lvl>
  </w:abstractNum>
  <w:abstractNum w:abstractNumId="7">
    <w:multiLevelType w:val="hybridMultilevel"/>
    <w:lvl w:ilvl="0">
      <w:start w:val="1"/>
      <w:numFmt w:val="decimal"/>
      <w:lvlText w:val="%1."/>
      <w:lvlJc w:val="left"/>
      <w:pPr>
        <w:ind w:left="837" w:hanging="428"/>
        <w:jc w:val="left"/>
      </w:pPr>
      <w:rPr>
        <w:rFonts w:hint="default" w:ascii="Arial" w:hAnsi="Arial" w:eastAsia="Arial" w:cs="Arial"/>
        <w:spacing w:val="-28"/>
        <w:w w:val="99"/>
        <w:sz w:val="24"/>
        <w:szCs w:val="24"/>
      </w:rPr>
    </w:lvl>
    <w:lvl w:ilvl="1">
      <w:start w:val="1"/>
      <w:numFmt w:val="bullet"/>
      <w:lvlText w:val="•"/>
      <w:lvlJc w:val="left"/>
      <w:pPr>
        <w:ind w:left="1692" w:hanging="428"/>
      </w:pPr>
      <w:rPr>
        <w:rFonts w:hint="default"/>
      </w:rPr>
    </w:lvl>
    <w:lvl w:ilvl="2">
      <w:start w:val="1"/>
      <w:numFmt w:val="bullet"/>
      <w:lvlText w:val="•"/>
      <w:lvlJc w:val="left"/>
      <w:pPr>
        <w:ind w:left="2544" w:hanging="428"/>
      </w:pPr>
      <w:rPr>
        <w:rFonts w:hint="default"/>
      </w:rPr>
    </w:lvl>
    <w:lvl w:ilvl="3">
      <w:start w:val="1"/>
      <w:numFmt w:val="bullet"/>
      <w:lvlText w:val="•"/>
      <w:lvlJc w:val="left"/>
      <w:pPr>
        <w:ind w:left="3396" w:hanging="428"/>
      </w:pPr>
      <w:rPr>
        <w:rFonts w:hint="default"/>
      </w:rPr>
    </w:lvl>
    <w:lvl w:ilvl="4">
      <w:start w:val="1"/>
      <w:numFmt w:val="bullet"/>
      <w:lvlText w:val="•"/>
      <w:lvlJc w:val="left"/>
      <w:pPr>
        <w:ind w:left="4248" w:hanging="428"/>
      </w:pPr>
      <w:rPr>
        <w:rFonts w:hint="default"/>
      </w:rPr>
    </w:lvl>
    <w:lvl w:ilvl="5">
      <w:start w:val="1"/>
      <w:numFmt w:val="bullet"/>
      <w:lvlText w:val="•"/>
      <w:lvlJc w:val="left"/>
      <w:pPr>
        <w:ind w:left="5100" w:hanging="428"/>
      </w:pPr>
      <w:rPr>
        <w:rFonts w:hint="default"/>
      </w:rPr>
    </w:lvl>
    <w:lvl w:ilvl="6">
      <w:start w:val="1"/>
      <w:numFmt w:val="bullet"/>
      <w:lvlText w:val="•"/>
      <w:lvlJc w:val="left"/>
      <w:pPr>
        <w:ind w:left="5952" w:hanging="428"/>
      </w:pPr>
      <w:rPr>
        <w:rFonts w:hint="default"/>
      </w:rPr>
    </w:lvl>
    <w:lvl w:ilvl="7">
      <w:start w:val="1"/>
      <w:numFmt w:val="bullet"/>
      <w:lvlText w:val="•"/>
      <w:lvlJc w:val="left"/>
      <w:pPr>
        <w:ind w:left="6804" w:hanging="428"/>
      </w:pPr>
      <w:rPr>
        <w:rFonts w:hint="default"/>
      </w:rPr>
    </w:lvl>
    <w:lvl w:ilvl="8">
      <w:start w:val="1"/>
      <w:numFmt w:val="bullet"/>
      <w:lvlText w:val="•"/>
      <w:lvlJc w:val="left"/>
      <w:pPr>
        <w:ind w:left="7656" w:hanging="428"/>
      </w:pPr>
      <w:rPr>
        <w:rFonts w:hint="default"/>
      </w:rPr>
    </w:lvl>
  </w:abstractNum>
  <w:abstractNum w:abstractNumId="6">
    <w:multiLevelType w:val="hybridMultilevel"/>
    <w:lvl w:ilvl="0">
      <w:start w:val="2"/>
      <w:numFmt w:val="decimal"/>
      <w:lvlText w:val="%1"/>
      <w:lvlJc w:val="left"/>
      <w:pPr>
        <w:ind w:left="1629" w:hanging="807"/>
        <w:jc w:val="left"/>
      </w:pPr>
      <w:rPr>
        <w:rFonts w:hint="default"/>
      </w:rPr>
    </w:lvl>
    <w:lvl w:ilvl="1">
      <w:start w:val="3"/>
      <w:numFmt w:val="decimal"/>
      <w:lvlText w:val="%1.%2"/>
      <w:lvlJc w:val="left"/>
      <w:pPr>
        <w:ind w:left="1629" w:hanging="807"/>
        <w:jc w:val="left"/>
      </w:pPr>
      <w:rPr>
        <w:rFonts w:hint="default"/>
      </w:rPr>
    </w:lvl>
    <w:lvl w:ilvl="2">
      <w:start w:val="1"/>
      <w:numFmt w:val="decimal"/>
      <w:lvlText w:val="%1.%2.%3"/>
      <w:lvlJc w:val="left"/>
      <w:pPr>
        <w:ind w:left="1629" w:hanging="807"/>
        <w:jc w:val="left"/>
      </w:pPr>
      <w:rPr>
        <w:rFonts w:hint="default"/>
      </w:rPr>
    </w:lvl>
    <w:lvl w:ilvl="3">
      <w:start w:val="1"/>
      <w:numFmt w:val="decimal"/>
      <w:lvlText w:val="%1.%2.%3.%4"/>
      <w:lvlJc w:val="left"/>
      <w:pPr>
        <w:ind w:left="1629" w:hanging="807"/>
        <w:jc w:val="left"/>
      </w:pPr>
      <w:rPr>
        <w:rFonts w:hint="default" w:ascii="Arial" w:hAnsi="Arial" w:eastAsia="Arial" w:cs="Arial"/>
        <w:b/>
        <w:bCs/>
        <w:w w:val="99"/>
        <w:sz w:val="24"/>
        <w:szCs w:val="24"/>
      </w:rPr>
    </w:lvl>
    <w:lvl w:ilvl="4">
      <w:start w:val="1"/>
      <w:numFmt w:val="bullet"/>
      <w:lvlText w:val="•"/>
      <w:lvlJc w:val="left"/>
      <w:pPr>
        <w:ind w:left="4716" w:hanging="807"/>
      </w:pPr>
      <w:rPr>
        <w:rFonts w:hint="default"/>
      </w:rPr>
    </w:lvl>
    <w:lvl w:ilvl="5">
      <w:start w:val="1"/>
      <w:numFmt w:val="bullet"/>
      <w:lvlText w:val="•"/>
      <w:lvlJc w:val="left"/>
      <w:pPr>
        <w:ind w:left="5490" w:hanging="807"/>
      </w:pPr>
      <w:rPr>
        <w:rFonts w:hint="default"/>
      </w:rPr>
    </w:lvl>
    <w:lvl w:ilvl="6">
      <w:start w:val="1"/>
      <w:numFmt w:val="bullet"/>
      <w:lvlText w:val="•"/>
      <w:lvlJc w:val="left"/>
      <w:pPr>
        <w:ind w:left="6264" w:hanging="807"/>
      </w:pPr>
      <w:rPr>
        <w:rFonts w:hint="default"/>
      </w:rPr>
    </w:lvl>
    <w:lvl w:ilvl="7">
      <w:start w:val="1"/>
      <w:numFmt w:val="bullet"/>
      <w:lvlText w:val="•"/>
      <w:lvlJc w:val="left"/>
      <w:pPr>
        <w:ind w:left="7038" w:hanging="807"/>
      </w:pPr>
      <w:rPr>
        <w:rFonts w:hint="default"/>
      </w:rPr>
    </w:lvl>
    <w:lvl w:ilvl="8">
      <w:start w:val="1"/>
      <w:numFmt w:val="bullet"/>
      <w:lvlText w:val="•"/>
      <w:lvlJc w:val="left"/>
      <w:pPr>
        <w:ind w:left="7812" w:hanging="807"/>
      </w:pPr>
      <w:rPr>
        <w:rFonts w:hint="default"/>
      </w:rPr>
    </w:lvl>
  </w:abstractNum>
  <w:abstractNum w:abstractNumId="5">
    <w:multiLevelType w:val="hybridMultilevel"/>
    <w:lvl w:ilvl="0">
      <w:start w:val="1"/>
      <w:numFmt w:val="decimal"/>
      <w:lvlText w:val="%1."/>
      <w:lvlJc w:val="left"/>
      <w:pPr>
        <w:ind w:left="837" w:hanging="361"/>
        <w:jc w:val="left"/>
      </w:pPr>
      <w:rPr>
        <w:rFonts w:hint="default" w:ascii="Arial" w:hAnsi="Arial" w:eastAsia="Arial" w:cs="Arial"/>
        <w:spacing w:val="-8"/>
        <w:w w:val="99"/>
        <w:sz w:val="24"/>
        <w:szCs w:val="24"/>
      </w:rPr>
    </w:lvl>
    <w:lvl w:ilvl="1">
      <w:start w:val="1"/>
      <w:numFmt w:val="bullet"/>
      <w:lvlText w:val="•"/>
      <w:lvlJc w:val="left"/>
      <w:pPr>
        <w:ind w:left="1692" w:hanging="361"/>
      </w:pPr>
      <w:rPr>
        <w:rFonts w:hint="default"/>
      </w:rPr>
    </w:lvl>
    <w:lvl w:ilvl="2">
      <w:start w:val="1"/>
      <w:numFmt w:val="bullet"/>
      <w:lvlText w:val="•"/>
      <w:lvlJc w:val="left"/>
      <w:pPr>
        <w:ind w:left="254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248" w:hanging="361"/>
      </w:pPr>
      <w:rPr>
        <w:rFonts w:hint="default"/>
      </w:rPr>
    </w:lvl>
    <w:lvl w:ilvl="5">
      <w:start w:val="1"/>
      <w:numFmt w:val="bullet"/>
      <w:lvlText w:val="•"/>
      <w:lvlJc w:val="left"/>
      <w:pPr>
        <w:ind w:left="5100" w:hanging="361"/>
      </w:pPr>
      <w:rPr>
        <w:rFonts w:hint="default"/>
      </w:rPr>
    </w:lvl>
    <w:lvl w:ilvl="6">
      <w:start w:val="1"/>
      <w:numFmt w:val="bullet"/>
      <w:lvlText w:val="•"/>
      <w:lvlJc w:val="left"/>
      <w:pPr>
        <w:ind w:left="5952" w:hanging="361"/>
      </w:pPr>
      <w:rPr>
        <w:rFonts w:hint="default"/>
      </w:rPr>
    </w:lvl>
    <w:lvl w:ilvl="7">
      <w:start w:val="1"/>
      <w:numFmt w:val="bullet"/>
      <w:lvlText w:val="•"/>
      <w:lvlJc w:val="left"/>
      <w:pPr>
        <w:ind w:left="6804" w:hanging="361"/>
      </w:pPr>
      <w:rPr>
        <w:rFonts w:hint="default"/>
      </w:rPr>
    </w:lvl>
    <w:lvl w:ilvl="8">
      <w:start w:val="1"/>
      <w:numFmt w:val="bullet"/>
      <w:lvlText w:val="•"/>
      <w:lvlJc w:val="left"/>
      <w:pPr>
        <w:ind w:left="7656" w:hanging="361"/>
      </w:pPr>
      <w:rPr>
        <w:rFonts w:hint="default"/>
      </w:rPr>
    </w:lvl>
  </w:abstractNum>
  <w:abstractNum w:abstractNumId="4">
    <w:multiLevelType w:val="hybridMultilevel"/>
    <w:lvl w:ilvl="0">
      <w:start w:val="2"/>
      <w:numFmt w:val="decimal"/>
      <w:lvlText w:val="%1"/>
      <w:lvlJc w:val="left"/>
      <w:pPr>
        <w:ind w:left="1197" w:hanging="721"/>
        <w:jc w:val="left"/>
      </w:pPr>
      <w:rPr>
        <w:rFonts w:hint="default"/>
      </w:rPr>
    </w:lvl>
    <w:lvl w:ilvl="1">
      <w:start w:val="2"/>
      <w:numFmt w:val="decimal"/>
      <w:lvlText w:val="%1.%2."/>
      <w:lvlJc w:val="left"/>
      <w:pPr>
        <w:ind w:left="1197" w:hanging="721"/>
        <w:jc w:val="left"/>
      </w:pPr>
      <w:rPr>
        <w:rFonts w:hint="default" w:ascii="Arial" w:hAnsi="Arial" w:eastAsia="Arial" w:cs="Arial"/>
        <w:b/>
        <w:bCs/>
        <w:spacing w:val="-5"/>
        <w:w w:val="99"/>
        <w:sz w:val="24"/>
        <w:szCs w:val="24"/>
      </w:rPr>
    </w:lvl>
    <w:lvl w:ilvl="2">
      <w:start w:val="1"/>
      <w:numFmt w:val="decimal"/>
      <w:lvlText w:val="%1.%2.%3."/>
      <w:lvlJc w:val="left"/>
      <w:pPr>
        <w:ind w:left="1197" w:hanging="721"/>
        <w:jc w:val="left"/>
      </w:pPr>
      <w:rPr>
        <w:rFonts w:hint="default"/>
        <w:b/>
        <w:bCs/>
        <w:spacing w:val="-17"/>
        <w:w w:val="99"/>
      </w:rPr>
    </w:lvl>
    <w:lvl w:ilvl="3">
      <w:start w:val="1"/>
      <w:numFmt w:val="bullet"/>
      <w:lvlText w:val="•"/>
      <w:lvlJc w:val="left"/>
      <w:pPr>
        <w:ind w:left="3648" w:hanging="721"/>
      </w:pPr>
      <w:rPr>
        <w:rFonts w:hint="default"/>
      </w:rPr>
    </w:lvl>
    <w:lvl w:ilvl="4">
      <w:start w:val="1"/>
      <w:numFmt w:val="bullet"/>
      <w:lvlText w:val="•"/>
      <w:lvlJc w:val="left"/>
      <w:pPr>
        <w:ind w:left="4464" w:hanging="721"/>
      </w:pPr>
      <w:rPr>
        <w:rFonts w:hint="default"/>
      </w:rPr>
    </w:lvl>
    <w:lvl w:ilvl="5">
      <w:start w:val="1"/>
      <w:numFmt w:val="bullet"/>
      <w:lvlText w:val="•"/>
      <w:lvlJc w:val="left"/>
      <w:pPr>
        <w:ind w:left="5280" w:hanging="721"/>
      </w:pPr>
      <w:rPr>
        <w:rFonts w:hint="default"/>
      </w:rPr>
    </w:lvl>
    <w:lvl w:ilvl="6">
      <w:start w:val="1"/>
      <w:numFmt w:val="bullet"/>
      <w:lvlText w:val="•"/>
      <w:lvlJc w:val="left"/>
      <w:pPr>
        <w:ind w:left="6096" w:hanging="721"/>
      </w:pPr>
      <w:rPr>
        <w:rFonts w:hint="default"/>
      </w:rPr>
    </w:lvl>
    <w:lvl w:ilvl="7">
      <w:start w:val="1"/>
      <w:numFmt w:val="bullet"/>
      <w:lvlText w:val="•"/>
      <w:lvlJc w:val="left"/>
      <w:pPr>
        <w:ind w:left="6912" w:hanging="721"/>
      </w:pPr>
      <w:rPr>
        <w:rFonts w:hint="default"/>
      </w:rPr>
    </w:lvl>
    <w:lvl w:ilvl="8">
      <w:start w:val="1"/>
      <w:numFmt w:val="bullet"/>
      <w:lvlText w:val="•"/>
      <w:lvlJc w:val="left"/>
      <w:pPr>
        <w:ind w:left="7728" w:hanging="721"/>
      </w:pPr>
      <w:rPr>
        <w:rFonts w:hint="default"/>
      </w:rPr>
    </w:lvl>
  </w:abstractNum>
  <w:abstractNum w:abstractNumId="3">
    <w:multiLevelType w:val="hybridMultilevel"/>
    <w:lvl w:ilvl="0">
      <w:start w:val="1"/>
      <w:numFmt w:val="bullet"/>
      <w:lvlText w:val=""/>
      <w:lvlJc w:val="left"/>
      <w:pPr>
        <w:ind w:left="837" w:hanging="361"/>
      </w:pPr>
      <w:rPr>
        <w:rFonts w:hint="default" w:ascii="Symbol" w:hAnsi="Symbol" w:eastAsia="Symbol" w:cs="Symbol"/>
        <w:w w:val="100"/>
        <w:sz w:val="24"/>
        <w:szCs w:val="24"/>
      </w:rPr>
    </w:lvl>
    <w:lvl w:ilvl="1">
      <w:start w:val="1"/>
      <w:numFmt w:val="bullet"/>
      <w:lvlText w:val="•"/>
      <w:lvlJc w:val="left"/>
      <w:pPr>
        <w:ind w:left="1692" w:hanging="361"/>
      </w:pPr>
      <w:rPr>
        <w:rFonts w:hint="default"/>
      </w:rPr>
    </w:lvl>
    <w:lvl w:ilvl="2">
      <w:start w:val="1"/>
      <w:numFmt w:val="bullet"/>
      <w:lvlText w:val="•"/>
      <w:lvlJc w:val="left"/>
      <w:pPr>
        <w:ind w:left="254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248" w:hanging="361"/>
      </w:pPr>
      <w:rPr>
        <w:rFonts w:hint="default"/>
      </w:rPr>
    </w:lvl>
    <w:lvl w:ilvl="5">
      <w:start w:val="1"/>
      <w:numFmt w:val="bullet"/>
      <w:lvlText w:val="•"/>
      <w:lvlJc w:val="left"/>
      <w:pPr>
        <w:ind w:left="5100" w:hanging="361"/>
      </w:pPr>
      <w:rPr>
        <w:rFonts w:hint="default"/>
      </w:rPr>
    </w:lvl>
    <w:lvl w:ilvl="6">
      <w:start w:val="1"/>
      <w:numFmt w:val="bullet"/>
      <w:lvlText w:val="•"/>
      <w:lvlJc w:val="left"/>
      <w:pPr>
        <w:ind w:left="5952" w:hanging="361"/>
      </w:pPr>
      <w:rPr>
        <w:rFonts w:hint="default"/>
      </w:rPr>
    </w:lvl>
    <w:lvl w:ilvl="7">
      <w:start w:val="1"/>
      <w:numFmt w:val="bullet"/>
      <w:lvlText w:val="•"/>
      <w:lvlJc w:val="left"/>
      <w:pPr>
        <w:ind w:left="6804" w:hanging="361"/>
      </w:pPr>
      <w:rPr>
        <w:rFonts w:hint="default"/>
      </w:rPr>
    </w:lvl>
    <w:lvl w:ilvl="8">
      <w:start w:val="1"/>
      <w:numFmt w:val="bullet"/>
      <w:lvlText w:val="•"/>
      <w:lvlJc w:val="left"/>
      <w:pPr>
        <w:ind w:left="7656" w:hanging="361"/>
      </w:pPr>
      <w:rPr>
        <w:rFonts w:hint="default"/>
      </w:rPr>
    </w:lvl>
  </w:abstractNum>
  <w:abstractNum w:abstractNumId="1">
    <w:multiLevelType w:val="hybridMultilevel"/>
    <w:lvl w:ilvl="0">
      <w:start w:val="1"/>
      <w:numFmt w:val="decimal"/>
      <w:lvlText w:val="%1"/>
      <w:lvlJc w:val="left"/>
      <w:pPr>
        <w:ind w:left="586" w:hanging="470"/>
        <w:jc w:val="left"/>
      </w:pPr>
      <w:rPr>
        <w:rFonts w:hint="default"/>
      </w:rPr>
    </w:lvl>
    <w:lvl w:ilvl="1">
      <w:start w:val="2"/>
      <w:numFmt w:val="decimal"/>
      <w:lvlText w:val="%1.%2."/>
      <w:lvlJc w:val="left"/>
      <w:pPr>
        <w:ind w:left="586" w:hanging="470"/>
        <w:jc w:val="left"/>
      </w:pPr>
      <w:rPr>
        <w:rFonts w:hint="default" w:ascii="Arial" w:hAnsi="Arial" w:eastAsia="Arial" w:cs="Arial"/>
        <w:b/>
        <w:bCs/>
        <w:spacing w:val="-4"/>
        <w:w w:val="99"/>
        <w:sz w:val="24"/>
        <w:szCs w:val="24"/>
      </w:rPr>
    </w:lvl>
    <w:lvl w:ilvl="2">
      <w:start w:val="1"/>
      <w:numFmt w:val="bullet"/>
      <w:lvlText w:val=""/>
      <w:lvlJc w:val="left"/>
      <w:pPr>
        <w:ind w:left="837" w:hanging="361"/>
      </w:pPr>
      <w:rPr>
        <w:rFonts w:hint="default"/>
        <w:w w:val="100"/>
      </w:rPr>
    </w:lvl>
    <w:lvl w:ilvl="3">
      <w:start w:val="1"/>
      <w:numFmt w:val="bullet"/>
      <w:lvlText w:val="•"/>
      <w:lvlJc w:val="left"/>
      <w:pPr>
        <w:ind w:left="2733" w:hanging="361"/>
      </w:pPr>
      <w:rPr>
        <w:rFonts w:hint="default"/>
      </w:rPr>
    </w:lvl>
    <w:lvl w:ilvl="4">
      <w:start w:val="1"/>
      <w:numFmt w:val="bullet"/>
      <w:lvlText w:val="•"/>
      <w:lvlJc w:val="left"/>
      <w:pPr>
        <w:ind w:left="3680" w:hanging="361"/>
      </w:pPr>
      <w:rPr>
        <w:rFonts w:hint="default"/>
      </w:rPr>
    </w:lvl>
    <w:lvl w:ilvl="5">
      <w:start w:val="1"/>
      <w:numFmt w:val="bullet"/>
      <w:lvlText w:val="•"/>
      <w:lvlJc w:val="left"/>
      <w:pPr>
        <w:ind w:left="4626" w:hanging="361"/>
      </w:pPr>
      <w:rPr>
        <w:rFonts w:hint="default"/>
      </w:rPr>
    </w:lvl>
    <w:lvl w:ilvl="6">
      <w:start w:val="1"/>
      <w:numFmt w:val="bullet"/>
      <w:lvlText w:val="•"/>
      <w:lvlJc w:val="left"/>
      <w:pPr>
        <w:ind w:left="5573" w:hanging="361"/>
      </w:pPr>
      <w:rPr>
        <w:rFonts w:hint="default"/>
      </w:rPr>
    </w:lvl>
    <w:lvl w:ilvl="7">
      <w:start w:val="1"/>
      <w:numFmt w:val="bullet"/>
      <w:lvlText w:val="•"/>
      <w:lvlJc w:val="left"/>
      <w:pPr>
        <w:ind w:left="6520" w:hanging="361"/>
      </w:pPr>
      <w:rPr>
        <w:rFonts w:hint="default"/>
      </w:rPr>
    </w:lvl>
    <w:lvl w:ilvl="8">
      <w:start w:val="1"/>
      <w:numFmt w:val="bullet"/>
      <w:lvlText w:val="•"/>
      <w:lvlJc w:val="left"/>
      <w:pPr>
        <w:ind w:left="7466" w:hanging="361"/>
      </w:pPr>
      <w:rPr>
        <w:rFonts w:hint="default"/>
      </w:rPr>
    </w:lvl>
  </w:abstractNum>
  <w:abstractNum w:abstractNumId="0">
    <w:multiLevelType w:val="hybridMultilevel"/>
    <w:lvl w:ilvl="0">
      <w:start w:val="13"/>
      <w:numFmt w:val="upperLetter"/>
      <w:lvlText w:val="%1."/>
      <w:lvlJc w:val="left"/>
      <w:pPr>
        <w:ind w:left="3135" w:hanging="331"/>
        <w:jc w:val="left"/>
      </w:pPr>
      <w:rPr>
        <w:rFonts w:hint="default" w:ascii="Arial" w:hAnsi="Arial" w:eastAsia="Arial" w:cs="Arial"/>
        <w:spacing w:val="-4"/>
        <w:w w:val="99"/>
        <w:sz w:val="24"/>
        <w:szCs w:val="24"/>
      </w:rPr>
    </w:lvl>
    <w:lvl w:ilvl="1">
      <w:start w:val="13"/>
      <w:numFmt w:val="upperLetter"/>
      <w:lvlText w:val="%2."/>
      <w:lvlJc w:val="left"/>
      <w:pPr>
        <w:ind w:left="3956" w:hanging="331"/>
        <w:jc w:val="left"/>
      </w:pPr>
      <w:rPr>
        <w:rFonts w:hint="default" w:ascii="Arial" w:hAnsi="Arial" w:eastAsia="Arial" w:cs="Arial"/>
        <w:spacing w:val="-4"/>
        <w:w w:val="99"/>
        <w:sz w:val="24"/>
        <w:szCs w:val="24"/>
      </w:rPr>
    </w:lvl>
    <w:lvl w:ilvl="2">
      <w:start w:val="1"/>
      <w:numFmt w:val="upperRoman"/>
      <w:lvlText w:val="%3."/>
      <w:lvlJc w:val="left"/>
      <w:pPr>
        <w:ind w:left="4496" w:hanging="788"/>
        <w:jc w:val="right"/>
      </w:pPr>
      <w:rPr>
        <w:rFonts w:hint="default" w:ascii="Arial" w:hAnsi="Arial" w:eastAsia="Arial" w:cs="Arial"/>
        <w:b/>
        <w:bCs/>
        <w:spacing w:val="-5"/>
        <w:w w:val="99"/>
        <w:sz w:val="24"/>
        <w:szCs w:val="24"/>
      </w:rPr>
    </w:lvl>
    <w:lvl w:ilvl="3">
      <w:start w:val="1"/>
      <w:numFmt w:val="bullet"/>
      <w:lvlText w:val="•"/>
      <w:lvlJc w:val="left"/>
      <w:pPr>
        <w:ind w:left="5090" w:hanging="788"/>
      </w:pPr>
      <w:rPr>
        <w:rFonts w:hint="default"/>
      </w:rPr>
    </w:lvl>
    <w:lvl w:ilvl="4">
      <w:start w:val="1"/>
      <w:numFmt w:val="bullet"/>
      <w:lvlText w:val="•"/>
      <w:lvlJc w:val="left"/>
      <w:pPr>
        <w:ind w:left="5680" w:hanging="788"/>
      </w:pPr>
      <w:rPr>
        <w:rFonts w:hint="default"/>
      </w:rPr>
    </w:lvl>
    <w:lvl w:ilvl="5">
      <w:start w:val="1"/>
      <w:numFmt w:val="bullet"/>
      <w:lvlText w:val="•"/>
      <w:lvlJc w:val="left"/>
      <w:pPr>
        <w:ind w:left="6270" w:hanging="788"/>
      </w:pPr>
      <w:rPr>
        <w:rFonts w:hint="default"/>
      </w:rPr>
    </w:lvl>
    <w:lvl w:ilvl="6">
      <w:start w:val="1"/>
      <w:numFmt w:val="bullet"/>
      <w:lvlText w:val="•"/>
      <w:lvlJc w:val="left"/>
      <w:pPr>
        <w:ind w:left="6860" w:hanging="788"/>
      </w:pPr>
      <w:rPr>
        <w:rFonts w:hint="default"/>
      </w:rPr>
    </w:lvl>
    <w:lvl w:ilvl="7">
      <w:start w:val="1"/>
      <w:numFmt w:val="bullet"/>
      <w:lvlText w:val="•"/>
      <w:lvlJc w:val="left"/>
      <w:pPr>
        <w:ind w:left="7450" w:hanging="788"/>
      </w:pPr>
      <w:rPr>
        <w:rFonts w:hint="default"/>
      </w:rPr>
    </w:lvl>
    <w:lvl w:ilvl="8">
      <w:start w:val="1"/>
      <w:numFmt w:val="bullet"/>
      <w:lvlText w:val="•"/>
      <w:lvlJc w:val="left"/>
      <w:pPr>
        <w:ind w:left="8040" w:hanging="788"/>
      </w:pPr>
      <w:rPr>
        <w:rFonts w:hint="default"/>
      </w:rPr>
    </w:lvl>
  </w:abstractNum>
  <w:num w:numId="3">
    <w:abstractNumId w:val="2"/>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9"/>
      <w:ind w:left="476"/>
      <w:outlineLvl w:val="1"/>
    </w:pPr>
    <w:rPr>
      <w:rFonts w:ascii="Arial" w:hAnsi="Arial" w:eastAsia="Arial" w:cs="Arial"/>
      <w:b/>
      <w:bCs/>
      <w:sz w:val="24"/>
      <w:szCs w:val="24"/>
    </w:rPr>
  </w:style>
  <w:style w:styleId="Heading2" w:type="paragraph">
    <w:name w:val="Heading 2"/>
    <w:basedOn w:val="Normal"/>
    <w:uiPriority w:val="1"/>
    <w:qFormat/>
    <w:pPr>
      <w:ind w:left="476" w:hanging="360"/>
      <w:outlineLvl w:val="2"/>
    </w:pPr>
    <w:rPr>
      <w:rFonts w:ascii="Arial" w:hAnsi="Arial" w:eastAsia="Arial" w:cs="Arial"/>
      <w:b/>
      <w:bCs/>
      <w:i/>
      <w:sz w:val="24"/>
      <w:szCs w:val="24"/>
    </w:rPr>
  </w:style>
  <w:style w:styleId="ListParagraph" w:type="paragraph">
    <w:name w:val="List Paragraph"/>
    <w:basedOn w:val="Normal"/>
    <w:uiPriority w:val="1"/>
    <w:qFormat/>
    <w:pPr>
      <w:ind w:left="477" w:hanging="361"/>
      <w:jc w:val="both"/>
    </w:pPr>
    <w:rPr>
      <w:rFonts w:ascii="Arial" w:hAnsi="Arial" w:eastAsia="Arial" w:cs="Arial"/>
    </w:rPr>
  </w:style>
  <w:style w:styleId="TableParagraph" w:type="paragraph">
    <w:name w:val="Table Paragraph"/>
    <w:basedOn w:val="Normal"/>
    <w:uiPriority w:val="1"/>
    <w:qFormat/>
    <w:pPr>
      <w:spacing w:line="272" w:lineRule="exact"/>
      <w:ind w:left="1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3.jpeg"/><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image" Target="media/image7.jpeg"/><Relationship Id="rId21" Type="http://schemas.openxmlformats.org/officeDocument/2006/relationships/image" Target="media/image8.jpeg"/><Relationship Id="rId22" Type="http://schemas.openxmlformats.org/officeDocument/2006/relationships/footer" Target="footer10.xml"/><Relationship Id="rId23" Type="http://schemas.openxmlformats.org/officeDocument/2006/relationships/image" Target="media/image9.jpeg"/><Relationship Id="rId24" Type="http://schemas.openxmlformats.org/officeDocument/2006/relationships/footer" Target="footer11.xml"/><Relationship Id="rId25" Type="http://schemas.openxmlformats.org/officeDocument/2006/relationships/image" Target="media/image10.jpeg"/><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2017-05-25T23:12:14Z</dcterms:created>
  <dcterms:modified xsi:type="dcterms:W3CDTF">2017-05-25T23:12:14Z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2014-11-26T00:00:00Z</vt:filetime>
  </property>
  <property fmtid="{D5CDD505-2E9C-101B-9397-08002B2CF9AE}" pid="3" name="Creator">
    <vt:lpwstr>Microsoft® Office Word 2007</vt:lpwstr>
  </property>
  <property fmtid="{D5CDD505-2E9C-101B-9397-08002B2CF9AE}" pid="4" name="LastSaved">
    <vt:filetime>2017-05-25T00:00:00Z</vt:filetime>
  </property>
</Properties>
</file>