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
        <w:rPr>
          <w:rFonts w:ascii="Times New Roman"/>
          <w:sz w:val="14"/>
        </w:rPr>
      </w:pPr>
    </w:p>
    <w:p>
      <w:pPr>
        <w:spacing w:before="70"/>
        <w:ind w:left="2293" w:right="0" w:firstLine="0"/>
        <w:jc w:val="left"/>
        <w:rPr>
          <w:b/>
          <w:sz w:val="24"/>
        </w:rPr>
      </w:pPr>
      <w:r>
        <w:rPr/>
        <w:pict>
          <v:group style="position:absolute;margin-left:55.560001pt;margin-top:-8.304126pt;width:90pt;height:536.450pt;mso-position-horizontal-relative:page;mso-position-vertical-relative:paragraph;z-index:-17368" coordorigin="1111,-166" coordsize="1800,10729">
            <v:shape style="position:absolute;left:1111;top:-166;width:1800;height:1625" type="#_x0000_t75" stroked="false">
              <v:imagedata r:id="rId5" o:title=""/>
            </v:shape>
            <v:line style="position:absolute" from="2005,1198" to="2005,10539" stroked="true" strokeweight="2.280pt" strokecolor="#000000"/>
            <w10:wrap type="none"/>
          </v:group>
        </w:pict>
      </w:r>
      <w:r>
        <w:rPr>
          <w:b/>
          <w:sz w:val="24"/>
        </w:rPr>
        <w:t>UNIVERSIDAD AUTÓNOMA DEL ESTADO DE MÉXICO</w:t>
      </w:r>
    </w:p>
    <w:p>
      <w:pPr>
        <w:pStyle w:val="BodyText"/>
        <w:spacing w:before="10"/>
        <w:rPr>
          <w:b/>
          <w:sz w:val="20"/>
        </w:rPr>
      </w:pPr>
    </w:p>
    <w:p>
      <w:pPr>
        <w:pStyle w:val="Heading2"/>
        <w:spacing w:before="0"/>
        <w:ind w:left="2458" w:right="1670" w:firstLine="0"/>
        <w:jc w:val="center"/>
        <w:rPr>
          <w:i/>
        </w:rPr>
      </w:pPr>
      <w:r>
        <w:rPr>
          <w:i/>
        </w:rPr>
        <w:t>FACULTAD DE ODONTOLOGÍA</w:t>
      </w:r>
    </w:p>
    <w:p>
      <w:pPr>
        <w:pStyle w:val="BodyText"/>
        <w:spacing w:before="4"/>
        <w:rPr>
          <w:b/>
          <w:i/>
          <w:sz w:val="29"/>
        </w:rPr>
      </w:pPr>
    </w:p>
    <w:p>
      <w:pPr>
        <w:spacing w:before="1"/>
        <w:ind w:left="2458" w:right="1544" w:firstLine="0"/>
        <w:jc w:val="center"/>
        <w:rPr>
          <w:b/>
          <w:sz w:val="24"/>
        </w:rPr>
      </w:pPr>
      <w:r>
        <w:rPr>
          <w:b/>
          <w:sz w:val="24"/>
        </w:rPr>
        <w:t>CENTRO DE INVESTIGACIÓN</w:t>
      </w:r>
    </w:p>
    <w:p>
      <w:pPr>
        <w:spacing w:line="360" w:lineRule="auto" w:before="139"/>
        <w:ind w:left="2458" w:right="1738" w:firstLine="0"/>
        <w:jc w:val="center"/>
        <w:rPr>
          <w:b/>
          <w:sz w:val="24"/>
        </w:rPr>
      </w:pPr>
      <w:r>
        <w:rPr>
          <w:b/>
          <w:sz w:val="24"/>
        </w:rPr>
        <w:t>Y ESTUDIOS AVANZADOS EN ODONTOLOGÍA “DR. KEISABURO MIYATA”</w:t>
      </w:r>
    </w:p>
    <w:p>
      <w:pPr>
        <w:pStyle w:val="BodyText"/>
        <w:rPr>
          <w:b/>
        </w:rPr>
      </w:pPr>
    </w:p>
    <w:p>
      <w:pPr>
        <w:spacing w:before="142"/>
        <w:ind w:left="1681" w:right="0" w:firstLine="0"/>
        <w:jc w:val="left"/>
        <w:rPr>
          <w:b/>
          <w:sz w:val="24"/>
        </w:rPr>
      </w:pPr>
      <w:r>
        <w:rPr>
          <w:b/>
          <w:sz w:val="24"/>
        </w:rPr>
        <w:t>“Primer Molar Superior con dos raíces palatinas: reporte de caso.”</w:t>
      </w:r>
    </w:p>
    <w:p>
      <w:pPr>
        <w:pStyle w:val="BodyText"/>
        <w:rPr>
          <w:b/>
        </w:rPr>
      </w:pPr>
    </w:p>
    <w:p>
      <w:pPr>
        <w:pStyle w:val="BodyText"/>
        <w:rPr>
          <w:b/>
        </w:rPr>
      </w:pPr>
    </w:p>
    <w:p>
      <w:pPr>
        <w:pStyle w:val="BodyText"/>
        <w:rPr>
          <w:b/>
        </w:rPr>
      </w:pPr>
    </w:p>
    <w:p>
      <w:pPr>
        <w:spacing w:before="140"/>
        <w:ind w:left="2452" w:right="1738" w:firstLine="0"/>
        <w:jc w:val="center"/>
        <w:rPr>
          <w:b/>
          <w:sz w:val="24"/>
        </w:rPr>
      </w:pPr>
      <w:r>
        <w:rPr>
          <w:b/>
          <w:sz w:val="24"/>
        </w:rPr>
        <w:t>PROYECTO TERMINAL</w:t>
      </w:r>
    </w:p>
    <w:p>
      <w:pPr>
        <w:pStyle w:val="BodyText"/>
        <w:rPr>
          <w:b/>
        </w:rPr>
      </w:pPr>
    </w:p>
    <w:p>
      <w:pPr>
        <w:pStyle w:val="BodyText"/>
        <w:rPr>
          <w:b/>
        </w:rPr>
      </w:pPr>
    </w:p>
    <w:p>
      <w:pPr>
        <w:spacing w:line="360" w:lineRule="auto" w:before="0"/>
        <w:ind w:left="2454" w:right="1738" w:firstLine="0"/>
        <w:jc w:val="center"/>
        <w:rPr>
          <w:b/>
          <w:sz w:val="24"/>
        </w:rPr>
      </w:pPr>
      <w:r>
        <w:rPr>
          <w:b/>
          <w:sz w:val="24"/>
        </w:rPr>
        <w:t>QUE PARA OBTENER EL DIPLOMA DE: ESPECIALISTA EN ENDODONCIA</w:t>
      </w:r>
    </w:p>
    <w:p>
      <w:pPr>
        <w:pStyle w:val="BodyText"/>
        <w:rPr>
          <w:b/>
        </w:rPr>
      </w:pPr>
    </w:p>
    <w:p>
      <w:pPr>
        <w:pStyle w:val="BodyText"/>
        <w:rPr>
          <w:b/>
        </w:rPr>
      </w:pPr>
    </w:p>
    <w:p>
      <w:pPr>
        <w:pStyle w:val="BodyText"/>
        <w:spacing w:before="5"/>
        <w:rPr>
          <w:b/>
        </w:rPr>
      </w:pPr>
    </w:p>
    <w:p>
      <w:pPr>
        <w:spacing w:before="0"/>
        <w:ind w:left="2454" w:right="1738" w:firstLine="0"/>
        <w:jc w:val="center"/>
        <w:rPr>
          <w:b/>
          <w:sz w:val="24"/>
        </w:rPr>
      </w:pPr>
      <w:r>
        <w:rPr>
          <w:b/>
          <w:sz w:val="24"/>
        </w:rPr>
        <w:t>PRESENTA:</w:t>
      </w:r>
    </w:p>
    <w:p>
      <w:pPr>
        <w:spacing w:before="137"/>
        <w:ind w:left="3321" w:right="0" w:firstLine="0"/>
        <w:jc w:val="left"/>
        <w:rPr>
          <w:b/>
          <w:sz w:val="24"/>
        </w:rPr>
      </w:pPr>
      <w:r>
        <w:rPr>
          <w:b/>
          <w:sz w:val="24"/>
        </w:rPr>
        <w:t>C.D Orlando Isaí Sánchez Salas</w:t>
      </w:r>
    </w:p>
    <w:p>
      <w:pPr>
        <w:pStyle w:val="BodyText"/>
        <w:rPr>
          <w:b/>
        </w:rPr>
      </w:pPr>
    </w:p>
    <w:p>
      <w:pPr>
        <w:pStyle w:val="BodyText"/>
        <w:rPr>
          <w:b/>
        </w:rPr>
      </w:pPr>
    </w:p>
    <w:p>
      <w:pPr>
        <w:spacing w:before="0"/>
        <w:ind w:left="2458" w:right="1738" w:firstLine="0"/>
        <w:jc w:val="center"/>
        <w:rPr>
          <w:b/>
          <w:sz w:val="24"/>
        </w:rPr>
      </w:pPr>
      <w:r>
        <w:rPr>
          <w:b/>
          <w:sz w:val="24"/>
        </w:rPr>
        <w:t>DIRECTOR:</w:t>
      </w:r>
    </w:p>
    <w:p>
      <w:pPr>
        <w:spacing w:before="139"/>
        <w:ind w:left="2732" w:right="0" w:firstLine="0"/>
        <w:jc w:val="left"/>
        <w:rPr>
          <w:b/>
          <w:sz w:val="24"/>
        </w:rPr>
      </w:pPr>
      <w:r>
        <w:rPr>
          <w:b/>
          <w:sz w:val="24"/>
        </w:rPr>
        <w:t>E. EN E. BRISSA ITZEL JIMENEZ VALDES</w:t>
      </w:r>
    </w:p>
    <w:p>
      <w:pPr>
        <w:pStyle w:val="BodyText"/>
        <w:rPr>
          <w:b/>
        </w:rPr>
      </w:pPr>
    </w:p>
    <w:p>
      <w:pPr>
        <w:pStyle w:val="BodyText"/>
        <w:rPr>
          <w:b/>
        </w:rPr>
      </w:pPr>
    </w:p>
    <w:p>
      <w:pPr>
        <w:spacing w:before="0"/>
        <w:ind w:left="2457" w:right="1738" w:firstLine="0"/>
        <w:jc w:val="center"/>
        <w:rPr>
          <w:b/>
          <w:sz w:val="24"/>
        </w:rPr>
      </w:pPr>
      <w:r>
        <w:rPr>
          <w:b/>
          <w:sz w:val="24"/>
        </w:rPr>
        <w:t>ASESORES:</w:t>
      </w:r>
    </w:p>
    <w:p>
      <w:pPr>
        <w:spacing w:before="137"/>
        <w:ind w:left="3328" w:right="0" w:firstLine="0"/>
        <w:jc w:val="left"/>
        <w:rPr>
          <w:b/>
          <w:sz w:val="24"/>
        </w:rPr>
      </w:pPr>
      <w:r>
        <w:rPr>
          <w:b/>
          <w:sz w:val="24"/>
        </w:rPr>
        <w:t>E.E EDUARDO GOMEZ PIZANO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40"/>
        <w:ind w:left="2926" w:right="0" w:firstLine="0"/>
        <w:jc w:val="left"/>
        <w:rPr>
          <w:b/>
          <w:sz w:val="24"/>
        </w:rPr>
      </w:pPr>
      <w:r>
        <w:rPr/>
        <w:drawing>
          <wp:anchor distT="0" distB="0" distL="0" distR="0" allowOverlap="1" layoutInCell="1" locked="0" behindDoc="0" simplePos="0" relativeHeight="1048">
            <wp:simplePos x="0" y="0"/>
            <wp:positionH relativeFrom="page">
              <wp:posOffset>807719</wp:posOffset>
            </wp:positionH>
            <wp:positionV relativeFrom="paragraph">
              <wp:posOffset>-468936</wp:posOffset>
            </wp:positionV>
            <wp:extent cx="957072" cy="1118616"/>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957072" cy="1118616"/>
                    </a:xfrm>
                    <a:prstGeom prst="rect">
                      <a:avLst/>
                    </a:prstGeom>
                  </pic:spPr>
                </pic:pic>
              </a:graphicData>
            </a:graphic>
          </wp:anchor>
        </w:drawing>
      </w:r>
      <w:r>
        <w:rPr>
          <w:b/>
          <w:sz w:val="24"/>
        </w:rPr>
        <w:t>TOLUCA, ESTADO DE MÉXICO, SEPTIEMBRE DE 2014</w:t>
      </w:r>
    </w:p>
    <w:p>
      <w:pPr>
        <w:spacing w:after="0"/>
        <w:jc w:val="left"/>
        <w:rPr>
          <w:sz w:val="24"/>
        </w:rPr>
        <w:sectPr>
          <w:type w:val="continuous"/>
          <w:pgSz w:w="12240" w:h="15840"/>
          <w:pgMar w:top="1420" w:bottom="280" w:left="1000" w:right="1720"/>
        </w:sectPr>
      </w:pPr>
    </w:p>
    <w:p>
      <w:pPr>
        <w:pStyle w:val="BodyText"/>
        <w:rPr>
          <w:b/>
          <w:sz w:val="20"/>
        </w:rPr>
      </w:pPr>
    </w:p>
    <w:p>
      <w:pPr>
        <w:pStyle w:val="BodyText"/>
        <w:spacing w:before="212"/>
        <w:ind w:left="3049" w:right="3067"/>
        <w:jc w:val="center"/>
      </w:pPr>
      <w:r>
        <w:rPr/>
        <w:t>INDICE</w:t>
      </w:r>
    </w:p>
    <w:p>
      <w:pPr>
        <w:pStyle w:val="BodyText"/>
        <w:tabs>
          <w:tab w:pos="7891" w:val="left" w:leader="none"/>
        </w:tabs>
        <w:spacing w:before="183"/>
        <w:ind w:left="102" w:right="136"/>
      </w:pPr>
      <w:r>
        <w:rPr/>
        <w:t>CONTENIDO</w:t>
        <w:tab/>
        <w:t>PÁG</w:t>
      </w:r>
    </w:p>
    <w:sdt>
      <w:sdtPr>
        <w:docPartObj>
          <w:docPartGallery w:val="Table of Contents"/>
          <w:docPartUnique/>
        </w:docPartObj>
      </w:sdtPr>
      <w:sdtEndPr/>
      <w:sdtContent>
        <w:p>
          <w:pPr>
            <w:pStyle w:val="TOC1"/>
            <w:numPr>
              <w:ilvl w:val="0"/>
              <w:numId w:val="1"/>
            </w:numPr>
            <w:tabs>
              <w:tab w:pos="1181" w:val="left" w:leader="none"/>
              <w:tab w:pos="1182" w:val="left" w:leader="none"/>
              <w:tab w:pos="7891" w:val="left" w:leader="none"/>
            </w:tabs>
            <w:spacing w:line="240" w:lineRule="auto" w:before="185" w:after="0"/>
            <w:ind w:left="1182" w:right="0" w:hanging="720"/>
            <w:jc w:val="left"/>
          </w:pPr>
          <w:hyperlink w:history="true" w:anchor="_TOC_250015">
            <w:r>
              <w:rPr/>
              <w:t>Resumen</w:t>
              <w:tab/>
              <w:t>2</w:t>
            </w:r>
          </w:hyperlink>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hyperlink w:history="true" w:anchor="_TOC_250014">
            <w:r>
              <w:rPr/>
              <w:t>Introducción</w:t>
              <w:tab/>
              <w:t>3</w:t>
            </w:r>
          </w:hyperlink>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hyperlink w:history="true" w:anchor="_TOC_250013">
            <w:r>
              <w:rPr/>
              <w:t>Antecedentes</w:t>
              <w:tab/>
              <w:t>4</w:t>
            </w:r>
          </w:hyperlink>
        </w:p>
        <w:p>
          <w:pPr>
            <w:pStyle w:val="TOC1"/>
            <w:numPr>
              <w:ilvl w:val="1"/>
              <w:numId w:val="1"/>
            </w:numPr>
            <w:tabs>
              <w:tab w:pos="822" w:val="left" w:leader="none"/>
              <w:tab w:pos="7891" w:val="left" w:leader="none"/>
            </w:tabs>
            <w:spacing w:line="240" w:lineRule="auto" w:before="619" w:after="0"/>
            <w:ind w:left="822" w:right="0" w:hanging="360"/>
            <w:jc w:val="left"/>
          </w:pPr>
          <w:hyperlink w:history="true" w:anchor="_TOC_250012">
            <w:r>
              <w:rPr/>
              <w:t>Anatomía radicular del 1°</w:t>
            </w:r>
            <w:r>
              <w:rPr>
                <w:spacing w:val="-7"/>
              </w:rPr>
              <w:t> </w:t>
            </w:r>
            <w:r>
              <w:rPr/>
              <w:t>Molar</w:t>
            </w:r>
            <w:r>
              <w:rPr>
                <w:spacing w:val="-2"/>
              </w:rPr>
              <w:t> </w:t>
            </w:r>
            <w:r>
              <w:rPr/>
              <w:t>Superior</w:t>
              <w:tab/>
              <w:t>5</w:t>
            </w:r>
          </w:hyperlink>
        </w:p>
        <w:p>
          <w:pPr>
            <w:pStyle w:val="TOC1"/>
            <w:numPr>
              <w:ilvl w:val="1"/>
              <w:numId w:val="1"/>
            </w:numPr>
            <w:tabs>
              <w:tab w:pos="822" w:val="left" w:leader="none"/>
              <w:tab w:pos="7891" w:val="left" w:leader="none"/>
            </w:tabs>
            <w:spacing w:line="240" w:lineRule="auto" w:before="21" w:after="0"/>
            <w:ind w:left="822" w:right="0" w:hanging="360"/>
            <w:jc w:val="left"/>
          </w:pPr>
          <w:hyperlink w:history="true" w:anchor="_TOC_250011">
            <w:r>
              <w:rPr/>
              <w:t>Variantes Anatómicas y</w:t>
            </w:r>
            <w:r>
              <w:rPr>
                <w:spacing w:val="-5"/>
              </w:rPr>
              <w:t> </w:t>
            </w:r>
            <w:r>
              <w:rPr/>
              <w:t>su Clasificación</w:t>
              <w:tab/>
              <w:t>7</w:t>
            </w:r>
          </w:hyperlink>
        </w:p>
        <w:p>
          <w:pPr>
            <w:pStyle w:val="TOC1"/>
            <w:numPr>
              <w:ilvl w:val="1"/>
              <w:numId w:val="1"/>
            </w:numPr>
            <w:tabs>
              <w:tab w:pos="822" w:val="left" w:leader="none"/>
              <w:tab w:pos="7891" w:val="left" w:leader="none"/>
            </w:tabs>
            <w:spacing w:line="240" w:lineRule="auto" w:before="22" w:after="0"/>
            <w:ind w:left="822" w:right="0" w:hanging="360"/>
            <w:jc w:val="left"/>
          </w:pPr>
          <w:hyperlink w:history="true" w:anchor="_TOC_250010">
            <w:r>
              <w:rPr/>
              <w:t>Preparación</w:t>
            </w:r>
            <w:r>
              <w:rPr>
                <w:spacing w:val="-3"/>
              </w:rPr>
              <w:t> </w:t>
            </w:r>
            <w:r>
              <w:rPr/>
              <w:t>biomecánica</w:t>
              <w:tab/>
              <w:t>10</w:t>
            </w:r>
          </w:hyperlink>
        </w:p>
        <w:p>
          <w:pPr>
            <w:pStyle w:val="TOC1"/>
            <w:numPr>
              <w:ilvl w:val="2"/>
              <w:numId w:val="1"/>
            </w:numPr>
            <w:tabs>
              <w:tab w:pos="1182" w:val="left" w:leader="none"/>
              <w:tab w:pos="7891" w:val="left" w:leader="none"/>
            </w:tabs>
            <w:spacing w:line="240" w:lineRule="auto" w:before="319" w:after="0"/>
            <w:ind w:left="1182" w:right="0" w:hanging="720"/>
            <w:jc w:val="left"/>
          </w:pPr>
          <w:hyperlink w:history="true" w:anchor="_TOC_250009">
            <w:r>
              <w:rPr/>
              <w:t>Instrumentación</w:t>
            </w:r>
            <w:r>
              <w:rPr>
                <w:spacing w:val="-2"/>
              </w:rPr>
              <w:t> </w:t>
            </w:r>
            <w:r>
              <w:rPr/>
              <w:t>Rotatoria</w:t>
              <w:tab/>
              <w:t>10</w:t>
            </w:r>
          </w:hyperlink>
        </w:p>
        <w:p>
          <w:pPr>
            <w:pStyle w:val="TOC1"/>
            <w:numPr>
              <w:ilvl w:val="2"/>
              <w:numId w:val="1"/>
            </w:numPr>
            <w:tabs>
              <w:tab w:pos="1182" w:val="left" w:leader="none"/>
              <w:tab w:pos="7891" w:val="left" w:leader="none"/>
            </w:tabs>
            <w:spacing w:line="240" w:lineRule="auto" w:before="21" w:after="0"/>
            <w:ind w:left="1182" w:right="0" w:hanging="720"/>
            <w:jc w:val="left"/>
          </w:pPr>
          <w:r>
            <w:rPr/>
            <w:t>Protaper</w:t>
            <w:tab/>
            <w:t>13</w:t>
          </w:r>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hyperlink w:history="true" w:anchor="_TOC_250008">
            <w:r>
              <w:rPr/>
              <w:t>Objetivo</w:t>
              <w:tab/>
              <w:t>17</w:t>
            </w:r>
          </w:hyperlink>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r>
            <w:rPr/>
            <w:t>Reporte</w:t>
          </w:r>
          <w:r>
            <w:rPr>
              <w:spacing w:val="-3"/>
            </w:rPr>
            <w:t> </w:t>
          </w:r>
          <w:r>
            <w:rPr/>
            <w:t>de</w:t>
          </w:r>
          <w:r>
            <w:rPr>
              <w:spacing w:val="-1"/>
            </w:rPr>
            <w:t> </w:t>
          </w:r>
          <w:r>
            <w:rPr/>
            <w:t>Caso</w:t>
            <w:tab/>
            <w:t>18</w:t>
          </w:r>
        </w:p>
        <w:p>
          <w:pPr>
            <w:pStyle w:val="TOC1"/>
            <w:numPr>
              <w:ilvl w:val="1"/>
              <w:numId w:val="1"/>
            </w:numPr>
            <w:tabs>
              <w:tab w:pos="822" w:val="left" w:leader="none"/>
              <w:tab w:pos="7891" w:val="left" w:leader="none"/>
            </w:tabs>
            <w:spacing w:line="240" w:lineRule="auto" w:before="619" w:after="0"/>
            <w:ind w:left="822" w:right="0" w:hanging="360"/>
            <w:jc w:val="left"/>
          </w:pPr>
          <w:hyperlink w:history="true" w:anchor="_TOC_250007">
            <w:r>
              <w:rPr/>
              <w:t>Tratamiento</w:t>
              <w:tab/>
              <w:t>19</w:t>
            </w:r>
          </w:hyperlink>
        </w:p>
        <w:p>
          <w:pPr>
            <w:pStyle w:val="TOC1"/>
            <w:numPr>
              <w:ilvl w:val="1"/>
              <w:numId w:val="1"/>
            </w:numPr>
            <w:tabs>
              <w:tab w:pos="822" w:val="left" w:leader="none"/>
              <w:tab w:pos="7891" w:val="left" w:leader="none"/>
            </w:tabs>
            <w:spacing w:line="240" w:lineRule="auto" w:before="21" w:after="0"/>
            <w:ind w:left="822" w:right="0" w:hanging="360"/>
            <w:jc w:val="left"/>
          </w:pPr>
          <w:hyperlink w:history="true" w:anchor="_TOC_250006">
            <w:r>
              <w:rPr/>
              <w:t>Determinación de Longitud</w:t>
            </w:r>
            <w:r>
              <w:rPr>
                <w:spacing w:val="-8"/>
              </w:rPr>
              <w:t> </w:t>
            </w:r>
            <w:r>
              <w:rPr/>
              <w:t>de</w:t>
            </w:r>
            <w:r>
              <w:rPr>
                <w:spacing w:val="-4"/>
              </w:rPr>
              <w:t> </w:t>
            </w:r>
            <w:r>
              <w:rPr/>
              <w:t>Trabajo</w:t>
              <w:tab/>
              <w:t>19</w:t>
            </w:r>
          </w:hyperlink>
        </w:p>
        <w:p>
          <w:pPr>
            <w:pStyle w:val="TOC1"/>
            <w:numPr>
              <w:ilvl w:val="1"/>
              <w:numId w:val="1"/>
            </w:numPr>
            <w:tabs>
              <w:tab w:pos="822" w:val="left" w:leader="none"/>
              <w:tab w:pos="7891" w:val="left" w:leader="none"/>
            </w:tabs>
            <w:spacing w:line="240" w:lineRule="auto" w:before="22" w:after="0"/>
            <w:ind w:left="822" w:right="0" w:hanging="360"/>
            <w:jc w:val="left"/>
          </w:pPr>
          <w:hyperlink w:history="true" w:anchor="_TOC_250005">
            <w:r>
              <w:rPr/>
              <w:t>Instrumentación</w:t>
            </w:r>
            <w:r>
              <w:rPr>
                <w:spacing w:val="-2"/>
              </w:rPr>
              <w:t> </w:t>
            </w:r>
            <w:r>
              <w:rPr/>
              <w:t>y</w:t>
            </w:r>
            <w:r>
              <w:rPr>
                <w:spacing w:val="-3"/>
              </w:rPr>
              <w:t> </w:t>
            </w:r>
            <w:r>
              <w:rPr/>
              <w:t>Obturación</w:t>
              <w:tab/>
              <w:t>20</w:t>
            </w:r>
          </w:hyperlink>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hyperlink w:history="true" w:anchor="_TOC_250004">
            <w:r>
              <w:rPr/>
              <w:t>Discusión</w:t>
              <w:tab/>
              <w:t>22</w:t>
            </w:r>
          </w:hyperlink>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hyperlink w:history="true" w:anchor="_TOC_250003">
            <w:r>
              <w:rPr/>
              <w:t>Conclusiones</w:t>
              <w:tab/>
              <w:t>24</w:t>
            </w:r>
          </w:hyperlink>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hyperlink w:history="true" w:anchor="_TOC_250002">
            <w:r>
              <w:rPr/>
              <w:t>Sugerencias</w:t>
              <w:tab/>
              <w:t>25</w:t>
            </w:r>
          </w:hyperlink>
        </w:p>
        <w:p>
          <w:pPr>
            <w:pStyle w:val="TOC1"/>
            <w:numPr>
              <w:ilvl w:val="0"/>
              <w:numId w:val="1"/>
            </w:numPr>
            <w:tabs>
              <w:tab w:pos="1181" w:val="left" w:leader="none"/>
              <w:tab w:pos="1182" w:val="left" w:leader="none"/>
              <w:tab w:pos="7891" w:val="left" w:leader="none"/>
            </w:tabs>
            <w:spacing w:line="240" w:lineRule="auto" w:before="321" w:after="0"/>
            <w:ind w:left="1182" w:right="0" w:hanging="720"/>
            <w:jc w:val="left"/>
          </w:pPr>
          <w:hyperlink w:history="true" w:anchor="_TOC_250001">
            <w:r>
              <w:rPr/>
              <w:t>Bibliografía</w:t>
              <w:tab/>
              <w:t>26</w:t>
            </w:r>
          </w:hyperlink>
        </w:p>
        <w:p>
          <w:pPr>
            <w:pStyle w:val="TOC1"/>
            <w:numPr>
              <w:ilvl w:val="0"/>
              <w:numId w:val="1"/>
            </w:numPr>
            <w:tabs>
              <w:tab w:pos="1181" w:val="left" w:leader="none"/>
              <w:tab w:pos="1182" w:val="left" w:leader="none"/>
              <w:tab w:pos="7891" w:val="left" w:leader="none"/>
            </w:tabs>
            <w:spacing w:line="240" w:lineRule="auto" w:before="319" w:after="0"/>
            <w:ind w:left="1182" w:right="0" w:hanging="720"/>
            <w:jc w:val="left"/>
          </w:pPr>
          <w:hyperlink w:history="true" w:anchor="_TOC_250000">
            <w:r>
              <w:rPr/>
              <w:t>Anexos</w:t>
              <w:tab/>
              <w:t>29</w:t>
            </w:r>
          </w:hyperlink>
        </w:p>
      </w:sdtContent>
    </w:sdt>
    <w:p>
      <w:pPr>
        <w:spacing w:after="0" w:line="240" w:lineRule="auto"/>
        <w:jc w:val="left"/>
        <w:sectPr>
          <w:headerReference w:type="default" r:id="rId7"/>
          <w:pgSz w:w="12240" w:h="15840"/>
          <w:pgMar w:header="749" w:footer="0" w:top="960" w:bottom="280" w:left="1600" w:right="1580"/>
          <w:pgNumType w:start="1"/>
        </w:sectPr>
      </w:pPr>
    </w:p>
    <w:p>
      <w:pPr>
        <w:pStyle w:val="BodyText"/>
      </w:pPr>
    </w:p>
    <w:p>
      <w:pPr>
        <w:pStyle w:val="Heading1"/>
        <w:numPr>
          <w:ilvl w:val="0"/>
          <w:numId w:val="2"/>
        </w:numPr>
        <w:tabs>
          <w:tab w:pos="4281" w:val="left" w:leader="none"/>
        </w:tabs>
        <w:spacing w:line="240" w:lineRule="auto" w:before="168" w:after="0"/>
        <w:ind w:left="4281" w:right="0" w:hanging="360"/>
        <w:jc w:val="left"/>
      </w:pPr>
      <w:bookmarkStart w:name="_TOC_250015" w:id="1"/>
      <w:bookmarkEnd w:id="1"/>
      <w:r>
        <w:rPr/>
        <w:t>RESUMEN</w:t>
      </w:r>
    </w:p>
    <w:p>
      <w:pPr>
        <w:pStyle w:val="BodyText"/>
        <w:spacing w:before="1"/>
        <w:rPr>
          <w:b/>
          <w:sz w:val="26"/>
        </w:rPr>
      </w:pPr>
    </w:p>
    <w:p>
      <w:pPr>
        <w:pStyle w:val="BodyText"/>
        <w:spacing w:line="357" w:lineRule="auto"/>
        <w:ind w:left="102" w:right="115"/>
        <w:jc w:val="both"/>
        <w:rPr>
          <w:sz w:val="16"/>
        </w:rPr>
      </w:pPr>
      <w:r>
        <w:rPr/>
        <w:t>Las variaciones en el número de raíces y en la morfología de los conductos radiculares</w:t>
      </w:r>
      <w:r>
        <w:rPr>
          <w:spacing w:val="-9"/>
        </w:rPr>
        <w:t> </w:t>
      </w:r>
      <w:r>
        <w:rPr/>
        <w:t>son</w:t>
      </w:r>
      <w:r>
        <w:rPr>
          <w:spacing w:val="-8"/>
        </w:rPr>
        <w:t> </w:t>
      </w:r>
      <w:r>
        <w:rPr/>
        <w:t>desafíos</w:t>
      </w:r>
      <w:r>
        <w:rPr>
          <w:spacing w:val="-9"/>
        </w:rPr>
        <w:t> </w:t>
      </w:r>
      <w:r>
        <w:rPr/>
        <w:t>para</w:t>
      </w:r>
      <w:r>
        <w:rPr>
          <w:spacing w:val="-11"/>
        </w:rPr>
        <w:t> </w:t>
      </w:r>
      <w:r>
        <w:rPr/>
        <w:t>el</w:t>
      </w:r>
      <w:r>
        <w:rPr>
          <w:spacing w:val="-12"/>
        </w:rPr>
        <w:t> </w:t>
      </w:r>
      <w:r>
        <w:rPr/>
        <w:t>éxito</w:t>
      </w:r>
      <w:r>
        <w:rPr>
          <w:spacing w:val="-8"/>
        </w:rPr>
        <w:t> </w:t>
      </w:r>
      <w:r>
        <w:rPr/>
        <w:t>de</w:t>
      </w:r>
      <w:r>
        <w:rPr>
          <w:spacing w:val="-8"/>
        </w:rPr>
        <w:t> </w:t>
      </w:r>
      <w:r>
        <w:rPr/>
        <w:t>la</w:t>
      </w:r>
      <w:r>
        <w:rPr>
          <w:spacing w:val="-11"/>
        </w:rPr>
        <w:t> </w:t>
      </w:r>
      <w:r>
        <w:rPr/>
        <w:t>terapia</w:t>
      </w:r>
      <w:r>
        <w:rPr>
          <w:spacing w:val="-9"/>
        </w:rPr>
        <w:t> </w:t>
      </w:r>
      <w:r>
        <w:rPr/>
        <w:t>endodóntica.</w:t>
      </w:r>
      <w:r>
        <w:rPr>
          <w:spacing w:val="-11"/>
        </w:rPr>
        <w:t> </w:t>
      </w:r>
      <w:r>
        <w:rPr/>
        <w:t>Éste</w:t>
      </w:r>
      <w:r>
        <w:rPr>
          <w:spacing w:val="-8"/>
        </w:rPr>
        <w:t> </w:t>
      </w:r>
      <w:r>
        <w:rPr/>
        <w:t>reporte</w:t>
      </w:r>
      <w:r>
        <w:rPr>
          <w:spacing w:val="-7"/>
        </w:rPr>
        <w:t> </w:t>
      </w:r>
      <w:r>
        <w:rPr/>
        <w:t>clínico describe un reporte de caso de un primer molar maxilar con cuatro raíces independientes</w:t>
      </w:r>
      <w:r>
        <w:rPr>
          <w:spacing w:val="-9"/>
        </w:rPr>
        <w:t> </w:t>
      </w:r>
      <w:r>
        <w:rPr/>
        <w:t>con</w:t>
      </w:r>
      <w:r>
        <w:rPr>
          <w:spacing w:val="-8"/>
        </w:rPr>
        <w:t> </w:t>
      </w:r>
      <w:r>
        <w:rPr/>
        <w:t>la</w:t>
      </w:r>
      <w:r>
        <w:rPr>
          <w:spacing w:val="-11"/>
        </w:rPr>
        <w:t> </w:t>
      </w:r>
      <w:r>
        <w:rPr/>
        <w:t>configuración</w:t>
      </w:r>
      <w:r>
        <w:rPr>
          <w:spacing w:val="-8"/>
        </w:rPr>
        <w:t> </w:t>
      </w:r>
      <w:r>
        <w:rPr/>
        <w:t>de</w:t>
      </w:r>
      <w:r>
        <w:rPr>
          <w:spacing w:val="-8"/>
        </w:rPr>
        <w:t> </w:t>
      </w:r>
      <w:r>
        <w:rPr/>
        <w:t>dos</w:t>
      </w:r>
      <w:r>
        <w:rPr>
          <w:spacing w:val="-9"/>
        </w:rPr>
        <w:t> </w:t>
      </w:r>
      <w:r>
        <w:rPr/>
        <w:t>raíces</w:t>
      </w:r>
      <w:r>
        <w:rPr>
          <w:spacing w:val="-9"/>
        </w:rPr>
        <w:t> </w:t>
      </w:r>
      <w:r>
        <w:rPr/>
        <w:t>palatinas</w:t>
      </w:r>
      <w:r>
        <w:rPr>
          <w:spacing w:val="-9"/>
        </w:rPr>
        <w:t> </w:t>
      </w:r>
      <w:r>
        <w:rPr/>
        <w:t>lo</w:t>
      </w:r>
      <w:r>
        <w:rPr>
          <w:spacing w:val="-9"/>
        </w:rPr>
        <w:t> </w:t>
      </w:r>
      <w:r>
        <w:rPr/>
        <w:t>cual</w:t>
      </w:r>
      <w:r>
        <w:rPr>
          <w:spacing w:val="-12"/>
        </w:rPr>
        <w:t> </w:t>
      </w:r>
      <w:r>
        <w:rPr/>
        <w:t>es</w:t>
      </w:r>
      <w:r>
        <w:rPr>
          <w:spacing w:val="-9"/>
        </w:rPr>
        <w:t> </w:t>
      </w:r>
      <w:r>
        <w:rPr/>
        <w:t>poco</w:t>
      </w:r>
      <w:r>
        <w:rPr>
          <w:spacing w:val="-11"/>
        </w:rPr>
        <w:t> </w:t>
      </w:r>
      <w:r>
        <w:rPr/>
        <w:t>usual.</w:t>
      </w:r>
      <w:r>
        <w:rPr>
          <w:position w:val="8"/>
          <w:sz w:val="16"/>
        </w:rPr>
        <w:t>34 </w:t>
      </w:r>
      <w:r>
        <w:rPr/>
        <w:t>Las implicaciones clínicas que tiene el identificar estas variables son muy importantes ya que en algunos casos; el desconocimiento de la anatomía o la no identificación de una morfología inusual puede resultar en la omisión de conductos o no tratarlos de forma completa, y así generar posibles fracasos en la terapia endodóntica.</w:t>
      </w:r>
      <w:r>
        <w:rPr>
          <w:position w:val="8"/>
          <w:sz w:val="16"/>
        </w:rPr>
        <w:t>36</w:t>
      </w:r>
    </w:p>
    <w:p>
      <w:pPr>
        <w:pStyle w:val="BodyText"/>
        <w:spacing w:line="360" w:lineRule="auto" w:before="165"/>
        <w:ind w:left="102" w:right="116"/>
        <w:jc w:val="both"/>
        <w:rPr>
          <w:sz w:val="16"/>
        </w:rPr>
      </w:pPr>
      <w:r>
        <w:rPr/>
        <w:t>La incidencia de una segunda raíz palatina en un segundo molar superior es una variación</w:t>
      </w:r>
      <w:r>
        <w:rPr>
          <w:spacing w:val="-3"/>
        </w:rPr>
        <w:t> </w:t>
      </w:r>
      <w:r>
        <w:rPr/>
        <w:t>anatómica</w:t>
      </w:r>
      <w:r>
        <w:rPr>
          <w:spacing w:val="-4"/>
        </w:rPr>
        <w:t> </w:t>
      </w:r>
      <w:r>
        <w:rPr/>
        <w:t>rara.</w:t>
      </w:r>
      <w:r>
        <w:rPr>
          <w:spacing w:val="-4"/>
        </w:rPr>
        <w:t> </w:t>
      </w:r>
      <w:r>
        <w:rPr/>
        <w:t>Clínica</w:t>
      </w:r>
      <w:r>
        <w:rPr>
          <w:spacing w:val="-4"/>
        </w:rPr>
        <w:t> </w:t>
      </w:r>
      <w:r>
        <w:rPr/>
        <w:t>y</w:t>
      </w:r>
      <w:r>
        <w:rPr>
          <w:spacing w:val="-7"/>
        </w:rPr>
        <w:t> </w:t>
      </w:r>
      <w:r>
        <w:rPr/>
        <w:t>radiográficamente</w:t>
      </w:r>
      <w:r>
        <w:rPr>
          <w:spacing w:val="-5"/>
        </w:rPr>
        <w:t> </w:t>
      </w:r>
      <w:r>
        <w:rPr/>
        <w:t>se</w:t>
      </w:r>
      <w:r>
        <w:rPr>
          <w:spacing w:val="-6"/>
        </w:rPr>
        <w:t> </w:t>
      </w:r>
      <w:r>
        <w:rPr/>
        <w:t>muestra</w:t>
      </w:r>
      <w:r>
        <w:rPr>
          <w:spacing w:val="-6"/>
        </w:rPr>
        <w:t> </w:t>
      </w:r>
      <w:r>
        <w:rPr/>
        <w:t>la</w:t>
      </w:r>
      <w:r>
        <w:rPr>
          <w:spacing w:val="-9"/>
        </w:rPr>
        <w:t> </w:t>
      </w:r>
      <w:r>
        <w:rPr/>
        <w:t>presencia</w:t>
      </w:r>
      <w:r>
        <w:rPr>
          <w:spacing w:val="-6"/>
        </w:rPr>
        <w:t> </w:t>
      </w:r>
      <w:r>
        <w:rPr/>
        <w:t>de</w:t>
      </w:r>
      <w:r>
        <w:rPr>
          <w:spacing w:val="-4"/>
        </w:rPr>
        <w:t> </w:t>
      </w:r>
      <w:r>
        <w:rPr/>
        <w:t>la segunda raíz con su respectivo conducto. El punto clave para la localización y visualización de esta variante fue la localización del acceso cameral y el conocimiento de la anatomía radicular. Durante la preparación biomecánica fue empleada instrumentación manual y rotatoria (Protaper Universal), irrigación con hipoclorito</w:t>
      </w:r>
      <w:r>
        <w:rPr>
          <w:spacing w:val="-6"/>
        </w:rPr>
        <w:t> </w:t>
      </w:r>
      <w:r>
        <w:rPr/>
        <w:t>de</w:t>
      </w:r>
      <w:r>
        <w:rPr>
          <w:spacing w:val="-4"/>
        </w:rPr>
        <w:t> </w:t>
      </w:r>
      <w:r>
        <w:rPr/>
        <w:t>Sodio</w:t>
      </w:r>
      <w:r>
        <w:rPr>
          <w:spacing w:val="-6"/>
        </w:rPr>
        <w:t> </w:t>
      </w:r>
      <w:r>
        <w:rPr/>
        <w:t>al</w:t>
      </w:r>
      <w:r>
        <w:rPr>
          <w:spacing w:val="-7"/>
        </w:rPr>
        <w:t> </w:t>
      </w:r>
      <w:r>
        <w:rPr/>
        <w:t>5.25%</w:t>
      </w:r>
      <w:r>
        <w:rPr>
          <w:spacing w:val="-7"/>
        </w:rPr>
        <w:t> </w:t>
      </w:r>
      <w:r>
        <w:rPr/>
        <w:t>activada</w:t>
      </w:r>
      <w:r>
        <w:rPr>
          <w:spacing w:val="-4"/>
        </w:rPr>
        <w:t> </w:t>
      </w:r>
      <w:r>
        <w:rPr/>
        <w:t>ultrasónicamente</w:t>
      </w:r>
      <w:r>
        <w:rPr>
          <w:spacing w:val="-4"/>
        </w:rPr>
        <w:t> </w:t>
      </w:r>
      <w:r>
        <w:rPr/>
        <w:t>y</w:t>
      </w:r>
      <w:r>
        <w:rPr>
          <w:spacing w:val="-7"/>
        </w:rPr>
        <w:t> </w:t>
      </w:r>
      <w:r>
        <w:rPr/>
        <w:t>los</w:t>
      </w:r>
      <w:r>
        <w:rPr>
          <w:spacing w:val="-4"/>
        </w:rPr>
        <w:t> </w:t>
      </w:r>
      <w:r>
        <w:rPr/>
        <w:t>conductos</w:t>
      </w:r>
      <w:r>
        <w:rPr>
          <w:spacing w:val="-7"/>
        </w:rPr>
        <w:t> </w:t>
      </w:r>
      <w:r>
        <w:rPr/>
        <w:t>finalmente fueron obturados con conos de gutapercha estandarizados del mismo sistema rotatorio.</w:t>
      </w:r>
      <w:r>
        <w:rPr>
          <w:position w:val="8"/>
          <w:sz w:val="16"/>
        </w:rPr>
        <w:t>14</w:t>
      </w:r>
    </w:p>
    <w:p>
      <w:pPr>
        <w:spacing w:after="0" w:line="360" w:lineRule="auto"/>
        <w:jc w:val="both"/>
        <w:rPr>
          <w:sz w:val="16"/>
        </w:rPr>
        <w:sectPr>
          <w:pgSz w:w="12240" w:h="15840"/>
          <w:pgMar w:header="749" w:footer="0" w:top="960" w:bottom="280" w:left="1600" w:right="1580"/>
        </w:sectPr>
      </w:pPr>
    </w:p>
    <w:p>
      <w:pPr>
        <w:pStyle w:val="BodyText"/>
        <w:rPr>
          <w:sz w:val="20"/>
        </w:rPr>
      </w:pPr>
    </w:p>
    <w:p>
      <w:pPr>
        <w:pStyle w:val="Heading1"/>
        <w:numPr>
          <w:ilvl w:val="0"/>
          <w:numId w:val="2"/>
        </w:numPr>
        <w:tabs>
          <w:tab w:pos="3914" w:val="left" w:leader="none"/>
        </w:tabs>
        <w:spacing w:line="240" w:lineRule="auto" w:before="214" w:after="0"/>
        <w:ind w:left="3913" w:right="0" w:hanging="360"/>
        <w:jc w:val="left"/>
      </w:pPr>
      <w:bookmarkStart w:name="_TOC_250014" w:id="2"/>
      <w:bookmarkEnd w:id="2"/>
      <w:r>
        <w:rPr/>
        <w:t>INTRODUCCIÓN.</w:t>
      </w:r>
    </w:p>
    <w:p>
      <w:pPr>
        <w:pStyle w:val="BodyText"/>
        <w:spacing w:before="1"/>
        <w:rPr>
          <w:b/>
          <w:sz w:val="26"/>
        </w:rPr>
      </w:pPr>
    </w:p>
    <w:p>
      <w:pPr>
        <w:pStyle w:val="BodyText"/>
        <w:spacing w:line="357" w:lineRule="auto"/>
        <w:ind w:left="102" w:right="115"/>
        <w:jc w:val="both"/>
        <w:rPr>
          <w:sz w:val="16"/>
        </w:rPr>
      </w:pPr>
      <w:r>
        <w:rPr/>
        <w:t>La variación de la morfología de la cavidad pulpar especialmente en órganos dentarios multirradiculares, es un constante reto para el diagnóstico y éxito de la terapia endodóntica</w:t>
      </w:r>
      <w:r>
        <w:rPr>
          <w:position w:val="8"/>
          <w:sz w:val="16"/>
        </w:rPr>
        <w:t>24</w:t>
      </w:r>
      <w:r>
        <w:rPr/>
        <w:t>. Tradicionalmente los primeros molares superiores han sido descritos como dientes con tres raíces: una palatina y dos vestibulares, y cada raíz con un conducto radicular. Sin embargo, la morfología de los primeros molares maxilares ha sido ampliamente reportada en la literatura a través de los años, y estudios más específicos han revelado la alta incidencia de un doble sistema de conductos</w:t>
      </w:r>
      <w:r>
        <w:rPr>
          <w:spacing w:val="-6"/>
        </w:rPr>
        <w:t> </w:t>
      </w:r>
      <w:r>
        <w:rPr/>
        <w:t>en</w:t>
      </w:r>
      <w:r>
        <w:rPr>
          <w:spacing w:val="-5"/>
        </w:rPr>
        <w:t> </w:t>
      </w:r>
      <w:r>
        <w:rPr/>
        <w:t>la</w:t>
      </w:r>
      <w:r>
        <w:rPr>
          <w:spacing w:val="-5"/>
        </w:rPr>
        <w:t> </w:t>
      </w:r>
      <w:r>
        <w:rPr/>
        <w:t>raíz</w:t>
      </w:r>
      <w:r>
        <w:rPr>
          <w:spacing w:val="-8"/>
        </w:rPr>
        <w:t> </w:t>
      </w:r>
      <w:r>
        <w:rPr/>
        <w:t>mesiovestibular</w:t>
      </w:r>
      <w:r>
        <w:rPr>
          <w:position w:val="8"/>
          <w:sz w:val="16"/>
        </w:rPr>
        <w:t>7-11</w:t>
      </w:r>
      <w:r>
        <w:rPr>
          <w:spacing w:val="16"/>
          <w:position w:val="8"/>
          <w:sz w:val="16"/>
        </w:rPr>
        <w:t> </w:t>
      </w:r>
      <w:r>
        <w:rPr/>
        <w:t>y</w:t>
      </w:r>
      <w:r>
        <w:rPr>
          <w:spacing w:val="-8"/>
        </w:rPr>
        <w:t> </w:t>
      </w:r>
      <w:r>
        <w:rPr/>
        <w:t>una</w:t>
      </w:r>
      <w:r>
        <w:rPr>
          <w:spacing w:val="-5"/>
        </w:rPr>
        <w:t> </w:t>
      </w:r>
      <w:r>
        <w:rPr/>
        <w:t>incidencia</w:t>
      </w:r>
      <w:r>
        <w:rPr>
          <w:spacing w:val="-5"/>
        </w:rPr>
        <w:t> </w:t>
      </w:r>
      <w:r>
        <w:rPr/>
        <w:t>de</w:t>
      </w:r>
      <w:r>
        <w:rPr>
          <w:spacing w:val="-5"/>
        </w:rPr>
        <w:t> </w:t>
      </w:r>
      <w:r>
        <w:rPr/>
        <w:t>3.6%</w:t>
      </w:r>
      <w:r>
        <w:rPr>
          <w:spacing w:val="-6"/>
        </w:rPr>
        <w:t> </w:t>
      </w:r>
      <w:r>
        <w:rPr/>
        <w:t>de</w:t>
      </w:r>
      <w:r>
        <w:rPr>
          <w:spacing w:val="-7"/>
        </w:rPr>
        <w:t> </w:t>
      </w:r>
      <w:r>
        <w:rPr/>
        <w:t>dos</w:t>
      </w:r>
      <w:r>
        <w:rPr>
          <w:spacing w:val="-6"/>
        </w:rPr>
        <w:t> </w:t>
      </w:r>
      <w:r>
        <w:rPr/>
        <w:t>conductos distobucales</w:t>
      </w:r>
      <w:r>
        <w:rPr>
          <w:position w:val="8"/>
          <w:sz w:val="16"/>
        </w:rPr>
        <w:t>1</w:t>
      </w:r>
      <w:r>
        <w:rPr/>
        <w:t>. Además aunque en menor cantidad, también han sido reportadas variaciones en el número de</w:t>
      </w:r>
      <w:r>
        <w:rPr>
          <w:spacing w:val="-12"/>
        </w:rPr>
        <w:t> </w:t>
      </w:r>
      <w:r>
        <w:rPr/>
        <w:t>raíces.</w:t>
      </w:r>
      <w:r>
        <w:rPr>
          <w:position w:val="8"/>
          <w:sz w:val="16"/>
        </w:rPr>
        <w:t>38-39</w:t>
      </w:r>
    </w:p>
    <w:p>
      <w:pPr>
        <w:pStyle w:val="BodyText"/>
        <w:spacing w:line="360" w:lineRule="auto" w:before="162"/>
        <w:ind w:left="102" w:right="125"/>
        <w:jc w:val="both"/>
      </w:pPr>
      <w:r>
        <w:rPr/>
        <w:t>Peikoff y Christie encontraron dos raíces palatinas y dos conductos palatinos en el 1,47% de los casos.</w:t>
      </w:r>
    </w:p>
    <w:p>
      <w:pPr>
        <w:pStyle w:val="BodyText"/>
        <w:spacing w:line="360" w:lineRule="auto" w:before="163"/>
        <w:ind w:left="102" w:right="124"/>
        <w:jc w:val="both"/>
      </w:pPr>
      <w:r>
        <w:rPr/>
        <w:t>Calistan</w:t>
      </w:r>
      <w:r>
        <w:rPr>
          <w:spacing w:val="-4"/>
        </w:rPr>
        <w:t> </w:t>
      </w:r>
      <w:r>
        <w:rPr/>
        <w:t>et</w:t>
      </w:r>
      <w:r>
        <w:rPr>
          <w:spacing w:val="-4"/>
        </w:rPr>
        <w:t> </w:t>
      </w:r>
      <w:r>
        <w:rPr/>
        <w:t>al,</w:t>
      </w:r>
      <w:r>
        <w:rPr>
          <w:spacing w:val="-4"/>
        </w:rPr>
        <w:t> </w:t>
      </w:r>
      <w:r>
        <w:rPr/>
        <w:t>encontraron</w:t>
      </w:r>
      <w:r>
        <w:rPr>
          <w:spacing w:val="-3"/>
        </w:rPr>
        <w:t> </w:t>
      </w:r>
      <w:r>
        <w:rPr/>
        <w:t>un</w:t>
      </w:r>
      <w:r>
        <w:rPr>
          <w:spacing w:val="-4"/>
        </w:rPr>
        <w:t> </w:t>
      </w:r>
      <w:r>
        <w:rPr/>
        <w:t>2,1%</w:t>
      </w:r>
      <w:r>
        <w:rPr>
          <w:spacing w:val="-4"/>
        </w:rPr>
        <w:t> </w:t>
      </w:r>
      <w:r>
        <w:rPr/>
        <w:t>de</w:t>
      </w:r>
      <w:r>
        <w:rPr>
          <w:spacing w:val="-4"/>
        </w:rPr>
        <w:t> </w:t>
      </w:r>
      <w:r>
        <w:rPr/>
        <w:t>los</w:t>
      </w:r>
      <w:r>
        <w:rPr>
          <w:spacing w:val="-4"/>
        </w:rPr>
        <w:t> </w:t>
      </w:r>
      <w:r>
        <w:rPr/>
        <w:t>casos</w:t>
      </w:r>
      <w:r>
        <w:rPr>
          <w:spacing w:val="-4"/>
        </w:rPr>
        <w:t> </w:t>
      </w:r>
      <w:r>
        <w:rPr/>
        <w:t>en</w:t>
      </w:r>
      <w:r>
        <w:rPr>
          <w:spacing w:val="-4"/>
        </w:rPr>
        <w:t> </w:t>
      </w:r>
      <w:r>
        <w:rPr/>
        <w:t>los</w:t>
      </w:r>
      <w:r>
        <w:rPr>
          <w:spacing w:val="-4"/>
        </w:rPr>
        <w:t> </w:t>
      </w:r>
      <w:r>
        <w:rPr/>
        <w:t>que</w:t>
      </w:r>
      <w:r>
        <w:rPr>
          <w:spacing w:val="-4"/>
        </w:rPr>
        <w:t> </w:t>
      </w:r>
      <w:r>
        <w:rPr/>
        <w:t>el</w:t>
      </w:r>
      <w:r>
        <w:rPr>
          <w:spacing w:val="-5"/>
        </w:rPr>
        <w:t> </w:t>
      </w:r>
      <w:r>
        <w:rPr/>
        <w:t>conducto</w:t>
      </w:r>
      <w:r>
        <w:rPr>
          <w:spacing w:val="-3"/>
        </w:rPr>
        <w:t> </w:t>
      </w:r>
      <w:r>
        <w:rPr/>
        <w:t>palatino</w:t>
      </w:r>
      <w:r>
        <w:rPr>
          <w:spacing w:val="-4"/>
        </w:rPr>
        <w:t> </w:t>
      </w:r>
      <w:r>
        <w:rPr/>
        <w:t>de dividía en 2. Es el mismo que encontró un 4,2% de probabilidades de tener 3 conductos en la raíz</w:t>
      </w:r>
      <w:r>
        <w:rPr>
          <w:spacing w:val="-9"/>
        </w:rPr>
        <w:t> </w:t>
      </w:r>
      <w:r>
        <w:rPr/>
        <w:t>mesiovestibular</w:t>
      </w:r>
    </w:p>
    <w:p>
      <w:pPr>
        <w:pStyle w:val="BodyText"/>
      </w:pPr>
    </w:p>
    <w:p>
      <w:pPr>
        <w:pStyle w:val="BodyText"/>
        <w:spacing w:before="3"/>
        <w:rPr>
          <w:sz w:val="29"/>
        </w:rPr>
      </w:pPr>
    </w:p>
    <w:p>
      <w:pPr>
        <w:pStyle w:val="BodyText"/>
        <w:spacing w:line="357" w:lineRule="auto"/>
        <w:ind w:left="102" w:right="120"/>
        <w:jc w:val="both"/>
        <w:rPr>
          <w:sz w:val="16"/>
        </w:rPr>
      </w:pPr>
      <w:r>
        <w:rPr/>
        <w:t>Éste reporte de caso presenta un tratamiento endodóntico de un inusual primer molar maxilar: cuatro raíces; dos vestibulares y dos palatinas, con un conducto en cada raíz.</w:t>
      </w:r>
      <w:r>
        <w:rPr>
          <w:position w:val="8"/>
          <w:sz w:val="16"/>
        </w:rPr>
        <w:t>22</w:t>
      </w:r>
    </w:p>
    <w:p>
      <w:pPr>
        <w:spacing w:after="0" w:line="357" w:lineRule="auto"/>
        <w:jc w:val="both"/>
        <w:rPr>
          <w:sz w:val="16"/>
        </w:rPr>
        <w:sectPr>
          <w:pgSz w:w="12240" w:h="15840"/>
          <w:pgMar w:header="749" w:footer="0" w:top="960" w:bottom="280" w:left="1600" w:right="1580"/>
        </w:sectPr>
      </w:pPr>
    </w:p>
    <w:p>
      <w:pPr>
        <w:pStyle w:val="BodyText"/>
        <w:rPr>
          <w:sz w:val="20"/>
        </w:rPr>
      </w:pPr>
    </w:p>
    <w:p>
      <w:pPr>
        <w:pStyle w:val="Heading1"/>
        <w:numPr>
          <w:ilvl w:val="0"/>
          <w:numId w:val="2"/>
        </w:numPr>
        <w:tabs>
          <w:tab w:pos="3900" w:val="left" w:leader="none"/>
        </w:tabs>
        <w:spacing w:line="240" w:lineRule="auto" w:before="214" w:after="0"/>
        <w:ind w:left="3899" w:right="0" w:hanging="360"/>
        <w:jc w:val="left"/>
      </w:pPr>
      <w:bookmarkStart w:name="_TOC_250013" w:id="3"/>
      <w:bookmarkEnd w:id="3"/>
      <w:r>
        <w:rPr/>
        <w:t>ANTECEDENTES</w:t>
      </w:r>
    </w:p>
    <w:p>
      <w:pPr>
        <w:pStyle w:val="BodyText"/>
        <w:spacing w:before="1"/>
        <w:rPr>
          <w:b/>
          <w:sz w:val="26"/>
        </w:rPr>
      </w:pPr>
    </w:p>
    <w:p>
      <w:pPr>
        <w:pStyle w:val="BodyText"/>
        <w:spacing w:line="357" w:lineRule="auto"/>
        <w:ind w:left="102" w:right="115"/>
        <w:jc w:val="both"/>
      </w:pPr>
      <w:r>
        <w:rPr/>
        <w:t>Una de las finalidades del tratamiento endodóntico radica en la eliminación de las bacterias del sistema de conductos radiculares y prevenir la posibilidad de una reinfección; a pesar de esto, los pacientes pueden presentar un reto mayor así también dificultad en la consecución del tratamiento y puede hacer que al finalizar del</w:t>
      </w:r>
      <w:r>
        <w:rPr>
          <w:spacing w:val="-13"/>
        </w:rPr>
        <w:t> </w:t>
      </w:r>
      <w:r>
        <w:rPr/>
        <w:t>tratamiento</w:t>
      </w:r>
      <w:r>
        <w:rPr>
          <w:spacing w:val="-12"/>
        </w:rPr>
        <w:t> </w:t>
      </w:r>
      <w:r>
        <w:rPr/>
        <w:t>no</w:t>
      </w:r>
      <w:r>
        <w:rPr>
          <w:spacing w:val="-12"/>
        </w:rPr>
        <w:t> </w:t>
      </w:r>
      <w:r>
        <w:rPr/>
        <w:t>sea</w:t>
      </w:r>
      <w:r>
        <w:rPr>
          <w:spacing w:val="-12"/>
        </w:rPr>
        <w:t> </w:t>
      </w:r>
      <w:r>
        <w:rPr/>
        <w:t>posible</w:t>
      </w:r>
      <w:r>
        <w:rPr>
          <w:spacing w:val="-11"/>
        </w:rPr>
        <w:t> </w:t>
      </w:r>
      <w:r>
        <w:rPr/>
        <w:t>llevarse</w:t>
      </w:r>
      <w:r>
        <w:rPr>
          <w:spacing w:val="-14"/>
        </w:rPr>
        <w:t> </w:t>
      </w:r>
      <w:r>
        <w:rPr/>
        <w:t>a</w:t>
      </w:r>
      <w:r>
        <w:rPr>
          <w:spacing w:val="-11"/>
        </w:rPr>
        <w:t> </w:t>
      </w:r>
      <w:r>
        <w:rPr/>
        <w:t>cabo.</w:t>
      </w:r>
      <w:r>
        <w:rPr>
          <w:position w:val="8"/>
          <w:sz w:val="16"/>
        </w:rPr>
        <w:t>8</w:t>
      </w:r>
      <w:r>
        <w:rPr>
          <w:spacing w:val="42"/>
          <w:position w:val="8"/>
          <w:sz w:val="16"/>
        </w:rPr>
        <w:t> </w:t>
      </w:r>
      <w:r>
        <w:rPr/>
        <w:t>Para</w:t>
      </w:r>
      <w:r>
        <w:rPr>
          <w:spacing w:val="-15"/>
        </w:rPr>
        <w:t> </w:t>
      </w:r>
      <w:r>
        <w:rPr/>
        <w:t>ello</w:t>
      </w:r>
      <w:r>
        <w:rPr>
          <w:spacing w:val="-14"/>
        </w:rPr>
        <w:t> </w:t>
      </w:r>
      <w:r>
        <w:rPr/>
        <w:t>es</w:t>
      </w:r>
      <w:r>
        <w:rPr>
          <w:spacing w:val="-13"/>
        </w:rPr>
        <w:t> </w:t>
      </w:r>
      <w:r>
        <w:rPr/>
        <w:t>tomar</w:t>
      </w:r>
      <w:r>
        <w:rPr>
          <w:spacing w:val="-13"/>
        </w:rPr>
        <w:t> </w:t>
      </w:r>
      <w:r>
        <w:rPr/>
        <w:t>en</w:t>
      </w:r>
      <w:r>
        <w:rPr>
          <w:spacing w:val="-12"/>
        </w:rPr>
        <w:t> </w:t>
      </w:r>
      <w:r>
        <w:rPr/>
        <w:t>consideración varios factores que pueden condicionar el éxito o fracaso de un tratamiento y uno de</w:t>
      </w:r>
      <w:r>
        <w:rPr>
          <w:spacing w:val="-12"/>
        </w:rPr>
        <w:t> </w:t>
      </w:r>
      <w:r>
        <w:rPr/>
        <w:t>ellos</w:t>
      </w:r>
      <w:r>
        <w:rPr>
          <w:spacing w:val="-13"/>
        </w:rPr>
        <w:t> </w:t>
      </w:r>
      <w:r>
        <w:rPr/>
        <w:t>es</w:t>
      </w:r>
      <w:r>
        <w:rPr>
          <w:spacing w:val="-13"/>
        </w:rPr>
        <w:t> </w:t>
      </w:r>
      <w:r>
        <w:rPr/>
        <w:t>el</w:t>
      </w:r>
      <w:r>
        <w:rPr>
          <w:spacing w:val="-13"/>
        </w:rPr>
        <w:t> </w:t>
      </w:r>
      <w:r>
        <w:rPr/>
        <w:t>acceso</w:t>
      </w:r>
      <w:r>
        <w:rPr>
          <w:spacing w:val="-12"/>
        </w:rPr>
        <w:t> </w:t>
      </w:r>
      <w:r>
        <w:rPr/>
        <w:t>endodóntico</w:t>
      </w:r>
      <w:r>
        <w:rPr>
          <w:spacing w:val="-12"/>
        </w:rPr>
        <w:t> </w:t>
      </w:r>
      <w:r>
        <w:rPr/>
        <w:t>para</w:t>
      </w:r>
      <w:r>
        <w:rPr>
          <w:spacing w:val="-12"/>
        </w:rPr>
        <w:t> </w:t>
      </w:r>
      <w:r>
        <w:rPr/>
        <w:t>localización</w:t>
      </w:r>
      <w:r>
        <w:rPr>
          <w:spacing w:val="-11"/>
        </w:rPr>
        <w:t> </w:t>
      </w:r>
      <w:r>
        <w:rPr/>
        <w:t>y</w:t>
      </w:r>
      <w:r>
        <w:rPr>
          <w:spacing w:val="-13"/>
        </w:rPr>
        <w:t> </w:t>
      </w:r>
      <w:r>
        <w:rPr/>
        <w:t>visualización</w:t>
      </w:r>
      <w:r>
        <w:rPr>
          <w:spacing w:val="-9"/>
        </w:rPr>
        <w:t> </w:t>
      </w:r>
      <w:r>
        <w:rPr/>
        <w:t>de</w:t>
      </w:r>
      <w:r>
        <w:rPr>
          <w:spacing w:val="-9"/>
        </w:rPr>
        <w:t> </w:t>
      </w:r>
      <w:r>
        <w:rPr/>
        <w:t>los</w:t>
      </w:r>
      <w:r>
        <w:rPr>
          <w:spacing w:val="-12"/>
        </w:rPr>
        <w:t> </w:t>
      </w:r>
      <w:r>
        <w:rPr/>
        <w:t>conductos radiculares . En la actualidad, la ayuda de la magnificación y la luz mediante el uso de lupas de aumento o microscopios endodónticos hacen posible lograr este objetivo</w:t>
      </w:r>
      <w:r>
        <w:rPr>
          <w:position w:val="8"/>
          <w:sz w:val="16"/>
        </w:rPr>
        <w:t>3 </w:t>
      </w:r>
      <w:r>
        <w:rPr/>
        <w:t>Muchos estudios que se han realizado en cuanto a la variación anatómica de molares se han enfocado en el estudio del primer molar superior, y pocos estudios o reportes se encuentran disponibles en cuanto a las variaciones anatómicas de los segundos molares superiores</w:t>
      </w:r>
      <w:r>
        <w:rPr>
          <w:position w:val="8"/>
          <w:sz w:val="16"/>
        </w:rPr>
        <w:t>2</w:t>
      </w:r>
      <w:r>
        <w:rPr/>
        <w:t>. La presencia de dos raíces palatinas en un molar superior, especialmente en el segundo molar, es una condición que no es común encontrarla. Libfeld y Rotstain</w:t>
      </w:r>
      <w:r>
        <w:rPr>
          <w:position w:val="8"/>
          <w:sz w:val="16"/>
        </w:rPr>
        <w:t>4 </w:t>
      </w:r>
      <w:r>
        <w:rPr/>
        <w:t>reportaron una incidencia del 0,4% de molares con cuatro raíces en una evaluación de 1.200 dientes. Baratto-Filho</w:t>
      </w:r>
      <w:r>
        <w:rPr>
          <w:position w:val="8"/>
          <w:sz w:val="16"/>
        </w:rPr>
        <w:t>4 </w:t>
      </w:r>
      <w:r>
        <w:rPr/>
        <w:t>realizaron un estudio in vitro en el cual evaluaron la configuración anatómica de segundos molares superiores con cuatro conductos y cuatro raíces. Barbizam et al.</w:t>
      </w:r>
      <w:r>
        <w:rPr>
          <w:position w:val="8"/>
          <w:sz w:val="16"/>
        </w:rPr>
        <w:t>5 </w:t>
      </w:r>
      <w:r>
        <w:rPr/>
        <w:t>reportó un estudio similar, también de segundos molares superiores con cuatro raíces y cuatro conductos. Es importante tener en cuenta</w:t>
      </w:r>
      <w:r>
        <w:rPr>
          <w:spacing w:val="-12"/>
        </w:rPr>
        <w:t> </w:t>
      </w:r>
      <w:r>
        <w:rPr/>
        <w:t>que</w:t>
      </w:r>
      <w:r>
        <w:rPr>
          <w:spacing w:val="-14"/>
        </w:rPr>
        <w:t> </w:t>
      </w:r>
      <w:r>
        <w:rPr/>
        <w:t>en</w:t>
      </w:r>
      <w:r>
        <w:rPr>
          <w:spacing w:val="-12"/>
        </w:rPr>
        <w:t> </w:t>
      </w:r>
      <w:r>
        <w:rPr/>
        <w:t>los</w:t>
      </w:r>
      <w:r>
        <w:rPr>
          <w:spacing w:val="-17"/>
        </w:rPr>
        <w:t> </w:t>
      </w:r>
      <w:r>
        <w:rPr/>
        <w:t>molares</w:t>
      </w:r>
      <w:r>
        <w:rPr>
          <w:spacing w:val="-12"/>
        </w:rPr>
        <w:t> </w:t>
      </w:r>
      <w:r>
        <w:rPr/>
        <w:t>superiores</w:t>
      </w:r>
      <w:r>
        <w:rPr>
          <w:spacing w:val="-15"/>
        </w:rPr>
        <w:t> </w:t>
      </w:r>
      <w:r>
        <w:rPr/>
        <w:t>es</w:t>
      </w:r>
      <w:r>
        <w:rPr>
          <w:spacing w:val="-13"/>
        </w:rPr>
        <w:t> </w:t>
      </w:r>
      <w:r>
        <w:rPr/>
        <w:t>común</w:t>
      </w:r>
      <w:r>
        <w:rPr>
          <w:spacing w:val="-14"/>
        </w:rPr>
        <w:t> </w:t>
      </w:r>
      <w:r>
        <w:rPr/>
        <w:t>encontrar</w:t>
      </w:r>
      <w:r>
        <w:rPr>
          <w:spacing w:val="-13"/>
        </w:rPr>
        <w:t> </w:t>
      </w:r>
      <w:r>
        <w:rPr/>
        <w:t>conductos</w:t>
      </w:r>
      <w:r>
        <w:rPr>
          <w:spacing w:val="-13"/>
        </w:rPr>
        <w:t> </w:t>
      </w:r>
      <w:r>
        <w:rPr/>
        <w:t>adicionales</w:t>
      </w:r>
      <w:r>
        <w:rPr>
          <w:spacing w:val="-17"/>
        </w:rPr>
        <w:t> </w:t>
      </w:r>
      <w:r>
        <w:rPr/>
        <w:t>en la</w:t>
      </w:r>
      <w:r>
        <w:rPr>
          <w:spacing w:val="-4"/>
        </w:rPr>
        <w:t> </w:t>
      </w:r>
      <w:r>
        <w:rPr/>
        <w:t>raíz</w:t>
      </w:r>
      <w:r>
        <w:rPr>
          <w:spacing w:val="-7"/>
        </w:rPr>
        <w:t> </w:t>
      </w:r>
      <w:r>
        <w:rPr/>
        <w:t>mesiobucal,</w:t>
      </w:r>
      <w:r>
        <w:rPr>
          <w:spacing w:val="-9"/>
        </w:rPr>
        <w:t> </w:t>
      </w:r>
      <w:r>
        <w:rPr/>
        <w:t>más</w:t>
      </w:r>
      <w:r>
        <w:rPr>
          <w:spacing w:val="-4"/>
        </w:rPr>
        <w:t> </w:t>
      </w:r>
      <w:r>
        <w:rPr/>
        <w:t>no</w:t>
      </w:r>
      <w:r>
        <w:rPr>
          <w:spacing w:val="-8"/>
        </w:rPr>
        <w:t> </w:t>
      </w:r>
      <w:r>
        <w:rPr/>
        <w:t>una</w:t>
      </w:r>
      <w:r>
        <w:rPr>
          <w:spacing w:val="-6"/>
        </w:rPr>
        <w:t> </w:t>
      </w:r>
      <w:r>
        <w:rPr/>
        <w:t>cuarta</w:t>
      </w:r>
      <w:r>
        <w:rPr>
          <w:spacing w:val="-6"/>
        </w:rPr>
        <w:t> </w:t>
      </w:r>
      <w:r>
        <w:rPr/>
        <w:t>raíz</w:t>
      </w:r>
      <w:r>
        <w:rPr>
          <w:spacing w:val="-7"/>
        </w:rPr>
        <w:t> </w:t>
      </w:r>
      <w:r>
        <w:rPr/>
        <w:t>diferente</w:t>
      </w:r>
      <w:r>
        <w:rPr>
          <w:spacing w:val="-5"/>
        </w:rPr>
        <w:t> </w:t>
      </w:r>
      <w:r>
        <w:rPr/>
        <w:t>con</w:t>
      </w:r>
      <w:r>
        <w:rPr>
          <w:spacing w:val="-6"/>
        </w:rPr>
        <w:t> </w:t>
      </w:r>
      <w:r>
        <w:rPr/>
        <w:t>su</w:t>
      </w:r>
      <w:r>
        <w:rPr>
          <w:spacing w:val="-6"/>
        </w:rPr>
        <w:t> </w:t>
      </w:r>
      <w:r>
        <w:rPr/>
        <w:t>respectivo</w:t>
      </w:r>
      <w:r>
        <w:rPr>
          <w:spacing w:val="-4"/>
        </w:rPr>
        <w:t> </w:t>
      </w:r>
      <w:r>
        <w:rPr/>
        <w:t>conducto,</w:t>
      </w:r>
      <w:r>
        <w:rPr>
          <w:spacing w:val="-6"/>
        </w:rPr>
        <w:t> </w:t>
      </w:r>
      <w:r>
        <w:rPr/>
        <w:t>ya que la normalidad generalmente es de tres raíces en estos dientes. Pecora et al</w:t>
      </w:r>
      <w:r>
        <w:rPr>
          <w:position w:val="8"/>
          <w:sz w:val="16"/>
        </w:rPr>
        <w:t>29</w:t>
      </w:r>
      <w:r>
        <w:rPr/>
        <w:t>. reportó un 42% de incidencia del cuarto conducto (Mv2) en los segundos molares superiores, siendo un porcentaje alto </w:t>
      </w:r>
      <w:r>
        <w:rPr>
          <w:spacing w:val="2"/>
        </w:rPr>
        <w:t>de </w:t>
      </w:r>
      <w:r>
        <w:rPr/>
        <w:t>presencia de este cuarto</w:t>
      </w:r>
      <w:r>
        <w:rPr>
          <w:spacing w:val="-30"/>
        </w:rPr>
        <w:t> </w:t>
      </w:r>
      <w:r>
        <w:rPr/>
        <w:t>conducto.</w:t>
      </w:r>
    </w:p>
    <w:p>
      <w:pPr>
        <w:spacing w:after="0" w:line="357" w:lineRule="auto"/>
        <w:jc w:val="both"/>
        <w:sectPr>
          <w:pgSz w:w="12240" w:h="15840"/>
          <w:pgMar w:header="749" w:footer="0" w:top="960" w:bottom="280" w:left="1600" w:right="1580"/>
        </w:sectPr>
      </w:pPr>
    </w:p>
    <w:p>
      <w:pPr>
        <w:pStyle w:val="BodyText"/>
        <w:rPr>
          <w:sz w:val="20"/>
        </w:rPr>
      </w:pPr>
    </w:p>
    <w:p>
      <w:pPr>
        <w:pStyle w:val="Heading1"/>
        <w:numPr>
          <w:ilvl w:val="1"/>
          <w:numId w:val="3"/>
        </w:numPr>
        <w:tabs>
          <w:tab w:pos="892" w:val="left" w:leader="none"/>
        </w:tabs>
        <w:spacing w:line="240" w:lineRule="auto" w:before="214" w:after="0"/>
        <w:ind w:left="891" w:right="0" w:hanging="429"/>
        <w:jc w:val="left"/>
      </w:pPr>
      <w:bookmarkStart w:name="_TOC_250012" w:id="4"/>
      <w:r>
        <w:rPr/>
        <w:t>ANATOMÍA RADICULAR DEL 1° MOLAR</w:t>
      </w:r>
      <w:r>
        <w:rPr>
          <w:spacing w:val="-10"/>
        </w:rPr>
        <w:t> </w:t>
      </w:r>
      <w:bookmarkEnd w:id="4"/>
      <w:r>
        <w:rPr/>
        <w:t>SUPERIOR</w:t>
      </w:r>
    </w:p>
    <w:p>
      <w:pPr>
        <w:pStyle w:val="BodyText"/>
        <w:spacing w:before="1"/>
        <w:rPr>
          <w:b/>
          <w:sz w:val="26"/>
        </w:rPr>
      </w:pPr>
    </w:p>
    <w:p>
      <w:pPr>
        <w:pStyle w:val="BodyText"/>
        <w:spacing w:line="360" w:lineRule="auto"/>
        <w:ind w:left="102" w:right="116"/>
        <w:jc w:val="both"/>
      </w:pPr>
      <w:r>
        <w:rPr/>
        <w:t>Es el órgano dentario del maxilar de mayor volumen, y tiene una de las más complejas anatomías en cuanto a conductos y raíces. La corona del primer molar superior</w:t>
      </w:r>
      <w:r>
        <w:rPr>
          <w:spacing w:val="-20"/>
        </w:rPr>
        <w:t> </w:t>
      </w:r>
      <w:r>
        <w:rPr/>
        <w:t>es</w:t>
      </w:r>
      <w:r>
        <w:rPr>
          <w:spacing w:val="-20"/>
        </w:rPr>
        <w:t> </w:t>
      </w:r>
      <w:r>
        <w:rPr/>
        <w:t>tetracuspídea</w:t>
      </w:r>
      <w:r>
        <w:rPr>
          <w:spacing w:val="-19"/>
        </w:rPr>
        <w:t> </w:t>
      </w:r>
      <w:r>
        <w:rPr/>
        <w:t>(mesiovestibular</w:t>
      </w:r>
      <w:r>
        <w:rPr>
          <w:spacing w:val="-20"/>
        </w:rPr>
        <w:t> </w:t>
      </w:r>
      <w:r>
        <w:rPr/>
        <w:t>(MV),</w:t>
      </w:r>
      <w:r>
        <w:rPr>
          <w:spacing w:val="-20"/>
        </w:rPr>
        <w:t> </w:t>
      </w:r>
      <w:r>
        <w:rPr/>
        <w:t>distovestibular</w:t>
      </w:r>
      <w:r>
        <w:rPr>
          <w:spacing w:val="-20"/>
        </w:rPr>
        <w:t> </w:t>
      </w:r>
      <w:r>
        <w:rPr/>
        <w:t>(DV),</w:t>
      </w:r>
      <w:r>
        <w:rPr>
          <w:spacing w:val="-20"/>
        </w:rPr>
        <w:t> </w:t>
      </w:r>
      <w:r>
        <w:rPr/>
        <w:t>mesiopalatina (MP) y distopalatina (DP). Presenta tres raíces bien definidas, la MV es ovoide y presenta</w:t>
      </w:r>
      <w:r>
        <w:rPr>
          <w:spacing w:val="-16"/>
        </w:rPr>
        <w:t> </w:t>
      </w:r>
      <w:r>
        <w:rPr/>
        <w:t>una</w:t>
      </w:r>
      <w:r>
        <w:rPr>
          <w:spacing w:val="-13"/>
        </w:rPr>
        <w:t> </w:t>
      </w:r>
      <w:r>
        <w:rPr/>
        <w:t>curvatura</w:t>
      </w:r>
      <w:r>
        <w:rPr>
          <w:spacing w:val="-16"/>
        </w:rPr>
        <w:t> </w:t>
      </w:r>
      <w:r>
        <w:rPr/>
        <w:t>hacia</w:t>
      </w:r>
      <w:r>
        <w:rPr>
          <w:spacing w:val="-16"/>
        </w:rPr>
        <w:t> </w:t>
      </w:r>
      <w:r>
        <w:rPr/>
        <w:t>distal,</w:t>
      </w:r>
      <w:r>
        <w:rPr>
          <w:spacing w:val="-14"/>
        </w:rPr>
        <w:t> </w:t>
      </w:r>
      <w:r>
        <w:rPr/>
        <w:t>la</w:t>
      </w:r>
      <w:r>
        <w:rPr>
          <w:spacing w:val="-16"/>
        </w:rPr>
        <w:t> </w:t>
      </w:r>
      <w:r>
        <w:rPr/>
        <w:t>DV</w:t>
      </w:r>
      <w:r>
        <w:rPr>
          <w:spacing w:val="-16"/>
        </w:rPr>
        <w:t> </w:t>
      </w:r>
      <w:r>
        <w:rPr/>
        <w:t>es</w:t>
      </w:r>
      <w:r>
        <w:rPr>
          <w:spacing w:val="-16"/>
        </w:rPr>
        <w:t> </w:t>
      </w:r>
      <w:r>
        <w:rPr/>
        <w:t>la</w:t>
      </w:r>
      <w:r>
        <w:rPr>
          <w:spacing w:val="-13"/>
        </w:rPr>
        <w:t> </w:t>
      </w:r>
      <w:r>
        <w:rPr/>
        <w:t>de</w:t>
      </w:r>
      <w:r>
        <w:rPr>
          <w:spacing w:val="-16"/>
        </w:rPr>
        <w:t> </w:t>
      </w:r>
      <w:r>
        <w:rPr/>
        <w:t>menores</w:t>
      </w:r>
      <w:r>
        <w:rPr>
          <w:spacing w:val="-16"/>
        </w:rPr>
        <w:t> </w:t>
      </w:r>
      <w:r>
        <w:rPr/>
        <w:t>dimensiones,</w:t>
      </w:r>
      <w:r>
        <w:rPr>
          <w:spacing w:val="-16"/>
        </w:rPr>
        <w:t> </w:t>
      </w:r>
      <w:r>
        <w:rPr/>
        <w:t>es</w:t>
      </w:r>
      <w:r>
        <w:rPr>
          <w:spacing w:val="-16"/>
        </w:rPr>
        <w:t> </w:t>
      </w:r>
      <w:r>
        <w:rPr/>
        <w:t>circular y recta, y la P es la más grande, presenta una forma piramidal y puede curvarse hacia V. La cronología de erupción ocurre entre los 6 y 7 años, y su rizogénesis se completa aproximadamente entre los 9 y 10</w:t>
      </w:r>
      <w:r>
        <w:rPr>
          <w:spacing w:val="-19"/>
        </w:rPr>
        <w:t> </w:t>
      </w:r>
      <w:r>
        <w:rPr/>
        <w:t>años.</w:t>
      </w:r>
    </w:p>
    <w:p>
      <w:pPr>
        <w:pStyle w:val="Heading2"/>
        <w:numPr>
          <w:ilvl w:val="2"/>
          <w:numId w:val="3"/>
        </w:numPr>
        <w:tabs>
          <w:tab w:pos="1413" w:val="left" w:leader="none"/>
        </w:tabs>
        <w:spacing w:line="240" w:lineRule="auto" w:before="164" w:after="0"/>
        <w:ind w:left="1412" w:right="0" w:hanging="602"/>
        <w:jc w:val="left"/>
        <w:rPr>
          <w:i/>
        </w:rPr>
      </w:pPr>
      <w:r>
        <w:rPr>
          <w:i/>
        </w:rPr>
        <w:t>Longitudes</w:t>
      </w:r>
      <w:r>
        <w:rPr>
          <w:i/>
          <w:spacing w:val="-5"/>
        </w:rPr>
        <w:t> </w:t>
      </w:r>
      <w:r>
        <w:rPr>
          <w:i/>
        </w:rPr>
        <w:t>medias.</w:t>
      </w:r>
    </w:p>
    <w:p>
      <w:pPr>
        <w:pStyle w:val="BodyText"/>
        <w:spacing w:before="10"/>
        <w:rPr>
          <w:b/>
          <w:i/>
          <w:sz w:val="25"/>
        </w:rPr>
      </w:pPr>
    </w:p>
    <w:p>
      <w:pPr>
        <w:pStyle w:val="BodyText"/>
        <w:spacing w:line="360" w:lineRule="auto"/>
        <w:ind w:left="102" w:right="126"/>
        <w:jc w:val="both"/>
      </w:pPr>
      <w:r>
        <w:rPr/>
        <w:t>La raíz palatina mide en promedio 21, 3 mm, y las raíces MV y DV 19 mm. La longitud máxima promedio es de 25, 5 mm y la mínima de 18 mm (Leonardo MR, 2005).</w:t>
      </w:r>
    </w:p>
    <w:p>
      <w:pPr>
        <w:pStyle w:val="Heading2"/>
        <w:numPr>
          <w:ilvl w:val="2"/>
          <w:numId w:val="3"/>
        </w:numPr>
        <w:tabs>
          <w:tab w:pos="1413" w:val="left" w:leader="none"/>
        </w:tabs>
        <w:spacing w:line="240" w:lineRule="auto" w:before="163" w:after="0"/>
        <w:ind w:left="1412" w:right="0" w:hanging="602"/>
        <w:jc w:val="left"/>
        <w:rPr>
          <w:i/>
        </w:rPr>
      </w:pPr>
      <w:r>
        <w:rPr>
          <w:i/>
        </w:rPr>
        <w:t>Cámara</w:t>
      </w:r>
      <w:r>
        <w:rPr>
          <w:i/>
          <w:spacing w:val="-5"/>
        </w:rPr>
        <w:t> </w:t>
      </w:r>
      <w:r>
        <w:rPr>
          <w:i/>
        </w:rPr>
        <w:t>pulpar.</w:t>
      </w:r>
    </w:p>
    <w:p>
      <w:pPr>
        <w:pStyle w:val="BodyText"/>
        <w:spacing w:before="1"/>
        <w:rPr>
          <w:b/>
          <w:i/>
          <w:sz w:val="26"/>
        </w:rPr>
      </w:pPr>
    </w:p>
    <w:p>
      <w:pPr>
        <w:pStyle w:val="BodyText"/>
        <w:spacing w:line="360" w:lineRule="auto"/>
        <w:ind w:left="102" w:right="114"/>
        <w:jc w:val="both"/>
      </w:pPr>
      <w:r>
        <w:rPr/>
        <w:t>La cámara pulpar es de sección trapezoidal, es más ancha en dirección </w:t>
      </w:r>
      <w:r>
        <w:rPr>
          <w:spacing w:val="5"/>
        </w:rPr>
        <w:t>V- </w:t>
      </w:r>
      <w:r>
        <w:rPr/>
        <w:t>P, existiendo cuatro cuernos pulpares. El contorno cervical de la cámara pulpar tiene una forma romboidal, a veces con esquinas redondeadas. El ángulo MV es agudo; el ángulo DV es obtuso, y los palatinos son básicamente rectos. El orificio del conducto palatino está centrado en sentido palatino; el orificio del DV se encuentra cerca del ángulo obtuso del piso de la cámara pulpar, y el orificio del conducto MV ocupa</w:t>
      </w:r>
      <w:r>
        <w:rPr>
          <w:spacing w:val="-12"/>
        </w:rPr>
        <w:t> </w:t>
      </w:r>
      <w:r>
        <w:rPr/>
        <w:t>una</w:t>
      </w:r>
      <w:r>
        <w:rPr>
          <w:spacing w:val="-13"/>
        </w:rPr>
        <w:t> </w:t>
      </w:r>
      <w:r>
        <w:rPr/>
        <w:t>posición</w:t>
      </w:r>
      <w:r>
        <w:rPr>
          <w:spacing w:val="-13"/>
        </w:rPr>
        <w:t> </w:t>
      </w:r>
      <w:r>
        <w:rPr/>
        <w:t>vestibular</w:t>
      </w:r>
      <w:r>
        <w:rPr>
          <w:spacing w:val="-12"/>
        </w:rPr>
        <w:t> </w:t>
      </w:r>
      <w:r>
        <w:rPr/>
        <w:t>y</w:t>
      </w:r>
      <w:r>
        <w:rPr>
          <w:spacing w:val="-14"/>
        </w:rPr>
        <w:t> </w:t>
      </w:r>
      <w:r>
        <w:rPr/>
        <w:t>mesial</w:t>
      </w:r>
      <w:r>
        <w:rPr>
          <w:spacing w:val="-12"/>
        </w:rPr>
        <w:t> </w:t>
      </w:r>
      <w:r>
        <w:rPr/>
        <w:t>respecto</w:t>
      </w:r>
      <w:r>
        <w:rPr>
          <w:spacing w:val="-11"/>
        </w:rPr>
        <w:t> </w:t>
      </w:r>
      <w:r>
        <w:rPr/>
        <w:t>al</w:t>
      </w:r>
      <w:r>
        <w:rPr>
          <w:spacing w:val="-14"/>
        </w:rPr>
        <w:t> </w:t>
      </w:r>
      <w:r>
        <w:rPr/>
        <w:t>orificio</w:t>
      </w:r>
      <w:r>
        <w:rPr>
          <w:spacing w:val="-13"/>
        </w:rPr>
        <w:t> </w:t>
      </w:r>
      <w:r>
        <w:rPr/>
        <w:t>DV,</w:t>
      </w:r>
      <w:r>
        <w:rPr>
          <w:spacing w:val="-12"/>
        </w:rPr>
        <w:t> </w:t>
      </w:r>
      <w:r>
        <w:rPr/>
        <w:t>y</w:t>
      </w:r>
      <w:r>
        <w:rPr>
          <w:spacing w:val="-14"/>
        </w:rPr>
        <w:t> </w:t>
      </w:r>
      <w:r>
        <w:rPr/>
        <w:t>se</w:t>
      </w:r>
      <w:r>
        <w:rPr>
          <w:spacing w:val="-12"/>
        </w:rPr>
        <w:t> </w:t>
      </w:r>
      <w:r>
        <w:rPr/>
        <w:t>encuentra</w:t>
      </w:r>
      <w:r>
        <w:rPr>
          <w:spacing w:val="-12"/>
        </w:rPr>
        <w:t> </w:t>
      </w:r>
      <w:r>
        <w:rPr/>
        <w:t>dentro del ángulo agudo de la cámara pulpar. El orificio del conducto MV2 ocupa una posición palatina y mesial respecto al MV. La línea que conecta los tres orificios principales (MV, DV y P) forma un triángulo conocido como triángulo</w:t>
      </w:r>
      <w:r>
        <w:rPr>
          <w:spacing w:val="-31"/>
        </w:rPr>
        <w:t> </w:t>
      </w:r>
      <w:r>
        <w:rPr/>
        <w:t>molar.</w:t>
      </w:r>
    </w:p>
    <w:p>
      <w:pPr>
        <w:pStyle w:val="Heading2"/>
        <w:numPr>
          <w:ilvl w:val="2"/>
          <w:numId w:val="3"/>
        </w:numPr>
        <w:tabs>
          <w:tab w:pos="1413" w:val="left" w:leader="none"/>
        </w:tabs>
        <w:spacing w:line="240" w:lineRule="auto" w:before="164" w:after="0"/>
        <w:ind w:left="1412" w:right="0" w:hanging="602"/>
        <w:jc w:val="left"/>
        <w:rPr>
          <w:i/>
        </w:rPr>
      </w:pPr>
      <w:r>
        <w:rPr>
          <w:i/>
        </w:rPr>
        <w:t>Conductos</w:t>
      </w:r>
      <w:r>
        <w:rPr>
          <w:i/>
          <w:spacing w:val="-7"/>
        </w:rPr>
        <w:t> </w:t>
      </w:r>
      <w:r>
        <w:rPr>
          <w:i/>
        </w:rPr>
        <w:t>Radiculares</w:t>
      </w:r>
    </w:p>
    <w:p>
      <w:pPr>
        <w:pStyle w:val="BodyText"/>
        <w:spacing w:before="10"/>
        <w:rPr>
          <w:b/>
          <w:i/>
          <w:sz w:val="25"/>
        </w:rPr>
      </w:pPr>
    </w:p>
    <w:p>
      <w:pPr>
        <w:pStyle w:val="BodyText"/>
        <w:spacing w:line="357" w:lineRule="auto"/>
        <w:ind w:left="102" w:right="117"/>
        <w:jc w:val="both"/>
      </w:pPr>
      <w:r>
        <w:rPr/>
        <w:t>El primer molar superior ha sido extensamente estudiado por su variada presencia de conductos radiculares. Kulild y Peters, 1990</w:t>
      </w:r>
      <w:r>
        <w:rPr>
          <w:position w:val="8"/>
          <w:sz w:val="16"/>
        </w:rPr>
        <w:t>7 </w:t>
      </w:r>
      <w:r>
        <w:rPr/>
        <w:t>refieren que cuatro conductos, el MV, DV, P y MV2 que se encuentra en un 95,2% de los casos. En una sección</w:t>
      </w:r>
    </w:p>
    <w:p>
      <w:pPr>
        <w:spacing w:after="0" w:line="357" w:lineRule="auto"/>
        <w:jc w:val="both"/>
        <w:sectPr>
          <w:pgSz w:w="12240" w:h="15840"/>
          <w:pgMar w:header="749" w:footer="0" w:top="960" w:bottom="280" w:left="1600" w:right="1580"/>
        </w:sectPr>
      </w:pPr>
    </w:p>
    <w:p>
      <w:pPr>
        <w:pStyle w:val="BodyText"/>
        <w:rPr>
          <w:sz w:val="20"/>
        </w:rPr>
      </w:pPr>
    </w:p>
    <w:p>
      <w:pPr>
        <w:pStyle w:val="BodyText"/>
        <w:spacing w:line="357" w:lineRule="auto" w:before="214"/>
        <w:ind w:left="102" w:right="123"/>
        <w:jc w:val="both"/>
        <w:rPr>
          <w:sz w:val="16"/>
        </w:rPr>
      </w:pPr>
      <w:r>
        <w:rPr/>
        <w:t>transversal se aprecia que en la porción más cervical posee forma ovalada y se hacen más redondeados al aproximarse a la porción más apical.</w:t>
      </w:r>
      <w:r>
        <w:rPr>
          <w:position w:val="8"/>
          <w:sz w:val="16"/>
        </w:rPr>
        <w:t>3</w:t>
      </w:r>
    </w:p>
    <w:p>
      <w:pPr>
        <w:pStyle w:val="BodyText"/>
        <w:spacing w:line="357" w:lineRule="auto" w:before="157"/>
        <w:ind w:left="102" w:right="115"/>
        <w:jc w:val="both"/>
        <w:rPr>
          <w:sz w:val="16"/>
        </w:rPr>
      </w:pPr>
      <w:r>
        <w:rPr/>
        <w:t>Vertucci FJ 1984</w:t>
      </w:r>
      <w:r>
        <w:rPr>
          <w:position w:val="8"/>
          <w:sz w:val="16"/>
        </w:rPr>
        <w:t>3 </w:t>
      </w:r>
      <w:r>
        <w:rPr/>
        <w:t>refiere que la raíz más amplia es la palatina, en general contiene un solo conducto, plano, acintado, de mayor amplitud en sentido MD. Wasti F et al 2001</w:t>
      </w:r>
      <w:r>
        <w:rPr>
          <w:position w:val="8"/>
          <w:sz w:val="16"/>
        </w:rPr>
        <w:t>3 </w:t>
      </w:r>
      <w:r>
        <w:rPr/>
        <w:t>presentaron reportes de dos e incluso tres conductos palatinos. La raíz DV es</w:t>
      </w:r>
      <w:r>
        <w:rPr>
          <w:spacing w:val="-16"/>
        </w:rPr>
        <w:t> </w:t>
      </w:r>
      <w:r>
        <w:rPr/>
        <w:t>estrecha,</w:t>
      </w:r>
      <w:r>
        <w:rPr>
          <w:spacing w:val="-16"/>
        </w:rPr>
        <w:t> </w:t>
      </w:r>
      <w:r>
        <w:rPr/>
        <w:t>cónica,</w:t>
      </w:r>
      <w:r>
        <w:rPr>
          <w:spacing w:val="-20"/>
        </w:rPr>
        <w:t> </w:t>
      </w:r>
      <w:r>
        <w:rPr/>
        <w:t>puede</w:t>
      </w:r>
      <w:r>
        <w:rPr>
          <w:spacing w:val="-18"/>
        </w:rPr>
        <w:t> </w:t>
      </w:r>
      <w:r>
        <w:rPr/>
        <w:t>tener</w:t>
      </w:r>
      <w:r>
        <w:rPr>
          <w:spacing w:val="-19"/>
        </w:rPr>
        <w:t> </w:t>
      </w:r>
      <w:r>
        <w:rPr/>
        <w:t>uno</w:t>
      </w:r>
      <w:r>
        <w:rPr>
          <w:spacing w:val="-16"/>
        </w:rPr>
        <w:t> </w:t>
      </w:r>
      <w:r>
        <w:rPr/>
        <w:t>o</w:t>
      </w:r>
      <w:r>
        <w:rPr>
          <w:spacing w:val="-18"/>
        </w:rPr>
        <w:t> </w:t>
      </w:r>
      <w:r>
        <w:rPr/>
        <w:t>dos</w:t>
      </w:r>
      <w:r>
        <w:rPr>
          <w:spacing w:val="-18"/>
        </w:rPr>
        <w:t> </w:t>
      </w:r>
      <w:r>
        <w:rPr/>
        <w:t>conductos</w:t>
      </w:r>
      <w:r>
        <w:rPr>
          <w:spacing w:val="-16"/>
        </w:rPr>
        <w:t> </w:t>
      </w:r>
      <w:r>
        <w:rPr/>
        <w:t>y</w:t>
      </w:r>
      <w:r>
        <w:rPr>
          <w:spacing w:val="-19"/>
        </w:rPr>
        <w:t> </w:t>
      </w:r>
      <w:r>
        <w:rPr/>
        <w:t>curva</w:t>
      </w:r>
      <w:r>
        <w:rPr>
          <w:spacing w:val="-18"/>
        </w:rPr>
        <w:t> </w:t>
      </w:r>
      <w:r>
        <w:rPr/>
        <w:t>en</w:t>
      </w:r>
      <w:r>
        <w:rPr>
          <w:spacing w:val="-18"/>
        </w:rPr>
        <w:t> </w:t>
      </w:r>
      <w:r>
        <w:rPr/>
        <w:t>apical</w:t>
      </w:r>
      <w:r>
        <w:rPr>
          <w:spacing w:val="-17"/>
        </w:rPr>
        <w:t> </w:t>
      </w:r>
      <w:r>
        <w:rPr/>
        <w:t>hacia</w:t>
      </w:r>
      <w:r>
        <w:rPr>
          <w:spacing w:val="-18"/>
        </w:rPr>
        <w:t> </w:t>
      </w:r>
      <w:r>
        <w:rPr/>
        <w:t>distal</w:t>
      </w:r>
      <w:r>
        <w:rPr>
          <w:position w:val="8"/>
          <w:sz w:val="16"/>
        </w:rPr>
        <w:t>3</w:t>
      </w:r>
      <w:r>
        <w:rPr/>
        <w:t>. La</w:t>
      </w:r>
      <w:r>
        <w:rPr>
          <w:spacing w:val="-6"/>
        </w:rPr>
        <w:t> </w:t>
      </w:r>
      <w:r>
        <w:rPr/>
        <w:t>raíz</w:t>
      </w:r>
      <w:r>
        <w:rPr>
          <w:spacing w:val="-9"/>
        </w:rPr>
        <w:t> </w:t>
      </w:r>
      <w:r>
        <w:rPr/>
        <w:t>MV</w:t>
      </w:r>
      <w:r>
        <w:rPr>
          <w:spacing w:val="-6"/>
        </w:rPr>
        <w:t> </w:t>
      </w:r>
      <w:r>
        <w:rPr/>
        <w:t>ha</w:t>
      </w:r>
      <w:r>
        <w:rPr>
          <w:spacing w:val="-6"/>
        </w:rPr>
        <w:t> </w:t>
      </w:r>
      <w:r>
        <w:rPr/>
        <w:t>generado</w:t>
      </w:r>
      <w:r>
        <w:rPr>
          <w:spacing w:val="-8"/>
        </w:rPr>
        <w:t> </w:t>
      </w:r>
      <w:r>
        <w:rPr/>
        <w:t>más</w:t>
      </w:r>
      <w:r>
        <w:rPr>
          <w:spacing w:val="-9"/>
        </w:rPr>
        <w:t> </w:t>
      </w:r>
      <w:r>
        <w:rPr/>
        <w:t>estudios</w:t>
      </w:r>
      <w:r>
        <w:rPr>
          <w:spacing w:val="-9"/>
        </w:rPr>
        <w:t> </w:t>
      </w:r>
      <w:r>
        <w:rPr/>
        <w:t>e</w:t>
      </w:r>
      <w:r>
        <w:rPr>
          <w:spacing w:val="-8"/>
        </w:rPr>
        <w:t> </w:t>
      </w:r>
      <w:r>
        <w:rPr/>
        <w:t>investigación</w:t>
      </w:r>
      <w:r>
        <w:rPr>
          <w:spacing w:val="-6"/>
        </w:rPr>
        <w:t> </w:t>
      </w:r>
      <w:r>
        <w:rPr/>
        <w:t>clínica</w:t>
      </w:r>
      <w:r>
        <w:rPr>
          <w:spacing w:val="-6"/>
        </w:rPr>
        <w:t> </w:t>
      </w:r>
      <w:r>
        <w:rPr/>
        <w:t>que</w:t>
      </w:r>
      <w:r>
        <w:rPr>
          <w:spacing w:val="-8"/>
        </w:rPr>
        <w:t> </w:t>
      </w:r>
      <w:r>
        <w:rPr/>
        <w:t>cualquier</w:t>
      </w:r>
      <w:r>
        <w:rPr>
          <w:spacing w:val="-7"/>
        </w:rPr>
        <w:t> </w:t>
      </w:r>
      <w:r>
        <w:rPr/>
        <w:t>otra</w:t>
      </w:r>
      <w:r>
        <w:rPr>
          <w:spacing w:val="-8"/>
        </w:rPr>
        <w:t> </w:t>
      </w:r>
      <w:r>
        <w:rPr/>
        <w:t>raíz de la boca </w:t>
      </w:r>
      <w:r>
        <w:rPr>
          <w:position w:val="8"/>
          <w:sz w:val="16"/>
        </w:rPr>
        <w:t>6</w:t>
      </w:r>
      <w:r>
        <w:rPr/>
        <w:t>. Esta puede tener uno, en el 82% de los casos, dos o tres conductos radiculares</w:t>
      </w:r>
      <w:r>
        <w:rPr>
          <w:position w:val="8"/>
          <w:sz w:val="16"/>
        </w:rPr>
        <w:t>3</w:t>
      </w:r>
      <w:r>
        <w:rPr/>
        <w:t>. Cuando existe un solo conducto MV, es oval o más amplio en sentido VL; cuando existen dos o tres conductos estos son más circulares. Generalmente se</w:t>
      </w:r>
      <w:r>
        <w:rPr>
          <w:spacing w:val="-9"/>
        </w:rPr>
        <w:t> </w:t>
      </w:r>
      <w:r>
        <w:rPr/>
        <w:t>observa</w:t>
      </w:r>
      <w:r>
        <w:rPr>
          <w:spacing w:val="-9"/>
        </w:rPr>
        <w:t> </w:t>
      </w:r>
      <w:r>
        <w:rPr/>
        <w:t>una</w:t>
      </w:r>
      <w:r>
        <w:rPr>
          <w:spacing w:val="-9"/>
        </w:rPr>
        <w:t> </w:t>
      </w:r>
      <w:r>
        <w:rPr/>
        <w:t>concavidad</w:t>
      </w:r>
      <w:r>
        <w:rPr>
          <w:spacing w:val="-9"/>
        </w:rPr>
        <w:t> </w:t>
      </w:r>
      <w:r>
        <w:rPr/>
        <w:t>en</w:t>
      </w:r>
      <w:r>
        <w:rPr>
          <w:spacing w:val="-9"/>
        </w:rPr>
        <w:t> </w:t>
      </w:r>
      <w:r>
        <w:rPr/>
        <w:t>la</w:t>
      </w:r>
      <w:r>
        <w:rPr>
          <w:spacing w:val="-10"/>
        </w:rPr>
        <w:t> </w:t>
      </w:r>
      <w:r>
        <w:rPr/>
        <w:t>superficie</w:t>
      </w:r>
      <w:r>
        <w:rPr>
          <w:spacing w:val="-9"/>
        </w:rPr>
        <w:t> </w:t>
      </w:r>
      <w:r>
        <w:rPr/>
        <w:t>distal</w:t>
      </w:r>
      <w:r>
        <w:rPr>
          <w:spacing w:val="-10"/>
        </w:rPr>
        <w:t> </w:t>
      </w:r>
      <w:r>
        <w:rPr/>
        <w:t>de</w:t>
      </w:r>
      <w:r>
        <w:rPr>
          <w:spacing w:val="-9"/>
        </w:rPr>
        <w:t> </w:t>
      </w:r>
      <w:r>
        <w:rPr/>
        <w:t>la</w:t>
      </w:r>
      <w:r>
        <w:rPr>
          <w:spacing w:val="-10"/>
        </w:rPr>
        <w:t> </w:t>
      </w:r>
      <w:r>
        <w:rPr/>
        <w:t>raíz</w:t>
      </w:r>
      <w:r>
        <w:rPr>
          <w:spacing w:val="-12"/>
        </w:rPr>
        <w:t> </w:t>
      </w:r>
      <w:r>
        <w:rPr/>
        <w:t>MV,</w:t>
      </w:r>
      <w:r>
        <w:rPr>
          <w:spacing w:val="-10"/>
        </w:rPr>
        <w:t> </w:t>
      </w:r>
      <w:r>
        <w:rPr/>
        <w:t>que</w:t>
      </w:r>
      <w:r>
        <w:rPr>
          <w:spacing w:val="-9"/>
        </w:rPr>
        <w:t> </w:t>
      </w:r>
      <w:r>
        <w:rPr/>
        <w:t>convierte</w:t>
      </w:r>
      <w:r>
        <w:rPr>
          <w:spacing w:val="-9"/>
        </w:rPr>
        <w:t> </w:t>
      </w:r>
      <w:r>
        <w:rPr/>
        <w:t>a</w:t>
      </w:r>
      <w:r>
        <w:rPr>
          <w:spacing w:val="-9"/>
        </w:rPr>
        <w:t> </w:t>
      </w:r>
      <w:r>
        <w:rPr/>
        <w:t>esa pared en una muy fina. Es importante tener en cuenta esta característica ya que el clínico puede instrumentar excesivamente esta pared y producir una</w:t>
      </w:r>
      <w:r>
        <w:rPr>
          <w:spacing w:val="-17"/>
        </w:rPr>
        <w:t> </w:t>
      </w:r>
      <w:r>
        <w:rPr/>
        <w:t>perforación.</w:t>
      </w:r>
      <w:r>
        <w:rPr>
          <w:position w:val="8"/>
          <w:sz w:val="16"/>
        </w:rPr>
        <w:t>3</w:t>
      </w:r>
    </w:p>
    <w:p>
      <w:pPr>
        <w:pStyle w:val="BodyText"/>
        <w:spacing w:line="360" w:lineRule="auto" w:before="162"/>
        <w:ind w:left="102" w:right="116"/>
        <w:jc w:val="both"/>
      </w:pPr>
      <w:r>
        <w:rPr/>
        <w:t>En una revisión sistemática publicada por, de Pablo OV et al. 2010, se concluyó que:</w:t>
      </w:r>
    </w:p>
    <w:p>
      <w:pPr>
        <w:pStyle w:val="BodyText"/>
        <w:spacing w:line="360" w:lineRule="auto" w:before="163"/>
        <w:ind w:left="102" w:right="116"/>
        <w:jc w:val="both"/>
      </w:pPr>
      <w:r>
        <w:rPr/>
        <w:t>1.- El número de raíces en el primer molar inferior está directamente relacionado con la etnia en la población estudiada. En los Mongolíes, nativos Americanos, Esquimales y población China, la presencia de una tercera raíz puede ser considerada una variabilidad anatómica normal.</w:t>
      </w:r>
    </w:p>
    <w:p>
      <w:pPr>
        <w:pStyle w:val="BodyText"/>
        <w:spacing w:line="360" w:lineRule="auto" w:before="163"/>
        <w:ind w:left="102" w:right="116"/>
        <w:jc w:val="both"/>
      </w:pPr>
      <w:r>
        <w:rPr/>
        <w:t>2.- La raíz mesial usualmente presenta dos canales. El tipo IV y II son las configuraciones más frecuentes. La presencia de un tercer conducto, conocido como conducto medio mesial, se encontró que tenía una incidencia de 2,6%. Muchos</w:t>
      </w:r>
      <w:r>
        <w:rPr>
          <w:spacing w:val="-10"/>
        </w:rPr>
        <w:t> </w:t>
      </w:r>
      <w:r>
        <w:rPr/>
        <w:t>autores</w:t>
      </w:r>
      <w:r>
        <w:rPr>
          <w:spacing w:val="-10"/>
        </w:rPr>
        <w:t> </w:t>
      </w:r>
      <w:r>
        <w:rPr/>
        <w:t>sugieren</w:t>
      </w:r>
      <w:r>
        <w:rPr>
          <w:spacing w:val="-12"/>
        </w:rPr>
        <w:t> </w:t>
      </w:r>
      <w:r>
        <w:rPr/>
        <w:t>modificaciones</w:t>
      </w:r>
      <w:r>
        <w:rPr>
          <w:spacing w:val="-10"/>
        </w:rPr>
        <w:t> </w:t>
      </w:r>
      <w:r>
        <w:rPr/>
        <w:t>en</w:t>
      </w:r>
      <w:r>
        <w:rPr>
          <w:spacing w:val="-9"/>
        </w:rPr>
        <w:t> </w:t>
      </w:r>
      <w:r>
        <w:rPr/>
        <w:t>la</w:t>
      </w:r>
      <w:r>
        <w:rPr>
          <w:spacing w:val="-9"/>
        </w:rPr>
        <w:t> </w:t>
      </w:r>
      <w:r>
        <w:rPr/>
        <w:t>preparación</w:t>
      </w:r>
      <w:r>
        <w:rPr>
          <w:spacing w:val="-12"/>
        </w:rPr>
        <w:t> </w:t>
      </w:r>
      <w:r>
        <w:rPr/>
        <w:t>del</w:t>
      </w:r>
      <w:r>
        <w:rPr>
          <w:spacing w:val="-11"/>
        </w:rPr>
        <w:t> </w:t>
      </w:r>
      <w:r>
        <w:rPr/>
        <w:t>acceso</w:t>
      </w:r>
      <w:r>
        <w:rPr>
          <w:spacing w:val="-9"/>
        </w:rPr>
        <w:t> </w:t>
      </w:r>
      <w:r>
        <w:rPr/>
        <w:t>para</w:t>
      </w:r>
      <w:r>
        <w:rPr>
          <w:spacing w:val="-12"/>
        </w:rPr>
        <w:t> </w:t>
      </w:r>
      <w:r>
        <w:rPr/>
        <w:t>mejorar el diagnóstico y exposición de este</w:t>
      </w:r>
      <w:r>
        <w:rPr>
          <w:spacing w:val="-10"/>
        </w:rPr>
        <w:t> </w:t>
      </w:r>
      <w:r>
        <w:rPr/>
        <w:t>conducto.</w:t>
      </w:r>
    </w:p>
    <w:p>
      <w:pPr>
        <w:pStyle w:val="BodyText"/>
        <w:spacing w:line="360" w:lineRule="auto" w:before="164"/>
        <w:ind w:left="102" w:right="122"/>
        <w:jc w:val="both"/>
      </w:pPr>
      <w:r>
        <w:rPr/>
        <w:t>3.- La configuración radicular más común en la raíz distal es la tipo I con 62,7%, seguido por la tipo II con un 14,5% y la tipo IV con 12,4%</w:t>
      </w:r>
    </w:p>
    <w:p>
      <w:pPr>
        <w:pStyle w:val="BodyText"/>
        <w:spacing w:line="360" w:lineRule="auto" w:before="163"/>
        <w:ind w:left="102" w:right="115"/>
        <w:jc w:val="both"/>
      </w:pPr>
      <w:r>
        <w:rPr/>
        <w:t>4.-</w:t>
      </w:r>
      <w:r>
        <w:rPr>
          <w:spacing w:val="-10"/>
        </w:rPr>
        <w:t> </w:t>
      </w:r>
      <w:r>
        <w:rPr/>
        <w:t>La</w:t>
      </w:r>
      <w:r>
        <w:rPr>
          <w:spacing w:val="-11"/>
        </w:rPr>
        <w:t> </w:t>
      </w:r>
      <w:r>
        <w:rPr/>
        <w:t>presencia</w:t>
      </w:r>
      <w:r>
        <w:rPr>
          <w:spacing w:val="-9"/>
        </w:rPr>
        <w:t> </w:t>
      </w:r>
      <w:r>
        <w:rPr/>
        <w:t>de</w:t>
      </w:r>
      <w:r>
        <w:rPr>
          <w:spacing w:val="-8"/>
        </w:rPr>
        <w:t> </w:t>
      </w:r>
      <w:r>
        <w:rPr/>
        <w:t>itsmos</w:t>
      </w:r>
      <w:r>
        <w:rPr>
          <w:spacing w:val="-12"/>
        </w:rPr>
        <w:t> </w:t>
      </w:r>
      <w:r>
        <w:rPr/>
        <w:t>en</w:t>
      </w:r>
      <w:r>
        <w:rPr>
          <w:spacing w:val="-11"/>
        </w:rPr>
        <w:t> </w:t>
      </w:r>
      <w:r>
        <w:rPr/>
        <w:t>el</w:t>
      </w:r>
      <w:r>
        <w:rPr>
          <w:spacing w:val="-10"/>
        </w:rPr>
        <w:t> </w:t>
      </w:r>
      <w:r>
        <w:rPr/>
        <w:t>canal</w:t>
      </w:r>
      <w:r>
        <w:rPr>
          <w:spacing w:val="-10"/>
        </w:rPr>
        <w:t> </w:t>
      </w:r>
      <w:r>
        <w:rPr/>
        <w:t>radicular</w:t>
      </w:r>
      <w:r>
        <w:rPr>
          <w:spacing w:val="-10"/>
        </w:rPr>
        <w:t> </w:t>
      </w:r>
      <w:r>
        <w:rPr/>
        <w:t>tiene</w:t>
      </w:r>
      <w:r>
        <w:rPr>
          <w:spacing w:val="-11"/>
        </w:rPr>
        <w:t> </w:t>
      </w:r>
      <w:r>
        <w:rPr/>
        <w:t>un</w:t>
      </w:r>
      <w:r>
        <w:rPr>
          <w:spacing w:val="-11"/>
        </w:rPr>
        <w:t> </w:t>
      </w:r>
      <w:r>
        <w:rPr/>
        <w:t>promedio</w:t>
      </w:r>
      <w:r>
        <w:rPr>
          <w:spacing w:val="-8"/>
        </w:rPr>
        <w:t> </w:t>
      </w:r>
      <w:r>
        <w:rPr/>
        <w:t>de</w:t>
      </w:r>
      <w:r>
        <w:rPr>
          <w:spacing w:val="-8"/>
        </w:rPr>
        <w:t> </w:t>
      </w:r>
      <w:r>
        <w:rPr/>
        <w:t>55%</w:t>
      </w:r>
      <w:r>
        <w:rPr>
          <w:spacing w:val="-11"/>
        </w:rPr>
        <w:t> </w:t>
      </w:r>
      <w:r>
        <w:rPr/>
        <w:t>en</w:t>
      </w:r>
      <w:r>
        <w:rPr>
          <w:spacing w:val="-11"/>
        </w:rPr>
        <w:t> </w:t>
      </w:r>
      <w:r>
        <w:rPr/>
        <w:t>la</w:t>
      </w:r>
      <w:r>
        <w:rPr>
          <w:spacing w:val="-9"/>
        </w:rPr>
        <w:t> </w:t>
      </w:r>
      <w:r>
        <w:rPr/>
        <w:t>raíz mesial y 20% en la raíz distal. Esta configuración anatómica del conducto debe ser considerada durante el tratamiento endodóntico no quirúrgico y quirúrgico. Fig</w:t>
      </w:r>
      <w:r>
        <w:rPr>
          <w:spacing w:val="-28"/>
        </w:rPr>
        <w:t> </w:t>
      </w:r>
      <w:r>
        <w:rPr/>
        <w:t>1</w:t>
      </w:r>
    </w:p>
    <w:p>
      <w:pPr>
        <w:spacing w:after="0" w:line="360" w:lineRule="auto"/>
        <w:jc w:val="both"/>
        <w:sectPr>
          <w:pgSz w:w="12240" w:h="15840"/>
          <w:pgMar w:header="749"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spacing w:before="78"/>
        <w:ind w:left="1141" w:right="136" w:firstLine="0"/>
        <w:jc w:val="left"/>
        <w:rPr>
          <w:sz w:val="13"/>
        </w:rPr>
      </w:pPr>
      <w:r>
        <w:rPr/>
        <w:pict>
          <v:group style="position:absolute;margin-left:126.959999pt;margin-top:-181.770111pt;width:357.85pt;height:188.05pt;mso-position-horizontal-relative:page;mso-position-vertical-relative:paragraph;z-index:-17320" coordorigin="2539,-3635" coordsize="7157,3761">
            <v:shape style="position:absolute;left:2539;top:-3635;width:7157;height:3761" type="#_x0000_t75" stroked="false">
              <v:imagedata r:id="rId8" o:title=""/>
            </v:shape>
            <v:shape style="position:absolute;left:2640;top:-3535;width:6869;height:3473" type="#_x0000_t75" stroked="false">
              <v:imagedata r:id="rId9" o:title=""/>
            </v:shape>
            <v:rect style="position:absolute;left:2610;top:-3565;width:6929;height:3533" filled="false" stroked="true" strokeweight="3.0pt" strokecolor="#000000"/>
            <w10:wrap type="none"/>
          </v:group>
        </w:pict>
      </w:r>
      <w:r>
        <w:rPr>
          <w:sz w:val="20"/>
        </w:rPr>
        <w:t>Fig 1 Clasificación de Vertucci. 1984 y otras. Tipo de conductos existentes.</w:t>
      </w:r>
      <w:r>
        <w:rPr>
          <w:position w:val="6"/>
          <w:sz w:val="13"/>
        </w:rPr>
        <w:t>3</w:t>
      </w:r>
    </w:p>
    <w:p>
      <w:pPr>
        <w:pStyle w:val="BodyText"/>
        <w:rPr>
          <w:sz w:val="20"/>
        </w:rPr>
      </w:pPr>
    </w:p>
    <w:p>
      <w:pPr>
        <w:pStyle w:val="BodyText"/>
        <w:rPr>
          <w:sz w:val="20"/>
        </w:rPr>
      </w:pPr>
    </w:p>
    <w:p>
      <w:pPr>
        <w:pStyle w:val="BodyText"/>
        <w:rPr>
          <w:sz w:val="20"/>
        </w:rPr>
      </w:pPr>
    </w:p>
    <w:p>
      <w:pPr>
        <w:pStyle w:val="Heading1"/>
        <w:numPr>
          <w:ilvl w:val="1"/>
          <w:numId w:val="3"/>
        </w:numPr>
        <w:tabs>
          <w:tab w:pos="822" w:val="left" w:leader="none"/>
        </w:tabs>
        <w:spacing w:line="240" w:lineRule="auto" w:before="161" w:after="0"/>
        <w:ind w:left="822" w:right="0" w:hanging="360"/>
        <w:jc w:val="left"/>
      </w:pPr>
      <w:bookmarkStart w:name="_TOC_250011" w:id="5"/>
      <w:r>
        <w:rPr/>
        <w:t>VARIANTES ANATÓMICAS Y  SU</w:t>
      </w:r>
      <w:r>
        <w:rPr>
          <w:spacing w:val="-19"/>
        </w:rPr>
        <w:t> </w:t>
      </w:r>
      <w:bookmarkEnd w:id="5"/>
      <w:r>
        <w:rPr/>
        <w:t>CLASIFICACIÓN</w:t>
      </w:r>
    </w:p>
    <w:p>
      <w:pPr>
        <w:pStyle w:val="BodyText"/>
        <w:spacing w:before="10"/>
        <w:rPr>
          <w:b/>
          <w:sz w:val="25"/>
        </w:rPr>
      </w:pPr>
    </w:p>
    <w:p>
      <w:pPr>
        <w:pStyle w:val="BodyText"/>
        <w:spacing w:line="360" w:lineRule="auto"/>
        <w:ind w:left="102" w:right="117"/>
        <w:jc w:val="both"/>
        <w:rPr>
          <w:sz w:val="16"/>
        </w:rPr>
      </w:pPr>
      <w:r>
        <w:rPr/>
        <w:t>Estos órganos dentarios pueden presentar conductos cavo interradiculares en un 32- 60% de los casos, los cuales pueden ser detectados solo con microscopia electrónica. Estos pueden causar problemas endoperiodontales los cuales son difíciles de tratar. La raíz mesial presenta una concavidad a la altura del tercio cervical, además de ser delgada existe un riesgo de causar una perforación a ese nivel. En caso de existir la raíz DL, esta tiene con frecuencia una curvatura abrupta hacia el lado vestibular que no se aprecia en las radiografías. Los conductos mesiales pueden fusionarse a la altura del tercio apical terminando en un foramen único, siendo la raíz distal portadora de un único conducto</w:t>
      </w:r>
      <w:r>
        <w:rPr>
          <w:position w:val="8"/>
          <w:sz w:val="16"/>
        </w:rPr>
        <w:t>3</w:t>
      </w:r>
    </w:p>
    <w:p>
      <w:pPr>
        <w:pStyle w:val="BodyText"/>
        <w:spacing w:line="360" w:lineRule="auto" w:before="155"/>
        <w:ind w:left="102" w:right="115"/>
        <w:jc w:val="both"/>
      </w:pPr>
      <w:r>
        <w:rPr/>
        <w:t>Peikoff et al.</w:t>
      </w:r>
      <w:r>
        <w:rPr>
          <w:position w:val="8"/>
          <w:sz w:val="16"/>
        </w:rPr>
        <w:t>11 </w:t>
      </w:r>
      <w:r>
        <w:rPr/>
        <w:t>en un estudio retrospectivo de 520 tratamientos endodónticos realizados</w:t>
      </w:r>
      <w:r>
        <w:rPr>
          <w:spacing w:val="-10"/>
        </w:rPr>
        <w:t> </w:t>
      </w:r>
      <w:r>
        <w:rPr/>
        <w:t>en</w:t>
      </w:r>
      <w:r>
        <w:rPr>
          <w:spacing w:val="-10"/>
        </w:rPr>
        <w:t> </w:t>
      </w:r>
      <w:r>
        <w:rPr/>
        <w:t>segundos</w:t>
      </w:r>
      <w:r>
        <w:rPr>
          <w:spacing w:val="-11"/>
        </w:rPr>
        <w:t> </w:t>
      </w:r>
      <w:r>
        <w:rPr/>
        <w:t>molares</w:t>
      </w:r>
      <w:r>
        <w:rPr>
          <w:spacing w:val="-11"/>
        </w:rPr>
        <w:t> </w:t>
      </w:r>
      <w:r>
        <w:rPr/>
        <w:t>superiores,</w:t>
      </w:r>
      <w:r>
        <w:rPr>
          <w:spacing w:val="-10"/>
        </w:rPr>
        <w:t> </w:t>
      </w:r>
      <w:r>
        <w:rPr/>
        <w:t>ha</w:t>
      </w:r>
      <w:r>
        <w:rPr>
          <w:spacing w:val="-10"/>
        </w:rPr>
        <w:t> </w:t>
      </w:r>
      <w:r>
        <w:rPr/>
        <w:t>descrito</w:t>
      </w:r>
      <w:r>
        <w:rPr>
          <w:spacing w:val="-9"/>
        </w:rPr>
        <w:t> </w:t>
      </w:r>
      <w:r>
        <w:rPr/>
        <w:t>las</w:t>
      </w:r>
      <w:r>
        <w:rPr>
          <w:spacing w:val="-11"/>
        </w:rPr>
        <w:t> </w:t>
      </w:r>
      <w:r>
        <w:rPr/>
        <w:t>variaciones</w:t>
      </w:r>
      <w:r>
        <w:rPr>
          <w:spacing w:val="-11"/>
        </w:rPr>
        <w:t> </w:t>
      </w:r>
      <w:r>
        <w:rPr/>
        <w:t>anatómicas de estos dientes en seis tipos o categorías. Categoría 1: dientes con tres raíces separadas y tres conductos; categoría 2: tres raíces separadas y cuatro conductos (presencia del MV2 en la raíz MV); categoría 3: tres raíces y tres conductos, pero las raíces vestibulares terminan en un conducto común y la raíz palatina es independiente; categoría 4: dos raíces separadas y un conducto en cada raíz; categoría</w:t>
      </w:r>
      <w:r>
        <w:rPr>
          <w:spacing w:val="-5"/>
        </w:rPr>
        <w:t> </w:t>
      </w:r>
      <w:r>
        <w:rPr/>
        <w:t>5:</w:t>
      </w:r>
      <w:r>
        <w:rPr>
          <w:spacing w:val="-5"/>
        </w:rPr>
        <w:t> </w:t>
      </w:r>
      <w:r>
        <w:rPr/>
        <w:t>un</w:t>
      </w:r>
      <w:r>
        <w:rPr>
          <w:spacing w:val="-5"/>
        </w:rPr>
        <w:t> </w:t>
      </w:r>
      <w:r>
        <w:rPr/>
        <w:t>solo</w:t>
      </w:r>
      <w:r>
        <w:rPr>
          <w:spacing w:val="-5"/>
        </w:rPr>
        <w:t> </w:t>
      </w:r>
      <w:r>
        <w:rPr/>
        <w:t>conducto</w:t>
      </w:r>
      <w:r>
        <w:rPr>
          <w:spacing w:val="-5"/>
        </w:rPr>
        <w:t> </w:t>
      </w:r>
      <w:r>
        <w:rPr/>
        <w:t>con</w:t>
      </w:r>
      <w:r>
        <w:rPr>
          <w:spacing w:val="-5"/>
        </w:rPr>
        <w:t> </w:t>
      </w:r>
      <w:r>
        <w:rPr/>
        <w:t>una</w:t>
      </w:r>
      <w:r>
        <w:rPr>
          <w:spacing w:val="-5"/>
        </w:rPr>
        <w:t> </w:t>
      </w:r>
      <w:r>
        <w:rPr/>
        <w:t>sola</w:t>
      </w:r>
      <w:r>
        <w:rPr>
          <w:spacing w:val="-5"/>
        </w:rPr>
        <w:t> </w:t>
      </w:r>
      <w:r>
        <w:rPr/>
        <w:t>raíz</w:t>
      </w:r>
      <w:r>
        <w:rPr>
          <w:spacing w:val="-6"/>
        </w:rPr>
        <w:t> </w:t>
      </w:r>
      <w:r>
        <w:rPr/>
        <w:t>principal;</w:t>
      </w:r>
      <w:r>
        <w:rPr>
          <w:spacing w:val="-3"/>
        </w:rPr>
        <w:t> </w:t>
      </w:r>
      <w:r>
        <w:rPr/>
        <w:t>categoría</w:t>
      </w:r>
      <w:r>
        <w:rPr>
          <w:spacing w:val="-5"/>
        </w:rPr>
        <w:t> </w:t>
      </w:r>
      <w:r>
        <w:rPr/>
        <w:t>6:</w:t>
      </w:r>
      <w:r>
        <w:rPr>
          <w:spacing w:val="-5"/>
        </w:rPr>
        <w:t> </w:t>
      </w:r>
      <w:r>
        <w:rPr/>
        <w:t>cuatro</w:t>
      </w:r>
      <w:r>
        <w:rPr>
          <w:spacing w:val="-5"/>
        </w:rPr>
        <w:t> </w:t>
      </w:r>
      <w:r>
        <w:rPr/>
        <w:t>raíces</w:t>
      </w:r>
    </w:p>
    <w:p>
      <w:pPr>
        <w:spacing w:after="0" w:line="360" w:lineRule="auto"/>
        <w:jc w:val="both"/>
        <w:sectPr>
          <w:pgSz w:w="12240" w:h="15840"/>
          <w:pgMar w:header="749" w:footer="0" w:top="960" w:bottom="280" w:left="1600" w:right="1580"/>
        </w:sectPr>
      </w:pPr>
    </w:p>
    <w:p>
      <w:pPr>
        <w:pStyle w:val="BodyText"/>
        <w:rPr>
          <w:sz w:val="20"/>
        </w:rPr>
      </w:pPr>
    </w:p>
    <w:p>
      <w:pPr>
        <w:pStyle w:val="BodyText"/>
        <w:spacing w:line="357" w:lineRule="auto" w:before="214"/>
        <w:ind w:left="102" w:right="125"/>
        <w:jc w:val="both"/>
      </w:pPr>
      <w:r>
        <w:rPr/>
        <w:t>separadas, dos vestibulares y dos palatinas, con cuatro conductos independientes, correspondientes a cada raíz</w:t>
      </w:r>
      <w:r>
        <w:rPr>
          <w:position w:val="8"/>
          <w:sz w:val="16"/>
        </w:rPr>
        <w:t>11</w:t>
      </w:r>
      <w:r>
        <w:rPr/>
        <w:t>. Fig 2</w:t>
      </w:r>
    </w:p>
    <w:p>
      <w:pPr>
        <w:pStyle w:val="BodyText"/>
        <w:rPr>
          <w:sz w:val="15"/>
        </w:rPr>
      </w:pPr>
      <w:r>
        <w:rPr/>
        <w:drawing>
          <wp:anchor distT="0" distB="0" distL="0" distR="0" allowOverlap="1" layoutInCell="1" locked="0" behindDoc="0" simplePos="0" relativeHeight="1096">
            <wp:simplePos x="0" y="0"/>
            <wp:positionH relativeFrom="page">
              <wp:posOffset>1947672</wp:posOffset>
            </wp:positionH>
            <wp:positionV relativeFrom="paragraph">
              <wp:posOffset>134649</wp:posOffset>
            </wp:positionV>
            <wp:extent cx="3688604" cy="3499485"/>
            <wp:effectExtent l="0" t="0" r="0" b="0"/>
            <wp:wrapTopAndBottom/>
            <wp:docPr id="3" name="image5.jpeg" descr=""/>
            <wp:cNvGraphicFramePr>
              <a:graphicFrameLocks noChangeAspect="1"/>
            </wp:cNvGraphicFramePr>
            <a:graphic>
              <a:graphicData uri="http://schemas.openxmlformats.org/drawingml/2006/picture">
                <pic:pic>
                  <pic:nvPicPr>
                    <pic:cNvPr id="4" name="image5.jpeg"/>
                    <pic:cNvPicPr/>
                  </pic:nvPicPr>
                  <pic:blipFill>
                    <a:blip r:embed="rId10" cstate="print"/>
                    <a:stretch>
                      <a:fillRect/>
                    </a:stretch>
                  </pic:blipFill>
                  <pic:spPr>
                    <a:xfrm>
                      <a:off x="0" y="0"/>
                      <a:ext cx="3688604" cy="3499485"/>
                    </a:xfrm>
                    <a:prstGeom prst="rect">
                      <a:avLst/>
                    </a:prstGeom>
                  </pic:spPr>
                </pic:pic>
              </a:graphicData>
            </a:graphic>
          </wp:anchor>
        </w:drawing>
      </w:r>
    </w:p>
    <w:p>
      <w:pPr>
        <w:pStyle w:val="BodyText"/>
        <w:spacing w:before="147"/>
        <w:ind w:left="1011" w:right="136"/>
        <w:rPr>
          <w:sz w:val="16"/>
        </w:rPr>
      </w:pPr>
      <w:r>
        <w:rPr/>
        <w:t>Fig 2 Variables anatómicas de los segundos molares speriores</w:t>
      </w:r>
      <w:r>
        <w:rPr>
          <w:position w:val="8"/>
          <w:sz w:val="16"/>
        </w:rPr>
        <w:t>11</w:t>
      </w:r>
    </w:p>
    <w:p>
      <w:pPr>
        <w:pStyle w:val="BodyText"/>
        <w:rPr>
          <w:sz w:val="26"/>
        </w:rPr>
      </w:pPr>
    </w:p>
    <w:p>
      <w:pPr>
        <w:pStyle w:val="BodyText"/>
        <w:rPr>
          <w:sz w:val="26"/>
        </w:rPr>
      </w:pPr>
    </w:p>
    <w:p>
      <w:pPr>
        <w:pStyle w:val="BodyText"/>
        <w:spacing w:before="9"/>
        <w:rPr>
          <w:sz w:val="23"/>
        </w:rPr>
      </w:pPr>
    </w:p>
    <w:p>
      <w:pPr>
        <w:pStyle w:val="BodyText"/>
        <w:spacing w:line="357" w:lineRule="auto"/>
        <w:ind w:left="102" w:right="116"/>
        <w:jc w:val="both"/>
        <w:rPr>
          <w:sz w:val="16"/>
        </w:rPr>
      </w:pPr>
      <w:r>
        <w:rPr/>
        <w:t>La variaciones anatómicas del primer molar superior son difíciles de diagnosticar debido a su ubicación en el arco y las estructuras anatómicas adyacentes que puede, en algunos casos, volver más difícil la observación radiográfica de la anatomía radicular, haciendo más compleja la visibilidad de una raíz accesoria o extra.</w:t>
      </w:r>
      <w:r>
        <w:rPr>
          <w:position w:val="8"/>
          <w:sz w:val="16"/>
        </w:rPr>
        <w:t>6-7</w:t>
      </w:r>
      <w:r>
        <w:rPr>
          <w:spacing w:val="11"/>
          <w:position w:val="8"/>
          <w:sz w:val="16"/>
        </w:rPr>
        <w:t> </w:t>
      </w:r>
      <w:r>
        <w:rPr/>
        <w:t>Por</w:t>
      </w:r>
      <w:r>
        <w:rPr>
          <w:spacing w:val="-11"/>
        </w:rPr>
        <w:t> </w:t>
      </w:r>
      <w:r>
        <w:rPr/>
        <w:t>lo</w:t>
      </w:r>
      <w:r>
        <w:rPr>
          <w:spacing w:val="-12"/>
        </w:rPr>
        <w:t> </w:t>
      </w:r>
      <w:r>
        <w:rPr/>
        <w:t>anterior,</w:t>
      </w:r>
      <w:r>
        <w:rPr>
          <w:spacing w:val="-13"/>
        </w:rPr>
        <w:t> </w:t>
      </w:r>
      <w:r>
        <w:rPr/>
        <w:t>sólo</w:t>
      </w:r>
      <w:r>
        <w:rPr>
          <w:spacing w:val="-10"/>
        </w:rPr>
        <w:t> </w:t>
      </w:r>
      <w:r>
        <w:rPr/>
        <w:t>con</w:t>
      </w:r>
      <w:r>
        <w:rPr>
          <w:spacing w:val="-12"/>
        </w:rPr>
        <w:t> </w:t>
      </w:r>
      <w:r>
        <w:rPr/>
        <w:t>tomas</w:t>
      </w:r>
      <w:r>
        <w:rPr>
          <w:spacing w:val="-13"/>
        </w:rPr>
        <w:t> </w:t>
      </w:r>
      <w:r>
        <w:rPr/>
        <w:t>radiográficas</w:t>
      </w:r>
      <w:r>
        <w:rPr>
          <w:spacing w:val="-12"/>
        </w:rPr>
        <w:t> </w:t>
      </w:r>
      <w:r>
        <w:rPr/>
        <w:t>anguladas</w:t>
      </w:r>
      <w:r>
        <w:rPr>
          <w:spacing w:val="-13"/>
        </w:rPr>
        <w:t> </w:t>
      </w:r>
      <w:r>
        <w:rPr/>
        <w:t>podemos</w:t>
      </w:r>
      <w:r>
        <w:rPr>
          <w:spacing w:val="-13"/>
        </w:rPr>
        <w:t> </w:t>
      </w:r>
      <w:r>
        <w:rPr/>
        <w:t>identificar más fácilmente las variaciones anatómicas que estos órganos dentarios pueden presentar.</w:t>
      </w:r>
      <w:r>
        <w:rPr>
          <w:position w:val="8"/>
          <w:sz w:val="16"/>
        </w:rPr>
        <w:t>9</w:t>
      </w:r>
    </w:p>
    <w:p>
      <w:pPr>
        <w:spacing w:after="0" w:line="357" w:lineRule="auto"/>
        <w:jc w:val="both"/>
        <w:rPr>
          <w:sz w:val="16"/>
        </w:rPr>
        <w:sectPr>
          <w:pgSz w:w="12240" w:h="15840"/>
          <w:pgMar w:header="749" w:footer="0" w:top="960" w:bottom="280" w:left="1600" w:right="1580"/>
        </w:sectPr>
      </w:pPr>
    </w:p>
    <w:p>
      <w:pPr>
        <w:pStyle w:val="BodyText"/>
        <w:rPr>
          <w:sz w:val="20"/>
        </w:rPr>
      </w:pPr>
    </w:p>
    <w:p>
      <w:pPr>
        <w:pStyle w:val="BodyText"/>
        <w:spacing w:line="362" w:lineRule="auto" w:before="209"/>
        <w:ind w:left="102"/>
      </w:pPr>
      <w:r>
        <w:rPr/>
        <w:t>Clasificación de Molares Maxilares de acuerdo a la forma y separación radicular</w:t>
      </w:r>
      <w:r>
        <w:rPr>
          <w:position w:val="8"/>
          <w:sz w:val="16"/>
        </w:rPr>
        <w:t>11 </w:t>
      </w:r>
      <w:r>
        <w:rPr/>
        <w:t>Tabla 1</w:t>
      </w:r>
    </w:p>
    <w:p>
      <w:pPr>
        <w:pStyle w:val="BodyText"/>
        <w:spacing w:before="9"/>
        <w:rPr>
          <w:sz w:val="15"/>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4"/>
        <w:gridCol w:w="7349"/>
      </w:tblGrid>
      <w:tr>
        <w:trPr>
          <w:trHeight w:val="644" w:hRule="exact"/>
        </w:trPr>
        <w:tc>
          <w:tcPr>
            <w:tcW w:w="1494" w:type="dxa"/>
            <w:tcBorders>
              <w:bottom w:val="single" w:sz="24" w:space="0" w:color="FFFFFF"/>
            </w:tcBorders>
            <w:shd w:val="clear" w:color="auto" w:fill="E6EDD4"/>
          </w:tcPr>
          <w:p>
            <w:pPr>
              <w:pStyle w:val="TableParagraph"/>
              <w:spacing w:line="274" w:lineRule="exact"/>
              <w:ind w:left="98"/>
              <w:rPr>
                <w:b/>
                <w:sz w:val="24"/>
              </w:rPr>
            </w:pPr>
            <w:r>
              <w:rPr>
                <w:b/>
                <w:color w:val="FFFFFF"/>
                <w:sz w:val="24"/>
              </w:rPr>
              <w:t>TIPO</w:t>
            </w:r>
          </w:p>
        </w:tc>
        <w:tc>
          <w:tcPr>
            <w:tcW w:w="7349" w:type="dxa"/>
            <w:tcBorders>
              <w:bottom w:val="single" w:sz="24" w:space="0" w:color="FFFFFF"/>
            </w:tcBorders>
            <w:shd w:val="clear" w:color="auto" w:fill="E6EDD4"/>
          </w:tcPr>
          <w:p>
            <w:pPr>
              <w:pStyle w:val="TableParagraph"/>
              <w:spacing w:line="274" w:lineRule="exact"/>
              <w:ind w:left="2826" w:right="2816"/>
              <w:jc w:val="center"/>
              <w:rPr>
                <w:b/>
                <w:sz w:val="24"/>
              </w:rPr>
            </w:pPr>
            <w:r>
              <w:rPr>
                <w:b/>
                <w:color w:val="FFFFFF"/>
                <w:sz w:val="24"/>
              </w:rPr>
              <w:t>DESCRIPCIÓN</w:t>
            </w:r>
          </w:p>
        </w:tc>
      </w:tr>
      <w:tr>
        <w:trPr>
          <w:trHeight w:val="2084" w:hRule="exact"/>
        </w:trPr>
        <w:tc>
          <w:tcPr>
            <w:tcW w:w="1494" w:type="dxa"/>
            <w:tcBorders>
              <w:top w:val="single" w:sz="24" w:space="0" w:color="FFFFFF"/>
              <w:bottom w:val="single" w:sz="8" w:space="0" w:color="FFFFFF"/>
              <w:right w:val="single" w:sz="24" w:space="0" w:color="FFFFFF"/>
            </w:tcBorders>
            <w:shd w:val="clear" w:color="auto" w:fill="E6EDD4"/>
          </w:tcPr>
          <w:p>
            <w:pPr>
              <w:pStyle w:val="TableParagraph"/>
              <w:rPr>
                <w:sz w:val="24"/>
              </w:rPr>
            </w:pPr>
          </w:p>
          <w:p>
            <w:pPr>
              <w:pStyle w:val="TableParagraph"/>
              <w:rPr>
                <w:sz w:val="24"/>
              </w:rPr>
            </w:pPr>
          </w:p>
          <w:p>
            <w:pPr>
              <w:pStyle w:val="TableParagraph"/>
              <w:rPr>
                <w:sz w:val="24"/>
              </w:rPr>
            </w:pPr>
          </w:p>
          <w:p>
            <w:pPr>
              <w:pStyle w:val="TableParagraph"/>
              <w:spacing w:before="8"/>
              <w:rPr>
                <w:sz w:val="34"/>
              </w:rPr>
            </w:pPr>
          </w:p>
          <w:p>
            <w:pPr>
              <w:pStyle w:val="TableParagraph"/>
              <w:ind w:left="18"/>
              <w:jc w:val="center"/>
              <w:rPr>
                <w:b/>
                <w:sz w:val="24"/>
              </w:rPr>
            </w:pPr>
            <w:r>
              <w:rPr>
                <w:b/>
                <w:color w:val="FFFFFF"/>
                <w:sz w:val="24"/>
              </w:rPr>
              <w:t>I</w:t>
            </w:r>
          </w:p>
        </w:tc>
        <w:tc>
          <w:tcPr>
            <w:tcW w:w="7349" w:type="dxa"/>
            <w:tcBorders>
              <w:top w:val="single" w:sz="24" w:space="0" w:color="FFFFFF"/>
              <w:left w:val="single" w:sz="24" w:space="0" w:color="FFFFFF"/>
              <w:bottom w:val="single" w:sz="8" w:space="0" w:color="FFFFFF"/>
            </w:tcBorders>
            <w:shd w:val="clear" w:color="auto" w:fill="E6EDD4"/>
          </w:tcPr>
          <w:p>
            <w:pPr>
              <w:pStyle w:val="TableParagraph"/>
              <w:spacing w:line="360" w:lineRule="auto"/>
              <w:ind w:left="79" w:right="101"/>
              <w:jc w:val="both"/>
              <w:rPr>
                <w:sz w:val="24"/>
              </w:rPr>
            </w:pPr>
            <w:r>
              <w:rPr>
                <w:sz w:val="24"/>
              </w:rPr>
              <w:t>Dos raíces palatinas ampliamente divergentes, largas, sinuosas. Dos raíces vestibulares en forma de “cuerno de vaca” y menos divergentes. Se observan cuatro ápices radiculares en la radiografía.</w:t>
            </w:r>
          </w:p>
        </w:tc>
      </w:tr>
      <w:tr>
        <w:trPr>
          <w:trHeight w:val="1863" w:hRule="exact"/>
        </w:trPr>
        <w:tc>
          <w:tcPr>
            <w:tcW w:w="1494" w:type="dxa"/>
            <w:tcBorders>
              <w:top w:val="single" w:sz="8" w:space="0" w:color="FFFFFF"/>
              <w:bottom w:val="single" w:sz="8" w:space="0" w:color="FFFFFF"/>
              <w:right w:val="single" w:sz="24" w:space="0" w:color="FFFFFF"/>
            </w:tcBorders>
            <w:shd w:val="clear" w:color="auto" w:fill="E6EDD4"/>
          </w:tcPr>
          <w:p>
            <w:pPr>
              <w:pStyle w:val="TableParagraph"/>
              <w:rPr>
                <w:sz w:val="24"/>
              </w:rPr>
            </w:pPr>
          </w:p>
          <w:p>
            <w:pPr>
              <w:pStyle w:val="TableParagraph"/>
              <w:rPr>
                <w:sz w:val="24"/>
              </w:rPr>
            </w:pPr>
          </w:p>
          <w:p>
            <w:pPr>
              <w:pStyle w:val="TableParagraph"/>
              <w:rPr>
                <w:sz w:val="24"/>
              </w:rPr>
            </w:pPr>
          </w:p>
          <w:p>
            <w:pPr>
              <w:pStyle w:val="TableParagraph"/>
              <w:spacing w:before="8"/>
              <w:rPr>
                <w:sz w:val="34"/>
              </w:rPr>
            </w:pPr>
          </w:p>
          <w:p>
            <w:pPr>
              <w:pStyle w:val="TableParagraph"/>
              <w:ind w:right="653"/>
              <w:jc w:val="right"/>
              <w:rPr>
                <w:b/>
                <w:sz w:val="24"/>
              </w:rPr>
            </w:pPr>
            <w:r>
              <w:rPr>
                <w:b/>
                <w:color w:val="FFFFFF"/>
                <w:sz w:val="24"/>
              </w:rPr>
              <w:t>II</w:t>
            </w:r>
          </w:p>
        </w:tc>
        <w:tc>
          <w:tcPr>
            <w:tcW w:w="7349" w:type="dxa"/>
            <w:tcBorders>
              <w:top w:val="single" w:sz="8" w:space="0" w:color="FFFFFF"/>
              <w:left w:val="single" w:sz="24" w:space="0" w:color="FFFFFF"/>
              <w:bottom w:val="single" w:sz="8" w:space="0" w:color="FFFFFF"/>
            </w:tcBorders>
            <w:shd w:val="clear" w:color="auto" w:fill="E6EDD4"/>
          </w:tcPr>
          <w:p>
            <w:pPr>
              <w:pStyle w:val="TableParagraph"/>
              <w:spacing w:line="360" w:lineRule="auto"/>
              <w:ind w:left="79"/>
              <w:rPr>
                <w:sz w:val="24"/>
              </w:rPr>
            </w:pPr>
            <w:r>
              <w:rPr>
                <w:sz w:val="24"/>
              </w:rPr>
              <w:t>Cuatro raíces separadas, pero tanto las vestibulares como las palatinas son cortas, paralelas y tienen ápices contundentes.</w:t>
            </w:r>
          </w:p>
        </w:tc>
      </w:tr>
      <w:tr>
        <w:trPr>
          <w:trHeight w:val="2379" w:hRule="exact"/>
        </w:trPr>
        <w:tc>
          <w:tcPr>
            <w:tcW w:w="1494" w:type="dxa"/>
            <w:tcBorders>
              <w:top w:val="single" w:sz="8" w:space="0" w:color="FFFFFF"/>
              <w:right w:val="single" w:sz="24" w:space="0" w:color="FFFFFF"/>
            </w:tcBorders>
            <w:shd w:val="clear" w:color="auto" w:fill="E6EDD4"/>
          </w:tcPr>
          <w:p>
            <w:pPr>
              <w:pStyle w:val="TableParagraph"/>
              <w:rPr>
                <w:sz w:val="24"/>
              </w:rPr>
            </w:pPr>
          </w:p>
          <w:p>
            <w:pPr>
              <w:pStyle w:val="TableParagraph"/>
              <w:rPr>
                <w:sz w:val="24"/>
              </w:rPr>
            </w:pPr>
          </w:p>
          <w:p>
            <w:pPr>
              <w:pStyle w:val="TableParagraph"/>
              <w:rPr>
                <w:sz w:val="24"/>
              </w:rPr>
            </w:pPr>
          </w:p>
          <w:p>
            <w:pPr>
              <w:pStyle w:val="TableParagraph"/>
              <w:spacing w:before="8"/>
              <w:rPr>
                <w:sz w:val="34"/>
              </w:rPr>
            </w:pPr>
          </w:p>
          <w:p>
            <w:pPr>
              <w:pStyle w:val="TableParagraph"/>
              <w:ind w:right="617"/>
              <w:jc w:val="right"/>
              <w:rPr>
                <w:b/>
                <w:sz w:val="24"/>
              </w:rPr>
            </w:pPr>
            <w:r>
              <w:rPr>
                <w:b/>
                <w:color w:val="FFFFFF"/>
                <w:sz w:val="24"/>
              </w:rPr>
              <w:t>III</w:t>
            </w:r>
          </w:p>
        </w:tc>
        <w:tc>
          <w:tcPr>
            <w:tcW w:w="7349" w:type="dxa"/>
            <w:tcBorders>
              <w:top w:val="single" w:sz="8" w:space="0" w:color="FFFFFF"/>
              <w:left w:val="single" w:sz="24" w:space="0" w:color="FFFFFF"/>
            </w:tcBorders>
            <w:shd w:val="clear" w:color="auto" w:fill="E6EDD4"/>
          </w:tcPr>
          <w:p>
            <w:pPr>
              <w:pStyle w:val="TableParagraph"/>
              <w:spacing w:line="360" w:lineRule="auto"/>
              <w:ind w:left="79" w:right="96"/>
              <w:jc w:val="both"/>
              <w:rPr>
                <w:sz w:val="24"/>
              </w:rPr>
            </w:pPr>
            <w:r>
              <w:rPr>
                <w:sz w:val="24"/>
              </w:rPr>
              <w:t>Las raíces mesio-vestibular, mesio-palatina y disto-palatina se encuentran circunscritas en una red de dentina radicular. La raíz disto-vestibular en estos casos parece encontrarse sola y quizás incluso divergente. Fig 3</w:t>
            </w:r>
          </w:p>
        </w:tc>
      </w:tr>
    </w:tbl>
    <w:p>
      <w:pPr>
        <w:pStyle w:val="BodyText"/>
        <w:rPr>
          <w:sz w:val="20"/>
        </w:rPr>
      </w:pPr>
    </w:p>
    <w:p>
      <w:pPr>
        <w:pStyle w:val="BodyText"/>
        <w:rPr>
          <w:sz w:val="20"/>
        </w:rPr>
      </w:pPr>
    </w:p>
    <w:p>
      <w:pPr>
        <w:pStyle w:val="BodyText"/>
        <w:spacing w:before="4"/>
        <w:rPr>
          <w:sz w:val="12"/>
        </w:rPr>
      </w:pPr>
      <w:r>
        <w:rPr/>
        <w:drawing>
          <wp:anchor distT="0" distB="0" distL="0" distR="0" allowOverlap="1" layoutInCell="1" locked="0" behindDoc="0" simplePos="0" relativeHeight="1120">
            <wp:simplePos x="0" y="0"/>
            <wp:positionH relativeFrom="page">
              <wp:posOffset>2028444</wp:posOffset>
            </wp:positionH>
            <wp:positionV relativeFrom="paragraph">
              <wp:posOffset>115467</wp:posOffset>
            </wp:positionV>
            <wp:extent cx="3741163" cy="2202941"/>
            <wp:effectExtent l="0" t="0" r="0" b="0"/>
            <wp:wrapTopAndBottom/>
            <wp:docPr id="5" name="image6.jpeg" descr=""/>
            <wp:cNvGraphicFramePr>
              <a:graphicFrameLocks noChangeAspect="1"/>
            </wp:cNvGraphicFramePr>
            <a:graphic>
              <a:graphicData uri="http://schemas.openxmlformats.org/drawingml/2006/picture">
                <pic:pic>
                  <pic:nvPicPr>
                    <pic:cNvPr id="6" name="image6.jpeg"/>
                    <pic:cNvPicPr/>
                  </pic:nvPicPr>
                  <pic:blipFill>
                    <a:blip r:embed="rId11" cstate="print"/>
                    <a:stretch>
                      <a:fillRect/>
                    </a:stretch>
                  </pic:blipFill>
                  <pic:spPr>
                    <a:xfrm>
                      <a:off x="0" y="0"/>
                      <a:ext cx="3741163" cy="2202941"/>
                    </a:xfrm>
                    <a:prstGeom prst="rect">
                      <a:avLst/>
                    </a:prstGeom>
                  </pic:spPr>
                </pic:pic>
              </a:graphicData>
            </a:graphic>
          </wp:anchor>
        </w:drawing>
      </w:r>
    </w:p>
    <w:p>
      <w:pPr>
        <w:pStyle w:val="BodyText"/>
        <w:spacing w:before="7"/>
        <w:rPr>
          <w:sz w:val="23"/>
        </w:rPr>
      </w:pPr>
    </w:p>
    <w:p>
      <w:pPr>
        <w:spacing w:before="74"/>
        <w:ind w:left="2934" w:right="0" w:firstLine="0"/>
        <w:jc w:val="left"/>
        <w:rPr>
          <w:sz w:val="20"/>
        </w:rPr>
      </w:pPr>
      <w:r>
        <w:rPr>
          <w:sz w:val="20"/>
        </w:rPr>
        <w:t>Fig 3 Forma y Separación Radicular</w:t>
      </w:r>
    </w:p>
    <w:p>
      <w:pPr>
        <w:spacing w:after="0"/>
        <w:jc w:val="left"/>
        <w:rPr>
          <w:sz w:val="20"/>
        </w:rPr>
        <w:sectPr>
          <w:pgSz w:w="12240" w:h="15840"/>
          <w:pgMar w:header="749" w:footer="0" w:top="960" w:bottom="280" w:left="1600" w:right="1560"/>
        </w:sectPr>
      </w:pPr>
    </w:p>
    <w:p>
      <w:pPr>
        <w:pStyle w:val="BodyText"/>
        <w:rPr>
          <w:sz w:val="20"/>
        </w:rPr>
      </w:pPr>
    </w:p>
    <w:p>
      <w:pPr>
        <w:pStyle w:val="Heading1"/>
        <w:numPr>
          <w:ilvl w:val="1"/>
          <w:numId w:val="3"/>
        </w:numPr>
        <w:tabs>
          <w:tab w:pos="890" w:val="left" w:leader="none"/>
        </w:tabs>
        <w:spacing w:line="240" w:lineRule="auto" w:before="214" w:after="0"/>
        <w:ind w:left="889" w:right="0" w:hanging="427"/>
        <w:jc w:val="left"/>
      </w:pPr>
      <w:bookmarkStart w:name="_TOC_250010" w:id="6"/>
      <w:r>
        <w:rPr/>
        <w:t>PREPARACIÓN</w:t>
      </w:r>
      <w:r>
        <w:rPr>
          <w:spacing w:val="-6"/>
        </w:rPr>
        <w:t> </w:t>
      </w:r>
      <w:bookmarkEnd w:id="6"/>
      <w:r>
        <w:rPr/>
        <w:t>BIOMECÁNICA</w:t>
      </w:r>
    </w:p>
    <w:p>
      <w:pPr>
        <w:pStyle w:val="BodyText"/>
        <w:spacing w:before="1"/>
        <w:rPr>
          <w:b/>
          <w:sz w:val="26"/>
        </w:rPr>
      </w:pPr>
    </w:p>
    <w:p>
      <w:pPr>
        <w:pStyle w:val="BodyText"/>
        <w:spacing w:line="360" w:lineRule="auto"/>
        <w:ind w:left="102" w:right="118"/>
        <w:jc w:val="both"/>
        <w:rPr>
          <w:sz w:val="16"/>
        </w:rPr>
      </w:pPr>
      <w:r>
        <w:rPr/>
        <w:t>La</w:t>
      </w:r>
      <w:r>
        <w:rPr>
          <w:spacing w:val="-19"/>
        </w:rPr>
        <w:t> </w:t>
      </w:r>
      <w:r>
        <w:rPr/>
        <w:t>preparación</w:t>
      </w:r>
      <w:r>
        <w:rPr>
          <w:spacing w:val="-19"/>
        </w:rPr>
        <w:t> </w:t>
      </w:r>
      <w:r>
        <w:rPr/>
        <w:t>biomecánica</w:t>
      </w:r>
      <w:r>
        <w:rPr>
          <w:spacing w:val="-19"/>
        </w:rPr>
        <w:t> </w:t>
      </w:r>
      <w:r>
        <w:rPr/>
        <w:t>consiste</w:t>
      </w:r>
      <w:r>
        <w:rPr>
          <w:spacing w:val="-21"/>
        </w:rPr>
        <w:t> </w:t>
      </w:r>
      <w:r>
        <w:rPr/>
        <w:t>en</w:t>
      </w:r>
      <w:r>
        <w:rPr>
          <w:spacing w:val="-19"/>
        </w:rPr>
        <w:t> </w:t>
      </w:r>
      <w:r>
        <w:rPr/>
        <w:t>procurar</w:t>
      </w:r>
      <w:r>
        <w:rPr>
          <w:spacing w:val="-20"/>
        </w:rPr>
        <w:t> </w:t>
      </w:r>
      <w:r>
        <w:rPr/>
        <w:t>obtener</w:t>
      </w:r>
      <w:r>
        <w:rPr>
          <w:spacing w:val="-20"/>
        </w:rPr>
        <w:t> </w:t>
      </w:r>
      <w:r>
        <w:rPr/>
        <w:t>un</w:t>
      </w:r>
      <w:r>
        <w:rPr>
          <w:spacing w:val="-19"/>
        </w:rPr>
        <w:t> </w:t>
      </w:r>
      <w:r>
        <w:rPr/>
        <w:t>acceso</w:t>
      </w:r>
      <w:r>
        <w:rPr>
          <w:spacing w:val="-21"/>
        </w:rPr>
        <w:t> </w:t>
      </w:r>
      <w:r>
        <w:rPr/>
        <w:t>directo</w:t>
      </w:r>
      <w:r>
        <w:rPr>
          <w:spacing w:val="-19"/>
        </w:rPr>
        <w:t> </w:t>
      </w:r>
      <w:r>
        <w:rPr/>
        <w:t>o</w:t>
      </w:r>
      <w:r>
        <w:rPr>
          <w:spacing w:val="-21"/>
        </w:rPr>
        <w:t> </w:t>
      </w:r>
      <w:r>
        <w:rPr/>
        <w:t>franco al</w:t>
      </w:r>
      <w:r>
        <w:rPr>
          <w:spacing w:val="-11"/>
        </w:rPr>
        <w:t> </w:t>
      </w:r>
      <w:r>
        <w:rPr/>
        <w:t>límite</w:t>
      </w:r>
      <w:r>
        <w:rPr>
          <w:spacing w:val="-9"/>
        </w:rPr>
        <w:t> </w:t>
      </w:r>
      <w:r>
        <w:rPr/>
        <w:t>CDC</w:t>
      </w:r>
      <w:r>
        <w:rPr>
          <w:spacing w:val="-13"/>
        </w:rPr>
        <w:t> </w:t>
      </w:r>
      <w:r>
        <w:rPr/>
        <w:t>a</w:t>
      </w:r>
      <w:r>
        <w:rPr>
          <w:spacing w:val="-12"/>
        </w:rPr>
        <w:t> </w:t>
      </w:r>
      <w:r>
        <w:rPr/>
        <w:t>través</w:t>
      </w:r>
      <w:r>
        <w:rPr>
          <w:spacing w:val="-13"/>
        </w:rPr>
        <w:t> </w:t>
      </w:r>
      <w:r>
        <w:rPr/>
        <w:t>de</w:t>
      </w:r>
      <w:r>
        <w:rPr>
          <w:spacing w:val="-9"/>
        </w:rPr>
        <w:t> </w:t>
      </w:r>
      <w:r>
        <w:rPr/>
        <w:t>la</w:t>
      </w:r>
      <w:r>
        <w:rPr>
          <w:spacing w:val="-9"/>
        </w:rPr>
        <w:t> </w:t>
      </w:r>
      <w:r>
        <w:rPr/>
        <w:t>cámara</w:t>
      </w:r>
      <w:r>
        <w:rPr>
          <w:spacing w:val="-12"/>
        </w:rPr>
        <w:t> </w:t>
      </w:r>
      <w:r>
        <w:rPr/>
        <w:t>pulpar</w:t>
      </w:r>
      <w:r>
        <w:rPr>
          <w:spacing w:val="-11"/>
        </w:rPr>
        <w:t> </w:t>
      </w:r>
      <w:r>
        <w:rPr/>
        <w:t>y</w:t>
      </w:r>
      <w:r>
        <w:rPr>
          <w:spacing w:val="-9"/>
        </w:rPr>
        <w:t> </w:t>
      </w:r>
      <w:r>
        <w:rPr/>
        <w:t>el</w:t>
      </w:r>
      <w:r>
        <w:rPr>
          <w:spacing w:val="-11"/>
        </w:rPr>
        <w:t> </w:t>
      </w:r>
      <w:r>
        <w:rPr/>
        <w:t>conducto</w:t>
      </w:r>
      <w:r>
        <w:rPr>
          <w:spacing w:val="-12"/>
        </w:rPr>
        <w:t> </w:t>
      </w:r>
      <w:r>
        <w:rPr/>
        <w:t>dentinario,</w:t>
      </w:r>
      <w:r>
        <w:rPr>
          <w:spacing w:val="-12"/>
        </w:rPr>
        <w:t> </w:t>
      </w:r>
      <w:r>
        <w:rPr/>
        <w:t>preparando</w:t>
      </w:r>
      <w:r>
        <w:rPr>
          <w:spacing w:val="-12"/>
        </w:rPr>
        <w:t> </w:t>
      </w:r>
      <w:r>
        <w:rPr/>
        <w:t>una forma conveniente para una completa desinfección, fácil y perfecta obturación tridimensional, respetando el conducto cementario, zona que ya no corresponde al endodoncista.</w:t>
      </w:r>
      <w:r>
        <w:rPr>
          <w:position w:val="8"/>
          <w:sz w:val="16"/>
        </w:rPr>
        <w:t>13</w:t>
      </w:r>
    </w:p>
    <w:p>
      <w:pPr>
        <w:pStyle w:val="BodyText"/>
        <w:spacing w:line="357" w:lineRule="auto" w:before="159"/>
        <w:ind w:left="102" w:right="118"/>
        <w:jc w:val="both"/>
        <w:rPr>
          <w:sz w:val="16"/>
        </w:rPr>
      </w:pPr>
      <w:r>
        <w:rPr/>
        <w:t>La palabra biomecánica fue introducida en la terminología odontológica durante la 11</w:t>
      </w:r>
      <w:r>
        <w:rPr>
          <w:position w:val="8"/>
          <w:sz w:val="16"/>
        </w:rPr>
        <w:t>va </w:t>
      </w:r>
      <w:r>
        <w:rPr/>
        <w:t>Convención Internacional de Endodoncia realizada en la Universidad de Pensilvania (Filadelfia) en 1953, para designar al conjunto de intervenciones técnicas para la preparación de los conductos radiculares, en sustitución de los términos</w:t>
      </w:r>
      <w:r>
        <w:rPr>
          <w:spacing w:val="-18"/>
        </w:rPr>
        <w:t> </w:t>
      </w:r>
      <w:r>
        <w:rPr/>
        <w:t>que</w:t>
      </w:r>
      <w:r>
        <w:rPr>
          <w:spacing w:val="-20"/>
        </w:rPr>
        <w:t> </w:t>
      </w:r>
      <w:r>
        <w:rPr/>
        <w:t>anteriormente</w:t>
      </w:r>
      <w:r>
        <w:rPr>
          <w:spacing w:val="-19"/>
        </w:rPr>
        <w:t> </w:t>
      </w:r>
      <w:r>
        <w:rPr/>
        <w:t>se</w:t>
      </w:r>
      <w:r>
        <w:rPr>
          <w:spacing w:val="-20"/>
        </w:rPr>
        <w:t> </w:t>
      </w:r>
      <w:r>
        <w:rPr/>
        <w:t>usaban.</w:t>
      </w:r>
      <w:r>
        <w:rPr>
          <w:spacing w:val="-20"/>
        </w:rPr>
        <w:t> </w:t>
      </w:r>
      <w:r>
        <w:rPr/>
        <w:t>Se</w:t>
      </w:r>
      <w:r>
        <w:rPr>
          <w:spacing w:val="-20"/>
        </w:rPr>
        <w:t> </w:t>
      </w:r>
      <w:r>
        <w:rPr/>
        <w:t>le</w:t>
      </w:r>
      <w:r>
        <w:rPr>
          <w:spacing w:val="-20"/>
        </w:rPr>
        <w:t> </w:t>
      </w:r>
      <w:r>
        <w:rPr/>
        <w:t>denominó</w:t>
      </w:r>
      <w:r>
        <w:rPr>
          <w:spacing w:val="-19"/>
        </w:rPr>
        <w:t> </w:t>
      </w:r>
      <w:r>
        <w:rPr/>
        <w:t>biomecánica</w:t>
      </w:r>
      <w:r>
        <w:rPr>
          <w:spacing w:val="-20"/>
        </w:rPr>
        <w:t> </w:t>
      </w:r>
      <w:r>
        <w:rPr/>
        <w:t>porque</w:t>
      </w:r>
      <w:r>
        <w:rPr>
          <w:spacing w:val="-18"/>
        </w:rPr>
        <w:t> </w:t>
      </w:r>
      <w:r>
        <w:rPr/>
        <w:t>cuando se realiza dicho acto operatorio deben tenerse siempre en mente los principios y exigencias biológicas que rigen el tratamiento</w:t>
      </w:r>
      <w:r>
        <w:rPr>
          <w:spacing w:val="-18"/>
        </w:rPr>
        <w:t> </w:t>
      </w:r>
      <w:r>
        <w:rPr/>
        <w:t>endodóntico.</w:t>
      </w:r>
      <w:r>
        <w:rPr>
          <w:position w:val="8"/>
          <w:sz w:val="16"/>
        </w:rPr>
        <w:t>14</w:t>
      </w:r>
    </w:p>
    <w:p>
      <w:pPr>
        <w:pStyle w:val="BodyText"/>
        <w:spacing w:line="357" w:lineRule="auto" w:before="162"/>
        <w:ind w:left="102" w:right="118"/>
        <w:jc w:val="both"/>
        <w:rPr>
          <w:sz w:val="16"/>
        </w:rPr>
      </w:pPr>
      <w:r>
        <w:rPr/>
        <w:t>La limpieza del conducto radicular y la irrigación para la conformación del</w:t>
      </w:r>
      <w:r>
        <w:rPr>
          <w:spacing w:val="-35"/>
        </w:rPr>
        <w:t> </w:t>
      </w:r>
      <w:r>
        <w:rPr/>
        <w:t>conducto radicular. Estos dos procedimientos son utilizados alternadamente durante todo el mecanismo de la preparación biomecánica, pero se estudiarán por separado con fines didácticos</w:t>
      </w:r>
      <w:r>
        <w:rPr>
          <w:spacing w:val="-6"/>
        </w:rPr>
        <w:t> </w:t>
      </w:r>
      <w:r>
        <w:rPr/>
        <w:t>solamente.</w:t>
      </w:r>
      <w:r>
        <w:rPr>
          <w:position w:val="8"/>
          <w:sz w:val="16"/>
        </w:rPr>
        <w:t>13</w:t>
      </w:r>
    </w:p>
    <w:p>
      <w:pPr>
        <w:pStyle w:val="BodyText"/>
        <w:rPr>
          <w:sz w:val="26"/>
        </w:rPr>
      </w:pPr>
    </w:p>
    <w:p>
      <w:pPr>
        <w:pStyle w:val="BodyText"/>
        <w:rPr>
          <w:sz w:val="38"/>
        </w:rPr>
      </w:pPr>
    </w:p>
    <w:p>
      <w:pPr>
        <w:pStyle w:val="Heading1"/>
        <w:numPr>
          <w:ilvl w:val="2"/>
          <w:numId w:val="3"/>
        </w:numPr>
        <w:tabs>
          <w:tab w:pos="1182" w:val="left" w:leader="none"/>
        </w:tabs>
        <w:spacing w:line="240" w:lineRule="auto" w:before="0" w:after="0"/>
        <w:ind w:left="1182" w:right="0" w:hanging="720"/>
        <w:jc w:val="left"/>
      </w:pPr>
      <w:bookmarkStart w:name="_TOC_250009" w:id="7"/>
      <w:r>
        <w:rPr/>
        <w:t>Instrumentación</w:t>
      </w:r>
      <w:r>
        <w:rPr>
          <w:spacing w:val="-4"/>
        </w:rPr>
        <w:t> </w:t>
      </w:r>
      <w:bookmarkEnd w:id="7"/>
      <w:r>
        <w:rPr/>
        <w:t>Rotatoria</w:t>
      </w:r>
    </w:p>
    <w:p>
      <w:pPr>
        <w:pStyle w:val="BodyText"/>
        <w:spacing w:before="1"/>
        <w:rPr>
          <w:b/>
          <w:sz w:val="26"/>
        </w:rPr>
      </w:pPr>
    </w:p>
    <w:p>
      <w:pPr>
        <w:pStyle w:val="BodyText"/>
        <w:spacing w:line="360" w:lineRule="auto"/>
        <w:ind w:left="102" w:right="118"/>
        <w:jc w:val="both"/>
      </w:pPr>
      <w:r>
        <w:rPr/>
        <w:t>Es</w:t>
      </w:r>
      <w:r>
        <w:rPr>
          <w:spacing w:val="-17"/>
        </w:rPr>
        <w:t> </w:t>
      </w:r>
      <w:r>
        <w:rPr/>
        <w:t>el</w:t>
      </w:r>
      <w:r>
        <w:rPr>
          <w:spacing w:val="-20"/>
        </w:rPr>
        <w:t> </w:t>
      </w:r>
      <w:r>
        <w:rPr/>
        <w:t>tipo</w:t>
      </w:r>
      <w:r>
        <w:rPr>
          <w:spacing w:val="-19"/>
        </w:rPr>
        <w:t> </w:t>
      </w:r>
      <w:r>
        <w:rPr/>
        <w:t>de</w:t>
      </w:r>
      <w:r>
        <w:rPr>
          <w:spacing w:val="-19"/>
        </w:rPr>
        <w:t> </w:t>
      </w:r>
      <w:r>
        <w:rPr/>
        <w:t>preparación</w:t>
      </w:r>
      <w:r>
        <w:rPr>
          <w:spacing w:val="-19"/>
        </w:rPr>
        <w:t> </w:t>
      </w:r>
      <w:r>
        <w:rPr/>
        <w:t>mecánica</w:t>
      </w:r>
      <w:r>
        <w:rPr>
          <w:spacing w:val="-16"/>
        </w:rPr>
        <w:t> </w:t>
      </w:r>
      <w:r>
        <w:rPr/>
        <w:t>que</w:t>
      </w:r>
      <w:r>
        <w:rPr>
          <w:spacing w:val="-17"/>
        </w:rPr>
        <w:t> </w:t>
      </w:r>
      <w:r>
        <w:rPr/>
        <w:t>se</w:t>
      </w:r>
      <w:r>
        <w:rPr>
          <w:spacing w:val="-17"/>
        </w:rPr>
        <w:t> </w:t>
      </w:r>
      <w:r>
        <w:rPr/>
        <w:t>realiza</w:t>
      </w:r>
      <w:r>
        <w:rPr>
          <w:spacing w:val="-17"/>
        </w:rPr>
        <w:t> </w:t>
      </w:r>
      <w:r>
        <w:rPr/>
        <w:t>con</w:t>
      </w:r>
      <w:r>
        <w:rPr>
          <w:spacing w:val="-17"/>
        </w:rPr>
        <w:t> </w:t>
      </w:r>
      <w:r>
        <w:rPr/>
        <w:t>instrumentos</w:t>
      </w:r>
      <w:r>
        <w:rPr>
          <w:spacing w:val="-21"/>
        </w:rPr>
        <w:t> </w:t>
      </w:r>
      <w:r>
        <w:rPr/>
        <w:t>que</w:t>
      </w:r>
      <w:r>
        <w:rPr>
          <w:spacing w:val="-17"/>
        </w:rPr>
        <w:t> </w:t>
      </w:r>
      <w:r>
        <w:rPr/>
        <w:t>rotan</w:t>
      </w:r>
      <w:r>
        <w:rPr>
          <w:spacing w:val="-17"/>
        </w:rPr>
        <w:t> </w:t>
      </w:r>
      <w:r>
        <w:rPr/>
        <w:t>dentro del conducto radicular (fresas y limas), impulsados por una fuente de revoluciones (motor), con la finalidad</w:t>
      </w:r>
      <w:r>
        <w:rPr>
          <w:spacing w:val="-9"/>
        </w:rPr>
        <w:t> </w:t>
      </w:r>
      <w:r>
        <w:rPr/>
        <w:t>de:</w:t>
      </w:r>
    </w:p>
    <w:p>
      <w:pPr>
        <w:pStyle w:val="BodyText"/>
      </w:pPr>
    </w:p>
    <w:p>
      <w:pPr>
        <w:pStyle w:val="BodyText"/>
      </w:pPr>
    </w:p>
    <w:p>
      <w:pPr>
        <w:pStyle w:val="ListParagraph"/>
        <w:numPr>
          <w:ilvl w:val="0"/>
          <w:numId w:val="4"/>
        </w:numPr>
        <w:tabs>
          <w:tab w:pos="821" w:val="left" w:leader="none"/>
          <w:tab w:pos="822" w:val="left" w:leader="none"/>
        </w:tabs>
        <w:spacing w:line="240" w:lineRule="auto" w:before="186" w:after="0"/>
        <w:ind w:left="822" w:right="0" w:hanging="360"/>
        <w:jc w:val="left"/>
        <w:rPr>
          <w:sz w:val="24"/>
        </w:rPr>
      </w:pPr>
      <w:r>
        <w:rPr>
          <w:sz w:val="24"/>
        </w:rPr>
        <w:t>Limpiar los restos tisulares necróticos, restos de tejido pulpar y</w:t>
      </w:r>
      <w:r>
        <w:rPr>
          <w:spacing w:val="-28"/>
          <w:sz w:val="24"/>
        </w:rPr>
        <w:t> </w:t>
      </w:r>
      <w:r>
        <w:rPr>
          <w:sz w:val="24"/>
        </w:rPr>
        <w:t>bacterias.</w:t>
      </w:r>
    </w:p>
    <w:p>
      <w:pPr>
        <w:pStyle w:val="BodyText"/>
      </w:pPr>
    </w:p>
    <w:p>
      <w:pPr>
        <w:pStyle w:val="BodyText"/>
        <w:spacing w:before="10"/>
        <w:rPr>
          <w:sz w:val="23"/>
        </w:rPr>
      </w:pPr>
    </w:p>
    <w:p>
      <w:pPr>
        <w:pStyle w:val="ListParagraph"/>
        <w:numPr>
          <w:ilvl w:val="0"/>
          <w:numId w:val="4"/>
        </w:numPr>
        <w:tabs>
          <w:tab w:pos="821" w:val="left" w:leader="none"/>
          <w:tab w:pos="822" w:val="left" w:leader="none"/>
          <w:tab w:pos="2176" w:val="left" w:leader="none"/>
          <w:tab w:pos="2702" w:val="left" w:leader="none"/>
          <w:tab w:pos="4013" w:val="left" w:leader="none"/>
          <w:tab w:pos="4714" w:val="left" w:leader="none"/>
          <w:tab w:pos="5730" w:val="left" w:leader="none"/>
          <w:tab w:pos="6136" w:val="left" w:leader="none"/>
          <w:tab w:pos="7482" w:val="left" w:leader="none"/>
          <w:tab w:pos="8087" w:val="left" w:leader="none"/>
        </w:tabs>
        <w:spacing w:line="350" w:lineRule="auto" w:before="0" w:after="0"/>
        <w:ind w:left="822" w:right="116" w:hanging="360"/>
        <w:jc w:val="left"/>
        <w:rPr>
          <w:sz w:val="24"/>
        </w:rPr>
      </w:pPr>
      <w:r>
        <w:rPr>
          <w:sz w:val="24"/>
        </w:rPr>
        <w:t>Conformar</w:t>
        <w:tab/>
        <w:t>los</w:t>
        <w:tab/>
        <w:t>conductos</w:t>
        <w:tab/>
        <w:t>para</w:t>
        <w:tab/>
        <w:t>permitir</w:t>
        <w:tab/>
        <w:t>la</w:t>
        <w:tab/>
        <w:t>obturación</w:t>
        <w:tab/>
        <w:t>con</w:t>
        <w:tab/>
        <w:t>material biológicamente</w:t>
      </w:r>
      <w:r>
        <w:rPr>
          <w:spacing w:val="-7"/>
          <w:sz w:val="24"/>
        </w:rPr>
        <w:t> </w:t>
      </w:r>
      <w:r>
        <w:rPr>
          <w:sz w:val="24"/>
        </w:rPr>
        <w:t>inerte.</w:t>
      </w:r>
    </w:p>
    <w:p>
      <w:pPr>
        <w:spacing w:after="0" w:line="350" w:lineRule="auto"/>
        <w:jc w:val="left"/>
        <w:rPr>
          <w:sz w:val="24"/>
        </w:rPr>
        <w:sectPr>
          <w:headerReference w:type="default" r:id="rId12"/>
          <w:pgSz w:w="12240" w:h="15840"/>
          <w:pgMar w:header="749" w:footer="0" w:top="960" w:bottom="280" w:left="1600" w:right="1580"/>
        </w:sectPr>
      </w:pPr>
    </w:p>
    <w:p>
      <w:pPr>
        <w:pStyle w:val="BodyText"/>
        <w:rPr>
          <w:sz w:val="20"/>
        </w:rPr>
      </w:pPr>
    </w:p>
    <w:p>
      <w:pPr>
        <w:pStyle w:val="ListParagraph"/>
        <w:numPr>
          <w:ilvl w:val="0"/>
          <w:numId w:val="4"/>
        </w:numPr>
        <w:tabs>
          <w:tab w:pos="821" w:val="left" w:leader="none"/>
          <w:tab w:pos="822" w:val="left" w:leader="none"/>
        </w:tabs>
        <w:spacing w:line="352" w:lineRule="auto" w:before="215" w:after="0"/>
        <w:ind w:left="822" w:right="125" w:hanging="360"/>
        <w:jc w:val="left"/>
        <w:rPr>
          <w:sz w:val="13"/>
        </w:rPr>
      </w:pPr>
      <w:r>
        <w:rPr>
          <w:sz w:val="24"/>
        </w:rPr>
        <w:t>Llegar hasta la parte más estrecha del conducto, la constricción cemento dentina (CDC), para elevar las probabilidades de éxito del</w:t>
      </w:r>
      <w:r>
        <w:rPr>
          <w:spacing w:val="-22"/>
          <w:sz w:val="24"/>
        </w:rPr>
        <w:t> </w:t>
      </w:r>
      <w:r>
        <w:rPr>
          <w:sz w:val="24"/>
        </w:rPr>
        <w:t>tratamiento</w:t>
      </w:r>
      <w:r>
        <w:rPr>
          <w:position w:val="6"/>
          <w:sz w:val="13"/>
        </w:rPr>
        <w:t>13</w:t>
      </w:r>
    </w:p>
    <w:p>
      <w:pPr>
        <w:pStyle w:val="BodyText"/>
      </w:pPr>
    </w:p>
    <w:p>
      <w:pPr>
        <w:pStyle w:val="BodyText"/>
      </w:pPr>
    </w:p>
    <w:p>
      <w:pPr>
        <w:pStyle w:val="BodyText"/>
        <w:spacing w:before="10"/>
      </w:pPr>
    </w:p>
    <w:p>
      <w:pPr>
        <w:pStyle w:val="ListParagraph"/>
        <w:numPr>
          <w:ilvl w:val="3"/>
          <w:numId w:val="3"/>
        </w:numPr>
        <w:tabs>
          <w:tab w:pos="1541" w:val="left" w:leader="none"/>
          <w:tab w:pos="1542" w:val="left" w:leader="none"/>
        </w:tabs>
        <w:spacing w:line="240" w:lineRule="auto" w:before="1" w:after="0"/>
        <w:ind w:left="1542" w:right="0" w:hanging="1080"/>
        <w:jc w:val="left"/>
        <w:rPr>
          <w:sz w:val="24"/>
        </w:rPr>
      </w:pPr>
      <w:r>
        <w:rPr>
          <w:sz w:val="24"/>
          <w:u w:val="single"/>
        </w:rPr>
        <w:t>Radiografías para el</w:t>
      </w:r>
      <w:r>
        <w:rPr>
          <w:spacing w:val="-5"/>
          <w:sz w:val="24"/>
          <w:u w:val="single"/>
        </w:rPr>
        <w:t> </w:t>
      </w:r>
      <w:r>
        <w:rPr>
          <w:sz w:val="24"/>
          <w:u w:val="single"/>
        </w:rPr>
        <w:t>Diagnóstico</w:t>
      </w:r>
    </w:p>
    <w:p>
      <w:pPr>
        <w:pStyle w:val="BodyText"/>
        <w:spacing w:before="9"/>
        <w:rPr>
          <w:sz w:val="19"/>
        </w:rPr>
      </w:pPr>
    </w:p>
    <w:p>
      <w:pPr>
        <w:pStyle w:val="BodyText"/>
        <w:spacing w:line="357" w:lineRule="auto" w:before="70"/>
        <w:ind w:left="102" w:right="116"/>
        <w:jc w:val="both"/>
        <w:rPr>
          <w:sz w:val="16"/>
        </w:rPr>
      </w:pPr>
      <w:r>
        <w:rPr/>
        <w:t>Para el diagnóstico el empleo de la radiografía periapical es indispensable para el endodoncista, ya que entre otras patologías permite la visualización de la profundidad de las lesiones de caries y presencia de lesiones periapicales.</w:t>
      </w:r>
      <w:r>
        <w:rPr>
          <w:position w:val="8"/>
          <w:sz w:val="16"/>
        </w:rPr>
        <w:t>14</w:t>
      </w:r>
    </w:p>
    <w:p>
      <w:pPr>
        <w:pStyle w:val="BodyText"/>
        <w:rPr>
          <w:sz w:val="26"/>
        </w:rPr>
      </w:pPr>
    </w:p>
    <w:p>
      <w:pPr>
        <w:pStyle w:val="BodyText"/>
        <w:spacing w:before="3"/>
        <w:rPr>
          <w:sz w:val="38"/>
        </w:rPr>
      </w:pPr>
    </w:p>
    <w:p>
      <w:pPr>
        <w:pStyle w:val="BodyText"/>
        <w:spacing w:line="357" w:lineRule="auto"/>
        <w:ind w:left="102" w:right="116"/>
        <w:jc w:val="both"/>
        <w:rPr>
          <w:sz w:val="16"/>
        </w:rPr>
      </w:pPr>
      <w:r>
        <w:rPr/>
        <w:t>Desde</w:t>
      </w:r>
      <w:r>
        <w:rPr>
          <w:spacing w:val="-7"/>
        </w:rPr>
        <w:t> </w:t>
      </w:r>
      <w:r>
        <w:rPr/>
        <w:t>el</w:t>
      </w:r>
      <w:r>
        <w:rPr>
          <w:spacing w:val="-6"/>
        </w:rPr>
        <w:t> </w:t>
      </w:r>
      <w:r>
        <w:rPr/>
        <w:t>punto</w:t>
      </w:r>
      <w:r>
        <w:rPr>
          <w:spacing w:val="-7"/>
        </w:rPr>
        <w:t> </w:t>
      </w:r>
      <w:r>
        <w:rPr/>
        <w:t>de</w:t>
      </w:r>
      <w:r>
        <w:rPr>
          <w:spacing w:val="-7"/>
        </w:rPr>
        <w:t> </w:t>
      </w:r>
      <w:r>
        <w:rPr/>
        <w:t>vista</w:t>
      </w:r>
      <w:r>
        <w:rPr>
          <w:spacing w:val="-5"/>
        </w:rPr>
        <w:t> </w:t>
      </w:r>
      <w:r>
        <w:rPr/>
        <w:t>endodóntico</w:t>
      </w:r>
      <w:r>
        <w:rPr>
          <w:spacing w:val="-7"/>
        </w:rPr>
        <w:t> </w:t>
      </w:r>
      <w:r>
        <w:rPr/>
        <w:t>permite</w:t>
      </w:r>
      <w:r>
        <w:rPr>
          <w:spacing w:val="-7"/>
        </w:rPr>
        <w:t> </w:t>
      </w:r>
      <w:r>
        <w:rPr/>
        <w:t>al</w:t>
      </w:r>
      <w:r>
        <w:rPr>
          <w:spacing w:val="-6"/>
        </w:rPr>
        <w:t> </w:t>
      </w:r>
      <w:r>
        <w:rPr/>
        <w:t>profesional</w:t>
      </w:r>
      <w:r>
        <w:rPr>
          <w:spacing w:val="-6"/>
        </w:rPr>
        <w:t> </w:t>
      </w:r>
      <w:r>
        <w:rPr/>
        <w:t>conocer</w:t>
      </w:r>
      <w:r>
        <w:rPr>
          <w:spacing w:val="-10"/>
        </w:rPr>
        <w:t> </w:t>
      </w:r>
      <w:r>
        <w:rPr/>
        <w:t>las</w:t>
      </w:r>
      <w:r>
        <w:rPr>
          <w:spacing w:val="-1"/>
        </w:rPr>
        <w:t> </w:t>
      </w:r>
      <w:r>
        <w:rPr/>
        <w:t>condiciones de</w:t>
      </w:r>
      <w:r>
        <w:rPr>
          <w:spacing w:val="-8"/>
        </w:rPr>
        <w:t> </w:t>
      </w:r>
      <w:r>
        <w:rPr/>
        <w:t>la</w:t>
      </w:r>
      <w:r>
        <w:rPr>
          <w:spacing w:val="-9"/>
        </w:rPr>
        <w:t> </w:t>
      </w:r>
      <w:r>
        <w:rPr/>
        <w:t>cámara</w:t>
      </w:r>
      <w:r>
        <w:rPr>
          <w:spacing w:val="-8"/>
        </w:rPr>
        <w:t> </w:t>
      </w:r>
      <w:r>
        <w:rPr/>
        <w:t>pulpar,</w:t>
      </w:r>
      <w:r>
        <w:rPr>
          <w:spacing w:val="-8"/>
        </w:rPr>
        <w:t> </w:t>
      </w:r>
      <w:r>
        <w:rPr/>
        <w:t>ya</w:t>
      </w:r>
      <w:r>
        <w:rPr>
          <w:spacing w:val="-8"/>
        </w:rPr>
        <w:t> </w:t>
      </w:r>
      <w:r>
        <w:rPr/>
        <w:t>que</w:t>
      </w:r>
      <w:r>
        <w:rPr>
          <w:spacing w:val="-7"/>
        </w:rPr>
        <w:t> </w:t>
      </w:r>
      <w:r>
        <w:rPr/>
        <w:t>la</w:t>
      </w:r>
      <w:r>
        <w:rPr>
          <w:spacing w:val="-9"/>
        </w:rPr>
        <w:t> </w:t>
      </w:r>
      <w:r>
        <w:rPr/>
        <w:t>planeación</w:t>
      </w:r>
      <w:r>
        <w:rPr>
          <w:spacing w:val="-8"/>
        </w:rPr>
        <w:t> </w:t>
      </w:r>
      <w:r>
        <w:rPr/>
        <w:t>del</w:t>
      </w:r>
      <w:r>
        <w:rPr>
          <w:spacing w:val="-12"/>
        </w:rPr>
        <w:t> </w:t>
      </w:r>
      <w:r>
        <w:rPr/>
        <w:t>acceso</w:t>
      </w:r>
      <w:r>
        <w:rPr>
          <w:spacing w:val="-11"/>
        </w:rPr>
        <w:t> </w:t>
      </w:r>
      <w:r>
        <w:rPr/>
        <w:t>endodóntico</w:t>
      </w:r>
      <w:r>
        <w:rPr>
          <w:spacing w:val="-11"/>
        </w:rPr>
        <w:t> </w:t>
      </w:r>
      <w:r>
        <w:rPr/>
        <w:t>debe</w:t>
      </w:r>
      <w:r>
        <w:rPr>
          <w:spacing w:val="-11"/>
        </w:rPr>
        <w:t> </w:t>
      </w:r>
      <w:r>
        <w:rPr/>
        <w:t>ofrecer</w:t>
      </w:r>
      <w:r>
        <w:rPr>
          <w:spacing w:val="-10"/>
        </w:rPr>
        <w:t> </w:t>
      </w:r>
      <w:r>
        <w:rPr/>
        <w:t>una vía directa y en línea recta para el empleo seguro de los instrumentos rotatorios</w:t>
      </w:r>
      <w:r>
        <w:rPr>
          <w:spacing w:val="-21"/>
        </w:rPr>
        <w:t> </w:t>
      </w:r>
      <w:r>
        <w:rPr>
          <w:position w:val="8"/>
          <w:sz w:val="16"/>
        </w:rPr>
        <w:t>13</w:t>
      </w:r>
    </w:p>
    <w:p>
      <w:pPr>
        <w:pStyle w:val="BodyText"/>
        <w:spacing w:line="357" w:lineRule="auto" w:before="165"/>
        <w:ind w:left="102" w:right="116"/>
        <w:jc w:val="both"/>
        <w:rPr>
          <w:sz w:val="16"/>
        </w:rPr>
      </w:pPr>
      <w:r>
        <w:rPr/>
        <w:t>La</w:t>
      </w:r>
      <w:r>
        <w:rPr>
          <w:spacing w:val="-6"/>
        </w:rPr>
        <w:t> </w:t>
      </w:r>
      <w:r>
        <w:rPr/>
        <w:t>anatomía</w:t>
      </w:r>
      <w:r>
        <w:rPr>
          <w:spacing w:val="-5"/>
        </w:rPr>
        <w:t> </w:t>
      </w:r>
      <w:r>
        <w:rPr/>
        <w:t>corono</w:t>
      </w:r>
      <w:r>
        <w:rPr>
          <w:spacing w:val="-6"/>
        </w:rPr>
        <w:t> </w:t>
      </w:r>
      <w:r>
        <w:rPr/>
        <w:t>radicular,</w:t>
      </w:r>
      <w:r>
        <w:rPr>
          <w:spacing w:val="-7"/>
        </w:rPr>
        <w:t> </w:t>
      </w:r>
      <w:r>
        <w:rPr/>
        <w:t>la</w:t>
      </w:r>
      <w:r>
        <w:rPr>
          <w:spacing w:val="-6"/>
        </w:rPr>
        <w:t> </w:t>
      </w:r>
      <w:r>
        <w:rPr/>
        <w:t>localización</w:t>
      </w:r>
      <w:r>
        <w:rPr>
          <w:spacing w:val="-6"/>
        </w:rPr>
        <w:t> </w:t>
      </w:r>
      <w:r>
        <w:rPr/>
        <w:t>de</w:t>
      </w:r>
      <w:r>
        <w:rPr>
          <w:spacing w:val="-6"/>
        </w:rPr>
        <w:t> </w:t>
      </w:r>
      <w:r>
        <w:rPr/>
        <w:t>las</w:t>
      </w:r>
      <w:r>
        <w:rPr>
          <w:spacing w:val="-6"/>
        </w:rPr>
        <w:t> </w:t>
      </w:r>
      <w:r>
        <w:rPr/>
        <w:t>áreas</w:t>
      </w:r>
      <w:r>
        <w:rPr>
          <w:spacing w:val="-7"/>
        </w:rPr>
        <w:t> </w:t>
      </w:r>
      <w:r>
        <w:rPr/>
        <w:t>de</w:t>
      </w:r>
      <w:r>
        <w:rPr>
          <w:spacing w:val="-6"/>
        </w:rPr>
        <w:t> </w:t>
      </w:r>
      <w:r>
        <w:rPr/>
        <w:t>seguridad y</w:t>
      </w:r>
      <w:r>
        <w:rPr>
          <w:spacing w:val="-9"/>
        </w:rPr>
        <w:t> </w:t>
      </w:r>
      <w:r>
        <w:rPr/>
        <w:t>de</w:t>
      </w:r>
      <w:r>
        <w:rPr>
          <w:spacing w:val="-6"/>
        </w:rPr>
        <w:t> </w:t>
      </w:r>
      <w:r>
        <w:rPr/>
        <w:t>riesgo, así como la longitud aparente del diente (LAD), servirán como guía para que el profesional aplique su técnica operatoria, orientándolo en la utilización del instrumento rotatorio ideal.</w:t>
      </w:r>
      <w:r>
        <w:rPr>
          <w:spacing w:val="-6"/>
        </w:rPr>
        <w:t> </w:t>
      </w:r>
      <w:r>
        <w:rPr>
          <w:position w:val="8"/>
          <w:sz w:val="16"/>
        </w:rPr>
        <w:t>14-15</w:t>
      </w:r>
    </w:p>
    <w:p>
      <w:pPr>
        <w:pStyle w:val="ListParagraph"/>
        <w:numPr>
          <w:ilvl w:val="3"/>
          <w:numId w:val="3"/>
        </w:numPr>
        <w:tabs>
          <w:tab w:pos="1541" w:val="left" w:leader="none"/>
          <w:tab w:pos="1542" w:val="left" w:leader="none"/>
        </w:tabs>
        <w:spacing w:line="240" w:lineRule="auto" w:before="163" w:after="0"/>
        <w:ind w:left="1542" w:right="0" w:hanging="1080"/>
        <w:jc w:val="left"/>
        <w:rPr>
          <w:sz w:val="24"/>
        </w:rPr>
      </w:pPr>
      <w:r>
        <w:rPr>
          <w:sz w:val="24"/>
          <w:u w:val="single"/>
        </w:rPr>
        <w:t>Exploración del Conducto</w:t>
      </w:r>
      <w:r>
        <w:rPr>
          <w:spacing w:val="-9"/>
          <w:sz w:val="24"/>
          <w:u w:val="single"/>
        </w:rPr>
        <w:t> </w:t>
      </w:r>
      <w:r>
        <w:rPr>
          <w:sz w:val="24"/>
          <w:u w:val="single"/>
        </w:rPr>
        <w:t>Radicular</w:t>
      </w:r>
    </w:p>
    <w:p>
      <w:pPr>
        <w:pStyle w:val="BodyText"/>
        <w:spacing w:before="9"/>
        <w:rPr>
          <w:sz w:val="19"/>
        </w:rPr>
      </w:pPr>
    </w:p>
    <w:p>
      <w:pPr>
        <w:pStyle w:val="BodyText"/>
        <w:spacing w:line="360" w:lineRule="auto" w:before="70"/>
        <w:ind w:left="102" w:right="116"/>
        <w:jc w:val="both"/>
        <w:rPr>
          <w:sz w:val="16"/>
        </w:rPr>
      </w:pPr>
      <w:r>
        <w:rPr/>
        <w:t>Para</w:t>
      </w:r>
      <w:r>
        <w:rPr>
          <w:spacing w:val="-10"/>
        </w:rPr>
        <w:t> </w:t>
      </w:r>
      <w:r>
        <w:rPr/>
        <w:t>conductos</w:t>
      </w:r>
      <w:r>
        <w:rPr>
          <w:spacing w:val="-10"/>
        </w:rPr>
        <w:t> </w:t>
      </w:r>
      <w:r>
        <w:rPr/>
        <w:t>radiculares</w:t>
      </w:r>
      <w:r>
        <w:rPr>
          <w:spacing w:val="-10"/>
        </w:rPr>
        <w:t> </w:t>
      </w:r>
      <w:r>
        <w:rPr/>
        <w:t>curvos</w:t>
      </w:r>
      <w:r>
        <w:rPr>
          <w:spacing w:val="-10"/>
        </w:rPr>
        <w:t> </w:t>
      </w:r>
      <w:r>
        <w:rPr/>
        <w:t>y</w:t>
      </w:r>
      <w:r>
        <w:rPr>
          <w:spacing w:val="-13"/>
        </w:rPr>
        <w:t> </w:t>
      </w:r>
      <w:r>
        <w:rPr/>
        <w:t>estrechos,</w:t>
      </w:r>
      <w:r>
        <w:rPr>
          <w:spacing w:val="-6"/>
        </w:rPr>
        <w:t> </w:t>
      </w:r>
      <w:r>
        <w:rPr/>
        <w:t>las</w:t>
      </w:r>
      <w:r>
        <w:rPr>
          <w:spacing w:val="-10"/>
        </w:rPr>
        <w:t> </w:t>
      </w:r>
      <w:r>
        <w:rPr/>
        <w:t>limas</w:t>
      </w:r>
      <w:r>
        <w:rPr>
          <w:spacing w:val="-13"/>
        </w:rPr>
        <w:t> </w:t>
      </w:r>
      <w:r>
        <w:rPr/>
        <w:t>más</w:t>
      </w:r>
      <w:r>
        <w:rPr>
          <w:spacing w:val="-10"/>
        </w:rPr>
        <w:t> </w:t>
      </w:r>
      <w:r>
        <w:rPr/>
        <w:t>indicadas</w:t>
      </w:r>
      <w:r>
        <w:rPr>
          <w:spacing w:val="-10"/>
        </w:rPr>
        <w:t> </w:t>
      </w:r>
      <w:r>
        <w:rPr/>
        <w:t>son</w:t>
      </w:r>
      <w:r>
        <w:rPr>
          <w:spacing w:val="-9"/>
        </w:rPr>
        <w:t> </w:t>
      </w:r>
      <w:r>
        <w:rPr/>
        <w:t>las</w:t>
      </w:r>
      <w:r>
        <w:rPr>
          <w:spacing w:val="-7"/>
        </w:rPr>
        <w:t> </w:t>
      </w:r>
      <w:r>
        <w:rPr/>
        <w:t>tipo K número 10 o 15, de acero inoxidable, o las limas Pathfinder de acero al carbono. En</w:t>
      </w:r>
      <w:r>
        <w:rPr>
          <w:spacing w:val="-9"/>
        </w:rPr>
        <w:t> </w:t>
      </w:r>
      <w:r>
        <w:rPr/>
        <w:t>caso</w:t>
      </w:r>
      <w:r>
        <w:rPr>
          <w:spacing w:val="-12"/>
        </w:rPr>
        <w:t> </w:t>
      </w:r>
      <w:r>
        <w:rPr/>
        <w:t>de</w:t>
      </w:r>
      <w:r>
        <w:rPr>
          <w:spacing w:val="-12"/>
        </w:rPr>
        <w:t> </w:t>
      </w:r>
      <w:r>
        <w:rPr/>
        <w:t>necrosis</w:t>
      </w:r>
      <w:r>
        <w:rPr>
          <w:spacing w:val="-13"/>
        </w:rPr>
        <w:t> </w:t>
      </w:r>
      <w:r>
        <w:rPr/>
        <w:t>pulpar,</w:t>
      </w:r>
      <w:r>
        <w:rPr>
          <w:spacing w:val="-13"/>
        </w:rPr>
        <w:t> </w:t>
      </w:r>
      <w:r>
        <w:rPr/>
        <w:t>estos</w:t>
      </w:r>
      <w:r>
        <w:rPr>
          <w:spacing w:val="-13"/>
        </w:rPr>
        <w:t> </w:t>
      </w:r>
      <w:r>
        <w:rPr/>
        <w:t>instrumentos</w:t>
      </w:r>
      <w:r>
        <w:rPr>
          <w:spacing w:val="-10"/>
        </w:rPr>
        <w:t> </w:t>
      </w:r>
      <w:r>
        <w:rPr/>
        <w:t>deben</w:t>
      </w:r>
      <w:r>
        <w:rPr>
          <w:spacing w:val="-12"/>
        </w:rPr>
        <w:t> </w:t>
      </w:r>
      <w:r>
        <w:rPr/>
        <w:t>introducirse</w:t>
      </w:r>
      <w:r>
        <w:rPr>
          <w:spacing w:val="-12"/>
        </w:rPr>
        <w:t> </w:t>
      </w:r>
      <w:r>
        <w:rPr/>
        <w:t>cuidadosamente y primero en el tercio cervical, siguiendo de una irrigación abundante con solución de hipoclorito de sodio, aspiración e inundación, posteriormente hacia el tercio medio y/o hasta tercio</w:t>
      </w:r>
      <w:r>
        <w:rPr>
          <w:spacing w:val="-8"/>
        </w:rPr>
        <w:t> </w:t>
      </w:r>
      <w:r>
        <w:rPr/>
        <w:t>apical.</w:t>
      </w:r>
      <w:r>
        <w:rPr>
          <w:position w:val="8"/>
          <w:sz w:val="16"/>
        </w:rPr>
        <w:t>13</w:t>
      </w:r>
    </w:p>
    <w:p>
      <w:pPr>
        <w:pStyle w:val="ListParagraph"/>
        <w:numPr>
          <w:ilvl w:val="3"/>
          <w:numId w:val="3"/>
        </w:numPr>
        <w:tabs>
          <w:tab w:pos="1541" w:val="left" w:leader="none"/>
          <w:tab w:pos="1542" w:val="left" w:leader="none"/>
        </w:tabs>
        <w:spacing w:line="240" w:lineRule="auto" w:before="160" w:after="0"/>
        <w:ind w:left="1542" w:right="0" w:hanging="1080"/>
        <w:jc w:val="left"/>
        <w:rPr>
          <w:sz w:val="24"/>
        </w:rPr>
      </w:pPr>
      <w:r>
        <w:rPr>
          <w:sz w:val="24"/>
          <w:u w:val="single"/>
        </w:rPr>
        <w:t>La Longitud de Trabajo</w:t>
      </w:r>
      <w:r>
        <w:rPr>
          <w:spacing w:val="-13"/>
          <w:sz w:val="24"/>
          <w:u w:val="single"/>
        </w:rPr>
        <w:t> </w:t>
      </w:r>
      <w:r>
        <w:rPr>
          <w:sz w:val="24"/>
          <w:u w:val="single"/>
        </w:rPr>
        <w:t>Provisional.</w:t>
      </w:r>
    </w:p>
    <w:p>
      <w:pPr>
        <w:pStyle w:val="BodyText"/>
        <w:spacing w:before="9"/>
        <w:rPr>
          <w:sz w:val="19"/>
        </w:rPr>
      </w:pPr>
    </w:p>
    <w:p>
      <w:pPr>
        <w:pStyle w:val="BodyText"/>
        <w:spacing w:line="360" w:lineRule="auto" w:before="70"/>
        <w:ind w:left="102" w:right="119"/>
        <w:jc w:val="both"/>
        <w:rPr>
          <w:sz w:val="16"/>
        </w:rPr>
      </w:pPr>
      <w:r>
        <w:rPr/>
        <w:t>El análisis radiográfico y la exploración manual ofrecerán al Endodoncista la memorización de la imagen anatómica del conducto radicular lo más real posible, este detalle es fundamental para el éxito del tratamiento endodóntico con el uso de los sistemas rotatorios. </w:t>
      </w:r>
      <w:r>
        <w:rPr>
          <w:position w:val="8"/>
          <w:sz w:val="16"/>
        </w:rPr>
        <w:t>14</w:t>
      </w:r>
    </w:p>
    <w:p>
      <w:pPr>
        <w:spacing w:after="0" w:line="360" w:lineRule="auto"/>
        <w:jc w:val="both"/>
        <w:rPr>
          <w:sz w:val="16"/>
        </w:rPr>
        <w:sectPr>
          <w:headerReference w:type="default" r:id="rId13"/>
          <w:pgSz w:w="12240" w:h="15840"/>
          <w:pgMar w:header="749" w:footer="0" w:top="960" w:bottom="280" w:left="1600" w:right="1580"/>
          <w:pgNumType w:start="11"/>
        </w:sectPr>
      </w:pPr>
    </w:p>
    <w:p>
      <w:pPr>
        <w:pStyle w:val="BodyText"/>
        <w:rPr>
          <w:sz w:val="20"/>
        </w:rPr>
      </w:pPr>
    </w:p>
    <w:p>
      <w:pPr>
        <w:pStyle w:val="ListParagraph"/>
        <w:numPr>
          <w:ilvl w:val="3"/>
          <w:numId w:val="3"/>
        </w:numPr>
        <w:tabs>
          <w:tab w:pos="1541" w:val="left" w:leader="none"/>
          <w:tab w:pos="1542" w:val="left" w:leader="none"/>
        </w:tabs>
        <w:spacing w:line="240" w:lineRule="auto" w:before="214" w:after="0"/>
        <w:ind w:left="1542" w:right="0" w:hanging="1080"/>
        <w:jc w:val="left"/>
        <w:rPr>
          <w:sz w:val="24"/>
        </w:rPr>
      </w:pPr>
      <w:r>
        <w:rPr>
          <w:sz w:val="24"/>
          <w:u w:val="single"/>
        </w:rPr>
        <w:t>Variación de la</w:t>
      </w:r>
      <w:r>
        <w:rPr>
          <w:spacing w:val="-7"/>
          <w:sz w:val="24"/>
          <w:u w:val="single"/>
        </w:rPr>
        <w:t> </w:t>
      </w:r>
      <w:r>
        <w:rPr>
          <w:sz w:val="24"/>
          <w:u w:val="single"/>
        </w:rPr>
        <w:t>Conicidad</w:t>
      </w:r>
    </w:p>
    <w:p>
      <w:pPr>
        <w:pStyle w:val="BodyText"/>
        <w:spacing w:before="1"/>
        <w:rPr>
          <w:sz w:val="20"/>
        </w:rPr>
      </w:pPr>
    </w:p>
    <w:p>
      <w:pPr>
        <w:pStyle w:val="BodyText"/>
        <w:spacing w:line="360" w:lineRule="auto" w:before="69"/>
        <w:ind w:left="102" w:right="113"/>
        <w:jc w:val="both"/>
      </w:pPr>
      <w:r>
        <w:rPr/>
        <w:t>En el tercio cervical se debe utilizar instrumentos de gran conicidad, como por ejemplo 0.08, 0.10, 0.12mm que son instrumentos de gran conicidad. El uso de estos instrumentos en el tercio cervical promueve un desgaste efectivo y de gran amplitud, que favorece el acceso a los tercios medio y apical.</w:t>
      </w:r>
    </w:p>
    <w:p>
      <w:pPr>
        <w:pStyle w:val="BodyText"/>
        <w:spacing w:line="360" w:lineRule="auto" w:before="163"/>
        <w:ind w:left="102" w:right="118"/>
        <w:jc w:val="both"/>
        <w:rPr>
          <w:sz w:val="16"/>
        </w:rPr>
      </w:pPr>
      <w:r>
        <w:rPr/>
        <w:t>En esta etapa es importante destacar que el uso de estos instrumentos en el tercio cervical no debe seguir el concepto corona/ápice, o sea deben ser utilizados inicialmente los instrumentos de pequeña conicidad, seguidos por el de mayor conicidad y así sucesivamente. </w:t>
      </w:r>
      <w:r>
        <w:rPr>
          <w:position w:val="8"/>
          <w:sz w:val="16"/>
        </w:rPr>
        <w:t>13</w:t>
      </w:r>
    </w:p>
    <w:p>
      <w:pPr>
        <w:pStyle w:val="BodyText"/>
        <w:spacing w:line="360" w:lineRule="auto" w:before="159"/>
        <w:ind w:left="102" w:right="121"/>
        <w:jc w:val="both"/>
        <w:rPr>
          <w:sz w:val="16"/>
        </w:rPr>
      </w:pPr>
      <w:r>
        <w:rPr/>
        <w:t>En</w:t>
      </w:r>
      <w:r>
        <w:rPr>
          <w:spacing w:val="-11"/>
        </w:rPr>
        <w:t> </w:t>
      </w:r>
      <w:r>
        <w:rPr/>
        <w:t>el</w:t>
      </w:r>
      <w:r>
        <w:rPr>
          <w:spacing w:val="-12"/>
        </w:rPr>
        <w:t> </w:t>
      </w:r>
      <w:r>
        <w:rPr/>
        <w:t>tercio</w:t>
      </w:r>
      <w:r>
        <w:rPr>
          <w:spacing w:val="-13"/>
        </w:rPr>
        <w:t> </w:t>
      </w:r>
      <w:r>
        <w:rPr/>
        <w:t>medio</w:t>
      </w:r>
      <w:r>
        <w:rPr>
          <w:spacing w:val="-11"/>
        </w:rPr>
        <w:t> </w:t>
      </w:r>
      <w:r>
        <w:rPr/>
        <w:t>se</w:t>
      </w:r>
      <w:r>
        <w:rPr>
          <w:spacing w:val="-11"/>
        </w:rPr>
        <w:t> </w:t>
      </w:r>
      <w:r>
        <w:rPr/>
        <w:t>debe</w:t>
      </w:r>
      <w:r>
        <w:rPr>
          <w:spacing w:val="-11"/>
        </w:rPr>
        <w:t> </w:t>
      </w:r>
      <w:r>
        <w:rPr/>
        <w:t>utilizar</w:t>
      </w:r>
      <w:r>
        <w:rPr>
          <w:spacing w:val="-12"/>
        </w:rPr>
        <w:t> </w:t>
      </w:r>
      <w:r>
        <w:rPr/>
        <w:t>instrumentos</w:t>
      </w:r>
      <w:r>
        <w:rPr>
          <w:spacing w:val="-12"/>
        </w:rPr>
        <w:t> </w:t>
      </w:r>
      <w:r>
        <w:rPr/>
        <w:t>de</w:t>
      </w:r>
      <w:r>
        <w:rPr>
          <w:spacing w:val="-11"/>
        </w:rPr>
        <w:t> </w:t>
      </w:r>
      <w:r>
        <w:rPr/>
        <w:t>capacidad</w:t>
      </w:r>
      <w:r>
        <w:rPr>
          <w:spacing w:val="-11"/>
        </w:rPr>
        <w:t> </w:t>
      </w:r>
      <w:r>
        <w:rPr/>
        <w:t>0.06</w:t>
      </w:r>
      <w:r>
        <w:rPr>
          <w:spacing w:val="-11"/>
        </w:rPr>
        <w:t> </w:t>
      </w:r>
      <w:r>
        <w:rPr/>
        <w:t>a</w:t>
      </w:r>
      <w:r>
        <w:rPr>
          <w:spacing w:val="-13"/>
        </w:rPr>
        <w:t> </w:t>
      </w:r>
      <w:r>
        <w:rPr/>
        <w:t>0.02mm,</w:t>
      </w:r>
      <w:r>
        <w:rPr>
          <w:spacing w:val="-11"/>
        </w:rPr>
        <w:t> </w:t>
      </w:r>
      <w:r>
        <w:rPr/>
        <w:t>ahora siguiendo una preparación en sentido corona/ápice hasta alcanzar la LTP, es muy importante recalcar que en cada cambio de instrumentos se debe realizar una irrigación copiosa, aspiración e inundación de los conductos radiculares con solución de hipoclorito de sodio.</w:t>
      </w:r>
      <w:r>
        <w:rPr>
          <w:spacing w:val="-6"/>
        </w:rPr>
        <w:t> </w:t>
      </w:r>
      <w:r>
        <w:rPr>
          <w:position w:val="8"/>
          <w:sz w:val="16"/>
        </w:rPr>
        <w:t>13</w:t>
      </w:r>
    </w:p>
    <w:p>
      <w:pPr>
        <w:pStyle w:val="BodyText"/>
        <w:spacing w:line="360" w:lineRule="auto" w:before="159"/>
        <w:ind w:left="102" w:right="124"/>
        <w:jc w:val="both"/>
        <w:rPr>
          <w:sz w:val="16"/>
        </w:rPr>
      </w:pPr>
      <w:r>
        <w:rPr/>
        <w:t>En el tercio apical se debe utilizar inicialmente instrumentos de pequeña conicidad y pequeño D1, siendo este acceso facilitado por el desgaste inicial de los tercios cervical y medio, realizado anteriormente al acceso del tercio apical. Los instrumentos de pequeña conicidad y pequeños diámetros D1 actúan en el tercio apical sin grandes presiones, evitando la creación de desvíos, formación de escalones, perforaciones o la ocurrencia de fracturas de instrumentos.</w:t>
      </w:r>
      <w:r>
        <w:rPr>
          <w:position w:val="8"/>
          <w:sz w:val="16"/>
        </w:rPr>
        <w:t>15</w:t>
      </w:r>
    </w:p>
    <w:p>
      <w:pPr>
        <w:pStyle w:val="ListParagraph"/>
        <w:numPr>
          <w:ilvl w:val="3"/>
          <w:numId w:val="3"/>
        </w:numPr>
        <w:tabs>
          <w:tab w:pos="1541" w:val="left" w:leader="none"/>
          <w:tab w:pos="1542" w:val="left" w:leader="none"/>
        </w:tabs>
        <w:spacing w:line="240" w:lineRule="auto" w:before="159" w:after="0"/>
        <w:ind w:left="1542" w:right="0" w:hanging="1080"/>
        <w:jc w:val="left"/>
        <w:rPr>
          <w:sz w:val="24"/>
        </w:rPr>
      </w:pPr>
      <w:r>
        <w:rPr>
          <w:sz w:val="24"/>
          <w:u w:val="single"/>
        </w:rPr>
        <w:t>Cinemática de Movimiento de los Instrumentos</w:t>
      </w:r>
      <w:r>
        <w:rPr>
          <w:spacing w:val="-12"/>
          <w:sz w:val="24"/>
          <w:u w:val="single"/>
        </w:rPr>
        <w:t> </w:t>
      </w:r>
      <w:r>
        <w:rPr>
          <w:sz w:val="24"/>
          <w:u w:val="single"/>
        </w:rPr>
        <w:t>Rotatorios</w:t>
      </w:r>
    </w:p>
    <w:p>
      <w:pPr>
        <w:pStyle w:val="BodyText"/>
        <w:rPr>
          <w:sz w:val="20"/>
        </w:rPr>
      </w:pPr>
    </w:p>
    <w:p>
      <w:pPr>
        <w:pStyle w:val="BodyText"/>
        <w:spacing w:line="360" w:lineRule="auto" w:before="70"/>
        <w:ind w:left="102" w:right="119"/>
        <w:jc w:val="both"/>
        <w:rPr>
          <w:sz w:val="16"/>
        </w:rPr>
      </w:pPr>
      <w:r>
        <w:rPr/>
        <w:t>La cinemática de movimiento que se aplica a estos se llama “Picada” (progresión y alivio), o sea, nunca quedarse presionando el instrumento en el sentido apical para que</w:t>
      </w:r>
      <w:r>
        <w:rPr>
          <w:spacing w:val="-8"/>
        </w:rPr>
        <w:t> </w:t>
      </w:r>
      <w:r>
        <w:rPr/>
        <w:t>este</w:t>
      </w:r>
      <w:r>
        <w:rPr>
          <w:spacing w:val="-8"/>
        </w:rPr>
        <w:t> </w:t>
      </w:r>
      <w:r>
        <w:rPr/>
        <w:t>avance</w:t>
      </w:r>
      <w:r>
        <w:rPr>
          <w:spacing w:val="-11"/>
        </w:rPr>
        <w:t> </w:t>
      </w:r>
      <w:r>
        <w:rPr/>
        <w:t>más</w:t>
      </w:r>
      <w:r>
        <w:rPr>
          <w:spacing w:val="-12"/>
        </w:rPr>
        <w:t> </w:t>
      </w:r>
      <w:r>
        <w:rPr/>
        <w:t>que</w:t>
      </w:r>
      <w:r>
        <w:rPr>
          <w:spacing w:val="-8"/>
        </w:rPr>
        <w:t> </w:t>
      </w:r>
      <w:r>
        <w:rPr/>
        <w:t>2mm.</w:t>
      </w:r>
      <w:r>
        <w:rPr>
          <w:spacing w:val="-9"/>
        </w:rPr>
        <w:t> </w:t>
      </w:r>
      <w:r>
        <w:rPr/>
        <w:t>Deje</w:t>
      </w:r>
      <w:r>
        <w:rPr>
          <w:spacing w:val="-8"/>
        </w:rPr>
        <w:t> </w:t>
      </w:r>
      <w:r>
        <w:rPr/>
        <w:t>que</w:t>
      </w:r>
      <w:r>
        <w:rPr>
          <w:spacing w:val="-8"/>
        </w:rPr>
        <w:t> </w:t>
      </w:r>
      <w:r>
        <w:rPr/>
        <w:t>el</w:t>
      </w:r>
      <w:r>
        <w:rPr>
          <w:spacing w:val="-10"/>
        </w:rPr>
        <w:t> </w:t>
      </w:r>
      <w:r>
        <w:rPr/>
        <w:t>instrumento</w:t>
      </w:r>
      <w:r>
        <w:rPr>
          <w:spacing w:val="-8"/>
        </w:rPr>
        <w:t> </w:t>
      </w:r>
      <w:r>
        <w:rPr/>
        <w:t>sea</w:t>
      </w:r>
      <w:r>
        <w:rPr>
          <w:spacing w:val="-8"/>
        </w:rPr>
        <w:t> </w:t>
      </w:r>
      <w:r>
        <w:rPr/>
        <w:t>“guiado</w:t>
      </w:r>
      <w:r>
        <w:rPr>
          <w:spacing w:val="-8"/>
        </w:rPr>
        <w:t> </w:t>
      </w:r>
      <w:r>
        <w:rPr/>
        <w:t>por</w:t>
      </w:r>
      <w:r>
        <w:rPr>
          <w:spacing w:val="-10"/>
        </w:rPr>
        <w:t> </w:t>
      </w:r>
      <w:r>
        <w:rPr/>
        <w:t>sí</w:t>
      </w:r>
      <w:r>
        <w:rPr>
          <w:spacing w:val="-11"/>
        </w:rPr>
        <w:t> </w:t>
      </w:r>
      <w:r>
        <w:rPr/>
        <w:t>mismo”. El profesional debe permitir que el instrumento encuentre su propia trayectoria. Sácalo después de su penetración de 1 a 2m.</w:t>
      </w:r>
      <w:r>
        <w:rPr>
          <w:spacing w:val="-14"/>
        </w:rPr>
        <w:t> </w:t>
      </w:r>
      <w:r>
        <w:rPr>
          <w:position w:val="8"/>
          <w:sz w:val="16"/>
        </w:rPr>
        <w:t>15</w:t>
      </w:r>
    </w:p>
    <w:p>
      <w:pPr>
        <w:pStyle w:val="BodyText"/>
        <w:spacing w:line="357" w:lineRule="auto" w:before="159"/>
        <w:ind w:left="102" w:right="124"/>
        <w:jc w:val="both"/>
        <w:rPr>
          <w:sz w:val="16"/>
        </w:rPr>
      </w:pPr>
      <w:r>
        <w:rPr/>
        <w:t>El alivio que se atribuye al instrumento, después de penetrar 1 a 2mm, es de pequeña</w:t>
      </w:r>
      <w:r>
        <w:rPr>
          <w:spacing w:val="-9"/>
        </w:rPr>
        <w:t> </w:t>
      </w:r>
      <w:r>
        <w:rPr/>
        <w:t>amplitud,</w:t>
      </w:r>
      <w:r>
        <w:rPr>
          <w:spacing w:val="-12"/>
        </w:rPr>
        <w:t> </w:t>
      </w:r>
      <w:r>
        <w:rPr/>
        <w:t>aproximadamente</w:t>
      </w:r>
      <w:r>
        <w:rPr>
          <w:spacing w:val="-11"/>
        </w:rPr>
        <w:t> </w:t>
      </w:r>
      <w:r>
        <w:rPr/>
        <w:t>de</w:t>
      </w:r>
      <w:r>
        <w:rPr>
          <w:spacing w:val="-12"/>
        </w:rPr>
        <w:t> </w:t>
      </w:r>
      <w:r>
        <w:rPr/>
        <w:t>1</w:t>
      </w:r>
      <w:r>
        <w:rPr>
          <w:spacing w:val="-9"/>
        </w:rPr>
        <w:t> </w:t>
      </w:r>
      <w:r>
        <w:rPr/>
        <w:t>a</w:t>
      </w:r>
      <w:r>
        <w:rPr>
          <w:spacing w:val="-14"/>
        </w:rPr>
        <w:t> </w:t>
      </w:r>
      <w:r>
        <w:rPr/>
        <w:t>3mm,</w:t>
      </w:r>
      <w:r>
        <w:rPr>
          <w:spacing w:val="-10"/>
        </w:rPr>
        <w:t> </w:t>
      </w:r>
      <w:r>
        <w:rPr/>
        <w:t>y</w:t>
      </w:r>
      <w:r>
        <w:rPr>
          <w:spacing w:val="-13"/>
        </w:rPr>
        <w:t> </w:t>
      </w:r>
      <w:r>
        <w:rPr/>
        <w:t>después</w:t>
      </w:r>
      <w:r>
        <w:rPr>
          <w:spacing w:val="-13"/>
        </w:rPr>
        <w:t> </w:t>
      </w:r>
      <w:r>
        <w:rPr/>
        <w:t>se</w:t>
      </w:r>
      <w:r>
        <w:rPr>
          <w:spacing w:val="-9"/>
        </w:rPr>
        <w:t> </w:t>
      </w:r>
      <w:r>
        <w:rPr/>
        <w:t>vuelve</w:t>
      </w:r>
      <w:r>
        <w:rPr>
          <w:spacing w:val="-9"/>
        </w:rPr>
        <w:t> </w:t>
      </w:r>
      <w:r>
        <w:rPr/>
        <w:t>a</w:t>
      </w:r>
      <w:r>
        <w:rPr>
          <w:spacing w:val="-9"/>
        </w:rPr>
        <w:t> </w:t>
      </w:r>
      <w:r>
        <w:rPr/>
        <w:t>introducir. Cada introducción nunca debe exceder 1 a 2mm de profundidad.</w:t>
      </w:r>
      <w:r>
        <w:rPr>
          <w:spacing w:val="-18"/>
        </w:rPr>
        <w:t> </w:t>
      </w:r>
      <w:r>
        <w:rPr>
          <w:position w:val="8"/>
          <w:sz w:val="16"/>
        </w:rPr>
        <w:t>13</w:t>
      </w:r>
    </w:p>
    <w:p>
      <w:pPr>
        <w:spacing w:after="0" w:line="357" w:lineRule="auto"/>
        <w:jc w:val="both"/>
        <w:rPr>
          <w:sz w:val="16"/>
        </w:rPr>
        <w:sectPr>
          <w:pgSz w:w="12240" w:h="15840"/>
          <w:pgMar w:header="749" w:footer="0" w:top="960" w:bottom="280" w:left="1600" w:right="1580"/>
        </w:sectPr>
      </w:pPr>
    </w:p>
    <w:p>
      <w:pPr>
        <w:pStyle w:val="BodyText"/>
        <w:rPr>
          <w:sz w:val="20"/>
        </w:rPr>
      </w:pPr>
    </w:p>
    <w:p>
      <w:pPr>
        <w:pStyle w:val="BodyText"/>
        <w:spacing w:line="360" w:lineRule="auto" w:before="214"/>
        <w:ind w:left="102" w:right="115"/>
        <w:jc w:val="both"/>
        <w:rPr>
          <w:sz w:val="16"/>
        </w:rPr>
      </w:pPr>
      <w:r>
        <w:rPr/>
        <w:t>Nunca</w:t>
      </w:r>
      <w:r>
        <w:rPr>
          <w:spacing w:val="-19"/>
        </w:rPr>
        <w:t> </w:t>
      </w:r>
      <w:r>
        <w:rPr/>
        <w:t>permanezca</w:t>
      </w:r>
      <w:r>
        <w:rPr>
          <w:spacing w:val="-17"/>
        </w:rPr>
        <w:t> </w:t>
      </w:r>
      <w:r>
        <w:rPr/>
        <w:t>con</w:t>
      </w:r>
      <w:r>
        <w:rPr>
          <w:spacing w:val="-17"/>
        </w:rPr>
        <w:t> </w:t>
      </w:r>
      <w:r>
        <w:rPr/>
        <w:t>el</w:t>
      </w:r>
      <w:r>
        <w:rPr>
          <w:spacing w:val="-20"/>
        </w:rPr>
        <w:t> </w:t>
      </w:r>
      <w:r>
        <w:rPr/>
        <w:t>instrumento</w:t>
      </w:r>
      <w:r>
        <w:rPr>
          <w:spacing w:val="-18"/>
        </w:rPr>
        <w:t> </w:t>
      </w:r>
      <w:r>
        <w:rPr/>
        <w:t>girando</w:t>
      </w:r>
      <w:r>
        <w:rPr>
          <w:spacing w:val="-17"/>
        </w:rPr>
        <w:t> </w:t>
      </w:r>
      <w:r>
        <w:rPr/>
        <w:t>en</w:t>
      </w:r>
      <w:r>
        <w:rPr>
          <w:spacing w:val="-17"/>
        </w:rPr>
        <w:t> </w:t>
      </w:r>
      <w:r>
        <w:rPr/>
        <w:t>la</w:t>
      </w:r>
      <w:r>
        <w:rPr>
          <w:spacing w:val="-22"/>
        </w:rPr>
        <w:t> </w:t>
      </w:r>
      <w:r>
        <w:rPr/>
        <w:t>misma</w:t>
      </w:r>
      <w:r>
        <w:rPr>
          <w:spacing w:val="-19"/>
        </w:rPr>
        <w:t> </w:t>
      </w:r>
      <w:r>
        <w:rPr/>
        <w:t>posición</w:t>
      </w:r>
      <w:r>
        <w:rPr>
          <w:spacing w:val="-21"/>
        </w:rPr>
        <w:t> </w:t>
      </w:r>
      <w:r>
        <w:rPr/>
        <w:t>(longitud),</w:t>
      </w:r>
      <w:r>
        <w:rPr>
          <w:spacing w:val="-15"/>
        </w:rPr>
        <w:t> </w:t>
      </w:r>
      <w:r>
        <w:rPr/>
        <w:t>pues eso lo llevara al stress y consecuentemente a la fractura. El instrumento deberá penetrar siempre girando en el conducto radicular en sentido de las manecillas del reloj</w:t>
      </w:r>
      <w:r>
        <w:rPr>
          <w:spacing w:val="-12"/>
        </w:rPr>
        <w:t> </w:t>
      </w:r>
      <w:r>
        <w:rPr/>
        <w:t>y</w:t>
      </w:r>
      <w:r>
        <w:rPr>
          <w:spacing w:val="-14"/>
        </w:rPr>
        <w:t> </w:t>
      </w:r>
      <w:r>
        <w:rPr/>
        <w:t>salir</w:t>
      </w:r>
      <w:r>
        <w:rPr>
          <w:spacing w:val="-12"/>
        </w:rPr>
        <w:t> </w:t>
      </w:r>
      <w:r>
        <w:rPr/>
        <w:t>girando.</w:t>
      </w:r>
      <w:r>
        <w:rPr>
          <w:spacing w:val="-13"/>
        </w:rPr>
        <w:t> </w:t>
      </w:r>
      <w:r>
        <w:rPr/>
        <w:t>El</w:t>
      </w:r>
      <w:r>
        <w:rPr>
          <w:spacing w:val="-14"/>
        </w:rPr>
        <w:t> </w:t>
      </w:r>
      <w:r>
        <w:rPr/>
        <w:t>uso</w:t>
      </w:r>
      <w:r>
        <w:rPr>
          <w:spacing w:val="-13"/>
        </w:rPr>
        <w:t> </w:t>
      </w:r>
      <w:r>
        <w:rPr/>
        <w:t>de</w:t>
      </w:r>
      <w:r>
        <w:rPr>
          <w:spacing w:val="-13"/>
        </w:rPr>
        <w:t> </w:t>
      </w:r>
      <w:r>
        <w:rPr/>
        <w:t>cada</w:t>
      </w:r>
      <w:r>
        <w:rPr>
          <w:spacing w:val="-13"/>
        </w:rPr>
        <w:t> </w:t>
      </w:r>
      <w:r>
        <w:rPr/>
        <w:t>instrumento</w:t>
      </w:r>
      <w:r>
        <w:rPr>
          <w:spacing w:val="-13"/>
        </w:rPr>
        <w:t> </w:t>
      </w:r>
      <w:r>
        <w:rPr/>
        <w:t>no</w:t>
      </w:r>
      <w:r>
        <w:rPr>
          <w:spacing w:val="-13"/>
        </w:rPr>
        <w:t> </w:t>
      </w:r>
      <w:r>
        <w:rPr/>
        <w:t>debe</w:t>
      </w:r>
      <w:r>
        <w:rPr>
          <w:spacing w:val="-13"/>
        </w:rPr>
        <w:t> </w:t>
      </w:r>
      <w:r>
        <w:rPr/>
        <w:t>exceder</w:t>
      </w:r>
      <w:r>
        <w:rPr>
          <w:spacing w:val="-15"/>
        </w:rPr>
        <w:t> </w:t>
      </w:r>
      <w:r>
        <w:rPr/>
        <w:t>5</w:t>
      </w:r>
      <w:r>
        <w:rPr>
          <w:spacing w:val="-13"/>
        </w:rPr>
        <w:t> </w:t>
      </w:r>
      <w:r>
        <w:rPr/>
        <w:t>a</w:t>
      </w:r>
      <w:r>
        <w:rPr>
          <w:spacing w:val="-13"/>
        </w:rPr>
        <w:t> </w:t>
      </w:r>
      <w:r>
        <w:rPr/>
        <w:t>10</w:t>
      </w:r>
      <w:r>
        <w:rPr>
          <w:spacing w:val="-13"/>
        </w:rPr>
        <w:t> </w:t>
      </w:r>
      <w:r>
        <w:rPr/>
        <w:t>segundos.</w:t>
      </w:r>
      <w:r>
        <w:rPr>
          <w:position w:val="8"/>
          <w:sz w:val="16"/>
        </w:rPr>
        <w:t>12</w:t>
      </w:r>
    </w:p>
    <w:p>
      <w:pPr>
        <w:pStyle w:val="BodyText"/>
        <w:rPr>
          <w:sz w:val="26"/>
        </w:rPr>
      </w:pPr>
    </w:p>
    <w:p>
      <w:pPr>
        <w:pStyle w:val="BodyText"/>
        <w:spacing w:before="8"/>
        <w:rPr>
          <w:sz w:val="37"/>
        </w:rPr>
      </w:pPr>
    </w:p>
    <w:p>
      <w:pPr>
        <w:pStyle w:val="ListParagraph"/>
        <w:numPr>
          <w:ilvl w:val="2"/>
          <w:numId w:val="5"/>
        </w:numPr>
        <w:tabs>
          <w:tab w:pos="1182" w:val="left" w:leader="none"/>
        </w:tabs>
        <w:spacing w:line="240" w:lineRule="auto" w:before="1" w:after="0"/>
        <w:ind w:left="1182" w:right="0" w:hanging="720"/>
        <w:jc w:val="left"/>
        <w:rPr>
          <w:b/>
          <w:sz w:val="24"/>
        </w:rPr>
      </w:pPr>
      <w:r>
        <w:rPr>
          <w:b/>
          <w:sz w:val="24"/>
        </w:rPr>
        <w:t>Protaper</w:t>
      </w:r>
      <w:r>
        <w:rPr>
          <w:b/>
          <w:spacing w:val="-7"/>
          <w:sz w:val="24"/>
        </w:rPr>
        <w:t> </w:t>
      </w:r>
      <w:r>
        <w:rPr>
          <w:b/>
          <w:sz w:val="24"/>
        </w:rPr>
        <w:t>(Dentsply/Maillefer)</w:t>
      </w:r>
    </w:p>
    <w:p>
      <w:pPr>
        <w:pStyle w:val="BodyText"/>
        <w:rPr>
          <w:b/>
        </w:rPr>
      </w:pPr>
    </w:p>
    <w:p>
      <w:pPr>
        <w:pStyle w:val="BodyText"/>
        <w:rPr>
          <w:b/>
        </w:rPr>
      </w:pPr>
    </w:p>
    <w:p>
      <w:pPr>
        <w:pStyle w:val="ListParagraph"/>
        <w:numPr>
          <w:ilvl w:val="3"/>
          <w:numId w:val="5"/>
        </w:numPr>
        <w:tabs>
          <w:tab w:pos="1541" w:val="left" w:leader="none"/>
          <w:tab w:pos="1542" w:val="left" w:leader="none"/>
        </w:tabs>
        <w:spacing w:line="240" w:lineRule="auto" w:before="0" w:after="0"/>
        <w:ind w:left="1542" w:right="0" w:hanging="1080"/>
        <w:jc w:val="left"/>
        <w:rPr>
          <w:sz w:val="24"/>
        </w:rPr>
      </w:pPr>
      <w:r>
        <w:rPr>
          <w:sz w:val="24"/>
          <w:u w:val="single"/>
        </w:rPr>
        <w:t>Tipos de</w:t>
      </w:r>
      <w:r>
        <w:rPr>
          <w:spacing w:val="-1"/>
          <w:sz w:val="24"/>
          <w:u w:val="single"/>
        </w:rPr>
        <w:t> </w:t>
      </w:r>
      <w:r>
        <w:rPr>
          <w:sz w:val="24"/>
          <w:u w:val="single"/>
        </w:rPr>
        <w:t>Motores</w:t>
      </w:r>
    </w:p>
    <w:p>
      <w:pPr>
        <w:pStyle w:val="BodyText"/>
        <w:spacing w:before="10"/>
        <w:rPr>
          <w:sz w:val="19"/>
        </w:rPr>
      </w:pPr>
    </w:p>
    <w:p>
      <w:pPr>
        <w:pStyle w:val="BodyText"/>
        <w:spacing w:line="360" w:lineRule="auto" w:before="69"/>
        <w:ind w:left="102" w:right="116"/>
        <w:jc w:val="both"/>
        <w:rPr>
          <w:sz w:val="16"/>
        </w:rPr>
      </w:pPr>
      <w:r>
        <w:rPr/>
        <w:t>La</w:t>
      </w:r>
      <w:r>
        <w:rPr>
          <w:spacing w:val="-12"/>
        </w:rPr>
        <w:t> </w:t>
      </w:r>
      <w:r>
        <w:rPr/>
        <w:t>era</w:t>
      </w:r>
      <w:r>
        <w:rPr>
          <w:spacing w:val="-15"/>
        </w:rPr>
        <w:t> </w:t>
      </w:r>
      <w:r>
        <w:rPr/>
        <w:t>moderna</w:t>
      </w:r>
      <w:r>
        <w:rPr>
          <w:spacing w:val="-14"/>
        </w:rPr>
        <w:t> </w:t>
      </w:r>
      <w:r>
        <w:rPr/>
        <w:t>de</w:t>
      </w:r>
      <w:r>
        <w:rPr>
          <w:spacing w:val="-12"/>
        </w:rPr>
        <w:t> </w:t>
      </w:r>
      <w:r>
        <w:rPr/>
        <w:t>los</w:t>
      </w:r>
      <w:r>
        <w:rPr>
          <w:spacing w:val="-15"/>
        </w:rPr>
        <w:t> </w:t>
      </w:r>
      <w:r>
        <w:rPr/>
        <w:t>motores</w:t>
      </w:r>
      <w:r>
        <w:rPr>
          <w:spacing w:val="-12"/>
        </w:rPr>
        <w:t> </w:t>
      </w:r>
      <w:r>
        <w:rPr/>
        <w:t>eléctricos</w:t>
      </w:r>
      <w:r>
        <w:rPr>
          <w:spacing w:val="-13"/>
        </w:rPr>
        <w:t> </w:t>
      </w:r>
      <w:r>
        <w:rPr/>
        <w:t>para</w:t>
      </w:r>
      <w:r>
        <w:rPr>
          <w:spacing w:val="-12"/>
        </w:rPr>
        <w:t> </w:t>
      </w:r>
      <w:r>
        <w:rPr/>
        <w:t>los</w:t>
      </w:r>
      <w:r>
        <w:rPr>
          <w:spacing w:val="-12"/>
        </w:rPr>
        <w:t> </w:t>
      </w:r>
      <w:r>
        <w:rPr/>
        <w:t>instrumentos</w:t>
      </w:r>
      <w:r>
        <w:rPr>
          <w:spacing w:val="-13"/>
        </w:rPr>
        <w:t> </w:t>
      </w:r>
      <w:r>
        <w:rPr/>
        <w:t>de</w:t>
      </w:r>
      <w:r>
        <w:rPr>
          <w:spacing w:val="-12"/>
        </w:rPr>
        <w:t> </w:t>
      </w:r>
      <w:r>
        <w:rPr/>
        <w:t>rotación</w:t>
      </w:r>
      <w:r>
        <w:rPr>
          <w:spacing w:val="-12"/>
        </w:rPr>
        <w:t> </w:t>
      </w:r>
      <w:r>
        <w:rPr/>
        <w:t>se</w:t>
      </w:r>
      <w:r>
        <w:rPr>
          <w:spacing w:val="-4"/>
        </w:rPr>
        <w:t> </w:t>
      </w:r>
      <w:r>
        <w:rPr/>
        <w:t>inició en</w:t>
      </w:r>
      <w:r>
        <w:rPr>
          <w:spacing w:val="-7"/>
        </w:rPr>
        <w:t> </w:t>
      </w:r>
      <w:r>
        <w:rPr/>
        <w:t>la</w:t>
      </w:r>
      <w:r>
        <w:rPr>
          <w:spacing w:val="-10"/>
        </w:rPr>
        <w:t> </w:t>
      </w:r>
      <w:r>
        <w:rPr/>
        <w:t>década</w:t>
      </w:r>
      <w:r>
        <w:rPr>
          <w:spacing w:val="-9"/>
        </w:rPr>
        <w:t> </w:t>
      </w:r>
      <w:r>
        <w:rPr/>
        <w:t>de</w:t>
      </w:r>
      <w:r>
        <w:rPr>
          <w:spacing w:val="-7"/>
        </w:rPr>
        <w:t> </w:t>
      </w:r>
      <w:r>
        <w:rPr/>
        <w:t>los</w:t>
      </w:r>
      <w:r>
        <w:rPr>
          <w:spacing w:val="-10"/>
        </w:rPr>
        <w:t> </w:t>
      </w:r>
      <w:r>
        <w:rPr/>
        <w:t>años</w:t>
      </w:r>
      <w:r>
        <w:rPr>
          <w:spacing w:val="-8"/>
        </w:rPr>
        <w:t> </w:t>
      </w:r>
      <w:r>
        <w:rPr/>
        <w:t>noventa.</w:t>
      </w:r>
      <w:r>
        <w:rPr>
          <w:spacing w:val="-10"/>
        </w:rPr>
        <w:t> </w:t>
      </w:r>
      <w:r>
        <w:rPr/>
        <w:t>Estos</w:t>
      </w:r>
      <w:r>
        <w:rPr>
          <w:spacing w:val="-10"/>
        </w:rPr>
        <w:t> </w:t>
      </w:r>
      <w:r>
        <w:rPr/>
        <w:t>instrumentos</w:t>
      </w:r>
      <w:r>
        <w:rPr>
          <w:spacing w:val="-12"/>
        </w:rPr>
        <w:t> </w:t>
      </w:r>
      <w:r>
        <w:rPr/>
        <w:t>fueron</w:t>
      </w:r>
      <w:r>
        <w:rPr>
          <w:spacing w:val="-9"/>
        </w:rPr>
        <w:t> </w:t>
      </w:r>
      <w:r>
        <w:rPr/>
        <w:t>proyectados</w:t>
      </w:r>
      <w:r>
        <w:rPr>
          <w:spacing w:val="-10"/>
        </w:rPr>
        <w:t> </w:t>
      </w:r>
      <w:r>
        <w:rPr/>
        <w:t>para</w:t>
      </w:r>
      <w:r>
        <w:rPr>
          <w:spacing w:val="-7"/>
        </w:rPr>
        <w:t> </w:t>
      </w:r>
      <w:r>
        <w:rPr/>
        <w:t>que se utilizaran con movimientos mecánicos rotatorios continuos, utilizando motores eléctricos que ofrecen velocidad constante entre. Otros también ofrecen un control automático de torque. Esta particularidad es de mucha importancia ya que, cuando el instrumento es rotado en sentido horario y por alguna razón alcanza su límite de resistencia que puede ser predeterminado en algunos aparatos, este instrumento se</w:t>
      </w:r>
      <w:r>
        <w:rPr>
          <w:spacing w:val="-7"/>
        </w:rPr>
        <w:t> </w:t>
      </w:r>
      <w:r>
        <w:rPr/>
        <w:t>detiene</w:t>
      </w:r>
      <w:r>
        <w:rPr>
          <w:spacing w:val="-7"/>
        </w:rPr>
        <w:t> </w:t>
      </w:r>
      <w:r>
        <w:rPr/>
        <w:t>y</w:t>
      </w:r>
      <w:r>
        <w:rPr>
          <w:spacing w:val="-10"/>
        </w:rPr>
        <w:t> </w:t>
      </w:r>
      <w:r>
        <w:rPr/>
        <w:t>gira</w:t>
      </w:r>
      <w:r>
        <w:rPr>
          <w:spacing w:val="-7"/>
        </w:rPr>
        <w:t> </w:t>
      </w:r>
      <w:r>
        <w:rPr/>
        <w:t>en</w:t>
      </w:r>
      <w:r>
        <w:rPr>
          <w:spacing w:val="-7"/>
        </w:rPr>
        <w:t> </w:t>
      </w:r>
      <w:r>
        <w:rPr/>
        <w:t>sentido</w:t>
      </w:r>
      <w:r>
        <w:rPr>
          <w:spacing w:val="-9"/>
        </w:rPr>
        <w:t> </w:t>
      </w:r>
      <w:r>
        <w:rPr/>
        <w:t>antihorario</w:t>
      </w:r>
      <w:r>
        <w:rPr>
          <w:spacing w:val="-9"/>
        </w:rPr>
        <w:t> </w:t>
      </w:r>
      <w:r>
        <w:rPr/>
        <w:t>automáticamente.</w:t>
      </w:r>
      <w:r>
        <w:rPr>
          <w:spacing w:val="-10"/>
        </w:rPr>
        <w:t> </w:t>
      </w:r>
      <w:r>
        <w:rPr/>
        <w:t>En</w:t>
      </w:r>
      <w:r>
        <w:rPr>
          <w:spacing w:val="-7"/>
        </w:rPr>
        <w:t> </w:t>
      </w:r>
      <w:r>
        <w:rPr/>
        <w:t>varios</w:t>
      </w:r>
      <w:r>
        <w:rPr>
          <w:spacing w:val="-10"/>
        </w:rPr>
        <w:t> </w:t>
      </w:r>
      <w:r>
        <w:rPr/>
        <w:t>de</w:t>
      </w:r>
      <w:r>
        <w:rPr>
          <w:spacing w:val="-7"/>
        </w:rPr>
        <w:t> </w:t>
      </w:r>
      <w:r>
        <w:rPr/>
        <w:t>los</w:t>
      </w:r>
      <w:r>
        <w:rPr>
          <w:spacing w:val="-10"/>
        </w:rPr>
        <w:t> </w:t>
      </w:r>
      <w:r>
        <w:rPr/>
        <w:t>sistemas ofrecidos hoy en día, este movimiento antihorario, cuando se alcanza el torque preestablecido, permite al instrumento salir del conducto radicular normalmente. Algunos aparatos presentan dispositivos que permiten controlar el torque, de preferencia automático, que varían de 0.1 a 10 Newton por centímetro (N.cm).</w:t>
      </w:r>
      <w:r>
        <w:rPr>
          <w:spacing w:val="-21"/>
        </w:rPr>
        <w:t> </w:t>
      </w:r>
      <w:r>
        <w:rPr>
          <w:position w:val="8"/>
          <w:sz w:val="16"/>
        </w:rPr>
        <w:t>14</w:t>
      </w:r>
    </w:p>
    <w:p>
      <w:pPr>
        <w:pStyle w:val="BodyText"/>
        <w:spacing w:line="360" w:lineRule="auto" w:before="159"/>
        <w:ind w:left="102" w:right="118"/>
        <w:jc w:val="both"/>
      </w:pPr>
      <w:r>
        <w:rPr/>
        <w:t>Los motores comunes, accionados a aire que son acoplados a los equipos convencionales no ofrecen mecanismos que controlen la velocidad y el torque, por lo cual no se recomienda su uso. Las industrias fabricantes de los instrumentos rotatorios de níquel-titanio ofrecen sus propios motores eléctricos. Todos estos motores permiten la utilización de cualquier instrumento de los diferentes sistemas rotatorios.12-14</w:t>
      </w:r>
    </w:p>
    <w:p>
      <w:pPr>
        <w:spacing w:after="0" w:line="360" w:lineRule="auto"/>
        <w:jc w:val="both"/>
        <w:sectPr>
          <w:pgSz w:w="12240" w:h="15840"/>
          <w:pgMar w:header="749" w:footer="0" w:top="960" w:bottom="280" w:left="1600" w:right="1580"/>
        </w:sectPr>
      </w:pPr>
    </w:p>
    <w:p>
      <w:pPr>
        <w:pStyle w:val="BodyText"/>
        <w:rPr>
          <w:sz w:val="20"/>
        </w:rPr>
      </w:pPr>
    </w:p>
    <w:p>
      <w:pPr>
        <w:pStyle w:val="ListParagraph"/>
        <w:numPr>
          <w:ilvl w:val="3"/>
          <w:numId w:val="5"/>
        </w:numPr>
        <w:tabs>
          <w:tab w:pos="1541" w:val="left" w:leader="none"/>
          <w:tab w:pos="1542" w:val="left" w:leader="none"/>
        </w:tabs>
        <w:spacing w:line="240" w:lineRule="auto" w:before="214" w:after="0"/>
        <w:ind w:left="1542" w:right="0" w:hanging="1080"/>
        <w:jc w:val="left"/>
        <w:rPr>
          <w:sz w:val="24"/>
        </w:rPr>
      </w:pPr>
      <w:r>
        <w:rPr>
          <w:sz w:val="24"/>
          <w:u w:val="single"/>
        </w:rPr>
        <w:t>Técnica.</w:t>
      </w:r>
    </w:p>
    <w:p>
      <w:pPr>
        <w:pStyle w:val="BodyText"/>
        <w:spacing w:before="1"/>
        <w:rPr>
          <w:sz w:val="20"/>
        </w:rPr>
      </w:pPr>
    </w:p>
    <w:p>
      <w:pPr>
        <w:pStyle w:val="BodyText"/>
        <w:spacing w:line="360" w:lineRule="auto" w:before="69"/>
        <w:ind w:left="461" w:right="116"/>
        <w:jc w:val="both"/>
      </w:pPr>
      <w:r>
        <w:rPr/>
        <w:t>El sistema Protaper es el más reciente lanzamiento de Dentsply-Maillefer. Consiste</w:t>
      </w:r>
      <w:r>
        <w:rPr>
          <w:spacing w:val="-16"/>
        </w:rPr>
        <w:t> </w:t>
      </w:r>
      <w:r>
        <w:rPr/>
        <w:t>en</w:t>
      </w:r>
      <w:r>
        <w:rPr>
          <w:spacing w:val="-16"/>
        </w:rPr>
        <w:t> </w:t>
      </w:r>
      <w:r>
        <w:rPr/>
        <w:t>8</w:t>
      </w:r>
      <w:r>
        <w:rPr>
          <w:spacing w:val="-16"/>
        </w:rPr>
        <w:t> </w:t>
      </w:r>
      <w:r>
        <w:rPr/>
        <w:t>instrumentos.</w:t>
      </w:r>
      <w:r>
        <w:rPr>
          <w:spacing w:val="-16"/>
        </w:rPr>
        <w:t> </w:t>
      </w:r>
      <w:r>
        <w:rPr/>
        <w:t>El</w:t>
      </w:r>
      <w:r>
        <w:rPr>
          <w:spacing w:val="-17"/>
        </w:rPr>
        <w:t> </w:t>
      </w:r>
      <w:r>
        <w:rPr/>
        <w:t>sistema</w:t>
      </w:r>
      <w:r>
        <w:rPr>
          <w:spacing w:val="-16"/>
        </w:rPr>
        <w:t> </w:t>
      </w:r>
      <w:r>
        <w:rPr/>
        <w:t>actual</w:t>
      </w:r>
      <w:r>
        <w:rPr>
          <w:spacing w:val="-19"/>
        </w:rPr>
        <w:t> </w:t>
      </w:r>
      <w:r>
        <w:rPr/>
        <w:t>de</w:t>
      </w:r>
      <w:r>
        <w:rPr>
          <w:spacing w:val="-16"/>
        </w:rPr>
        <w:t> </w:t>
      </w:r>
      <w:r>
        <w:rPr/>
        <w:t>instrumentos</w:t>
      </w:r>
      <w:r>
        <w:rPr>
          <w:spacing w:val="-19"/>
        </w:rPr>
        <w:t> </w:t>
      </w:r>
      <w:r>
        <w:rPr/>
        <w:t>Protaper</w:t>
      </w:r>
      <w:r>
        <w:rPr>
          <w:spacing w:val="-17"/>
        </w:rPr>
        <w:t> </w:t>
      </w:r>
      <w:r>
        <w:rPr/>
        <w:t>se</w:t>
      </w:r>
      <w:r>
        <w:rPr>
          <w:spacing w:val="-16"/>
        </w:rPr>
        <w:t> </w:t>
      </w:r>
      <w:r>
        <w:rPr/>
        <w:t>divide en dos</w:t>
      </w:r>
      <w:r>
        <w:rPr>
          <w:spacing w:val="-3"/>
        </w:rPr>
        <w:t> </w:t>
      </w:r>
      <w:r>
        <w:rPr/>
        <w:t>grupos:</w:t>
      </w:r>
    </w:p>
    <w:p>
      <w:pPr>
        <w:pStyle w:val="ListParagraph"/>
        <w:numPr>
          <w:ilvl w:val="0"/>
          <w:numId w:val="4"/>
        </w:numPr>
        <w:tabs>
          <w:tab w:pos="821" w:val="left" w:leader="none"/>
          <w:tab w:pos="822" w:val="left" w:leader="none"/>
        </w:tabs>
        <w:spacing w:line="350" w:lineRule="auto" w:before="164" w:after="0"/>
        <w:ind w:left="822" w:right="124" w:hanging="360"/>
        <w:jc w:val="left"/>
        <w:rPr>
          <w:sz w:val="24"/>
        </w:rPr>
      </w:pPr>
      <w:r>
        <w:rPr>
          <w:sz w:val="24"/>
        </w:rPr>
        <w:t>Shaping Files o instrumentos para modelado o configuración de los tercios cervical y medio de conductos, (SX, S1,</w:t>
      </w:r>
      <w:r>
        <w:rPr>
          <w:spacing w:val="-19"/>
          <w:sz w:val="24"/>
        </w:rPr>
        <w:t> </w:t>
      </w:r>
      <w:r>
        <w:rPr>
          <w:sz w:val="24"/>
        </w:rPr>
        <w:t>S2).</w:t>
      </w:r>
    </w:p>
    <w:p>
      <w:pPr>
        <w:pStyle w:val="ListParagraph"/>
        <w:numPr>
          <w:ilvl w:val="0"/>
          <w:numId w:val="4"/>
        </w:numPr>
        <w:tabs>
          <w:tab w:pos="821" w:val="left" w:leader="none"/>
          <w:tab w:pos="822" w:val="left" w:leader="none"/>
        </w:tabs>
        <w:spacing w:line="348" w:lineRule="auto" w:before="14" w:after="0"/>
        <w:ind w:left="822" w:right="121" w:hanging="360"/>
        <w:jc w:val="left"/>
        <w:rPr>
          <w:sz w:val="16"/>
        </w:rPr>
      </w:pPr>
      <w:r>
        <w:rPr>
          <w:sz w:val="24"/>
        </w:rPr>
        <w:t>Finishing Files o instrumentos para acabado o terminación. (F1, F2, F3, F4</w:t>
      </w:r>
      <w:r>
        <w:rPr>
          <w:spacing w:val="-42"/>
          <w:sz w:val="24"/>
        </w:rPr>
        <w:t> </w:t>
      </w:r>
      <w:r>
        <w:rPr>
          <w:sz w:val="24"/>
        </w:rPr>
        <w:t>y F5).</w:t>
      </w:r>
      <w:r>
        <w:rPr>
          <w:spacing w:val="-2"/>
          <w:sz w:val="24"/>
        </w:rPr>
        <w:t> </w:t>
      </w:r>
      <w:r>
        <w:rPr>
          <w:position w:val="8"/>
          <w:sz w:val="16"/>
        </w:rPr>
        <w:t>14</w:t>
      </w:r>
    </w:p>
    <w:p>
      <w:pPr>
        <w:pStyle w:val="BodyText"/>
        <w:rPr>
          <w:sz w:val="26"/>
        </w:rPr>
      </w:pPr>
    </w:p>
    <w:p>
      <w:pPr>
        <w:pStyle w:val="BodyText"/>
        <w:rPr>
          <w:sz w:val="25"/>
        </w:rPr>
      </w:pPr>
    </w:p>
    <w:p>
      <w:pPr>
        <w:pStyle w:val="BodyText"/>
        <w:spacing w:line="360" w:lineRule="auto"/>
        <w:ind w:left="102" w:right="115"/>
        <w:jc w:val="both"/>
      </w:pPr>
      <w:r>
        <w:rPr/>
        <w:t>En estudios realizados por Yun y colaboradores en el 2003, comparando las cualidades de cuatro diferentes sistemas de limas rotatorias de níquel-titanio en la conformación</w:t>
      </w:r>
      <w:r>
        <w:rPr>
          <w:spacing w:val="-13"/>
        </w:rPr>
        <w:t> </w:t>
      </w:r>
      <w:r>
        <w:rPr/>
        <w:t>de</w:t>
      </w:r>
      <w:r>
        <w:rPr>
          <w:spacing w:val="-13"/>
        </w:rPr>
        <w:t> </w:t>
      </w:r>
      <w:r>
        <w:rPr/>
        <w:t>conductos</w:t>
      </w:r>
      <w:r>
        <w:rPr>
          <w:spacing w:val="-14"/>
        </w:rPr>
        <w:t> </w:t>
      </w:r>
      <w:r>
        <w:rPr/>
        <w:t>radiculares</w:t>
      </w:r>
      <w:r>
        <w:rPr>
          <w:spacing w:val="-16"/>
        </w:rPr>
        <w:t> </w:t>
      </w:r>
      <w:r>
        <w:rPr/>
        <w:t>curvos,</w:t>
      </w:r>
      <w:r>
        <w:rPr>
          <w:spacing w:val="-13"/>
        </w:rPr>
        <w:t> </w:t>
      </w:r>
      <w:r>
        <w:rPr/>
        <w:t>encontraron</w:t>
      </w:r>
      <w:r>
        <w:rPr>
          <w:spacing w:val="-13"/>
        </w:rPr>
        <w:t> </w:t>
      </w:r>
      <w:r>
        <w:rPr/>
        <w:t>que</w:t>
      </w:r>
      <w:r>
        <w:rPr>
          <w:spacing w:val="-15"/>
        </w:rPr>
        <w:t> </w:t>
      </w:r>
      <w:r>
        <w:rPr/>
        <w:t>el</w:t>
      </w:r>
      <w:r>
        <w:rPr>
          <w:spacing w:val="-14"/>
        </w:rPr>
        <w:t> </w:t>
      </w:r>
      <w:r>
        <w:rPr/>
        <w:t>sistema</w:t>
      </w:r>
      <w:r>
        <w:rPr>
          <w:spacing w:val="-13"/>
        </w:rPr>
        <w:t> </w:t>
      </w:r>
      <w:r>
        <w:rPr/>
        <w:t>de</w:t>
      </w:r>
      <w:r>
        <w:rPr>
          <w:spacing w:val="-5"/>
        </w:rPr>
        <w:t> </w:t>
      </w:r>
      <w:r>
        <w:rPr/>
        <w:t>limas rotatorias Protaper fue el más eficiente en corte, con un mínimo tiempo de trabajo manteniendo la forma original del</w:t>
      </w:r>
      <w:r>
        <w:rPr>
          <w:spacing w:val="-18"/>
        </w:rPr>
        <w:t> </w:t>
      </w:r>
      <w:r>
        <w:rPr/>
        <w:t>conducto.</w:t>
      </w:r>
    </w:p>
    <w:p>
      <w:pPr>
        <w:pStyle w:val="BodyText"/>
        <w:spacing w:line="360" w:lineRule="auto" w:before="163"/>
        <w:ind w:left="102" w:right="116"/>
        <w:jc w:val="both"/>
        <w:rPr>
          <w:sz w:val="16"/>
        </w:rPr>
      </w:pPr>
      <w:r>
        <w:rPr/>
        <w:t>Este sistema de instrumentos posee la ventaja que facilitan el uso de la técnica Crown-Down mejorando el acceso al sistema de conductos radiculares. Por tener pequeña conicidad en el inicio de la parte activa estos instrumentos poseen excelente</w:t>
      </w:r>
      <w:r>
        <w:rPr>
          <w:spacing w:val="-9"/>
        </w:rPr>
        <w:t> </w:t>
      </w:r>
      <w:r>
        <w:rPr/>
        <w:t>flexibilidad.</w:t>
      </w:r>
      <w:r>
        <w:rPr>
          <w:spacing w:val="-10"/>
        </w:rPr>
        <w:t> </w:t>
      </w:r>
      <w:r>
        <w:rPr/>
        <w:t>Son</w:t>
      </w:r>
      <w:r>
        <w:rPr>
          <w:spacing w:val="-7"/>
        </w:rPr>
        <w:t> </w:t>
      </w:r>
      <w:r>
        <w:rPr/>
        <w:t>utilizados</w:t>
      </w:r>
      <w:r>
        <w:rPr>
          <w:spacing w:val="-8"/>
        </w:rPr>
        <w:t> </w:t>
      </w:r>
      <w:r>
        <w:rPr/>
        <w:t>principalmente</w:t>
      </w:r>
      <w:r>
        <w:rPr>
          <w:spacing w:val="-7"/>
        </w:rPr>
        <w:t> </w:t>
      </w:r>
      <w:r>
        <w:rPr/>
        <w:t>en</w:t>
      </w:r>
      <w:r>
        <w:rPr>
          <w:spacing w:val="-7"/>
        </w:rPr>
        <w:t> </w:t>
      </w:r>
      <w:r>
        <w:rPr/>
        <w:t>conductos</w:t>
      </w:r>
      <w:r>
        <w:rPr>
          <w:spacing w:val="-8"/>
        </w:rPr>
        <w:t> </w:t>
      </w:r>
      <w:r>
        <w:rPr/>
        <w:t>largos</w:t>
      </w:r>
      <w:r>
        <w:rPr>
          <w:spacing w:val="-8"/>
        </w:rPr>
        <w:t> </w:t>
      </w:r>
      <w:r>
        <w:rPr/>
        <w:t>que</w:t>
      </w:r>
      <w:r>
        <w:rPr>
          <w:spacing w:val="-7"/>
        </w:rPr>
        <w:t> </w:t>
      </w:r>
      <w:r>
        <w:rPr/>
        <w:t>midan más de 21mm y</w:t>
      </w:r>
      <w:r>
        <w:rPr>
          <w:spacing w:val="-7"/>
        </w:rPr>
        <w:t> </w:t>
      </w:r>
      <w:r>
        <w:rPr/>
        <w:t>curvos.</w:t>
      </w:r>
      <w:r>
        <w:rPr>
          <w:position w:val="8"/>
          <w:sz w:val="16"/>
        </w:rPr>
        <w:t>14</w:t>
      </w:r>
    </w:p>
    <w:p>
      <w:pPr>
        <w:pStyle w:val="BodyText"/>
        <w:rPr>
          <w:sz w:val="26"/>
        </w:rPr>
      </w:pPr>
    </w:p>
    <w:p>
      <w:pPr>
        <w:pStyle w:val="BodyText"/>
        <w:spacing w:before="11"/>
        <w:rPr>
          <w:sz w:val="37"/>
        </w:rPr>
      </w:pPr>
    </w:p>
    <w:p>
      <w:pPr>
        <w:pStyle w:val="BodyText"/>
        <w:spacing w:line="360" w:lineRule="auto"/>
        <w:ind w:left="102" w:right="114"/>
        <w:jc w:val="both"/>
        <w:rPr>
          <w:sz w:val="16"/>
        </w:rPr>
      </w:pPr>
      <w:r>
        <w:rPr/>
        <w:t>El</w:t>
      </w:r>
      <w:r>
        <w:rPr>
          <w:spacing w:val="-15"/>
        </w:rPr>
        <w:t> </w:t>
      </w:r>
      <w:r>
        <w:rPr/>
        <w:t>instrumento</w:t>
      </w:r>
      <w:r>
        <w:rPr>
          <w:spacing w:val="-16"/>
        </w:rPr>
        <w:t> </w:t>
      </w:r>
      <w:r>
        <w:rPr/>
        <w:t>Protaper</w:t>
      </w:r>
      <w:r>
        <w:rPr>
          <w:spacing w:val="-16"/>
        </w:rPr>
        <w:t> </w:t>
      </w:r>
      <w:r>
        <w:rPr/>
        <w:t>posee</w:t>
      </w:r>
      <w:r>
        <w:rPr>
          <w:spacing w:val="-17"/>
        </w:rPr>
        <w:t> </w:t>
      </w:r>
      <w:r>
        <w:rPr/>
        <w:t>en</w:t>
      </w:r>
      <w:r>
        <w:rPr>
          <w:spacing w:val="-16"/>
        </w:rPr>
        <w:t> </w:t>
      </w:r>
      <w:r>
        <w:rPr/>
        <w:t>la</w:t>
      </w:r>
      <w:r>
        <w:rPr>
          <w:spacing w:val="-17"/>
        </w:rPr>
        <w:t> </w:t>
      </w:r>
      <w:r>
        <w:rPr/>
        <w:t>parte</w:t>
      </w:r>
      <w:r>
        <w:rPr>
          <w:spacing w:val="-17"/>
        </w:rPr>
        <w:t> </w:t>
      </w:r>
      <w:r>
        <w:rPr/>
        <w:t>activa</w:t>
      </w:r>
      <w:r>
        <w:rPr>
          <w:spacing w:val="-14"/>
        </w:rPr>
        <w:t> </w:t>
      </w:r>
      <w:r>
        <w:rPr/>
        <w:t>conicidades</w:t>
      </w:r>
      <w:r>
        <w:rPr>
          <w:spacing w:val="-17"/>
        </w:rPr>
        <w:t> </w:t>
      </w:r>
      <w:r>
        <w:rPr/>
        <w:t>múltiples</w:t>
      </w:r>
      <w:r>
        <w:rPr>
          <w:spacing w:val="-15"/>
        </w:rPr>
        <w:t> </w:t>
      </w:r>
      <w:r>
        <w:rPr/>
        <w:t>y</w:t>
      </w:r>
      <w:r>
        <w:rPr>
          <w:spacing w:val="-17"/>
        </w:rPr>
        <w:t> </w:t>
      </w:r>
      <w:r>
        <w:rPr/>
        <w:t>progresivas en las limas de conformación y múltiples y decrecientes en las limas de finalizado. De esta forma encontramos en el mismo instrumento las conicidades 0.02; 0.04; 0.06; 0.08; 0.10; 0.12; 0.14; 0.16; 0.18 y 0.19 mm. El concepto del sistema </w:t>
      </w:r>
      <w:r>
        <w:rPr>
          <w:spacing w:val="2"/>
        </w:rPr>
        <w:t>Pro- </w:t>
      </w:r>
      <w:r>
        <w:rPr/>
        <w:t>Taper, se basa en el principio de máxima eficiencia de corte, versus, mínimo contacto del instrumento en las paredes del conducto radicular; por las diferentes variaciones del taper.</w:t>
      </w:r>
      <w:r>
        <w:rPr>
          <w:spacing w:val="-5"/>
        </w:rPr>
        <w:t> </w:t>
      </w:r>
      <w:r>
        <w:rPr>
          <w:spacing w:val="-3"/>
          <w:position w:val="8"/>
          <w:sz w:val="16"/>
        </w:rPr>
        <w:t>14</w:t>
      </w:r>
    </w:p>
    <w:p>
      <w:pPr>
        <w:spacing w:after="0" w:line="360" w:lineRule="auto"/>
        <w:jc w:val="both"/>
        <w:rPr>
          <w:sz w:val="16"/>
        </w:rPr>
        <w:sectPr>
          <w:pgSz w:w="12240" w:h="15840"/>
          <w:pgMar w:header="749" w:footer="0" w:top="960" w:bottom="280" w:left="1600" w:right="1580"/>
        </w:sectPr>
      </w:pPr>
    </w:p>
    <w:p>
      <w:pPr>
        <w:pStyle w:val="BodyText"/>
        <w:rPr>
          <w:sz w:val="20"/>
        </w:rPr>
      </w:pPr>
    </w:p>
    <w:p>
      <w:pPr>
        <w:pStyle w:val="BodyText"/>
        <w:spacing w:line="360" w:lineRule="auto" w:before="214"/>
        <w:ind w:left="102" w:right="123"/>
        <w:jc w:val="both"/>
      </w:pPr>
      <w:r>
        <w:rPr/>
        <w:t>Como consecuencia de esa mayor conicidad, solamente una porción de la parte activa del instrumento entra en contacto con las paredes dentinarias del conducto radicular.</w:t>
      </w:r>
      <w:r>
        <w:rPr>
          <w:spacing w:val="-9"/>
        </w:rPr>
        <w:t> </w:t>
      </w:r>
      <w:r>
        <w:rPr/>
        <w:t>Esta</w:t>
      </w:r>
      <w:r>
        <w:rPr>
          <w:spacing w:val="-10"/>
        </w:rPr>
        <w:t> </w:t>
      </w:r>
      <w:r>
        <w:rPr/>
        <w:t>mayor</w:t>
      </w:r>
      <w:r>
        <w:rPr>
          <w:spacing w:val="-10"/>
        </w:rPr>
        <w:t> </w:t>
      </w:r>
      <w:r>
        <w:rPr/>
        <w:t>conicidad</w:t>
      </w:r>
      <w:r>
        <w:rPr>
          <w:spacing w:val="-11"/>
        </w:rPr>
        <w:t> </w:t>
      </w:r>
      <w:r>
        <w:rPr/>
        <w:t>proporciona</w:t>
      </w:r>
      <w:r>
        <w:rPr>
          <w:spacing w:val="-8"/>
        </w:rPr>
        <w:t> </w:t>
      </w:r>
      <w:r>
        <w:rPr/>
        <w:t>un</w:t>
      </w:r>
      <w:r>
        <w:rPr>
          <w:spacing w:val="-8"/>
        </w:rPr>
        <w:t> </w:t>
      </w:r>
      <w:r>
        <w:rPr/>
        <w:t>desgaste</w:t>
      </w:r>
      <w:r>
        <w:rPr>
          <w:spacing w:val="-10"/>
        </w:rPr>
        <w:t> </w:t>
      </w:r>
      <w:r>
        <w:rPr/>
        <w:t>más</w:t>
      </w:r>
      <w:r>
        <w:rPr>
          <w:spacing w:val="-9"/>
        </w:rPr>
        <w:t> </w:t>
      </w:r>
      <w:r>
        <w:rPr/>
        <w:t>efectivo</w:t>
      </w:r>
      <w:r>
        <w:rPr>
          <w:spacing w:val="-8"/>
        </w:rPr>
        <w:t> </w:t>
      </w:r>
      <w:r>
        <w:rPr/>
        <w:t>del</w:t>
      </w:r>
      <w:r>
        <w:rPr>
          <w:spacing w:val="-10"/>
        </w:rPr>
        <w:t> </w:t>
      </w:r>
      <w:r>
        <w:rPr/>
        <w:t>conducto por acción de ensanchamiento, con menor riesgo de</w:t>
      </w:r>
      <w:r>
        <w:rPr>
          <w:spacing w:val="-19"/>
        </w:rPr>
        <w:t> </w:t>
      </w:r>
      <w:r>
        <w:rPr/>
        <w:t>fractura.</w:t>
      </w:r>
    </w:p>
    <w:p>
      <w:pPr>
        <w:pStyle w:val="BodyText"/>
        <w:spacing w:line="360" w:lineRule="auto" w:before="163"/>
        <w:ind w:left="102" w:right="117"/>
        <w:jc w:val="both"/>
        <w:rPr>
          <w:sz w:val="16"/>
        </w:rPr>
      </w:pPr>
      <w:r>
        <w:rPr/>
        <w:t>Con</w:t>
      </w:r>
      <w:r>
        <w:rPr>
          <w:spacing w:val="-4"/>
        </w:rPr>
        <w:t> </w:t>
      </w:r>
      <w:r>
        <w:rPr/>
        <w:t>estas</w:t>
      </w:r>
      <w:r>
        <w:rPr>
          <w:spacing w:val="-5"/>
        </w:rPr>
        <w:t> </w:t>
      </w:r>
      <w:r>
        <w:rPr/>
        <w:t>características</w:t>
      </w:r>
      <w:r>
        <w:rPr>
          <w:spacing w:val="-5"/>
        </w:rPr>
        <w:t> </w:t>
      </w:r>
      <w:r>
        <w:rPr/>
        <w:t>en</w:t>
      </w:r>
      <w:r>
        <w:rPr>
          <w:spacing w:val="-5"/>
        </w:rPr>
        <w:t> </w:t>
      </w:r>
      <w:r>
        <w:rPr/>
        <w:t>un</w:t>
      </w:r>
      <w:r>
        <w:rPr>
          <w:spacing w:val="-6"/>
        </w:rPr>
        <w:t> </w:t>
      </w:r>
      <w:r>
        <w:rPr/>
        <w:t>mismo</w:t>
      </w:r>
      <w:r>
        <w:rPr>
          <w:spacing w:val="-5"/>
        </w:rPr>
        <w:t> </w:t>
      </w:r>
      <w:r>
        <w:rPr/>
        <w:t>instrumento</w:t>
      </w:r>
      <w:r>
        <w:rPr>
          <w:spacing w:val="-5"/>
        </w:rPr>
        <w:t> </w:t>
      </w:r>
      <w:r>
        <w:rPr/>
        <w:t>se</w:t>
      </w:r>
      <w:r>
        <w:rPr>
          <w:spacing w:val="-6"/>
        </w:rPr>
        <w:t> </w:t>
      </w:r>
      <w:r>
        <w:rPr/>
        <w:t>facilita</w:t>
      </w:r>
      <w:r>
        <w:rPr>
          <w:spacing w:val="-4"/>
        </w:rPr>
        <w:t> </w:t>
      </w:r>
      <w:r>
        <w:rPr/>
        <w:t>la</w:t>
      </w:r>
      <w:r>
        <w:rPr>
          <w:spacing w:val="-6"/>
        </w:rPr>
        <w:t> </w:t>
      </w:r>
      <w:r>
        <w:rPr/>
        <w:t>instrumentación</w:t>
      </w:r>
      <w:r>
        <w:rPr>
          <w:spacing w:val="-5"/>
        </w:rPr>
        <w:t> </w:t>
      </w:r>
      <w:r>
        <w:rPr/>
        <w:t>en la porción apical del sistema de conductos radiculares. Las limas SX, S1, S2, F1 y F2, ofrecidos por este sistema presentan en una sección transversal una forma triangular convexa. Mientras que las limas F3, F4 y F5, presentan una modificación.</w:t>
      </w:r>
      <w:r>
        <w:rPr>
          <w:position w:val="8"/>
          <w:sz w:val="16"/>
        </w:rPr>
        <w:t>13-14</w:t>
      </w:r>
    </w:p>
    <w:p>
      <w:pPr>
        <w:pStyle w:val="BodyText"/>
        <w:rPr>
          <w:sz w:val="26"/>
        </w:rPr>
      </w:pPr>
    </w:p>
    <w:p>
      <w:pPr>
        <w:pStyle w:val="BodyText"/>
      </w:pPr>
    </w:p>
    <w:p>
      <w:pPr>
        <w:pStyle w:val="BodyText"/>
        <w:spacing w:line="360" w:lineRule="auto"/>
        <w:ind w:left="102" w:right="120"/>
        <w:jc w:val="both"/>
      </w:pPr>
      <w:r>
        <w:rPr/>
        <w:t>El ángulo de corte de sus hojas, es negativo, por lo que ejerce su acción raspando la superficie dentinal.</w:t>
      </w:r>
    </w:p>
    <w:p>
      <w:pPr>
        <w:pStyle w:val="BodyText"/>
        <w:spacing w:line="357" w:lineRule="auto" w:before="5"/>
        <w:ind w:left="102" w:right="119"/>
        <w:jc w:val="both"/>
        <w:rPr>
          <w:sz w:val="16"/>
        </w:rPr>
      </w:pPr>
      <w:r>
        <w:rPr/>
        <w:t>Se observa en un solo instrumento varias conicidades, reduciendo la cantidad de instrumentos a utilizar y así hacer más corto </w:t>
      </w:r>
      <w:r>
        <w:rPr>
          <w:spacing w:val="3"/>
        </w:rPr>
        <w:t>el </w:t>
      </w:r>
      <w:r>
        <w:rPr/>
        <w:t>procedimiento clínico de conformación; constituyéndolo como una novedad en el mercado de la</w:t>
      </w:r>
      <w:r>
        <w:rPr>
          <w:spacing w:val="-41"/>
        </w:rPr>
        <w:t> </w:t>
      </w:r>
      <w:r>
        <w:rPr/>
        <w:t>odontología moderna.</w:t>
      </w:r>
      <w:r>
        <w:rPr>
          <w:position w:val="8"/>
          <w:sz w:val="16"/>
        </w:rPr>
        <w:t>14</w:t>
      </w:r>
    </w:p>
    <w:p>
      <w:pPr>
        <w:pStyle w:val="BodyText"/>
        <w:spacing w:line="360" w:lineRule="auto" w:before="163"/>
        <w:ind w:left="102" w:right="120"/>
        <w:jc w:val="both"/>
        <w:rPr>
          <w:sz w:val="16"/>
        </w:rPr>
      </w:pPr>
      <w:r>
        <w:rPr/>
        <w:t>Presentan una distancia entre hojas (Pitch) y un ángulo helicoidal (ángulo de las hojas de corte con relación al eje largo de la lima) que varían a todo lo largo de la parte</w:t>
      </w:r>
      <w:r>
        <w:rPr>
          <w:spacing w:val="-13"/>
        </w:rPr>
        <w:t> </w:t>
      </w:r>
      <w:r>
        <w:rPr/>
        <w:t>activa.</w:t>
      </w:r>
      <w:r>
        <w:rPr>
          <w:spacing w:val="-10"/>
        </w:rPr>
        <w:t> </w:t>
      </w:r>
      <w:r>
        <w:rPr/>
        <w:t>La</w:t>
      </w:r>
      <w:r>
        <w:rPr>
          <w:spacing w:val="-13"/>
        </w:rPr>
        <w:t> </w:t>
      </w:r>
      <w:r>
        <w:rPr/>
        <w:t>punta</w:t>
      </w:r>
      <w:r>
        <w:rPr>
          <w:spacing w:val="-13"/>
        </w:rPr>
        <w:t> </w:t>
      </w:r>
      <w:r>
        <w:rPr/>
        <w:t>es</w:t>
      </w:r>
      <w:r>
        <w:rPr>
          <w:spacing w:val="-12"/>
        </w:rPr>
        <w:t> </w:t>
      </w:r>
      <w:r>
        <w:rPr/>
        <w:t>inactiva</w:t>
      </w:r>
      <w:r>
        <w:rPr>
          <w:spacing w:val="-11"/>
        </w:rPr>
        <w:t> </w:t>
      </w:r>
      <w:r>
        <w:rPr/>
        <w:t>para</w:t>
      </w:r>
      <w:r>
        <w:rPr>
          <w:spacing w:val="-14"/>
        </w:rPr>
        <w:t> </w:t>
      </w:r>
      <w:r>
        <w:rPr/>
        <w:t>que</w:t>
      </w:r>
      <w:r>
        <w:rPr>
          <w:spacing w:val="-11"/>
        </w:rPr>
        <w:t> </w:t>
      </w:r>
      <w:r>
        <w:rPr/>
        <w:t>la</w:t>
      </w:r>
      <w:r>
        <w:rPr>
          <w:spacing w:val="-16"/>
        </w:rPr>
        <w:t> </w:t>
      </w:r>
      <w:r>
        <w:rPr/>
        <w:t>lima</w:t>
      </w:r>
      <w:r>
        <w:rPr>
          <w:spacing w:val="-11"/>
        </w:rPr>
        <w:t> </w:t>
      </w:r>
      <w:r>
        <w:rPr/>
        <w:t>siga</w:t>
      </w:r>
      <w:r>
        <w:rPr>
          <w:spacing w:val="-11"/>
        </w:rPr>
        <w:t> </w:t>
      </w:r>
      <w:r>
        <w:rPr/>
        <w:t>la</w:t>
      </w:r>
      <w:r>
        <w:rPr>
          <w:spacing w:val="-16"/>
        </w:rPr>
        <w:t> </w:t>
      </w:r>
      <w:r>
        <w:rPr/>
        <w:t>forma</w:t>
      </w:r>
      <w:r>
        <w:rPr>
          <w:spacing w:val="-13"/>
        </w:rPr>
        <w:t> </w:t>
      </w:r>
      <w:r>
        <w:rPr/>
        <w:t>original</w:t>
      </w:r>
      <w:r>
        <w:rPr>
          <w:spacing w:val="-12"/>
        </w:rPr>
        <w:t> </w:t>
      </w:r>
      <w:r>
        <w:rPr/>
        <w:t>del</w:t>
      </w:r>
      <w:r>
        <w:rPr>
          <w:spacing w:val="-12"/>
        </w:rPr>
        <w:t> </w:t>
      </w:r>
      <w:r>
        <w:rPr/>
        <w:t>conducto radicular.</w:t>
      </w:r>
      <w:r>
        <w:rPr>
          <w:position w:val="8"/>
          <w:sz w:val="16"/>
        </w:rPr>
        <w:t>14</w:t>
      </w:r>
    </w:p>
    <w:p>
      <w:pPr>
        <w:pStyle w:val="ListParagraph"/>
        <w:numPr>
          <w:ilvl w:val="0"/>
          <w:numId w:val="6"/>
        </w:numPr>
        <w:tabs>
          <w:tab w:pos="822" w:val="left" w:leader="none"/>
        </w:tabs>
        <w:spacing w:line="240" w:lineRule="auto" w:before="159" w:after="0"/>
        <w:ind w:left="822" w:right="0" w:hanging="360"/>
        <w:jc w:val="left"/>
        <w:rPr>
          <w:sz w:val="24"/>
        </w:rPr>
      </w:pPr>
      <w:r>
        <w:rPr>
          <w:sz w:val="24"/>
        </w:rPr>
        <w:t>Lima</w:t>
      </w:r>
      <w:r>
        <w:rPr>
          <w:spacing w:val="-2"/>
          <w:sz w:val="24"/>
        </w:rPr>
        <w:t> </w:t>
      </w:r>
      <w:r>
        <w:rPr>
          <w:sz w:val="24"/>
        </w:rPr>
        <w:t>SX</w:t>
      </w:r>
    </w:p>
    <w:p>
      <w:pPr>
        <w:pStyle w:val="BodyText"/>
        <w:spacing w:before="10"/>
        <w:rPr>
          <w:sz w:val="25"/>
        </w:rPr>
      </w:pPr>
    </w:p>
    <w:p>
      <w:pPr>
        <w:pStyle w:val="BodyText"/>
        <w:spacing w:line="360" w:lineRule="auto"/>
        <w:ind w:left="102" w:right="118"/>
        <w:jc w:val="both"/>
        <w:rPr>
          <w:sz w:val="16"/>
        </w:rPr>
      </w:pPr>
      <w:r>
        <w:rPr/>
        <w:t>Es la llamada lima de configuración auxiliar. Se emplea para ampliar el tercio cervical de los conductos radiculares y así, darles una forma óptima, separándolos de las concavidades radiculares cercanas a la furca. Es fabricada con una longitud de 19mm. Tiene una parte activa de 14mm. El diámetro en D0 es de 0.19mm. En D9, el taper aumenta en un 19% por lo que es el instrumento más grueso del sistema. Se utiliza con movimientos de pincelado.</w:t>
      </w:r>
      <w:r>
        <w:rPr>
          <w:position w:val="8"/>
          <w:sz w:val="16"/>
        </w:rPr>
        <w:t>14</w:t>
      </w:r>
    </w:p>
    <w:p>
      <w:pPr>
        <w:spacing w:after="0" w:line="360" w:lineRule="auto"/>
        <w:jc w:val="both"/>
        <w:rPr>
          <w:sz w:val="16"/>
        </w:rPr>
        <w:sectPr>
          <w:pgSz w:w="12240" w:h="15840"/>
          <w:pgMar w:header="749" w:footer="0" w:top="960" w:bottom="280" w:left="1600" w:right="1580"/>
        </w:sectPr>
      </w:pPr>
    </w:p>
    <w:p>
      <w:pPr>
        <w:pStyle w:val="BodyText"/>
        <w:rPr>
          <w:sz w:val="20"/>
        </w:rPr>
      </w:pPr>
    </w:p>
    <w:p>
      <w:pPr>
        <w:pStyle w:val="ListParagraph"/>
        <w:numPr>
          <w:ilvl w:val="0"/>
          <w:numId w:val="6"/>
        </w:numPr>
        <w:tabs>
          <w:tab w:pos="822" w:val="left" w:leader="none"/>
        </w:tabs>
        <w:spacing w:line="240" w:lineRule="auto" w:before="214" w:after="0"/>
        <w:ind w:left="822" w:right="0" w:hanging="360"/>
        <w:jc w:val="left"/>
        <w:rPr>
          <w:sz w:val="24"/>
        </w:rPr>
      </w:pPr>
      <w:r>
        <w:rPr>
          <w:sz w:val="24"/>
        </w:rPr>
        <w:t>Limas S1 y</w:t>
      </w:r>
      <w:r>
        <w:rPr>
          <w:spacing w:val="-5"/>
          <w:sz w:val="24"/>
        </w:rPr>
        <w:t> </w:t>
      </w:r>
      <w:r>
        <w:rPr>
          <w:sz w:val="24"/>
        </w:rPr>
        <w:t>S2</w:t>
      </w:r>
    </w:p>
    <w:p>
      <w:pPr>
        <w:pStyle w:val="BodyText"/>
        <w:spacing w:before="1"/>
        <w:rPr>
          <w:sz w:val="26"/>
        </w:rPr>
      </w:pPr>
    </w:p>
    <w:p>
      <w:pPr>
        <w:pStyle w:val="BodyText"/>
        <w:spacing w:line="360" w:lineRule="auto"/>
        <w:ind w:left="102" w:right="116"/>
        <w:jc w:val="both"/>
        <w:rPr>
          <w:sz w:val="16"/>
        </w:rPr>
      </w:pPr>
      <w:r>
        <w:rPr/>
        <w:t>La</w:t>
      </w:r>
      <w:r>
        <w:rPr>
          <w:spacing w:val="-4"/>
        </w:rPr>
        <w:t> </w:t>
      </w:r>
      <w:r>
        <w:rPr/>
        <w:t>lima</w:t>
      </w:r>
      <w:r>
        <w:rPr>
          <w:spacing w:val="-4"/>
        </w:rPr>
        <w:t> </w:t>
      </w:r>
      <w:r>
        <w:rPr/>
        <w:t>de</w:t>
      </w:r>
      <w:r>
        <w:rPr>
          <w:spacing w:val="-4"/>
        </w:rPr>
        <w:t> </w:t>
      </w:r>
      <w:r>
        <w:rPr/>
        <w:t>configuración</w:t>
      </w:r>
      <w:r>
        <w:rPr>
          <w:spacing w:val="-4"/>
        </w:rPr>
        <w:t> </w:t>
      </w:r>
      <w:r>
        <w:rPr/>
        <w:t>No.</w:t>
      </w:r>
      <w:r>
        <w:rPr>
          <w:spacing w:val="-4"/>
        </w:rPr>
        <w:t> </w:t>
      </w:r>
      <w:r>
        <w:rPr/>
        <w:t>1</w:t>
      </w:r>
      <w:r>
        <w:rPr>
          <w:spacing w:val="-4"/>
        </w:rPr>
        <w:t> </w:t>
      </w:r>
      <w:r>
        <w:rPr/>
        <w:t>o</w:t>
      </w:r>
      <w:r>
        <w:rPr>
          <w:spacing w:val="-4"/>
        </w:rPr>
        <w:t> </w:t>
      </w:r>
      <w:r>
        <w:rPr/>
        <w:t>S1</w:t>
      </w:r>
      <w:r>
        <w:rPr>
          <w:spacing w:val="-4"/>
        </w:rPr>
        <w:t> </w:t>
      </w:r>
      <w:r>
        <w:rPr/>
        <w:t>está</w:t>
      </w:r>
      <w:r>
        <w:rPr>
          <w:spacing w:val="-4"/>
        </w:rPr>
        <w:t> </w:t>
      </w:r>
      <w:r>
        <w:rPr/>
        <w:t>diseñada</w:t>
      </w:r>
      <w:r>
        <w:rPr>
          <w:spacing w:val="-4"/>
        </w:rPr>
        <w:t> </w:t>
      </w:r>
      <w:r>
        <w:rPr/>
        <w:t>para</w:t>
      </w:r>
      <w:r>
        <w:rPr>
          <w:spacing w:val="-4"/>
        </w:rPr>
        <w:t> </w:t>
      </w:r>
      <w:r>
        <w:rPr/>
        <w:t>preparar</w:t>
      </w:r>
      <w:r>
        <w:rPr>
          <w:spacing w:val="-5"/>
        </w:rPr>
        <w:t> </w:t>
      </w:r>
      <w:r>
        <w:rPr/>
        <w:t>el</w:t>
      </w:r>
      <w:r>
        <w:rPr>
          <w:spacing w:val="-5"/>
        </w:rPr>
        <w:t> </w:t>
      </w:r>
      <w:r>
        <w:rPr/>
        <w:t>tercio</w:t>
      </w:r>
      <w:r>
        <w:rPr>
          <w:spacing w:val="4"/>
        </w:rPr>
        <w:t> </w:t>
      </w:r>
      <w:r>
        <w:rPr/>
        <w:t>coronario del conducto, mientras que la lima No. 2 o S2, prepara el tercio medio. Aunque ambos instrumentos preparan de forma óptima ambos tercios del conducto, aumentan progresivamente el tercio apical. Cada lima de raspado tiene 14 mm de hojas de corte. Se utilizan con movimientos de pincelado. La lima S1 tiene un diámetro en D0 de 0.17mm, la S2 lo tiene de</w:t>
      </w:r>
      <w:r>
        <w:rPr>
          <w:spacing w:val="-15"/>
        </w:rPr>
        <w:t> </w:t>
      </w:r>
      <w:r>
        <w:rPr/>
        <w:t>0.20mm.1</w:t>
      </w:r>
      <w:r>
        <w:rPr>
          <w:position w:val="8"/>
          <w:sz w:val="16"/>
        </w:rPr>
        <w:t>4</w:t>
      </w:r>
    </w:p>
    <w:p>
      <w:pPr>
        <w:pStyle w:val="BodyText"/>
        <w:rPr>
          <w:sz w:val="26"/>
        </w:rPr>
      </w:pPr>
    </w:p>
    <w:p>
      <w:pPr>
        <w:pStyle w:val="BodyText"/>
        <w:spacing w:before="9"/>
        <w:rPr>
          <w:sz w:val="37"/>
        </w:rPr>
      </w:pPr>
    </w:p>
    <w:p>
      <w:pPr>
        <w:pStyle w:val="ListParagraph"/>
        <w:numPr>
          <w:ilvl w:val="0"/>
          <w:numId w:val="6"/>
        </w:numPr>
        <w:tabs>
          <w:tab w:pos="822" w:val="left" w:leader="none"/>
        </w:tabs>
        <w:spacing w:line="240" w:lineRule="auto" w:before="0" w:after="0"/>
        <w:ind w:left="822" w:right="0" w:hanging="360"/>
        <w:jc w:val="left"/>
        <w:rPr>
          <w:sz w:val="24"/>
        </w:rPr>
      </w:pPr>
      <w:r>
        <w:rPr>
          <w:sz w:val="24"/>
        </w:rPr>
        <w:t>Limas F1, F2, F3, F4 y</w:t>
      </w:r>
      <w:r>
        <w:rPr>
          <w:spacing w:val="-7"/>
          <w:sz w:val="24"/>
        </w:rPr>
        <w:t> </w:t>
      </w:r>
      <w:r>
        <w:rPr>
          <w:sz w:val="24"/>
        </w:rPr>
        <w:t>F5.</w:t>
      </w:r>
    </w:p>
    <w:p>
      <w:pPr>
        <w:pStyle w:val="BodyText"/>
        <w:spacing w:before="10"/>
        <w:rPr>
          <w:sz w:val="25"/>
        </w:rPr>
      </w:pPr>
    </w:p>
    <w:p>
      <w:pPr>
        <w:pStyle w:val="BodyText"/>
        <w:spacing w:line="360" w:lineRule="auto"/>
        <w:ind w:left="102" w:right="116"/>
        <w:jc w:val="both"/>
      </w:pPr>
      <w:r>
        <w:rPr/>
        <w:t>Son</w:t>
      </w:r>
      <w:r>
        <w:rPr>
          <w:spacing w:val="-4"/>
        </w:rPr>
        <w:t> </w:t>
      </w:r>
      <w:r>
        <w:rPr/>
        <w:t>las</w:t>
      </w:r>
      <w:r>
        <w:rPr>
          <w:spacing w:val="-4"/>
        </w:rPr>
        <w:t> </w:t>
      </w:r>
      <w:r>
        <w:rPr/>
        <w:t>llamadas</w:t>
      </w:r>
      <w:r>
        <w:rPr>
          <w:spacing w:val="-4"/>
        </w:rPr>
        <w:t> </w:t>
      </w:r>
      <w:r>
        <w:rPr/>
        <w:t>limas</w:t>
      </w:r>
      <w:r>
        <w:rPr>
          <w:spacing w:val="-7"/>
        </w:rPr>
        <w:t> </w:t>
      </w:r>
      <w:r>
        <w:rPr/>
        <w:t>de</w:t>
      </w:r>
      <w:r>
        <w:rPr>
          <w:spacing w:val="-4"/>
        </w:rPr>
        <w:t> </w:t>
      </w:r>
      <w:r>
        <w:rPr/>
        <w:t>acabado.</w:t>
      </w:r>
      <w:r>
        <w:rPr>
          <w:spacing w:val="-4"/>
        </w:rPr>
        <w:t> </w:t>
      </w:r>
      <w:r>
        <w:rPr/>
        <w:t>Se</w:t>
      </w:r>
      <w:r>
        <w:rPr>
          <w:spacing w:val="-4"/>
        </w:rPr>
        <w:t> </w:t>
      </w:r>
      <w:r>
        <w:rPr/>
        <w:t>han</w:t>
      </w:r>
      <w:r>
        <w:rPr>
          <w:spacing w:val="-4"/>
        </w:rPr>
        <w:t> </w:t>
      </w:r>
      <w:r>
        <w:rPr/>
        <w:t>diseñado</w:t>
      </w:r>
      <w:r>
        <w:rPr>
          <w:spacing w:val="-4"/>
        </w:rPr>
        <w:t> </w:t>
      </w:r>
      <w:r>
        <w:rPr/>
        <w:t>para</w:t>
      </w:r>
      <w:r>
        <w:rPr>
          <w:spacing w:val="-7"/>
        </w:rPr>
        <w:t> </w:t>
      </w:r>
      <w:r>
        <w:rPr/>
        <w:t>acabar</w:t>
      </w:r>
      <w:r>
        <w:rPr>
          <w:spacing w:val="-5"/>
        </w:rPr>
        <w:t> </w:t>
      </w:r>
      <w:r>
        <w:rPr/>
        <w:t>de</w:t>
      </w:r>
      <w:r>
        <w:rPr>
          <w:spacing w:val="-4"/>
        </w:rPr>
        <w:t> </w:t>
      </w:r>
      <w:r>
        <w:rPr/>
        <w:t>forma</w:t>
      </w:r>
      <w:r>
        <w:rPr>
          <w:spacing w:val="4"/>
        </w:rPr>
        <w:t> </w:t>
      </w:r>
      <w:r>
        <w:rPr/>
        <w:t>óptima el tercio apical; también agrandan la forma de modo progresivo en el tercio medio del conducto. Por lo general sólo hace falta una lima para preparar el tercio apical del conducto. La lima se debe elegir en función de la curvatura y del diámetro transversal del conducto. Se utilizan con movimientos de picoteo. Las limas Finishing Files (F1, F2, F3, F4 y F5) o instrumentos para acabado, aumentan el diámetro</w:t>
      </w:r>
      <w:r>
        <w:rPr>
          <w:spacing w:val="-14"/>
        </w:rPr>
        <w:t> </w:t>
      </w:r>
      <w:r>
        <w:rPr/>
        <w:t>apical</w:t>
      </w:r>
      <w:r>
        <w:rPr>
          <w:spacing w:val="-14"/>
        </w:rPr>
        <w:t> </w:t>
      </w:r>
      <w:r>
        <w:rPr/>
        <w:t>final</w:t>
      </w:r>
      <w:r>
        <w:rPr>
          <w:spacing w:val="-14"/>
        </w:rPr>
        <w:t> </w:t>
      </w:r>
      <w:r>
        <w:rPr/>
        <w:t>(en</w:t>
      </w:r>
      <w:r>
        <w:rPr>
          <w:spacing w:val="-13"/>
        </w:rPr>
        <w:t> </w:t>
      </w:r>
      <w:r>
        <w:rPr/>
        <w:t>la</w:t>
      </w:r>
      <w:r>
        <w:rPr>
          <w:spacing w:val="-13"/>
        </w:rPr>
        <w:t> </w:t>
      </w:r>
      <w:r>
        <w:rPr/>
        <w:t>longitud</w:t>
      </w:r>
      <w:r>
        <w:rPr>
          <w:spacing w:val="-13"/>
        </w:rPr>
        <w:t> </w:t>
      </w:r>
      <w:r>
        <w:rPr/>
        <w:t>de</w:t>
      </w:r>
      <w:r>
        <w:rPr>
          <w:spacing w:val="-13"/>
        </w:rPr>
        <w:t> </w:t>
      </w:r>
      <w:r>
        <w:rPr/>
        <w:t>trabajo),</w:t>
      </w:r>
      <w:r>
        <w:rPr>
          <w:spacing w:val="-14"/>
        </w:rPr>
        <w:t> </w:t>
      </w:r>
      <w:r>
        <w:rPr/>
        <w:t>que</w:t>
      </w:r>
      <w:r>
        <w:rPr>
          <w:spacing w:val="-13"/>
        </w:rPr>
        <w:t> </w:t>
      </w:r>
      <w:r>
        <w:rPr/>
        <w:t>tiene</w:t>
      </w:r>
      <w:r>
        <w:rPr>
          <w:spacing w:val="-13"/>
        </w:rPr>
        <w:t> </w:t>
      </w:r>
      <w:r>
        <w:rPr/>
        <w:t>por</w:t>
      </w:r>
      <w:r>
        <w:rPr>
          <w:spacing w:val="-15"/>
        </w:rPr>
        <w:t> </w:t>
      </w:r>
      <w:r>
        <w:rPr/>
        <w:t>objetivo</w:t>
      </w:r>
      <w:r>
        <w:rPr>
          <w:spacing w:val="-13"/>
        </w:rPr>
        <w:t> </w:t>
      </w:r>
      <w:r>
        <w:rPr/>
        <w:t>realizar</w:t>
      </w:r>
      <w:r>
        <w:rPr>
          <w:spacing w:val="-15"/>
        </w:rPr>
        <w:t> </w:t>
      </w:r>
      <w:r>
        <w:rPr/>
        <w:t>el</w:t>
      </w:r>
      <w:r>
        <w:rPr>
          <w:spacing w:val="-14"/>
        </w:rPr>
        <w:t> </w:t>
      </w:r>
      <w:r>
        <w:rPr/>
        <w:t>tope apical</w:t>
      </w:r>
      <w:r>
        <w:rPr>
          <w:spacing w:val="-14"/>
        </w:rPr>
        <w:t> </w:t>
      </w:r>
      <w:r>
        <w:rPr/>
        <w:t>en</w:t>
      </w:r>
      <w:r>
        <w:rPr>
          <w:spacing w:val="-13"/>
        </w:rPr>
        <w:t> </w:t>
      </w:r>
      <w:r>
        <w:rPr/>
        <w:t>el</w:t>
      </w:r>
      <w:r>
        <w:rPr>
          <w:spacing w:val="-14"/>
        </w:rPr>
        <w:t> </w:t>
      </w:r>
      <w:r>
        <w:rPr/>
        <w:t>conducto</w:t>
      </w:r>
      <w:r>
        <w:rPr>
          <w:spacing w:val="-15"/>
        </w:rPr>
        <w:t> </w:t>
      </w:r>
      <w:r>
        <w:rPr/>
        <w:t>radicular.</w:t>
      </w:r>
      <w:r>
        <w:rPr>
          <w:spacing w:val="-17"/>
        </w:rPr>
        <w:t> </w:t>
      </w:r>
      <w:r>
        <w:rPr/>
        <w:t>El</w:t>
      </w:r>
      <w:r>
        <w:rPr>
          <w:spacing w:val="-14"/>
        </w:rPr>
        <w:t> </w:t>
      </w:r>
      <w:r>
        <w:rPr/>
        <w:t>diámetro</w:t>
      </w:r>
      <w:r>
        <w:rPr>
          <w:spacing w:val="-16"/>
        </w:rPr>
        <w:t> </w:t>
      </w:r>
      <w:r>
        <w:rPr/>
        <w:t>en</w:t>
      </w:r>
      <w:r>
        <w:rPr>
          <w:spacing w:val="-13"/>
        </w:rPr>
        <w:t> </w:t>
      </w:r>
      <w:r>
        <w:rPr/>
        <w:t>Do</w:t>
      </w:r>
      <w:r>
        <w:rPr>
          <w:spacing w:val="-13"/>
        </w:rPr>
        <w:t> </w:t>
      </w:r>
      <w:r>
        <w:rPr/>
        <w:t>de</w:t>
      </w:r>
      <w:r>
        <w:rPr>
          <w:spacing w:val="-13"/>
        </w:rPr>
        <w:t> </w:t>
      </w:r>
      <w:r>
        <w:rPr/>
        <w:t>estas</w:t>
      </w:r>
      <w:r>
        <w:rPr>
          <w:spacing w:val="-14"/>
        </w:rPr>
        <w:t> </w:t>
      </w:r>
      <w:r>
        <w:rPr/>
        <w:t>limas</w:t>
      </w:r>
      <w:r>
        <w:rPr>
          <w:spacing w:val="-14"/>
        </w:rPr>
        <w:t> </w:t>
      </w:r>
      <w:r>
        <w:rPr/>
        <w:t>es</w:t>
      </w:r>
      <w:r>
        <w:rPr>
          <w:spacing w:val="-19"/>
        </w:rPr>
        <w:t> </w:t>
      </w:r>
      <w:r>
        <w:rPr/>
        <w:t>0.20,</w:t>
      </w:r>
      <w:r>
        <w:rPr>
          <w:spacing w:val="-13"/>
        </w:rPr>
        <w:t> </w:t>
      </w:r>
      <w:r>
        <w:rPr/>
        <w:t>0.25,</w:t>
      </w:r>
      <w:r>
        <w:rPr>
          <w:spacing w:val="-16"/>
        </w:rPr>
        <w:t> </w:t>
      </w:r>
      <w:r>
        <w:rPr/>
        <w:t>0.30,</w:t>
      </w:r>
    </w:p>
    <w:p>
      <w:pPr>
        <w:pStyle w:val="ListParagraph"/>
        <w:numPr>
          <w:ilvl w:val="1"/>
          <w:numId w:val="7"/>
        </w:numPr>
        <w:tabs>
          <w:tab w:pos="637" w:val="left" w:leader="none"/>
        </w:tabs>
        <w:spacing w:line="279" w:lineRule="exact" w:before="0" w:after="0"/>
        <w:ind w:left="636" w:right="0" w:hanging="534"/>
        <w:jc w:val="both"/>
        <w:rPr>
          <w:sz w:val="16"/>
        </w:rPr>
      </w:pPr>
      <w:r>
        <w:rPr>
          <w:sz w:val="24"/>
        </w:rPr>
        <w:t>y 0.50</w:t>
      </w:r>
      <w:r>
        <w:rPr>
          <w:spacing w:val="-7"/>
          <w:sz w:val="24"/>
        </w:rPr>
        <w:t> </w:t>
      </w:r>
      <w:r>
        <w:rPr>
          <w:sz w:val="24"/>
        </w:rPr>
        <w:t>respectivamente.</w:t>
      </w:r>
      <w:r>
        <w:rPr>
          <w:position w:val="8"/>
          <w:sz w:val="16"/>
        </w:rPr>
        <w:t>14</w:t>
      </w:r>
    </w:p>
    <w:p>
      <w:pPr>
        <w:pStyle w:val="BodyText"/>
        <w:spacing w:before="10"/>
        <w:rPr>
          <w:sz w:val="25"/>
        </w:rPr>
      </w:pPr>
    </w:p>
    <w:p>
      <w:pPr>
        <w:pStyle w:val="BodyText"/>
        <w:spacing w:line="357" w:lineRule="auto"/>
        <w:ind w:left="102" w:right="114"/>
        <w:jc w:val="both"/>
        <w:rPr>
          <w:sz w:val="16"/>
        </w:rPr>
      </w:pPr>
      <w:r>
        <w:rPr/>
        <w:t>El</w:t>
      </w:r>
      <w:r>
        <w:rPr>
          <w:spacing w:val="-8"/>
        </w:rPr>
        <w:t> </w:t>
      </w:r>
      <w:r>
        <w:rPr/>
        <w:t>sistema</w:t>
      </w:r>
      <w:r>
        <w:rPr>
          <w:spacing w:val="-7"/>
        </w:rPr>
        <w:t> </w:t>
      </w:r>
      <w:r>
        <w:rPr/>
        <w:t>Protaper</w:t>
      </w:r>
      <w:r>
        <w:rPr>
          <w:spacing w:val="-8"/>
        </w:rPr>
        <w:t> </w:t>
      </w:r>
      <w:r>
        <w:rPr/>
        <w:t>puede</w:t>
      </w:r>
      <w:r>
        <w:rPr>
          <w:spacing w:val="-7"/>
        </w:rPr>
        <w:t> </w:t>
      </w:r>
      <w:r>
        <w:rPr/>
        <w:t>ser</w:t>
      </w:r>
      <w:r>
        <w:rPr>
          <w:spacing w:val="-8"/>
        </w:rPr>
        <w:t> </w:t>
      </w:r>
      <w:r>
        <w:rPr/>
        <w:t>utilizado</w:t>
      </w:r>
      <w:r>
        <w:rPr>
          <w:spacing w:val="-9"/>
        </w:rPr>
        <w:t> </w:t>
      </w:r>
      <w:r>
        <w:rPr/>
        <w:t>en</w:t>
      </w:r>
      <w:r>
        <w:rPr>
          <w:spacing w:val="-7"/>
        </w:rPr>
        <w:t> </w:t>
      </w:r>
      <w:r>
        <w:rPr/>
        <w:t>cualquier</w:t>
      </w:r>
      <w:r>
        <w:rPr>
          <w:spacing w:val="-8"/>
        </w:rPr>
        <w:t> </w:t>
      </w:r>
      <w:r>
        <w:rPr/>
        <w:t>motor</w:t>
      </w:r>
      <w:r>
        <w:rPr>
          <w:spacing w:val="-8"/>
        </w:rPr>
        <w:t> </w:t>
      </w:r>
      <w:r>
        <w:rPr/>
        <w:t>eléctrico,</w:t>
      </w:r>
      <w:r>
        <w:rPr>
          <w:spacing w:val="-10"/>
        </w:rPr>
        <w:t> </w:t>
      </w:r>
      <w:r>
        <w:rPr/>
        <w:t>pero</w:t>
      </w:r>
      <w:r>
        <w:rPr>
          <w:spacing w:val="-8"/>
        </w:rPr>
        <w:t> </w:t>
      </w:r>
      <w:r>
        <w:rPr/>
        <w:t>según</w:t>
      </w:r>
      <w:r>
        <w:rPr>
          <w:spacing w:val="-1"/>
        </w:rPr>
        <w:t> </w:t>
      </w:r>
      <w:r>
        <w:rPr/>
        <w:t>las especificaciones del fabricante, este sistema fue preconizado para su uso con el motor Técnica. La velocidad de rotación recomendada varía entre 250-300</w:t>
      </w:r>
      <w:r>
        <w:rPr>
          <w:spacing w:val="-23"/>
        </w:rPr>
        <w:t> </w:t>
      </w:r>
      <w:r>
        <w:rPr/>
        <w:t>rpm.</w:t>
      </w:r>
      <w:r>
        <w:rPr>
          <w:position w:val="8"/>
          <w:sz w:val="16"/>
        </w:rPr>
        <w:t>14</w:t>
      </w:r>
    </w:p>
    <w:p>
      <w:pPr>
        <w:spacing w:after="0" w:line="357" w:lineRule="auto"/>
        <w:jc w:val="both"/>
        <w:rPr>
          <w:sz w:val="16"/>
        </w:rPr>
        <w:sectPr>
          <w:pgSz w:w="12240" w:h="15840"/>
          <w:pgMar w:header="749" w:footer="0" w:top="960" w:bottom="280" w:left="1600" w:right="1580"/>
        </w:sectPr>
      </w:pPr>
    </w:p>
    <w:p>
      <w:pPr>
        <w:pStyle w:val="BodyText"/>
        <w:rPr>
          <w:sz w:val="20"/>
        </w:rPr>
      </w:pPr>
    </w:p>
    <w:p>
      <w:pPr>
        <w:pStyle w:val="Heading1"/>
        <w:numPr>
          <w:ilvl w:val="0"/>
          <w:numId w:val="2"/>
        </w:numPr>
        <w:tabs>
          <w:tab w:pos="4241" w:val="left" w:leader="none"/>
        </w:tabs>
        <w:spacing w:line="240" w:lineRule="auto" w:before="214" w:after="0"/>
        <w:ind w:left="4240" w:right="0" w:hanging="360"/>
        <w:jc w:val="left"/>
      </w:pPr>
      <w:bookmarkStart w:name="_TOC_250008" w:id="8"/>
      <w:bookmarkEnd w:id="8"/>
      <w:r>
        <w:rPr/>
        <w:t>OBJETIVO.</w:t>
      </w:r>
    </w:p>
    <w:p>
      <w:pPr>
        <w:pStyle w:val="BodyText"/>
        <w:spacing w:before="1"/>
        <w:rPr>
          <w:b/>
          <w:sz w:val="26"/>
        </w:rPr>
      </w:pPr>
    </w:p>
    <w:p>
      <w:pPr>
        <w:pStyle w:val="BodyText"/>
        <w:spacing w:line="360" w:lineRule="auto"/>
        <w:ind w:left="102" w:right="118"/>
        <w:jc w:val="both"/>
      </w:pPr>
      <w:r>
        <w:rPr/>
        <w:t>Conocer las configuraciones morfológicas más complejas en la práctica endodóntica, reportando una variación anatómica en el 1° Molar Superior</w:t>
      </w:r>
      <w:r>
        <w:rPr>
          <w:spacing w:val="-43"/>
        </w:rPr>
        <w:t> </w:t>
      </w:r>
      <w:r>
        <w:rPr/>
        <w:t>mediante la presentación de un caso</w:t>
      </w:r>
      <w:r>
        <w:rPr>
          <w:spacing w:val="-10"/>
        </w:rPr>
        <w:t> </w:t>
      </w:r>
      <w:r>
        <w:rPr/>
        <w:t>clínico.</w:t>
      </w:r>
    </w:p>
    <w:p>
      <w:pPr>
        <w:spacing w:after="0" w:line="360" w:lineRule="auto"/>
        <w:jc w:val="both"/>
        <w:sectPr>
          <w:pgSz w:w="12240" w:h="15840"/>
          <w:pgMar w:header="749" w:footer="0" w:top="960" w:bottom="280" w:left="1600" w:right="1580"/>
        </w:sectPr>
      </w:pPr>
    </w:p>
    <w:p>
      <w:pPr>
        <w:pStyle w:val="BodyText"/>
        <w:rPr>
          <w:sz w:val="20"/>
        </w:rPr>
      </w:pPr>
    </w:p>
    <w:p>
      <w:pPr>
        <w:pStyle w:val="ListParagraph"/>
        <w:numPr>
          <w:ilvl w:val="0"/>
          <w:numId w:val="2"/>
        </w:numPr>
        <w:tabs>
          <w:tab w:pos="3194" w:val="left" w:leader="none"/>
        </w:tabs>
        <w:spacing w:line="240" w:lineRule="auto" w:before="214" w:after="0"/>
        <w:ind w:left="3193" w:right="0" w:hanging="360"/>
        <w:jc w:val="left"/>
        <w:rPr>
          <w:b/>
          <w:sz w:val="24"/>
        </w:rPr>
      </w:pPr>
      <w:r>
        <w:rPr>
          <w:b/>
          <w:sz w:val="24"/>
        </w:rPr>
        <w:t>REPORTE DE CASO</w:t>
      </w:r>
      <w:r>
        <w:rPr>
          <w:b/>
          <w:spacing w:val="-6"/>
          <w:sz w:val="24"/>
        </w:rPr>
        <w:t> </w:t>
      </w:r>
      <w:r>
        <w:rPr>
          <w:b/>
          <w:sz w:val="24"/>
        </w:rPr>
        <w:t>CLÍNICO</w:t>
      </w:r>
    </w:p>
    <w:p>
      <w:pPr>
        <w:pStyle w:val="BodyText"/>
        <w:spacing w:before="1"/>
        <w:rPr>
          <w:b/>
          <w:sz w:val="26"/>
        </w:rPr>
      </w:pPr>
    </w:p>
    <w:p>
      <w:pPr>
        <w:pStyle w:val="BodyText"/>
        <w:spacing w:line="360" w:lineRule="auto"/>
        <w:ind w:left="102" w:right="122"/>
        <w:jc w:val="both"/>
      </w:pPr>
      <w:r>
        <w:rPr/>
        <w:t>Paciente masculino de 31 años de edad, quien es referido a la clínica de posgrado de endodoncia de la Universidad Autónoma del Estado de México para realizar el tratamiento endodóntico del órgano dentario 26. Al interrogatorio el paciente manifestó</w:t>
      </w:r>
      <w:r>
        <w:rPr>
          <w:spacing w:val="-13"/>
        </w:rPr>
        <w:t> </w:t>
      </w:r>
      <w:r>
        <w:rPr/>
        <w:t>haber</w:t>
      </w:r>
      <w:r>
        <w:rPr>
          <w:spacing w:val="-12"/>
        </w:rPr>
        <w:t> </w:t>
      </w:r>
      <w:r>
        <w:rPr/>
        <w:t>cursado</w:t>
      </w:r>
      <w:r>
        <w:rPr>
          <w:spacing w:val="-11"/>
        </w:rPr>
        <w:t> </w:t>
      </w:r>
      <w:r>
        <w:rPr/>
        <w:t>con</w:t>
      </w:r>
      <w:r>
        <w:rPr>
          <w:spacing w:val="-11"/>
        </w:rPr>
        <w:t> </w:t>
      </w:r>
      <w:r>
        <w:rPr/>
        <w:t>dolor</w:t>
      </w:r>
      <w:r>
        <w:rPr>
          <w:spacing w:val="-12"/>
        </w:rPr>
        <w:t> </w:t>
      </w:r>
      <w:r>
        <w:rPr/>
        <w:t>espontáneo,</w:t>
      </w:r>
      <w:r>
        <w:rPr>
          <w:spacing w:val="-13"/>
        </w:rPr>
        <w:t> </w:t>
      </w:r>
      <w:r>
        <w:rPr/>
        <w:t>provocado</w:t>
      </w:r>
      <w:r>
        <w:rPr>
          <w:spacing w:val="-11"/>
        </w:rPr>
        <w:t> </w:t>
      </w:r>
      <w:r>
        <w:rPr/>
        <w:t>y</w:t>
      </w:r>
      <w:r>
        <w:rPr>
          <w:spacing w:val="-14"/>
        </w:rPr>
        <w:t> </w:t>
      </w:r>
      <w:r>
        <w:rPr/>
        <w:t>a</w:t>
      </w:r>
      <w:r>
        <w:rPr>
          <w:spacing w:val="-11"/>
        </w:rPr>
        <w:t> </w:t>
      </w:r>
      <w:r>
        <w:rPr/>
        <w:t>la</w:t>
      </w:r>
      <w:r>
        <w:rPr>
          <w:spacing w:val="-13"/>
        </w:rPr>
        <w:t> </w:t>
      </w:r>
      <w:r>
        <w:rPr/>
        <w:t>masticación</w:t>
      </w:r>
      <w:r>
        <w:rPr>
          <w:spacing w:val="-13"/>
        </w:rPr>
        <w:t> </w:t>
      </w:r>
      <w:r>
        <w:rPr/>
        <w:t>en</w:t>
      </w:r>
      <w:r>
        <w:rPr>
          <w:spacing w:val="-11"/>
        </w:rPr>
        <w:t> </w:t>
      </w:r>
      <w:r>
        <w:rPr/>
        <w:t>los últimos días. Se comprobó ausencia de inflamación extra e intraoral. Clínicamente presentaba una caries extensa que comprometía el espacio de la cámara</w:t>
      </w:r>
      <w:r>
        <w:rPr>
          <w:spacing w:val="-35"/>
        </w:rPr>
        <w:t> </w:t>
      </w:r>
      <w:r>
        <w:rPr/>
        <w:t>pulpar.</w:t>
      </w:r>
    </w:p>
    <w:p>
      <w:pPr>
        <w:pStyle w:val="BodyText"/>
        <w:spacing w:line="362" w:lineRule="auto" w:before="163"/>
        <w:ind w:left="102" w:right="118"/>
        <w:jc w:val="both"/>
      </w:pPr>
      <w:r>
        <w:rPr/>
        <w:t>Una examinación radiográfica preoperatoria fue obtenida. (Fig. 4) Se observó la presencia de dos raíces vestibulares y dos raíces palatinas.</w:t>
      </w:r>
    </w:p>
    <w:p>
      <w:pPr>
        <w:pStyle w:val="BodyText"/>
      </w:pPr>
    </w:p>
    <w:p>
      <w:pPr>
        <w:pStyle w:val="BodyText"/>
      </w:pPr>
    </w:p>
    <w:p>
      <w:pPr>
        <w:pStyle w:val="BodyText"/>
        <w:spacing w:before="182"/>
        <w:ind w:left="438" w:right="136"/>
      </w:pPr>
      <w:r>
        <w:rPr/>
        <w:pict>
          <v:shape style="position:absolute;margin-left:315.769989pt;margin-top:-6.704118pt;width:211.75pt;height:298.4pt;mso-position-horizontal-relative:page;mso-position-vertical-relative:paragraph;z-index:1168" type="#_x0000_t202" filled="false" stroked="false">
            <v:textbox inset="0,0,0,0">
              <w:txbxContent>
                <w:tbl>
                  <w:tblPr>
                    <w:tblW w:w="0" w:type="auto"/>
                    <w:jc w:val="left"/>
                    <w:tblBorders>
                      <w:top w:val="single" w:sz="8" w:space="0" w:color="78C0D3"/>
                      <w:left w:val="single" w:sz="8" w:space="0" w:color="78C0D3"/>
                      <w:bottom w:val="single" w:sz="8" w:space="0" w:color="78C0D3"/>
                      <w:right w:val="single" w:sz="8" w:space="0" w:color="78C0D3"/>
                      <w:insideH w:val="single" w:sz="8" w:space="0" w:color="78C0D3"/>
                      <w:insideV w:val="single" w:sz="8" w:space="0" w:color="78C0D3"/>
                    </w:tblBorders>
                    <w:tblLayout w:type="fixed"/>
                    <w:tblCellMar>
                      <w:top w:w="0" w:type="dxa"/>
                      <w:left w:w="0" w:type="dxa"/>
                      <w:bottom w:w="0" w:type="dxa"/>
                      <w:right w:w="0" w:type="dxa"/>
                    </w:tblCellMar>
                    <w:tblLook w:val="01E0"/>
                  </w:tblPr>
                  <w:tblGrid>
                    <w:gridCol w:w="4206"/>
                  </w:tblGrid>
                  <w:tr>
                    <w:trPr>
                      <w:trHeight w:val="1248" w:hRule="exact"/>
                    </w:trPr>
                    <w:tc>
                      <w:tcPr>
                        <w:tcW w:w="4206" w:type="dxa"/>
                        <w:shd w:val="clear" w:color="auto" w:fill="4AACC5"/>
                      </w:tcPr>
                      <w:p>
                        <w:pPr>
                          <w:pStyle w:val="TableParagraph"/>
                          <w:spacing w:line="535" w:lineRule="auto"/>
                          <w:ind w:left="98" w:right="1841"/>
                          <w:rPr>
                            <w:b/>
                            <w:sz w:val="24"/>
                          </w:rPr>
                        </w:pPr>
                        <w:r>
                          <w:rPr>
                            <w:b/>
                            <w:color w:val="FFFFFF"/>
                            <w:sz w:val="24"/>
                          </w:rPr>
                          <w:t>Pruebas de Sensibilidad Pulpar</w:t>
                        </w:r>
                      </w:p>
                    </w:tc>
                  </w:tr>
                  <w:tr>
                    <w:trPr>
                      <w:trHeight w:val="635" w:hRule="exact"/>
                    </w:trPr>
                    <w:tc>
                      <w:tcPr>
                        <w:tcW w:w="4206" w:type="dxa"/>
                        <w:shd w:val="clear" w:color="auto" w:fill="D2EAF0"/>
                      </w:tcPr>
                      <w:p>
                        <w:pPr>
                          <w:pStyle w:val="TableParagraph"/>
                          <w:tabs>
                            <w:tab w:pos="892" w:val="left" w:leader="none"/>
                          </w:tabs>
                          <w:spacing w:line="275" w:lineRule="exact"/>
                          <w:ind w:left="173"/>
                          <w:jc w:val="center"/>
                          <w:rPr>
                            <w:b/>
                            <w:sz w:val="24"/>
                          </w:rPr>
                        </w:pPr>
                        <w:r>
                          <w:rPr>
                            <w:b/>
                            <w:sz w:val="24"/>
                          </w:rPr>
                          <w:t>Frío</w:t>
                          <w:tab/>
                          <w:t>(-)</w:t>
                        </w:r>
                      </w:p>
                    </w:tc>
                  </w:tr>
                  <w:tr>
                    <w:trPr>
                      <w:trHeight w:val="634" w:hRule="exact"/>
                    </w:trPr>
                    <w:tc>
                      <w:tcPr>
                        <w:tcW w:w="4206" w:type="dxa"/>
                      </w:tcPr>
                      <w:p>
                        <w:pPr>
                          <w:pStyle w:val="TableParagraph"/>
                          <w:spacing w:line="274" w:lineRule="exact"/>
                          <w:ind w:left="199"/>
                          <w:jc w:val="center"/>
                          <w:rPr>
                            <w:b/>
                            <w:sz w:val="24"/>
                          </w:rPr>
                        </w:pPr>
                        <w:r>
                          <w:rPr>
                            <w:b/>
                            <w:sz w:val="24"/>
                          </w:rPr>
                          <w:t>Calor</w:t>
                        </w:r>
                        <w:r>
                          <w:rPr>
                            <w:b/>
                            <w:spacing w:val="60"/>
                            <w:sz w:val="24"/>
                          </w:rPr>
                          <w:t> </w:t>
                        </w:r>
                        <w:r>
                          <w:rPr>
                            <w:b/>
                            <w:sz w:val="24"/>
                          </w:rPr>
                          <w:t>(-)</w:t>
                        </w:r>
                      </w:p>
                    </w:tc>
                  </w:tr>
                  <w:tr>
                    <w:trPr>
                      <w:trHeight w:val="848" w:hRule="exact"/>
                    </w:trPr>
                    <w:tc>
                      <w:tcPr>
                        <w:tcW w:w="4206" w:type="dxa"/>
                        <w:shd w:val="clear" w:color="auto" w:fill="D2EAF0"/>
                      </w:tcPr>
                      <w:p>
                        <w:pPr>
                          <w:pStyle w:val="TableParagraph"/>
                          <w:spacing w:line="360" w:lineRule="auto"/>
                          <w:ind w:left="98" w:right="2481"/>
                          <w:rPr>
                            <w:b/>
                            <w:sz w:val="24"/>
                          </w:rPr>
                        </w:pPr>
                        <w:r>
                          <w:rPr>
                            <w:b/>
                            <w:color w:val="6F2F9F"/>
                            <w:sz w:val="24"/>
                          </w:rPr>
                          <w:t>Pruebas Periodontales</w:t>
                        </w:r>
                      </w:p>
                    </w:tc>
                  </w:tr>
                  <w:tr>
                    <w:trPr>
                      <w:trHeight w:val="434" w:hRule="exact"/>
                    </w:trPr>
                    <w:tc>
                      <w:tcPr>
                        <w:tcW w:w="4206" w:type="dxa"/>
                      </w:tcPr>
                      <w:p>
                        <w:pPr>
                          <w:pStyle w:val="TableParagraph"/>
                          <w:tabs>
                            <w:tab w:pos="3100" w:val="left" w:leader="none"/>
                          </w:tabs>
                          <w:spacing w:line="274" w:lineRule="exact"/>
                          <w:ind w:left="499" w:right="97"/>
                          <w:rPr>
                            <w:b/>
                            <w:sz w:val="24"/>
                          </w:rPr>
                        </w:pPr>
                        <w:r>
                          <w:rPr>
                            <w:b/>
                            <w:sz w:val="24"/>
                          </w:rPr>
                          <w:t>Percusión</w:t>
                        </w:r>
                        <w:r>
                          <w:rPr>
                            <w:b/>
                            <w:spacing w:val="-3"/>
                            <w:sz w:val="24"/>
                          </w:rPr>
                          <w:t> </w:t>
                        </w:r>
                        <w:r>
                          <w:rPr>
                            <w:b/>
                            <w:sz w:val="24"/>
                          </w:rPr>
                          <w:t>vertical</w:t>
                          <w:tab/>
                          <w:t>(+)</w:t>
                        </w:r>
                      </w:p>
                    </w:tc>
                  </w:tr>
                  <w:tr>
                    <w:trPr>
                      <w:trHeight w:val="434" w:hRule="exact"/>
                    </w:trPr>
                    <w:tc>
                      <w:tcPr>
                        <w:tcW w:w="4206" w:type="dxa"/>
                        <w:shd w:val="clear" w:color="auto" w:fill="D2EAF0"/>
                      </w:tcPr>
                      <w:p>
                        <w:pPr>
                          <w:pStyle w:val="TableParagraph"/>
                          <w:tabs>
                            <w:tab w:pos="3072" w:val="left" w:leader="none"/>
                          </w:tabs>
                          <w:spacing w:line="274" w:lineRule="exact"/>
                          <w:ind w:left="499" w:right="97"/>
                          <w:rPr>
                            <w:b/>
                            <w:sz w:val="24"/>
                          </w:rPr>
                        </w:pPr>
                        <w:r>
                          <w:rPr>
                            <w:b/>
                            <w:sz w:val="24"/>
                          </w:rPr>
                          <w:t>Percusión</w:t>
                        </w:r>
                        <w:r>
                          <w:rPr>
                            <w:b/>
                            <w:spacing w:val="-3"/>
                            <w:sz w:val="24"/>
                          </w:rPr>
                          <w:t> </w:t>
                        </w:r>
                        <w:r>
                          <w:rPr>
                            <w:b/>
                            <w:sz w:val="24"/>
                          </w:rPr>
                          <w:t>horizontal</w:t>
                          <w:tab/>
                          <w:t>(+)</w:t>
                        </w:r>
                      </w:p>
                    </w:tc>
                  </w:tr>
                  <w:tr>
                    <w:trPr>
                      <w:trHeight w:val="433" w:hRule="exact"/>
                    </w:trPr>
                    <w:tc>
                      <w:tcPr>
                        <w:tcW w:w="4206" w:type="dxa"/>
                      </w:tcPr>
                      <w:p>
                        <w:pPr>
                          <w:pStyle w:val="TableParagraph"/>
                          <w:tabs>
                            <w:tab w:pos="1966" w:val="left" w:leader="none"/>
                          </w:tabs>
                          <w:spacing w:line="274" w:lineRule="exact"/>
                          <w:ind w:left="499" w:right="1841"/>
                          <w:rPr>
                            <w:b/>
                            <w:sz w:val="24"/>
                          </w:rPr>
                        </w:pPr>
                        <w:r>
                          <w:rPr>
                            <w:b/>
                            <w:sz w:val="24"/>
                          </w:rPr>
                          <w:t>Palpación</w:t>
                          <w:tab/>
                          <w:t>(-)</w:t>
                        </w:r>
                      </w:p>
                    </w:tc>
                  </w:tr>
                  <w:tr>
                    <w:trPr>
                      <w:trHeight w:val="433" w:hRule="exact"/>
                    </w:trPr>
                    <w:tc>
                      <w:tcPr>
                        <w:tcW w:w="4206" w:type="dxa"/>
                        <w:shd w:val="clear" w:color="auto" w:fill="D2EAF0"/>
                      </w:tcPr>
                      <w:p>
                        <w:pPr>
                          <w:pStyle w:val="TableParagraph"/>
                          <w:tabs>
                            <w:tab w:pos="1926" w:val="left" w:leader="none"/>
                          </w:tabs>
                          <w:spacing w:line="275" w:lineRule="exact"/>
                          <w:ind w:left="502" w:right="1841"/>
                          <w:rPr>
                            <w:b/>
                            <w:sz w:val="24"/>
                          </w:rPr>
                        </w:pPr>
                        <w:r>
                          <w:rPr>
                            <w:b/>
                            <w:sz w:val="24"/>
                          </w:rPr>
                          <w:t>Oclusión</w:t>
                          <w:tab/>
                          <w:t>(+)</w:t>
                        </w:r>
                      </w:p>
                    </w:tc>
                  </w:tr>
                  <w:tr>
                    <w:trPr>
                      <w:trHeight w:val="850" w:hRule="exact"/>
                    </w:trPr>
                    <w:tc>
                      <w:tcPr>
                        <w:tcW w:w="4206" w:type="dxa"/>
                      </w:tcPr>
                      <w:p>
                        <w:pPr>
                          <w:pStyle w:val="TableParagraph"/>
                          <w:tabs>
                            <w:tab w:pos="1835" w:val="left" w:leader="none"/>
                            <w:tab w:pos="2485" w:val="left" w:leader="none"/>
                            <w:tab w:pos="3806" w:val="left" w:leader="none"/>
                          </w:tabs>
                          <w:spacing w:line="360" w:lineRule="auto"/>
                          <w:ind w:left="98" w:right="97" w:firstLine="401"/>
                          <w:rPr>
                            <w:b/>
                            <w:sz w:val="24"/>
                          </w:rPr>
                        </w:pPr>
                        <w:r>
                          <w:rPr>
                            <w:b/>
                            <w:sz w:val="24"/>
                          </w:rPr>
                          <w:t>Sondeo</w:t>
                          <w:tab/>
                          <w:t>(sin</w:t>
                          <w:tab/>
                          <w:t>evidencia</w:t>
                          <w:tab/>
                          <w:t>de bolsa periodontal Ve o</w:t>
                        </w:r>
                        <w:r>
                          <w:rPr>
                            <w:b/>
                            <w:spacing w:val="-10"/>
                            <w:sz w:val="24"/>
                          </w:rPr>
                          <w:t> </w:t>
                        </w:r>
                        <w:r>
                          <w:rPr>
                            <w:b/>
                            <w:sz w:val="24"/>
                          </w:rPr>
                          <w:t>Pa).</w:t>
                        </w:r>
                      </w:p>
                    </w:tc>
                  </w:tr>
                </w:tbl>
                <w:p>
                  <w:pPr>
                    <w:pStyle w:val="BodyText"/>
                  </w:pPr>
                </w:p>
              </w:txbxContent>
            </v:textbox>
            <w10:wrap type="none"/>
          </v:shape>
        </w:pict>
      </w:r>
      <w:r>
        <w:rPr/>
        <w:t>Fig 4 Radiografía Preoperatoria</w:t>
      </w:r>
    </w:p>
    <w:p>
      <w:pPr>
        <w:pStyle w:val="BodyText"/>
        <w:rPr>
          <w:sz w:val="20"/>
        </w:rPr>
      </w:pPr>
    </w:p>
    <w:p>
      <w:pPr>
        <w:pStyle w:val="BodyText"/>
        <w:spacing w:before="2"/>
        <w:rPr>
          <w:sz w:val="18"/>
        </w:rPr>
      </w:pPr>
      <w:r>
        <w:rPr/>
        <w:pict>
          <v:group style="position:absolute;margin-left:99.120003pt;margin-top:12.42802pt;width:179.05pt;height:240.15pt;mso-position-horizontal-relative:page;mso-position-vertical-relative:paragraph;z-index:1144;mso-wrap-distance-left:0;mso-wrap-distance-right:0" coordorigin="1982,249" coordsize="3581,4803">
            <v:shape style="position:absolute;left:1982;top:2617;width:3581;height:2434" type="#_x0000_t75" stroked="false">
              <v:imagedata r:id="rId14" o:title=""/>
            </v:shape>
            <v:shape style="position:absolute;left:2006;top:249;width:3533;height:2386" coordorigin="2006,249" coordsize="3533,2386" path="m5334,249l2211,249,2132,265,2066,309,2023,374,2006,454,2006,2429,2023,2509,2066,2574,2132,2618,2211,2634,5334,2634,5414,2618,5479,2574,5523,2509,5539,2429,5539,454,5523,374,5479,309,5414,265,5334,249xe" filled="true" fillcolor="#ececec" stroked="false">
              <v:path arrowok="t"/>
              <v:fill type="solid"/>
            </v:shape>
            <v:shape style="position:absolute;left:2006;top:249;width:3533;height:2386" type="#_x0000_t75" stroked="false">
              <v:imagedata r:id="rId15" o:title=""/>
            </v:shape>
            <w10:wrap type="topAndBottom"/>
          </v:group>
        </w:pict>
      </w:r>
    </w:p>
    <w:p>
      <w:pPr>
        <w:pStyle w:val="BodyText"/>
      </w:pPr>
    </w:p>
    <w:p>
      <w:pPr>
        <w:pStyle w:val="BodyText"/>
      </w:pPr>
    </w:p>
    <w:p>
      <w:pPr>
        <w:pStyle w:val="BodyText"/>
        <w:spacing w:line="360" w:lineRule="auto" w:before="177"/>
        <w:ind w:left="102" w:right="124"/>
        <w:jc w:val="both"/>
      </w:pPr>
      <w:r>
        <w:rPr/>
        <w:t>De acuerdo a los datos conseguidos con las pruebas de sensibilidad, se determinó necrosis como diagnóstico pulpar y periodontitis apical sintomática como diagnóstico periapical. El pronóstico y plan de tratamiento fue discutido con el paciente quien dio su consentimiento para poder llevarlo a cabo.</w:t>
      </w:r>
    </w:p>
    <w:p>
      <w:pPr>
        <w:spacing w:after="0" w:line="360" w:lineRule="auto"/>
        <w:jc w:val="both"/>
        <w:sectPr>
          <w:pgSz w:w="12240" w:h="15840"/>
          <w:pgMar w:header="749" w:footer="0" w:top="960" w:bottom="280" w:left="1600" w:right="1580"/>
        </w:sectPr>
      </w:pPr>
    </w:p>
    <w:p>
      <w:pPr>
        <w:pStyle w:val="BodyText"/>
        <w:rPr>
          <w:sz w:val="20"/>
        </w:rPr>
      </w:pPr>
    </w:p>
    <w:p>
      <w:pPr>
        <w:pStyle w:val="Heading1"/>
        <w:numPr>
          <w:ilvl w:val="1"/>
          <w:numId w:val="8"/>
        </w:numPr>
        <w:tabs>
          <w:tab w:pos="1214" w:val="left" w:leader="none"/>
        </w:tabs>
        <w:spacing w:line="240" w:lineRule="auto" w:before="214" w:after="0"/>
        <w:ind w:left="1213" w:right="0" w:hanging="403"/>
        <w:jc w:val="left"/>
      </w:pPr>
      <w:bookmarkStart w:name="_TOC_250007" w:id="9"/>
      <w:bookmarkEnd w:id="9"/>
      <w:r>
        <w:rPr/>
        <w:t>Tratamiento</w:t>
      </w:r>
    </w:p>
    <w:p>
      <w:pPr>
        <w:pStyle w:val="BodyText"/>
        <w:spacing w:before="1"/>
        <w:rPr>
          <w:b/>
          <w:sz w:val="26"/>
        </w:rPr>
      </w:pPr>
    </w:p>
    <w:p>
      <w:pPr>
        <w:pStyle w:val="BodyText"/>
        <w:spacing w:line="360" w:lineRule="auto"/>
        <w:ind w:left="102" w:right="117"/>
        <w:jc w:val="both"/>
      </w:pPr>
      <w:r>
        <w:rPr/>
        <w:t>Realizado</w:t>
      </w:r>
      <w:r>
        <w:rPr>
          <w:spacing w:val="-5"/>
        </w:rPr>
        <w:t> </w:t>
      </w:r>
      <w:r>
        <w:rPr/>
        <w:t>el</w:t>
      </w:r>
      <w:r>
        <w:rPr>
          <w:spacing w:val="-6"/>
        </w:rPr>
        <w:t> </w:t>
      </w:r>
      <w:r>
        <w:rPr/>
        <w:t>bloqueo</w:t>
      </w:r>
      <w:r>
        <w:rPr>
          <w:spacing w:val="-7"/>
        </w:rPr>
        <w:t> </w:t>
      </w:r>
      <w:r>
        <w:rPr/>
        <w:t>anestésico</w:t>
      </w:r>
      <w:r>
        <w:rPr>
          <w:spacing w:val="-5"/>
        </w:rPr>
        <w:t> </w:t>
      </w:r>
      <w:r>
        <w:rPr/>
        <w:t>del</w:t>
      </w:r>
      <w:r>
        <w:rPr>
          <w:spacing w:val="-6"/>
        </w:rPr>
        <w:t> </w:t>
      </w:r>
      <w:r>
        <w:rPr/>
        <w:t>órgano</w:t>
      </w:r>
      <w:r>
        <w:rPr>
          <w:spacing w:val="-5"/>
        </w:rPr>
        <w:t> </w:t>
      </w:r>
      <w:r>
        <w:rPr/>
        <w:t>dentario</w:t>
      </w:r>
      <w:r>
        <w:rPr>
          <w:spacing w:val="-5"/>
        </w:rPr>
        <w:t> </w:t>
      </w:r>
      <w:r>
        <w:rPr/>
        <w:t>con</w:t>
      </w:r>
      <w:r>
        <w:rPr>
          <w:spacing w:val="-5"/>
        </w:rPr>
        <w:t> </w:t>
      </w:r>
      <w:r>
        <w:rPr/>
        <w:t>una</w:t>
      </w:r>
      <w:r>
        <w:rPr>
          <w:spacing w:val="-5"/>
        </w:rPr>
        <w:t> </w:t>
      </w:r>
      <w:r>
        <w:rPr/>
        <w:t>técnica</w:t>
      </w:r>
      <w:r>
        <w:rPr>
          <w:spacing w:val="-5"/>
        </w:rPr>
        <w:t> </w:t>
      </w:r>
      <w:r>
        <w:rPr/>
        <w:t>infiltrativa</w:t>
      </w:r>
      <w:r>
        <w:rPr>
          <w:spacing w:val="-5"/>
        </w:rPr>
        <w:t> </w:t>
      </w:r>
      <w:r>
        <w:rPr/>
        <w:t>y</w:t>
      </w:r>
      <w:r>
        <w:rPr>
          <w:spacing w:val="-8"/>
        </w:rPr>
        <w:t> </w:t>
      </w:r>
      <w:r>
        <w:rPr/>
        <w:t>el aislamiento absoluto con dique de hule, se procedió a realizar la remoción de la lesión cariosa y se dío paso a la apertura del acceso cameral para acceder al sistema</w:t>
      </w:r>
      <w:r>
        <w:rPr>
          <w:spacing w:val="-9"/>
        </w:rPr>
        <w:t> </w:t>
      </w:r>
      <w:r>
        <w:rPr/>
        <w:t>de</w:t>
      </w:r>
      <w:r>
        <w:rPr>
          <w:spacing w:val="-7"/>
        </w:rPr>
        <w:t> </w:t>
      </w:r>
      <w:r>
        <w:rPr/>
        <w:t>conductos;</w:t>
      </w:r>
      <w:r>
        <w:rPr>
          <w:spacing w:val="-10"/>
        </w:rPr>
        <w:t> </w:t>
      </w:r>
      <w:r>
        <w:rPr/>
        <w:t>se</w:t>
      </w:r>
      <w:r>
        <w:rPr>
          <w:spacing w:val="-7"/>
        </w:rPr>
        <w:t> </w:t>
      </w:r>
      <w:r>
        <w:rPr/>
        <w:t>localizaron</w:t>
      </w:r>
      <w:r>
        <w:rPr>
          <w:spacing w:val="-7"/>
        </w:rPr>
        <w:t> </w:t>
      </w:r>
      <w:r>
        <w:rPr/>
        <w:t>4</w:t>
      </w:r>
      <w:r>
        <w:rPr>
          <w:spacing w:val="-9"/>
        </w:rPr>
        <w:t> </w:t>
      </w:r>
      <w:r>
        <w:rPr/>
        <w:t>orificios</w:t>
      </w:r>
      <w:r>
        <w:rPr>
          <w:spacing w:val="-8"/>
        </w:rPr>
        <w:t> </w:t>
      </w:r>
      <w:r>
        <w:rPr/>
        <w:t>de</w:t>
      </w:r>
      <w:r>
        <w:rPr>
          <w:spacing w:val="-9"/>
        </w:rPr>
        <w:t> </w:t>
      </w:r>
      <w:r>
        <w:rPr/>
        <w:t>entrada</w:t>
      </w:r>
      <w:r>
        <w:rPr>
          <w:spacing w:val="-7"/>
        </w:rPr>
        <w:t> </w:t>
      </w:r>
      <w:r>
        <w:rPr/>
        <w:t>correspondientes</w:t>
      </w:r>
      <w:r>
        <w:rPr>
          <w:spacing w:val="-8"/>
        </w:rPr>
        <w:t> </w:t>
      </w:r>
      <w:r>
        <w:rPr/>
        <w:t>a</w:t>
      </w:r>
      <w:r>
        <w:rPr>
          <w:spacing w:val="-9"/>
        </w:rPr>
        <w:t> </w:t>
      </w:r>
      <w:r>
        <w:rPr/>
        <w:t>las</w:t>
      </w:r>
      <w:r>
        <w:rPr>
          <w:spacing w:val="-10"/>
        </w:rPr>
        <w:t> </w:t>
      </w:r>
      <w:r>
        <w:rPr/>
        <w:t>4 raíces (fig.5A), dos situadas en la zona vestibular y dos en la zona palatina de la cámara pulpar (fig.</w:t>
      </w:r>
      <w:r>
        <w:rPr>
          <w:spacing w:val="-6"/>
        </w:rPr>
        <w:t> </w:t>
      </w:r>
      <w:r>
        <w:rPr/>
        <w:t>5B)</w:t>
      </w:r>
    </w:p>
    <w:p>
      <w:pPr>
        <w:pStyle w:val="BodyText"/>
        <w:spacing w:before="4"/>
        <w:rPr>
          <w:sz w:val="11"/>
        </w:rPr>
      </w:pPr>
      <w:r>
        <w:rPr/>
        <w:drawing>
          <wp:anchor distT="0" distB="0" distL="0" distR="0" allowOverlap="1" layoutInCell="1" locked="0" behindDoc="0" simplePos="0" relativeHeight="1192">
            <wp:simplePos x="0" y="0"/>
            <wp:positionH relativeFrom="page">
              <wp:posOffset>1717548</wp:posOffset>
            </wp:positionH>
            <wp:positionV relativeFrom="paragraph">
              <wp:posOffset>107872</wp:posOffset>
            </wp:positionV>
            <wp:extent cx="1814144" cy="1630299"/>
            <wp:effectExtent l="0" t="0" r="0" b="0"/>
            <wp:wrapTopAndBottom/>
            <wp:docPr id="7" name="image9.jpeg" descr=""/>
            <wp:cNvGraphicFramePr>
              <a:graphicFrameLocks noChangeAspect="1"/>
            </wp:cNvGraphicFramePr>
            <a:graphic>
              <a:graphicData uri="http://schemas.openxmlformats.org/drawingml/2006/picture">
                <pic:pic>
                  <pic:nvPicPr>
                    <pic:cNvPr id="8" name="image9.jpeg"/>
                    <pic:cNvPicPr/>
                  </pic:nvPicPr>
                  <pic:blipFill>
                    <a:blip r:embed="rId16" cstate="print"/>
                    <a:stretch>
                      <a:fillRect/>
                    </a:stretch>
                  </pic:blipFill>
                  <pic:spPr>
                    <a:xfrm>
                      <a:off x="0" y="0"/>
                      <a:ext cx="1814144" cy="1630299"/>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4203191</wp:posOffset>
            </wp:positionH>
            <wp:positionV relativeFrom="paragraph">
              <wp:posOffset>107872</wp:posOffset>
            </wp:positionV>
            <wp:extent cx="1846521" cy="1642872"/>
            <wp:effectExtent l="0" t="0" r="0" b="0"/>
            <wp:wrapTopAndBottom/>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17" cstate="print"/>
                    <a:stretch>
                      <a:fillRect/>
                    </a:stretch>
                  </pic:blipFill>
                  <pic:spPr>
                    <a:xfrm>
                      <a:off x="0" y="0"/>
                      <a:ext cx="1846521" cy="1642872"/>
                    </a:xfrm>
                    <a:prstGeom prst="rect">
                      <a:avLst/>
                    </a:prstGeom>
                  </pic:spPr>
                </pic:pic>
              </a:graphicData>
            </a:graphic>
          </wp:anchor>
        </w:drawing>
      </w:r>
    </w:p>
    <w:p>
      <w:pPr>
        <w:pStyle w:val="BodyText"/>
        <w:spacing w:before="7"/>
        <w:rPr>
          <w:sz w:val="21"/>
        </w:rPr>
      </w:pPr>
    </w:p>
    <w:p>
      <w:pPr>
        <w:pStyle w:val="BodyText"/>
        <w:tabs>
          <w:tab w:pos="4679" w:val="left" w:leader="none"/>
        </w:tabs>
        <w:ind w:left="810" w:right="136"/>
      </w:pPr>
      <w:r>
        <w:rPr/>
        <w:t>Fig 5A.</w:t>
      </w:r>
      <w:r>
        <w:rPr>
          <w:spacing w:val="-5"/>
        </w:rPr>
        <w:t> </w:t>
      </w:r>
      <w:r>
        <w:rPr/>
        <w:t>Acceso</w:t>
      </w:r>
      <w:r>
        <w:rPr>
          <w:spacing w:val="-2"/>
        </w:rPr>
        <w:t> </w:t>
      </w:r>
      <w:r>
        <w:rPr/>
        <w:t>cameral</w:t>
        <w:tab/>
        <w:t>Fig 5B. 4 conductos: MV=</w:t>
      </w:r>
      <w:r>
        <w:rPr>
          <w:spacing w:val="-6"/>
        </w:rPr>
        <w:t> </w:t>
      </w:r>
      <w:r>
        <w:rPr/>
        <w:t>mesio</w:t>
      </w:r>
    </w:p>
    <w:p>
      <w:pPr>
        <w:pStyle w:val="BodyText"/>
        <w:spacing w:line="360" w:lineRule="auto" w:before="137"/>
        <w:ind w:left="4679" w:right="136"/>
      </w:pPr>
      <w:r>
        <w:rPr/>
        <w:t>vestibular, MP=mesio-palatino, DV=disto-vestibular y DP=disto-palatino</w:t>
      </w:r>
    </w:p>
    <w:p>
      <w:pPr>
        <w:pStyle w:val="Heading1"/>
        <w:numPr>
          <w:ilvl w:val="1"/>
          <w:numId w:val="8"/>
        </w:numPr>
        <w:tabs>
          <w:tab w:pos="1238" w:val="left" w:leader="none"/>
        </w:tabs>
        <w:spacing w:line="240" w:lineRule="auto" w:before="164" w:after="0"/>
        <w:ind w:left="1237" w:right="0" w:hanging="427"/>
        <w:jc w:val="left"/>
      </w:pPr>
      <w:bookmarkStart w:name="_TOC_250006" w:id="10"/>
      <w:r>
        <w:rPr/>
        <w:t>Determinación de Longitud de</w:t>
      </w:r>
      <w:r>
        <w:rPr>
          <w:spacing w:val="-7"/>
        </w:rPr>
        <w:t> </w:t>
      </w:r>
      <w:bookmarkEnd w:id="10"/>
      <w:r>
        <w:rPr/>
        <w:t>Trabajo</w:t>
      </w:r>
    </w:p>
    <w:p>
      <w:pPr>
        <w:pStyle w:val="BodyText"/>
        <w:spacing w:before="10"/>
        <w:rPr>
          <w:b/>
          <w:sz w:val="25"/>
        </w:rPr>
      </w:pPr>
    </w:p>
    <w:p>
      <w:pPr>
        <w:pStyle w:val="BodyText"/>
        <w:spacing w:line="360" w:lineRule="auto"/>
        <w:ind w:left="102" w:right="125"/>
        <w:jc w:val="both"/>
      </w:pPr>
      <w:r>
        <w:rPr/>
        <w:drawing>
          <wp:anchor distT="0" distB="0" distL="0" distR="0" allowOverlap="1" layoutInCell="1" locked="0" behindDoc="0" simplePos="0" relativeHeight="1240">
            <wp:simplePos x="0" y="0"/>
            <wp:positionH relativeFrom="page">
              <wp:posOffset>2776727</wp:posOffset>
            </wp:positionH>
            <wp:positionV relativeFrom="paragraph">
              <wp:posOffset>1129612</wp:posOffset>
            </wp:positionV>
            <wp:extent cx="1897857" cy="1444752"/>
            <wp:effectExtent l="0" t="0" r="0" b="0"/>
            <wp:wrapTopAndBottom/>
            <wp:docPr id="11" name="image11.png" descr=""/>
            <wp:cNvGraphicFramePr>
              <a:graphicFrameLocks noChangeAspect="1"/>
            </wp:cNvGraphicFramePr>
            <a:graphic>
              <a:graphicData uri="http://schemas.openxmlformats.org/drawingml/2006/picture">
                <pic:pic>
                  <pic:nvPicPr>
                    <pic:cNvPr id="12" name="image11.png"/>
                    <pic:cNvPicPr/>
                  </pic:nvPicPr>
                  <pic:blipFill>
                    <a:blip r:embed="rId18" cstate="print"/>
                    <a:stretch>
                      <a:fillRect/>
                    </a:stretch>
                  </pic:blipFill>
                  <pic:spPr>
                    <a:xfrm>
                      <a:off x="0" y="0"/>
                      <a:ext cx="1897857" cy="1444752"/>
                    </a:xfrm>
                    <a:prstGeom prst="rect">
                      <a:avLst/>
                    </a:prstGeom>
                  </pic:spPr>
                </pic:pic>
              </a:graphicData>
            </a:graphic>
          </wp:anchor>
        </w:drawing>
      </w:r>
      <w:r>
        <w:rPr/>
        <w:t>La longitud de trabajo fue determinada con ayuda de un localizador electrónico de foramen Raypex 6 (VDW; Münich, Germany) y confirmada radiográficamente con limas manuales tipo K (Dentsply Maillefer; Ballaigues, Switzerland) #15 en los conductos vestibulares (Fig. 6A) y #20 en los conductos palatinos (Fig. 6B).</w:t>
      </w:r>
    </w:p>
    <w:p>
      <w:pPr>
        <w:pStyle w:val="BodyText"/>
        <w:spacing w:before="28"/>
        <w:ind w:left="1518" w:right="136"/>
      </w:pPr>
      <w:r>
        <w:rPr/>
        <w:t>Fig 6A. Longitud de trabajo: conductos vestibulares</w:t>
      </w:r>
    </w:p>
    <w:p>
      <w:pPr>
        <w:spacing w:after="0"/>
        <w:sectPr>
          <w:pgSz w:w="12240" w:h="15840"/>
          <w:pgMar w:header="749"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p>
    <w:p>
      <w:pPr>
        <w:pStyle w:val="BodyText"/>
        <w:spacing w:before="70"/>
        <w:ind w:left="102"/>
      </w:pPr>
      <w:r>
        <w:rPr/>
        <w:drawing>
          <wp:anchor distT="0" distB="0" distL="0" distR="0" allowOverlap="1" layoutInCell="1" locked="0" behindDoc="1" simplePos="0" relativeHeight="268418351">
            <wp:simplePos x="0" y="0"/>
            <wp:positionH relativeFrom="page">
              <wp:posOffset>2811779</wp:posOffset>
            </wp:positionH>
            <wp:positionV relativeFrom="paragraph">
              <wp:posOffset>-1108254</wp:posOffset>
            </wp:positionV>
            <wp:extent cx="1926336" cy="2700528"/>
            <wp:effectExtent l="0" t="0" r="0" b="0"/>
            <wp:wrapNone/>
            <wp:docPr id="13" name="image12.png" descr=""/>
            <wp:cNvGraphicFramePr>
              <a:graphicFrameLocks noChangeAspect="1"/>
            </wp:cNvGraphicFramePr>
            <a:graphic>
              <a:graphicData uri="http://schemas.openxmlformats.org/drawingml/2006/picture">
                <pic:pic>
                  <pic:nvPicPr>
                    <pic:cNvPr id="14" name="image12.png"/>
                    <pic:cNvPicPr/>
                  </pic:nvPicPr>
                  <pic:blipFill>
                    <a:blip r:embed="rId20" cstate="print"/>
                    <a:stretch>
                      <a:fillRect/>
                    </a:stretch>
                  </pic:blipFill>
                  <pic:spPr>
                    <a:xfrm>
                      <a:off x="0" y="0"/>
                      <a:ext cx="1926336" cy="2700528"/>
                    </a:xfrm>
                    <a:prstGeom prst="rect">
                      <a:avLst/>
                    </a:prstGeom>
                  </pic:spPr>
                </pic:pic>
              </a:graphicData>
            </a:graphic>
          </wp:anchor>
        </w:drawing>
      </w:r>
      <w:r>
        <w:rPr>
          <w:w w:val="100"/>
        </w:rPr>
        <w:t>.</w:t>
      </w:r>
    </w:p>
    <w:p>
      <w:pPr>
        <w:pStyle w:val="BodyText"/>
        <w:rPr>
          <w:sz w:val="20"/>
        </w:rPr>
      </w:pPr>
    </w:p>
    <w:p>
      <w:pPr>
        <w:pStyle w:val="BodyText"/>
        <w:rPr>
          <w:sz w:val="20"/>
        </w:rPr>
      </w:pPr>
    </w:p>
    <w:p>
      <w:pPr>
        <w:pStyle w:val="BodyText"/>
        <w:spacing w:before="8"/>
        <w:rPr>
          <w:sz w:val="29"/>
        </w:rPr>
      </w:pPr>
    </w:p>
    <w:p>
      <w:pPr>
        <w:pStyle w:val="BodyText"/>
        <w:spacing w:before="69"/>
        <w:ind w:left="1923" w:right="136"/>
      </w:pPr>
      <w:r>
        <w:rPr/>
        <w:t>Fig 6B. Longitud de trabajo: Conductos palatinos</w:t>
      </w:r>
    </w:p>
    <w:p>
      <w:pPr>
        <w:pStyle w:val="BodyText"/>
      </w:pPr>
    </w:p>
    <w:p>
      <w:pPr>
        <w:pStyle w:val="BodyText"/>
      </w:pPr>
    </w:p>
    <w:p>
      <w:pPr>
        <w:pStyle w:val="BodyText"/>
        <w:spacing w:before="9"/>
        <w:rPr>
          <w:sz w:val="27"/>
        </w:rPr>
      </w:pPr>
    </w:p>
    <w:p>
      <w:pPr>
        <w:pStyle w:val="Heading1"/>
        <w:numPr>
          <w:ilvl w:val="1"/>
          <w:numId w:val="8"/>
        </w:numPr>
        <w:tabs>
          <w:tab w:pos="1170" w:val="left" w:leader="none"/>
        </w:tabs>
        <w:spacing w:line="240" w:lineRule="auto" w:before="0" w:after="0"/>
        <w:ind w:left="1170" w:right="0" w:hanging="360"/>
        <w:jc w:val="left"/>
      </w:pPr>
      <w:bookmarkStart w:name="_TOC_250005" w:id="11"/>
      <w:r>
        <w:rPr/>
        <w:t>Instrumentación y</w:t>
      </w:r>
      <w:r>
        <w:rPr>
          <w:spacing w:val="-3"/>
        </w:rPr>
        <w:t> </w:t>
      </w:r>
      <w:bookmarkEnd w:id="11"/>
      <w:r>
        <w:rPr/>
        <w:t>Obturación</w:t>
      </w:r>
    </w:p>
    <w:p>
      <w:pPr>
        <w:pStyle w:val="BodyText"/>
        <w:spacing w:before="1"/>
        <w:rPr>
          <w:b/>
          <w:sz w:val="26"/>
        </w:rPr>
      </w:pPr>
    </w:p>
    <w:p>
      <w:pPr>
        <w:pStyle w:val="BodyText"/>
        <w:spacing w:line="360" w:lineRule="auto"/>
        <w:ind w:left="102" w:right="118"/>
        <w:jc w:val="both"/>
      </w:pPr>
      <w:r>
        <w:rPr/>
        <w:t>La preparación biomecánica de todos los conductos radiculares se realizó empleando el sistema Protaper Universal (Dentsply Maillefer; Ballaigues, Switzerland) previo acceso radicular con fresas Gates-Glidden del #5 al #1 secuencialmente y en sentido corono-apical. Durante todo el procedimiento se utilizó NaOCl al 5.25% como irrigante utilizando una jeringa hipodérmica de 5 ml. y una punta de irrigación Endo-eze (Ultradent Products Inc.; South Jordan, UT) complementado con activación manual dinámica y una irrigación final con EDTA 17%. Para la obturación fueron empleados conos de gutapercha F2 (25.08) del sistema Protaper como principales (Fig.7).</w:t>
      </w:r>
    </w:p>
    <w:p>
      <w:pPr>
        <w:pStyle w:val="BodyText"/>
        <w:rPr>
          <w:sz w:val="20"/>
        </w:rPr>
      </w:pPr>
    </w:p>
    <w:p>
      <w:pPr>
        <w:pStyle w:val="BodyText"/>
        <w:spacing w:before="8"/>
        <w:rPr>
          <w:sz w:val="20"/>
        </w:rPr>
      </w:pPr>
      <w:r>
        <w:rPr/>
        <w:drawing>
          <wp:anchor distT="0" distB="0" distL="0" distR="0" allowOverlap="1" layoutInCell="1" locked="0" behindDoc="0" simplePos="0" relativeHeight="1264">
            <wp:simplePos x="0" y="0"/>
            <wp:positionH relativeFrom="page">
              <wp:posOffset>2651760</wp:posOffset>
            </wp:positionH>
            <wp:positionV relativeFrom="paragraph">
              <wp:posOffset>176084</wp:posOffset>
            </wp:positionV>
            <wp:extent cx="2222196" cy="1650206"/>
            <wp:effectExtent l="0" t="0" r="0" b="0"/>
            <wp:wrapTopAndBottom/>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21" cstate="print"/>
                    <a:stretch>
                      <a:fillRect/>
                    </a:stretch>
                  </pic:blipFill>
                  <pic:spPr>
                    <a:xfrm>
                      <a:off x="0" y="0"/>
                      <a:ext cx="2222196" cy="1650206"/>
                    </a:xfrm>
                    <a:prstGeom prst="rect">
                      <a:avLst/>
                    </a:prstGeom>
                  </pic:spPr>
                </pic:pic>
              </a:graphicData>
            </a:graphic>
          </wp:anchor>
        </w:drawing>
      </w:r>
    </w:p>
    <w:p>
      <w:pPr>
        <w:pStyle w:val="BodyText"/>
      </w:pPr>
    </w:p>
    <w:p>
      <w:pPr>
        <w:pStyle w:val="BodyText"/>
        <w:spacing w:before="197"/>
        <w:ind w:left="3049" w:right="3489"/>
        <w:jc w:val="center"/>
      </w:pPr>
      <w:r>
        <w:rPr/>
        <w:t>Fig 7. Prueba de conos</w:t>
      </w:r>
    </w:p>
    <w:p>
      <w:pPr>
        <w:spacing w:after="0"/>
        <w:jc w:val="center"/>
        <w:sectPr>
          <w:headerReference w:type="default" r:id="rId19"/>
          <w:pgSz w:w="12240" w:h="15840"/>
          <w:pgMar w:header="749" w:footer="0" w:top="960" w:bottom="280" w:left="1600" w:right="1580"/>
        </w:sectPr>
      </w:pPr>
    </w:p>
    <w:p>
      <w:pPr>
        <w:pStyle w:val="BodyText"/>
        <w:rPr>
          <w:sz w:val="20"/>
        </w:rPr>
      </w:pPr>
    </w:p>
    <w:p>
      <w:pPr>
        <w:pStyle w:val="BodyText"/>
        <w:spacing w:line="362" w:lineRule="auto" w:before="214"/>
        <w:ind w:left="102" w:right="115"/>
        <w:jc w:val="both"/>
      </w:pPr>
      <w:r>
        <w:rPr/>
        <w:t>Se empleó una técnica de compactación lateral utilizando puntas accesorias MF y FM y cemento Sealapex (Kerr/Sybron; Romulus, MI). (fig.8A y 8B).</w:t>
      </w:r>
    </w:p>
    <w:p>
      <w:pPr>
        <w:pStyle w:val="BodyText"/>
        <w:spacing w:line="360" w:lineRule="auto" w:before="161"/>
        <w:ind w:left="102" w:right="115"/>
        <w:jc w:val="both"/>
      </w:pPr>
      <w:r>
        <w:rPr/>
        <w:t>Finalmente fue colocado un composite fluído de color rosa (Permaflo Pink, Ultradent) en la entrada de los conductos y ionómero de vidrio Fuji II (GC; Tokyo, Japan) como restauración temporal. Se indicó al paciente la importancia de su pronta rehabilitación protésica.</w:t>
      </w:r>
    </w:p>
    <w:p>
      <w:pPr>
        <w:pStyle w:val="BodyText"/>
        <w:spacing w:before="8"/>
        <w:rPr>
          <w:sz w:val="10"/>
        </w:rPr>
      </w:pPr>
      <w:r>
        <w:rPr/>
        <w:drawing>
          <wp:anchor distT="0" distB="0" distL="0" distR="0" allowOverlap="1" layoutInCell="1" locked="0" behindDoc="0" simplePos="0" relativeHeight="1312">
            <wp:simplePos x="0" y="0"/>
            <wp:positionH relativeFrom="page">
              <wp:posOffset>1530096</wp:posOffset>
            </wp:positionH>
            <wp:positionV relativeFrom="paragraph">
              <wp:posOffset>104824</wp:posOffset>
            </wp:positionV>
            <wp:extent cx="2115311" cy="1542288"/>
            <wp:effectExtent l="0" t="0" r="0" b="0"/>
            <wp:wrapTopAndBottom/>
            <wp:docPr id="17" name="image14.jpeg" descr=""/>
            <wp:cNvGraphicFramePr>
              <a:graphicFrameLocks noChangeAspect="1"/>
            </wp:cNvGraphicFramePr>
            <a:graphic>
              <a:graphicData uri="http://schemas.openxmlformats.org/drawingml/2006/picture">
                <pic:pic>
                  <pic:nvPicPr>
                    <pic:cNvPr id="18" name="image14.jpeg"/>
                    <pic:cNvPicPr/>
                  </pic:nvPicPr>
                  <pic:blipFill>
                    <a:blip r:embed="rId23" cstate="print"/>
                    <a:stretch>
                      <a:fillRect/>
                    </a:stretch>
                  </pic:blipFill>
                  <pic:spPr>
                    <a:xfrm>
                      <a:off x="0" y="0"/>
                      <a:ext cx="2115311" cy="1542288"/>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4053840</wp:posOffset>
            </wp:positionH>
            <wp:positionV relativeFrom="paragraph">
              <wp:posOffset>103300</wp:posOffset>
            </wp:positionV>
            <wp:extent cx="2280234" cy="1544478"/>
            <wp:effectExtent l="0" t="0" r="0" b="0"/>
            <wp:wrapTopAndBottom/>
            <wp:docPr id="19" name="image15.jpeg" descr=""/>
            <wp:cNvGraphicFramePr>
              <a:graphicFrameLocks noChangeAspect="1"/>
            </wp:cNvGraphicFramePr>
            <a:graphic>
              <a:graphicData uri="http://schemas.openxmlformats.org/drawingml/2006/picture">
                <pic:pic>
                  <pic:nvPicPr>
                    <pic:cNvPr id="20" name="image15.jpeg"/>
                    <pic:cNvPicPr/>
                  </pic:nvPicPr>
                  <pic:blipFill>
                    <a:blip r:embed="rId24" cstate="print"/>
                    <a:stretch>
                      <a:fillRect/>
                    </a:stretch>
                  </pic:blipFill>
                  <pic:spPr>
                    <a:xfrm>
                      <a:off x="0" y="0"/>
                      <a:ext cx="2280234" cy="1544478"/>
                    </a:xfrm>
                    <a:prstGeom prst="rect">
                      <a:avLst/>
                    </a:prstGeom>
                  </pic:spPr>
                </pic:pic>
              </a:graphicData>
            </a:graphic>
          </wp:anchor>
        </w:drawing>
      </w:r>
    </w:p>
    <w:p>
      <w:pPr>
        <w:pStyle w:val="BodyText"/>
        <w:spacing w:before="2"/>
        <w:rPr>
          <w:sz w:val="23"/>
        </w:rPr>
      </w:pPr>
    </w:p>
    <w:p>
      <w:pPr>
        <w:pStyle w:val="BodyText"/>
        <w:tabs>
          <w:tab w:pos="5058" w:val="left" w:leader="none"/>
        </w:tabs>
        <w:ind w:left="1518" w:right="136"/>
      </w:pPr>
      <w:r>
        <w:rPr/>
        <w:t>Fig 8A.</w:t>
      </w:r>
      <w:r>
        <w:rPr>
          <w:spacing w:val="-4"/>
        </w:rPr>
        <w:t> </w:t>
      </w:r>
      <w:r>
        <w:rPr/>
        <w:t>Vista</w:t>
      </w:r>
      <w:r>
        <w:rPr>
          <w:spacing w:val="-3"/>
        </w:rPr>
        <w:t> </w:t>
      </w:r>
      <w:r>
        <w:rPr/>
        <w:t>ortoradial</w:t>
        <w:tab/>
        <w:t>Fig 8B. Vista</w:t>
      </w:r>
      <w:r>
        <w:rPr>
          <w:spacing w:val="-9"/>
        </w:rPr>
        <w:t> </w:t>
      </w:r>
      <w:r>
        <w:rPr/>
        <w:t>mesioradial</w:t>
      </w:r>
    </w:p>
    <w:p>
      <w:pPr>
        <w:spacing w:after="0"/>
        <w:sectPr>
          <w:headerReference w:type="default" r:id="rId22"/>
          <w:pgSz w:w="12240" w:h="15840"/>
          <w:pgMar w:header="749" w:footer="0" w:top="960" w:bottom="280" w:left="1600" w:right="1580"/>
          <w:pgNumType w:start="21"/>
        </w:sectPr>
      </w:pPr>
    </w:p>
    <w:p>
      <w:pPr>
        <w:pStyle w:val="BodyText"/>
        <w:rPr>
          <w:sz w:val="20"/>
        </w:rPr>
      </w:pPr>
    </w:p>
    <w:p>
      <w:pPr>
        <w:pStyle w:val="Heading1"/>
        <w:numPr>
          <w:ilvl w:val="0"/>
          <w:numId w:val="2"/>
        </w:numPr>
        <w:tabs>
          <w:tab w:pos="4181" w:val="left" w:leader="none"/>
        </w:tabs>
        <w:spacing w:line="240" w:lineRule="auto" w:before="214" w:after="0"/>
        <w:ind w:left="4180" w:right="0" w:hanging="360"/>
        <w:jc w:val="left"/>
      </w:pPr>
      <w:bookmarkStart w:name="_TOC_250004" w:id="12"/>
      <w:bookmarkEnd w:id="12"/>
      <w:r>
        <w:rPr/>
        <w:t>DISCUSIÓN.</w:t>
      </w:r>
    </w:p>
    <w:p>
      <w:pPr>
        <w:pStyle w:val="BodyText"/>
        <w:spacing w:before="1"/>
        <w:rPr>
          <w:b/>
          <w:sz w:val="26"/>
        </w:rPr>
      </w:pPr>
    </w:p>
    <w:p>
      <w:pPr>
        <w:pStyle w:val="BodyText"/>
        <w:spacing w:line="357" w:lineRule="auto"/>
        <w:ind w:left="102" w:right="116"/>
        <w:jc w:val="both"/>
      </w:pPr>
      <w:r>
        <w:rPr/>
        <w:t>Varios estudios revelan que la mayoría de los primeros molares maxilares tienen tres</w:t>
      </w:r>
      <w:r>
        <w:rPr>
          <w:spacing w:val="-13"/>
        </w:rPr>
        <w:t> </w:t>
      </w:r>
      <w:r>
        <w:rPr/>
        <w:t>raíces,</w:t>
      </w:r>
      <w:r>
        <w:rPr>
          <w:spacing w:val="-12"/>
        </w:rPr>
        <w:t> </w:t>
      </w:r>
      <w:r>
        <w:rPr/>
        <w:t>pero</w:t>
      </w:r>
      <w:r>
        <w:rPr>
          <w:spacing w:val="-13"/>
        </w:rPr>
        <w:t> </w:t>
      </w:r>
      <w:r>
        <w:rPr/>
        <w:t>algunos</w:t>
      </w:r>
      <w:r>
        <w:rPr>
          <w:spacing w:val="-13"/>
        </w:rPr>
        <w:t> </w:t>
      </w:r>
      <w:r>
        <w:rPr/>
        <w:t>otros</w:t>
      </w:r>
      <w:r>
        <w:rPr>
          <w:spacing w:val="-13"/>
        </w:rPr>
        <w:t> </w:t>
      </w:r>
      <w:r>
        <w:rPr/>
        <w:t>reportan</w:t>
      </w:r>
      <w:r>
        <w:rPr>
          <w:spacing w:val="-12"/>
        </w:rPr>
        <w:t> </w:t>
      </w:r>
      <w:r>
        <w:rPr/>
        <w:t>4</w:t>
      </w:r>
      <w:r>
        <w:rPr>
          <w:spacing w:val="-12"/>
        </w:rPr>
        <w:t> </w:t>
      </w:r>
      <w:r>
        <w:rPr/>
        <w:t>o</w:t>
      </w:r>
      <w:r>
        <w:rPr>
          <w:spacing w:val="-12"/>
        </w:rPr>
        <w:t> </w:t>
      </w:r>
      <w:r>
        <w:rPr/>
        <w:t>5</w:t>
      </w:r>
      <w:r>
        <w:rPr>
          <w:spacing w:val="-15"/>
        </w:rPr>
        <w:t> </w:t>
      </w:r>
      <w:r>
        <w:rPr/>
        <w:t>raíces</w:t>
      </w:r>
      <w:r>
        <w:rPr>
          <w:spacing w:val="-13"/>
        </w:rPr>
        <w:t> </w:t>
      </w:r>
      <w:r>
        <w:rPr/>
        <w:t>con</w:t>
      </w:r>
      <w:r>
        <w:rPr>
          <w:spacing w:val="-12"/>
        </w:rPr>
        <w:t> </w:t>
      </w:r>
      <w:r>
        <w:rPr/>
        <w:t>un</w:t>
      </w:r>
      <w:r>
        <w:rPr>
          <w:spacing w:val="-12"/>
        </w:rPr>
        <w:t> </w:t>
      </w:r>
      <w:r>
        <w:rPr/>
        <w:t>número</w:t>
      </w:r>
      <w:r>
        <w:rPr>
          <w:spacing w:val="-15"/>
        </w:rPr>
        <w:t> </w:t>
      </w:r>
      <w:r>
        <w:rPr/>
        <w:t>correspondiente de conductos</w:t>
      </w:r>
      <w:r>
        <w:rPr>
          <w:spacing w:val="-11"/>
        </w:rPr>
        <w:t> </w:t>
      </w:r>
      <w:r>
        <w:rPr/>
        <w:t>radiculares</w:t>
      </w:r>
      <w:r>
        <w:rPr>
          <w:position w:val="8"/>
          <w:sz w:val="16"/>
        </w:rPr>
        <w:t>16-20</w:t>
      </w:r>
      <w:r>
        <w:rPr/>
        <w:t>.</w:t>
      </w:r>
    </w:p>
    <w:p>
      <w:pPr>
        <w:pStyle w:val="BodyText"/>
        <w:spacing w:line="360" w:lineRule="auto" w:before="162"/>
        <w:ind w:left="102" w:right="116"/>
        <w:jc w:val="both"/>
        <w:rPr>
          <w:sz w:val="16"/>
        </w:rPr>
      </w:pPr>
      <w:r>
        <w:rPr/>
        <w:t>La facilidad para el manejo clínico de estos casos dependerá del conocimiento de la morfología de los conductos radiculares y de estar alerta ante configuraciones anatómicas poco comunes.</w:t>
      </w:r>
      <w:r>
        <w:rPr>
          <w:position w:val="8"/>
          <w:sz w:val="16"/>
        </w:rPr>
        <w:t>15 </w:t>
      </w:r>
      <w:r>
        <w:rPr/>
        <w:t>Una cavidad de acceso adecuada será la clave del éxito</w:t>
      </w:r>
      <w:r>
        <w:rPr>
          <w:spacing w:val="-14"/>
        </w:rPr>
        <w:t> </w:t>
      </w:r>
      <w:r>
        <w:rPr/>
        <w:t>para</w:t>
      </w:r>
      <w:r>
        <w:rPr>
          <w:spacing w:val="-16"/>
        </w:rPr>
        <w:t> </w:t>
      </w:r>
      <w:r>
        <w:rPr/>
        <w:t>identificar</w:t>
      </w:r>
      <w:r>
        <w:rPr>
          <w:spacing w:val="-17"/>
        </w:rPr>
        <w:t> </w:t>
      </w:r>
      <w:r>
        <w:rPr/>
        <w:t>y</w:t>
      </w:r>
      <w:r>
        <w:rPr>
          <w:spacing w:val="-16"/>
        </w:rPr>
        <w:t> </w:t>
      </w:r>
      <w:r>
        <w:rPr/>
        <w:t>negociar</w:t>
      </w:r>
      <w:r>
        <w:rPr>
          <w:spacing w:val="-15"/>
        </w:rPr>
        <w:t> </w:t>
      </w:r>
      <w:r>
        <w:rPr/>
        <w:t>la</w:t>
      </w:r>
      <w:r>
        <w:rPr>
          <w:spacing w:val="-16"/>
        </w:rPr>
        <w:t> </w:t>
      </w:r>
      <w:r>
        <w:rPr/>
        <w:t>totalidad</w:t>
      </w:r>
      <w:r>
        <w:rPr>
          <w:spacing w:val="-16"/>
        </w:rPr>
        <w:t> </w:t>
      </w:r>
      <w:r>
        <w:rPr/>
        <w:t>de</w:t>
      </w:r>
      <w:r>
        <w:rPr>
          <w:spacing w:val="-16"/>
        </w:rPr>
        <w:t> </w:t>
      </w:r>
      <w:r>
        <w:rPr/>
        <w:t>conductos</w:t>
      </w:r>
      <w:r>
        <w:rPr>
          <w:spacing w:val="-16"/>
        </w:rPr>
        <w:t> </w:t>
      </w:r>
      <w:r>
        <w:rPr/>
        <w:t>radiculares.</w:t>
      </w:r>
      <w:r>
        <w:rPr>
          <w:position w:val="8"/>
          <w:sz w:val="16"/>
        </w:rPr>
        <w:t>18</w:t>
      </w:r>
      <w:r>
        <w:rPr>
          <w:spacing w:val="7"/>
          <w:position w:val="8"/>
          <w:sz w:val="16"/>
        </w:rPr>
        <w:t> </w:t>
      </w:r>
      <w:r>
        <w:rPr/>
        <w:t>La</w:t>
      </w:r>
      <w:r>
        <w:rPr>
          <w:spacing w:val="-16"/>
        </w:rPr>
        <w:t> </w:t>
      </w:r>
      <w:r>
        <w:rPr/>
        <w:t>utilización de varias tomas radiográficas, el uso de magnificación, la examinación </w:t>
      </w:r>
      <w:r>
        <w:rPr>
          <w:spacing w:val="2"/>
        </w:rPr>
        <w:t>del </w:t>
      </w:r>
      <w:r>
        <w:rPr/>
        <w:t>mapa dentinario junto con el uso de exploradores finos (DG16), la localización de puntos hemorrágicos,</w:t>
      </w:r>
      <w:r>
        <w:rPr>
          <w:spacing w:val="-5"/>
        </w:rPr>
        <w:t> </w:t>
      </w:r>
      <w:r>
        <w:rPr/>
        <w:t>la</w:t>
      </w:r>
      <w:r>
        <w:rPr>
          <w:spacing w:val="-7"/>
        </w:rPr>
        <w:t> </w:t>
      </w:r>
      <w:r>
        <w:rPr/>
        <w:t>prueba</w:t>
      </w:r>
      <w:r>
        <w:rPr>
          <w:spacing w:val="-5"/>
        </w:rPr>
        <w:t> </w:t>
      </w:r>
      <w:r>
        <w:rPr/>
        <w:t>de</w:t>
      </w:r>
      <w:r>
        <w:rPr>
          <w:spacing w:val="-5"/>
        </w:rPr>
        <w:t> </w:t>
      </w:r>
      <w:r>
        <w:rPr/>
        <w:t>“burbuja</w:t>
      </w:r>
      <w:r>
        <w:rPr>
          <w:spacing w:val="-7"/>
        </w:rPr>
        <w:t> </w:t>
      </w:r>
      <w:r>
        <w:rPr/>
        <w:t>de</w:t>
      </w:r>
      <w:r>
        <w:rPr>
          <w:spacing w:val="-7"/>
        </w:rPr>
        <w:t> </w:t>
      </w:r>
      <w:r>
        <w:rPr/>
        <w:t>champagne”,</w:t>
      </w:r>
      <w:r>
        <w:rPr>
          <w:spacing w:val="-6"/>
        </w:rPr>
        <w:t> </w:t>
      </w:r>
      <w:r>
        <w:rPr/>
        <w:t>la</w:t>
      </w:r>
      <w:r>
        <w:rPr>
          <w:spacing w:val="-7"/>
        </w:rPr>
        <w:t> </w:t>
      </w:r>
      <w:r>
        <w:rPr/>
        <w:t>tinción</w:t>
      </w:r>
      <w:r>
        <w:rPr>
          <w:spacing w:val="-5"/>
        </w:rPr>
        <w:t> </w:t>
      </w:r>
      <w:r>
        <w:rPr/>
        <w:t>de</w:t>
      </w:r>
      <w:r>
        <w:rPr>
          <w:spacing w:val="-5"/>
        </w:rPr>
        <w:t> </w:t>
      </w:r>
      <w:r>
        <w:rPr/>
        <w:t>la</w:t>
      </w:r>
      <w:r>
        <w:rPr>
          <w:spacing w:val="-7"/>
        </w:rPr>
        <w:t> </w:t>
      </w:r>
      <w:r>
        <w:rPr/>
        <w:t>cámara</w:t>
      </w:r>
      <w:r>
        <w:rPr>
          <w:spacing w:val="-8"/>
        </w:rPr>
        <w:t> </w:t>
      </w:r>
      <w:r>
        <w:rPr/>
        <w:t>pulpar (azul de metileno 1%) mostrando segmentos de tejido diseminados que contrastan con el entorno de la dentina esta cualidad que hace de gran ayuda para la localización de tejido pulpar en los conductos radiculares, especialmente en aquellos que se han calcificado y que retienen en ellos remanente de tejido, el uso de puntas ultrasónicas o pequeñas fresas, la modificación del acceso endodóntico y el acceso en línea recta a los conductos e incluso el uso de tomografía computarizada son algunos de los métodos para la localización de conductos adicionales propuestos por diversos</w:t>
      </w:r>
      <w:r>
        <w:rPr>
          <w:spacing w:val="-16"/>
        </w:rPr>
        <w:t> </w:t>
      </w:r>
      <w:r>
        <w:rPr/>
        <w:t>autores.</w:t>
      </w:r>
      <w:r>
        <w:rPr>
          <w:position w:val="8"/>
          <w:sz w:val="16"/>
        </w:rPr>
        <w:t>20</w:t>
      </w:r>
    </w:p>
    <w:p>
      <w:pPr>
        <w:pStyle w:val="BodyText"/>
        <w:spacing w:line="360" w:lineRule="auto" w:before="162"/>
        <w:ind w:left="102" w:right="116"/>
        <w:jc w:val="both"/>
        <w:rPr>
          <w:sz w:val="16"/>
        </w:rPr>
      </w:pPr>
      <w:r>
        <w:rPr/>
        <w:t>Así</w:t>
      </w:r>
      <w:r>
        <w:rPr>
          <w:spacing w:val="-7"/>
        </w:rPr>
        <w:t> </w:t>
      </w:r>
      <w:r>
        <w:rPr/>
        <w:t>también</w:t>
      </w:r>
      <w:r>
        <w:rPr>
          <w:spacing w:val="-9"/>
        </w:rPr>
        <w:t> </w:t>
      </w:r>
      <w:r>
        <w:rPr/>
        <w:t>el</w:t>
      </w:r>
      <w:r>
        <w:rPr>
          <w:spacing w:val="-6"/>
        </w:rPr>
        <w:t> </w:t>
      </w:r>
      <w:r>
        <w:rPr/>
        <w:t>uso</w:t>
      </w:r>
      <w:r>
        <w:rPr>
          <w:spacing w:val="-7"/>
        </w:rPr>
        <w:t> </w:t>
      </w:r>
      <w:r>
        <w:rPr/>
        <w:t>de</w:t>
      </w:r>
      <w:r>
        <w:rPr>
          <w:spacing w:val="-5"/>
        </w:rPr>
        <w:t> </w:t>
      </w:r>
      <w:r>
        <w:rPr/>
        <w:t>la</w:t>
      </w:r>
      <w:r>
        <w:rPr>
          <w:spacing w:val="-5"/>
        </w:rPr>
        <w:t> </w:t>
      </w:r>
      <w:r>
        <w:rPr/>
        <w:t>tomografía</w:t>
      </w:r>
      <w:r>
        <w:rPr>
          <w:spacing w:val="-7"/>
        </w:rPr>
        <w:t> </w:t>
      </w:r>
      <w:r>
        <w:rPr/>
        <w:t>computarizada</w:t>
      </w:r>
      <w:r>
        <w:rPr>
          <w:spacing w:val="-2"/>
        </w:rPr>
        <w:t> </w:t>
      </w:r>
      <w:r>
        <w:rPr/>
        <w:t>(Cone</w:t>
      </w:r>
      <w:r>
        <w:rPr>
          <w:spacing w:val="-7"/>
        </w:rPr>
        <w:t> </w:t>
      </w:r>
      <w:r>
        <w:rPr/>
        <w:t>Beam)</w:t>
      </w:r>
      <w:r>
        <w:rPr>
          <w:spacing w:val="-6"/>
        </w:rPr>
        <w:t> </w:t>
      </w:r>
      <w:r>
        <w:rPr/>
        <w:t>y</w:t>
      </w:r>
      <w:r>
        <w:rPr>
          <w:spacing w:val="-8"/>
        </w:rPr>
        <w:t> </w:t>
      </w:r>
      <w:r>
        <w:rPr/>
        <w:t>su</w:t>
      </w:r>
      <w:r>
        <w:rPr>
          <w:spacing w:val="-5"/>
        </w:rPr>
        <w:t> </w:t>
      </w:r>
      <w:r>
        <w:rPr/>
        <w:t>aplicación</w:t>
      </w:r>
      <w:r>
        <w:rPr>
          <w:spacing w:val="-6"/>
        </w:rPr>
        <w:t> </w:t>
      </w:r>
      <w:r>
        <w:rPr/>
        <w:t>en la endodoncia es muy importante ya que nos proporciona diversos cortes (axial, coronal</w:t>
      </w:r>
      <w:r>
        <w:rPr>
          <w:spacing w:val="-14"/>
        </w:rPr>
        <w:t> </w:t>
      </w:r>
      <w:r>
        <w:rPr/>
        <w:t>y</w:t>
      </w:r>
      <w:r>
        <w:rPr>
          <w:spacing w:val="-14"/>
        </w:rPr>
        <w:t> </w:t>
      </w:r>
      <w:r>
        <w:rPr/>
        <w:t>sagital)</w:t>
      </w:r>
      <w:r>
        <w:rPr>
          <w:spacing w:val="-13"/>
        </w:rPr>
        <w:t> </w:t>
      </w:r>
      <w:r>
        <w:rPr/>
        <w:t>que</w:t>
      </w:r>
      <w:r>
        <w:rPr>
          <w:spacing w:val="-13"/>
        </w:rPr>
        <w:t> </w:t>
      </w:r>
      <w:r>
        <w:rPr/>
        <w:t>nos</w:t>
      </w:r>
      <w:r>
        <w:rPr>
          <w:spacing w:val="-12"/>
        </w:rPr>
        <w:t> </w:t>
      </w:r>
      <w:r>
        <w:rPr/>
        <w:t>va</w:t>
      </w:r>
      <w:r>
        <w:rPr>
          <w:spacing w:val="-13"/>
        </w:rPr>
        <w:t> </w:t>
      </w:r>
      <w:r>
        <w:rPr/>
        <w:t>permitir</w:t>
      </w:r>
      <w:r>
        <w:rPr>
          <w:spacing w:val="-15"/>
        </w:rPr>
        <w:t> </w:t>
      </w:r>
      <w:r>
        <w:rPr/>
        <w:t>dar</w:t>
      </w:r>
      <w:r>
        <w:rPr>
          <w:spacing w:val="-15"/>
        </w:rPr>
        <w:t> </w:t>
      </w:r>
      <w:r>
        <w:rPr/>
        <w:t>un</w:t>
      </w:r>
      <w:r>
        <w:rPr>
          <w:spacing w:val="-13"/>
        </w:rPr>
        <w:t> </w:t>
      </w:r>
      <w:r>
        <w:rPr/>
        <w:t>diagnóstico</w:t>
      </w:r>
      <w:r>
        <w:rPr>
          <w:spacing w:val="-8"/>
        </w:rPr>
        <w:t> </w:t>
      </w:r>
      <w:r>
        <w:rPr/>
        <w:t>más</w:t>
      </w:r>
      <w:r>
        <w:rPr>
          <w:spacing w:val="-14"/>
        </w:rPr>
        <w:t> </w:t>
      </w:r>
      <w:r>
        <w:rPr/>
        <w:t>preciso</w:t>
      </w:r>
      <w:r>
        <w:rPr>
          <w:spacing w:val="-16"/>
        </w:rPr>
        <w:t> </w:t>
      </w:r>
      <w:r>
        <w:rPr/>
        <w:t>sobre</w:t>
      </w:r>
      <w:r>
        <w:rPr>
          <w:spacing w:val="-16"/>
        </w:rPr>
        <w:t> </w:t>
      </w:r>
      <w:r>
        <w:rPr/>
        <w:t>fracturas radiculares, reabsorciones radiculares, periodontitis apical , perforaciones durante el</w:t>
      </w:r>
      <w:r>
        <w:rPr>
          <w:spacing w:val="-11"/>
        </w:rPr>
        <w:t> </w:t>
      </w:r>
      <w:r>
        <w:rPr/>
        <w:t>tratamiento</w:t>
      </w:r>
      <w:r>
        <w:rPr>
          <w:spacing w:val="-11"/>
        </w:rPr>
        <w:t> </w:t>
      </w:r>
      <w:r>
        <w:rPr/>
        <w:t>endodóntico</w:t>
      </w:r>
      <w:r>
        <w:rPr>
          <w:spacing w:val="-9"/>
        </w:rPr>
        <w:t> </w:t>
      </w:r>
      <w:r>
        <w:rPr/>
        <w:t>,</w:t>
      </w:r>
      <w:r>
        <w:rPr>
          <w:spacing w:val="-12"/>
        </w:rPr>
        <w:t> </w:t>
      </w:r>
      <w:r>
        <w:rPr/>
        <w:t>planificación</w:t>
      </w:r>
      <w:r>
        <w:rPr>
          <w:spacing w:val="-12"/>
        </w:rPr>
        <w:t> </w:t>
      </w:r>
      <w:r>
        <w:rPr/>
        <w:t>de</w:t>
      </w:r>
      <w:r>
        <w:rPr>
          <w:spacing w:val="-9"/>
        </w:rPr>
        <w:t> </w:t>
      </w:r>
      <w:r>
        <w:rPr/>
        <w:t>cirugías</w:t>
      </w:r>
      <w:r>
        <w:rPr>
          <w:spacing w:val="-10"/>
        </w:rPr>
        <w:t> </w:t>
      </w:r>
      <w:r>
        <w:rPr/>
        <w:t>endodónticas</w:t>
      </w:r>
      <w:r>
        <w:rPr>
          <w:spacing w:val="-10"/>
        </w:rPr>
        <w:t> </w:t>
      </w:r>
      <w:r>
        <w:rPr/>
        <w:t>y</w:t>
      </w:r>
      <w:r>
        <w:rPr>
          <w:spacing w:val="-15"/>
        </w:rPr>
        <w:t> </w:t>
      </w:r>
      <w:r>
        <w:rPr/>
        <w:t>sobre</w:t>
      </w:r>
      <w:r>
        <w:rPr>
          <w:spacing w:val="-12"/>
        </w:rPr>
        <w:t> </w:t>
      </w:r>
      <w:r>
        <w:rPr/>
        <w:t>todo</w:t>
      </w:r>
      <w:r>
        <w:rPr>
          <w:spacing w:val="-12"/>
        </w:rPr>
        <w:t> </w:t>
      </w:r>
      <w:r>
        <w:rPr/>
        <w:t>nos va ayudar a reconocer la anatomía de las raíces y el número de conductos presentes en cada</w:t>
      </w:r>
      <w:r>
        <w:rPr>
          <w:spacing w:val="-5"/>
        </w:rPr>
        <w:t> </w:t>
      </w:r>
      <w:r>
        <w:rPr/>
        <w:t>diente.</w:t>
      </w:r>
      <w:r>
        <w:rPr>
          <w:position w:val="8"/>
          <w:sz w:val="16"/>
        </w:rPr>
        <w:t>20</w:t>
      </w:r>
    </w:p>
    <w:p>
      <w:pPr>
        <w:pStyle w:val="BodyText"/>
        <w:spacing w:before="159"/>
        <w:ind w:left="102"/>
        <w:jc w:val="both"/>
      </w:pPr>
      <w:r>
        <w:rPr/>
        <w:t>La técnica de Clark también nos es útil durante el tratamiento endodóntico para:</w:t>
      </w:r>
    </w:p>
    <w:p>
      <w:pPr>
        <w:pStyle w:val="BodyText"/>
        <w:spacing w:before="10"/>
        <w:rPr>
          <w:sz w:val="25"/>
        </w:rPr>
      </w:pPr>
    </w:p>
    <w:p>
      <w:pPr>
        <w:pStyle w:val="ListParagraph"/>
        <w:numPr>
          <w:ilvl w:val="2"/>
          <w:numId w:val="7"/>
        </w:numPr>
        <w:tabs>
          <w:tab w:pos="821" w:val="left" w:leader="none"/>
          <w:tab w:pos="822" w:val="left" w:leader="none"/>
        </w:tabs>
        <w:spacing w:line="240" w:lineRule="auto" w:before="0" w:after="0"/>
        <w:ind w:left="822" w:right="0" w:hanging="360"/>
        <w:jc w:val="left"/>
        <w:rPr>
          <w:sz w:val="24"/>
        </w:rPr>
      </w:pPr>
      <w:r>
        <w:rPr>
          <w:sz w:val="24"/>
        </w:rPr>
        <w:t>Disociar imágenes de raíces y conductos</w:t>
      </w:r>
      <w:r>
        <w:rPr>
          <w:spacing w:val="-12"/>
          <w:sz w:val="24"/>
        </w:rPr>
        <w:t> </w:t>
      </w:r>
      <w:r>
        <w:rPr>
          <w:sz w:val="24"/>
        </w:rPr>
        <w:t>múltiples</w:t>
      </w:r>
    </w:p>
    <w:p>
      <w:pPr>
        <w:pStyle w:val="ListParagraph"/>
        <w:numPr>
          <w:ilvl w:val="2"/>
          <w:numId w:val="7"/>
        </w:numPr>
        <w:tabs>
          <w:tab w:pos="821" w:val="left" w:leader="none"/>
          <w:tab w:pos="822" w:val="left" w:leader="none"/>
        </w:tabs>
        <w:spacing w:line="240" w:lineRule="auto" w:before="135" w:after="0"/>
        <w:ind w:left="822" w:right="0" w:hanging="360"/>
        <w:jc w:val="left"/>
        <w:rPr>
          <w:sz w:val="24"/>
        </w:rPr>
      </w:pPr>
      <w:r>
        <w:rPr>
          <w:sz w:val="24"/>
        </w:rPr>
        <w:t>Separar estructuras</w:t>
      </w:r>
      <w:r>
        <w:rPr>
          <w:spacing w:val="-11"/>
          <w:sz w:val="24"/>
        </w:rPr>
        <w:t> </w:t>
      </w:r>
      <w:r>
        <w:rPr>
          <w:sz w:val="24"/>
        </w:rPr>
        <w:t>anatómicas</w:t>
      </w:r>
    </w:p>
    <w:p>
      <w:pPr>
        <w:spacing w:after="0" w:line="240" w:lineRule="auto"/>
        <w:jc w:val="left"/>
        <w:rPr>
          <w:sz w:val="24"/>
        </w:rPr>
        <w:sectPr>
          <w:pgSz w:w="12240" w:h="15840"/>
          <w:pgMar w:header="749" w:footer="0" w:top="960" w:bottom="280" w:left="1600" w:right="1580"/>
        </w:sectPr>
      </w:pPr>
    </w:p>
    <w:p>
      <w:pPr>
        <w:pStyle w:val="BodyText"/>
        <w:rPr>
          <w:sz w:val="20"/>
        </w:rPr>
      </w:pPr>
    </w:p>
    <w:p>
      <w:pPr>
        <w:pStyle w:val="ListParagraph"/>
        <w:numPr>
          <w:ilvl w:val="2"/>
          <w:numId w:val="7"/>
        </w:numPr>
        <w:tabs>
          <w:tab w:pos="821" w:val="left" w:leader="none"/>
          <w:tab w:pos="822" w:val="left" w:leader="none"/>
        </w:tabs>
        <w:spacing w:line="240" w:lineRule="auto" w:before="212" w:after="0"/>
        <w:ind w:left="822" w:right="0" w:hanging="360"/>
        <w:jc w:val="left"/>
        <w:rPr>
          <w:sz w:val="24"/>
        </w:rPr>
      </w:pPr>
      <w:r>
        <w:rPr>
          <w:sz w:val="24"/>
        </w:rPr>
        <w:t>Radiotransparencias</w:t>
      </w:r>
      <w:r>
        <w:rPr>
          <w:spacing w:val="-12"/>
          <w:sz w:val="24"/>
        </w:rPr>
        <w:t> </w:t>
      </w:r>
      <w:r>
        <w:rPr>
          <w:sz w:val="24"/>
        </w:rPr>
        <w:t>periapicales.</w:t>
      </w:r>
    </w:p>
    <w:p>
      <w:pPr>
        <w:pStyle w:val="BodyText"/>
        <w:spacing w:before="11"/>
        <w:rPr>
          <w:sz w:val="25"/>
        </w:rPr>
      </w:pPr>
    </w:p>
    <w:p>
      <w:pPr>
        <w:pStyle w:val="BodyText"/>
        <w:spacing w:line="360" w:lineRule="auto"/>
        <w:ind w:left="102" w:right="117"/>
        <w:jc w:val="both"/>
      </w:pPr>
      <w:r>
        <w:rPr/>
        <w:t>Determinar la ubicación de curvaturas apicales que se encuentren hacia vestibular o palatino.</w:t>
      </w:r>
    </w:p>
    <w:p>
      <w:pPr>
        <w:pStyle w:val="BodyText"/>
        <w:spacing w:line="357" w:lineRule="auto" w:before="163"/>
        <w:ind w:left="102" w:right="115"/>
        <w:jc w:val="both"/>
        <w:rPr>
          <w:sz w:val="16"/>
        </w:rPr>
      </w:pPr>
      <w:r>
        <w:rPr/>
        <w:t>En</w:t>
      </w:r>
      <w:r>
        <w:rPr>
          <w:spacing w:val="-4"/>
        </w:rPr>
        <w:t> </w:t>
      </w:r>
      <w:r>
        <w:rPr/>
        <w:t>este</w:t>
      </w:r>
      <w:r>
        <w:rPr>
          <w:spacing w:val="-4"/>
        </w:rPr>
        <w:t> </w:t>
      </w:r>
      <w:r>
        <w:rPr/>
        <w:t>caso</w:t>
      </w:r>
      <w:r>
        <w:rPr>
          <w:spacing w:val="-4"/>
        </w:rPr>
        <w:t> </w:t>
      </w:r>
      <w:r>
        <w:rPr/>
        <w:t>la</w:t>
      </w:r>
      <w:r>
        <w:rPr>
          <w:spacing w:val="-4"/>
        </w:rPr>
        <w:t> </w:t>
      </w:r>
      <w:r>
        <w:rPr/>
        <w:t>variación</w:t>
      </w:r>
      <w:r>
        <w:rPr>
          <w:spacing w:val="-3"/>
        </w:rPr>
        <w:t> </w:t>
      </w:r>
      <w:r>
        <w:rPr/>
        <w:t>anatómica</w:t>
      </w:r>
      <w:r>
        <w:rPr>
          <w:spacing w:val="-6"/>
        </w:rPr>
        <w:t> </w:t>
      </w:r>
      <w:r>
        <w:rPr/>
        <w:t>fue</w:t>
      </w:r>
      <w:r>
        <w:rPr>
          <w:spacing w:val="-4"/>
        </w:rPr>
        <w:t> </w:t>
      </w:r>
      <w:r>
        <w:rPr/>
        <w:t>relativamente</w:t>
      </w:r>
      <w:r>
        <w:rPr>
          <w:spacing w:val="-3"/>
        </w:rPr>
        <w:t> </w:t>
      </w:r>
      <w:r>
        <w:rPr/>
        <w:t>sencilla</w:t>
      </w:r>
      <w:r>
        <w:rPr>
          <w:spacing w:val="-4"/>
        </w:rPr>
        <w:t> </w:t>
      </w:r>
      <w:r>
        <w:rPr/>
        <w:t>de</w:t>
      </w:r>
      <w:r>
        <w:rPr>
          <w:spacing w:val="-4"/>
        </w:rPr>
        <w:t> </w:t>
      </w:r>
      <w:r>
        <w:rPr/>
        <w:t>detectar</w:t>
      </w:r>
      <w:r>
        <w:rPr>
          <w:spacing w:val="-5"/>
        </w:rPr>
        <w:t> </w:t>
      </w:r>
      <w:r>
        <w:rPr/>
        <w:t>desde</w:t>
      </w:r>
      <w:r>
        <w:rPr>
          <w:spacing w:val="-6"/>
        </w:rPr>
        <w:t> </w:t>
      </w:r>
      <w:r>
        <w:rPr/>
        <w:t>la radiografía preoperatoria, lo que permitió planear un tratamiento que involucrará la totalidad de conductos antes de comenzar el</w:t>
      </w:r>
      <w:r>
        <w:rPr>
          <w:spacing w:val="-14"/>
        </w:rPr>
        <w:t> </w:t>
      </w:r>
      <w:r>
        <w:rPr/>
        <w:t>procedimiento.</w:t>
      </w:r>
      <w:r>
        <w:rPr>
          <w:position w:val="8"/>
          <w:sz w:val="16"/>
        </w:rPr>
        <w:t>16</w:t>
      </w:r>
    </w:p>
    <w:p>
      <w:pPr>
        <w:pStyle w:val="BodyText"/>
        <w:spacing w:line="360" w:lineRule="auto" w:before="162"/>
        <w:ind w:left="102" w:right="116"/>
        <w:jc w:val="both"/>
        <w:rPr>
          <w:sz w:val="16"/>
        </w:rPr>
      </w:pPr>
      <w:r>
        <w:rPr/>
        <w:t>Este reporte de caso describe una variante en la cual se presentan cuatro raíces separadas, entre ellas dos vestibulares y dos palatinas, y cuatro conductos de un segundo molar superior; el acceso al sistema de conductos radiculares es un aspecto importante a tener en cuenta debido a que la tendencia en la apertura de estos dientes es hacerla de forma triangular con base vestibular y vértice palatino, pudiendo generar en casos similares a éste la omisión del cuarto conducto correspondiente a una raíz accesoria, por lo que en estos dientes el acceso debe ser</w:t>
      </w:r>
      <w:r>
        <w:rPr>
          <w:spacing w:val="-7"/>
        </w:rPr>
        <w:t> </w:t>
      </w:r>
      <w:r>
        <w:rPr/>
        <w:t>más</w:t>
      </w:r>
      <w:r>
        <w:rPr>
          <w:spacing w:val="-7"/>
        </w:rPr>
        <w:t> </w:t>
      </w:r>
      <w:r>
        <w:rPr/>
        <w:t>amplio</w:t>
      </w:r>
      <w:r>
        <w:rPr>
          <w:spacing w:val="-8"/>
        </w:rPr>
        <w:t> </w:t>
      </w:r>
      <w:r>
        <w:rPr/>
        <w:t>de</w:t>
      </w:r>
      <w:r>
        <w:rPr>
          <w:spacing w:val="-6"/>
        </w:rPr>
        <w:t> </w:t>
      </w:r>
      <w:r>
        <w:rPr/>
        <w:t>lo</w:t>
      </w:r>
      <w:r>
        <w:rPr>
          <w:spacing w:val="-9"/>
        </w:rPr>
        <w:t> </w:t>
      </w:r>
      <w:r>
        <w:rPr/>
        <w:t>normal</w:t>
      </w:r>
      <w:r>
        <w:rPr>
          <w:spacing w:val="-10"/>
        </w:rPr>
        <w:t> </w:t>
      </w:r>
      <w:r>
        <w:rPr/>
        <w:t>en</w:t>
      </w:r>
      <w:r>
        <w:rPr>
          <w:spacing w:val="-8"/>
        </w:rPr>
        <w:t> </w:t>
      </w:r>
      <w:r>
        <w:rPr/>
        <w:t>sentido</w:t>
      </w:r>
      <w:r>
        <w:rPr>
          <w:spacing w:val="-8"/>
        </w:rPr>
        <w:t> </w:t>
      </w:r>
      <w:r>
        <w:rPr/>
        <w:t>palatino</w:t>
      </w:r>
      <w:r>
        <w:rPr>
          <w:spacing w:val="-6"/>
        </w:rPr>
        <w:t> </w:t>
      </w:r>
      <w:r>
        <w:rPr/>
        <w:t>y</w:t>
      </w:r>
      <w:r>
        <w:rPr>
          <w:spacing w:val="-8"/>
        </w:rPr>
        <w:t> </w:t>
      </w:r>
      <w:r>
        <w:rPr/>
        <w:t>dirección</w:t>
      </w:r>
      <w:r>
        <w:rPr>
          <w:spacing w:val="-10"/>
        </w:rPr>
        <w:t> </w:t>
      </w:r>
      <w:r>
        <w:rPr/>
        <w:t>mesiodistal,</w:t>
      </w:r>
      <w:r>
        <w:rPr>
          <w:position w:val="8"/>
          <w:sz w:val="16"/>
        </w:rPr>
        <w:t>8</w:t>
      </w:r>
      <w:r>
        <w:rPr>
          <w:spacing w:val="15"/>
          <w:position w:val="8"/>
          <w:sz w:val="16"/>
        </w:rPr>
        <w:t> </w:t>
      </w:r>
      <w:r>
        <w:rPr/>
        <w:t>cuando</w:t>
      </w:r>
      <w:r>
        <w:rPr>
          <w:spacing w:val="-8"/>
        </w:rPr>
        <w:t> </w:t>
      </w:r>
      <w:r>
        <w:rPr/>
        <w:t>se sospecha de una raíz adicional.</w:t>
      </w:r>
      <w:r>
        <w:rPr>
          <w:position w:val="8"/>
          <w:sz w:val="16"/>
        </w:rPr>
        <w:t>27-28 </w:t>
      </w:r>
      <w:r>
        <w:rPr/>
        <w:t>Christie y Thompson</w:t>
      </w:r>
      <w:r>
        <w:rPr>
          <w:position w:val="8"/>
          <w:sz w:val="16"/>
        </w:rPr>
        <w:t>10 </w:t>
      </w:r>
      <w:r>
        <w:rPr/>
        <w:t>recomiendan la modificación en la forma de la apertura y plantean que se deben delinear los márgenes de ésta más paralelos a los rebordes marginales, siguiendo la forma de la cámara pulpar para no omitir conductos adicionales.</w:t>
      </w:r>
      <w:r>
        <w:rPr>
          <w:position w:val="8"/>
          <w:sz w:val="16"/>
        </w:rPr>
        <w:t>30 </w:t>
      </w:r>
      <w:r>
        <w:rPr/>
        <w:t>En este caso, por la presencia de dos raíces palatinas el acceso fue de forma trapezoidal para mejorar la visibilidad y poder identificar más fácilmente la entrada de los conductos radiculares. Esto ayuda a que al ser tratados todos los conductos, el éxito del procedimiento sea más</w:t>
      </w:r>
      <w:r>
        <w:rPr>
          <w:spacing w:val="-11"/>
        </w:rPr>
        <w:t> </w:t>
      </w:r>
      <w:r>
        <w:rPr/>
        <w:t>predecible.</w:t>
      </w:r>
      <w:r>
        <w:rPr>
          <w:position w:val="8"/>
          <w:sz w:val="16"/>
        </w:rPr>
        <w:t>31-32</w:t>
      </w:r>
    </w:p>
    <w:p>
      <w:pPr>
        <w:spacing w:after="0" w:line="360" w:lineRule="auto"/>
        <w:jc w:val="both"/>
        <w:rPr>
          <w:sz w:val="16"/>
        </w:rPr>
        <w:sectPr>
          <w:pgSz w:w="12240" w:h="15840"/>
          <w:pgMar w:header="749" w:footer="0" w:top="960" w:bottom="280" w:left="1600" w:right="1580"/>
        </w:sectPr>
      </w:pPr>
    </w:p>
    <w:p>
      <w:pPr>
        <w:pStyle w:val="BodyText"/>
        <w:rPr>
          <w:sz w:val="20"/>
        </w:rPr>
      </w:pPr>
    </w:p>
    <w:p>
      <w:pPr>
        <w:pStyle w:val="Heading1"/>
        <w:numPr>
          <w:ilvl w:val="0"/>
          <w:numId w:val="2"/>
        </w:numPr>
        <w:tabs>
          <w:tab w:pos="3914" w:val="left" w:leader="none"/>
        </w:tabs>
        <w:spacing w:line="240" w:lineRule="auto" w:before="214" w:after="0"/>
        <w:ind w:left="3913" w:right="0" w:hanging="360"/>
        <w:jc w:val="left"/>
      </w:pPr>
      <w:bookmarkStart w:name="_TOC_250003" w:id="13"/>
      <w:bookmarkEnd w:id="13"/>
      <w:r>
        <w:rPr/>
        <w:t>CONCLUSIONES</w:t>
      </w:r>
    </w:p>
    <w:p>
      <w:pPr>
        <w:pStyle w:val="BodyText"/>
        <w:spacing w:before="1"/>
        <w:rPr>
          <w:b/>
          <w:sz w:val="26"/>
        </w:rPr>
      </w:pPr>
    </w:p>
    <w:p>
      <w:pPr>
        <w:pStyle w:val="BodyText"/>
        <w:spacing w:line="360" w:lineRule="auto"/>
        <w:ind w:left="102" w:right="115"/>
        <w:jc w:val="both"/>
      </w:pPr>
      <w:r>
        <w:rPr/>
        <w:t>De</w:t>
      </w:r>
      <w:r>
        <w:rPr>
          <w:spacing w:val="-10"/>
        </w:rPr>
        <w:t> </w:t>
      </w:r>
      <w:r>
        <w:rPr/>
        <w:t>forma</w:t>
      </w:r>
      <w:r>
        <w:rPr>
          <w:spacing w:val="-9"/>
        </w:rPr>
        <w:t> </w:t>
      </w:r>
      <w:r>
        <w:rPr/>
        <w:t>cotidiana,</w:t>
      </w:r>
      <w:r>
        <w:rPr>
          <w:spacing w:val="-11"/>
        </w:rPr>
        <w:t> </w:t>
      </w:r>
      <w:r>
        <w:rPr/>
        <w:t>estamos</w:t>
      </w:r>
      <w:r>
        <w:rPr>
          <w:spacing w:val="-12"/>
        </w:rPr>
        <w:t> </w:t>
      </w:r>
      <w:r>
        <w:rPr/>
        <w:t>expuestos</w:t>
      </w:r>
      <w:r>
        <w:rPr>
          <w:spacing w:val="-10"/>
        </w:rPr>
        <w:t> </w:t>
      </w:r>
      <w:r>
        <w:rPr/>
        <w:t>a</w:t>
      </w:r>
      <w:r>
        <w:rPr>
          <w:spacing w:val="-9"/>
        </w:rPr>
        <w:t> </w:t>
      </w:r>
      <w:r>
        <w:rPr/>
        <w:t>encontrarnos</w:t>
      </w:r>
      <w:r>
        <w:rPr>
          <w:spacing w:val="-10"/>
        </w:rPr>
        <w:t> </w:t>
      </w:r>
      <w:r>
        <w:rPr/>
        <w:t>con</w:t>
      </w:r>
      <w:r>
        <w:rPr>
          <w:spacing w:val="-9"/>
        </w:rPr>
        <w:t> </w:t>
      </w:r>
      <w:r>
        <w:rPr/>
        <w:t>situaciones</w:t>
      </w:r>
      <w:r>
        <w:rPr>
          <w:spacing w:val="-10"/>
        </w:rPr>
        <w:t> </w:t>
      </w:r>
      <w:r>
        <w:rPr/>
        <w:t>anatómicas de características únicas. Sí se sospecha de alguna variación anatómica, recomendamos tener siempre presentes las herramientas, recursos disponibles para</w:t>
      </w:r>
      <w:r>
        <w:rPr>
          <w:spacing w:val="-17"/>
        </w:rPr>
        <w:t> </w:t>
      </w:r>
      <w:r>
        <w:rPr/>
        <w:t>la</w:t>
      </w:r>
      <w:r>
        <w:rPr>
          <w:spacing w:val="-17"/>
        </w:rPr>
        <w:t> </w:t>
      </w:r>
      <w:r>
        <w:rPr/>
        <w:t>localización</w:t>
      </w:r>
      <w:r>
        <w:rPr>
          <w:spacing w:val="-16"/>
        </w:rPr>
        <w:t> </w:t>
      </w:r>
      <w:r>
        <w:rPr/>
        <w:t>de</w:t>
      </w:r>
      <w:r>
        <w:rPr>
          <w:spacing w:val="-19"/>
        </w:rPr>
        <w:t> </w:t>
      </w:r>
      <w:r>
        <w:rPr/>
        <w:t>raíces</w:t>
      </w:r>
      <w:r>
        <w:rPr>
          <w:spacing w:val="-17"/>
        </w:rPr>
        <w:t> </w:t>
      </w:r>
      <w:r>
        <w:rPr/>
        <w:t>con</w:t>
      </w:r>
      <w:r>
        <w:rPr>
          <w:spacing w:val="-17"/>
        </w:rPr>
        <w:t> </w:t>
      </w:r>
      <w:r>
        <w:rPr/>
        <w:t>conductos</w:t>
      </w:r>
      <w:r>
        <w:rPr>
          <w:spacing w:val="-14"/>
        </w:rPr>
        <w:t> </w:t>
      </w:r>
      <w:r>
        <w:rPr/>
        <w:t>adicionales</w:t>
      </w:r>
      <w:r>
        <w:rPr>
          <w:spacing w:val="-17"/>
        </w:rPr>
        <w:t> </w:t>
      </w:r>
      <w:r>
        <w:rPr/>
        <w:t>y</w:t>
      </w:r>
      <w:r>
        <w:rPr>
          <w:spacing w:val="-20"/>
        </w:rPr>
        <w:t> </w:t>
      </w:r>
      <w:r>
        <w:rPr/>
        <w:t>no</w:t>
      </w:r>
      <w:r>
        <w:rPr>
          <w:spacing w:val="-17"/>
        </w:rPr>
        <w:t> </w:t>
      </w:r>
      <w:r>
        <w:rPr/>
        <w:t>escatimar</w:t>
      </w:r>
      <w:r>
        <w:rPr>
          <w:spacing w:val="-18"/>
        </w:rPr>
        <w:t> </w:t>
      </w:r>
      <w:r>
        <w:rPr/>
        <w:t>en</w:t>
      </w:r>
      <w:r>
        <w:rPr>
          <w:spacing w:val="-17"/>
        </w:rPr>
        <w:t> </w:t>
      </w:r>
      <w:r>
        <w:rPr/>
        <w:t>utilizarlas</w:t>
      </w:r>
    </w:p>
    <w:p>
      <w:pPr>
        <w:pStyle w:val="BodyText"/>
        <w:spacing w:line="360" w:lineRule="auto" w:before="163"/>
        <w:ind w:left="102" w:right="115"/>
        <w:jc w:val="both"/>
      </w:pPr>
      <w:r>
        <w:rPr/>
        <w:t>En</w:t>
      </w:r>
      <w:r>
        <w:rPr>
          <w:spacing w:val="-14"/>
        </w:rPr>
        <w:t> </w:t>
      </w:r>
      <w:r>
        <w:rPr/>
        <w:t>conclusión,</w:t>
      </w:r>
      <w:r>
        <w:rPr>
          <w:spacing w:val="-17"/>
        </w:rPr>
        <w:t> </w:t>
      </w:r>
      <w:r>
        <w:rPr/>
        <w:t>podemos</w:t>
      </w:r>
      <w:r>
        <w:rPr>
          <w:spacing w:val="-15"/>
        </w:rPr>
        <w:t> </w:t>
      </w:r>
      <w:r>
        <w:rPr/>
        <w:t>decir</w:t>
      </w:r>
      <w:r>
        <w:rPr>
          <w:spacing w:val="-16"/>
        </w:rPr>
        <w:t> </w:t>
      </w:r>
      <w:r>
        <w:rPr/>
        <w:t>que</w:t>
      </w:r>
      <w:r>
        <w:rPr>
          <w:spacing w:val="-14"/>
        </w:rPr>
        <w:t> </w:t>
      </w:r>
      <w:r>
        <w:rPr/>
        <w:t>la</w:t>
      </w:r>
      <w:r>
        <w:rPr>
          <w:spacing w:val="-14"/>
        </w:rPr>
        <w:t> </w:t>
      </w:r>
      <w:r>
        <w:rPr/>
        <w:t>presencia</w:t>
      </w:r>
      <w:r>
        <w:rPr>
          <w:spacing w:val="-14"/>
        </w:rPr>
        <w:t> </w:t>
      </w:r>
      <w:r>
        <w:rPr/>
        <w:t>de</w:t>
      </w:r>
      <w:r>
        <w:rPr>
          <w:spacing w:val="-14"/>
        </w:rPr>
        <w:t> </w:t>
      </w:r>
      <w:r>
        <w:rPr/>
        <w:t>cuatro</w:t>
      </w:r>
      <w:r>
        <w:rPr>
          <w:spacing w:val="-14"/>
        </w:rPr>
        <w:t> </w:t>
      </w:r>
      <w:r>
        <w:rPr/>
        <w:t>raíces</w:t>
      </w:r>
      <w:r>
        <w:rPr>
          <w:spacing w:val="-15"/>
        </w:rPr>
        <w:t> </w:t>
      </w:r>
      <w:r>
        <w:rPr/>
        <w:t>independientes</w:t>
      </w:r>
      <w:r>
        <w:rPr>
          <w:spacing w:val="-15"/>
        </w:rPr>
        <w:t> </w:t>
      </w:r>
      <w:r>
        <w:rPr/>
        <w:t>con la configuración de dos raíces palatinas es poco usual; además, las implicaciones clínicas</w:t>
      </w:r>
      <w:r>
        <w:rPr>
          <w:spacing w:val="-12"/>
        </w:rPr>
        <w:t> </w:t>
      </w:r>
      <w:r>
        <w:rPr/>
        <w:t>que</w:t>
      </w:r>
      <w:r>
        <w:rPr>
          <w:spacing w:val="-12"/>
        </w:rPr>
        <w:t> </w:t>
      </w:r>
      <w:r>
        <w:rPr/>
        <w:t>tiene</w:t>
      </w:r>
      <w:r>
        <w:rPr>
          <w:spacing w:val="-12"/>
        </w:rPr>
        <w:t> </w:t>
      </w:r>
      <w:r>
        <w:rPr/>
        <w:t>el</w:t>
      </w:r>
      <w:r>
        <w:rPr>
          <w:spacing w:val="-13"/>
        </w:rPr>
        <w:t> </w:t>
      </w:r>
      <w:r>
        <w:rPr/>
        <w:t>identificar</w:t>
      </w:r>
      <w:r>
        <w:rPr>
          <w:spacing w:val="-13"/>
        </w:rPr>
        <w:t> </w:t>
      </w:r>
      <w:r>
        <w:rPr/>
        <w:t>estas</w:t>
      </w:r>
      <w:r>
        <w:rPr>
          <w:spacing w:val="-13"/>
        </w:rPr>
        <w:t> </w:t>
      </w:r>
      <w:r>
        <w:rPr/>
        <w:t>variantes</w:t>
      </w:r>
      <w:r>
        <w:rPr>
          <w:spacing w:val="-13"/>
        </w:rPr>
        <w:t> </w:t>
      </w:r>
      <w:r>
        <w:rPr/>
        <w:t>es</w:t>
      </w:r>
      <w:r>
        <w:rPr>
          <w:spacing w:val="-13"/>
        </w:rPr>
        <w:t> </w:t>
      </w:r>
      <w:r>
        <w:rPr/>
        <w:t>muy</w:t>
      </w:r>
      <w:r>
        <w:rPr>
          <w:spacing w:val="-14"/>
        </w:rPr>
        <w:t> </w:t>
      </w:r>
      <w:r>
        <w:rPr/>
        <w:t>importante</w:t>
      </w:r>
      <w:r>
        <w:rPr>
          <w:spacing w:val="-12"/>
        </w:rPr>
        <w:t> </w:t>
      </w:r>
      <w:r>
        <w:rPr/>
        <w:t>ya</w:t>
      </w:r>
      <w:r>
        <w:rPr>
          <w:spacing w:val="-12"/>
        </w:rPr>
        <w:t> </w:t>
      </w:r>
      <w:r>
        <w:rPr/>
        <w:t>que</w:t>
      </w:r>
      <w:r>
        <w:rPr>
          <w:spacing w:val="-12"/>
        </w:rPr>
        <w:t> </w:t>
      </w:r>
      <w:r>
        <w:rPr/>
        <w:t>en</w:t>
      </w:r>
      <w:r>
        <w:rPr>
          <w:spacing w:val="-12"/>
        </w:rPr>
        <w:t> </w:t>
      </w:r>
      <w:r>
        <w:rPr/>
        <w:t>algunos casos, por el desconocimiento de la anatomía o la no identificación de una morfología inusual, puede resultar en la omisión de canales o no tratar de forma completa todo el sistema de conductos radiculares, y así generar posibles</w:t>
      </w:r>
      <w:r>
        <w:rPr>
          <w:spacing w:val="-32"/>
        </w:rPr>
        <w:t> </w:t>
      </w:r>
      <w:r>
        <w:rPr/>
        <w:t>fracasos en</w:t>
      </w:r>
      <w:r>
        <w:rPr>
          <w:spacing w:val="-5"/>
        </w:rPr>
        <w:t> </w:t>
      </w:r>
      <w:r>
        <w:rPr/>
        <w:t>la</w:t>
      </w:r>
      <w:r>
        <w:rPr>
          <w:spacing w:val="-5"/>
        </w:rPr>
        <w:t> </w:t>
      </w:r>
      <w:r>
        <w:rPr/>
        <w:t>terapia</w:t>
      </w:r>
      <w:r>
        <w:rPr>
          <w:spacing w:val="-5"/>
        </w:rPr>
        <w:t> </w:t>
      </w:r>
      <w:r>
        <w:rPr/>
        <w:t>endodóntica.</w:t>
      </w:r>
      <w:r>
        <w:rPr>
          <w:spacing w:val="-5"/>
        </w:rPr>
        <w:t> </w:t>
      </w:r>
      <w:r>
        <w:rPr/>
        <w:t>Por</w:t>
      </w:r>
      <w:r>
        <w:rPr>
          <w:spacing w:val="-6"/>
        </w:rPr>
        <w:t> </w:t>
      </w:r>
      <w:r>
        <w:rPr/>
        <w:t>esto</w:t>
      </w:r>
      <w:r>
        <w:rPr>
          <w:spacing w:val="-5"/>
        </w:rPr>
        <w:t> </w:t>
      </w:r>
      <w:r>
        <w:rPr/>
        <w:t>es</w:t>
      </w:r>
      <w:r>
        <w:rPr>
          <w:spacing w:val="-5"/>
        </w:rPr>
        <w:t> </w:t>
      </w:r>
      <w:r>
        <w:rPr/>
        <w:t>importante</w:t>
      </w:r>
      <w:r>
        <w:rPr>
          <w:spacing w:val="-4"/>
        </w:rPr>
        <w:t> </w:t>
      </w:r>
      <w:r>
        <w:rPr/>
        <w:t>conocer</w:t>
      </w:r>
      <w:r>
        <w:rPr>
          <w:spacing w:val="-6"/>
        </w:rPr>
        <w:t> </w:t>
      </w:r>
      <w:r>
        <w:rPr/>
        <w:t>muy</w:t>
      </w:r>
      <w:r>
        <w:rPr>
          <w:spacing w:val="-8"/>
        </w:rPr>
        <w:t> </w:t>
      </w:r>
      <w:r>
        <w:rPr/>
        <w:t>bien</w:t>
      </w:r>
      <w:r>
        <w:rPr>
          <w:spacing w:val="-6"/>
        </w:rPr>
        <w:t> </w:t>
      </w:r>
      <w:r>
        <w:rPr/>
        <w:t>las</w:t>
      </w:r>
      <w:r>
        <w:rPr>
          <w:spacing w:val="-5"/>
        </w:rPr>
        <w:t> </w:t>
      </w:r>
      <w:r>
        <w:rPr/>
        <w:t>variaciones anatómicas que se pueden presentar en determinado diente, hacer un muy buen examen clínico radiográfico y tener la ayuda de la magnificación como la provee el microscopio de endodoncia; esto hace que aumente el éxito del</w:t>
      </w:r>
      <w:r>
        <w:rPr>
          <w:spacing w:val="-28"/>
        </w:rPr>
        <w:t> </w:t>
      </w:r>
      <w:r>
        <w:rPr/>
        <w:t>tratamiento.</w:t>
      </w:r>
    </w:p>
    <w:p>
      <w:pPr>
        <w:spacing w:after="0" w:line="360" w:lineRule="auto"/>
        <w:jc w:val="both"/>
        <w:sectPr>
          <w:pgSz w:w="12240" w:h="15840"/>
          <w:pgMar w:header="749" w:footer="0" w:top="960" w:bottom="280" w:left="1600" w:right="1580"/>
        </w:sectPr>
      </w:pPr>
    </w:p>
    <w:p>
      <w:pPr>
        <w:pStyle w:val="BodyText"/>
        <w:rPr>
          <w:sz w:val="20"/>
        </w:rPr>
      </w:pPr>
    </w:p>
    <w:p>
      <w:pPr>
        <w:pStyle w:val="Heading1"/>
        <w:numPr>
          <w:ilvl w:val="0"/>
          <w:numId w:val="2"/>
        </w:numPr>
        <w:tabs>
          <w:tab w:pos="4001" w:val="left" w:leader="none"/>
        </w:tabs>
        <w:spacing w:line="240" w:lineRule="auto" w:before="214" w:after="0"/>
        <w:ind w:left="4000" w:right="0" w:hanging="360"/>
        <w:jc w:val="left"/>
      </w:pPr>
      <w:bookmarkStart w:name="_TOC_250002" w:id="14"/>
      <w:bookmarkEnd w:id="14"/>
      <w:r>
        <w:rPr/>
        <w:t>SUGERENCIAS</w:t>
      </w:r>
    </w:p>
    <w:p>
      <w:pPr>
        <w:pStyle w:val="BodyText"/>
        <w:rPr>
          <w:b/>
        </w:rPr>
      </w:pPr>
    </w:p>
    <w:p>
      <w:pPr>
        <w:pStyle w:val="BodyText"/>
        <w:rPr>
          <w:b/>
        </w:rPr>
      </w:pPr>
    </w:p>
    <w:p>
      <w:pPr>
        <w:pStyle w:val="BodyText"/>
        <w:rPr>
          <w:b/>
          <w:sz w:val="28"/>
        </w:rPr>
      </w:pPr>
    </w:p>
    <w:p>
      <w:pPr>
        <w:pStyle w:val="BodyText"/>
        <w:spacing w:line="360" w:lineRule="auto"/>
        <w:ind w:left="102" w:right="114"/>
        <w:jc w:val="both"/>
      </w:pPr>
      <w:r>
        <w:rPr/>
        <w:t>La compleja anatomía del primer molar superior ha orillado a diversos investigadores a realizar varios estudios sobre la anatomía interna, todo con el propósito</w:t>
      </w:r>
      <w:r>
        <w:rPr>
          <w:spacing w:val="-6"/>
        </w:rPr>
        <w:t> </w:t>
      </w:r>
      <w:r>
        <w:rPr/>
        <w:t>de</w:t>
      </w:r>
      <w:r>
        <w:rPr>
          <w:spacing w:val="-6"/>
        </w:rPr>
        <w:t> </w:t>
      </w:r>
      <w:r>
        <w:rPr/>
        <w:t>mejorar</w:t>
      </w:r>
      <w:r>
        <w:rPr>
          <w:spacing w:val="-5"/>
        </w:rPr>
        <w:t> </w:t>
      </w:r>
      <w:r>
        <w:rPr/>
        <w:t>su</w:t>
      </w:r>
      <w:r>
        <w:rPr>
          <w:spacing w:val="-4"/>
        </w:rPr>
        <w:t> </w:t>
      </w:r>
      <w:r>
        <w:rPr/>
        <w:t>limpieza</w:t>
      </w:r>
      <w:r>
        <w:rPr>
          <w:spacing w:val="-4"/>
        </w:rPr>
        <w:t> </w:t>
      </w:r>
      <w:r>
        <w:rPr/>
        <w:t>y</w:t>
      </w:r>
      <w:r>
        <w:rPr>
          <w:spacing w:val="-7"/>
        </w:rPr>
        <w:t> </w:t>
      </w:r>
      <w:r>
        <w:rPr/>
        <w:t>conformación</w:t>
      </w:r>
      <w:r>
        <w:rPr>
          <w:spacing w:val="-6"/>
        </w:rPr>
        <w:t> </w:t>
      </w:r>
      <w:r>
        <w:rPr/>
        <w:t>para</w:t>
      </w:r>
      <w:r>
        <w:rPr>
          <w:spacing w:val="-7"/>
        </w:rPr>
        <w:t> </w:t>
      </w:r>
      <w:r>
        <w:rPr/>
        <w:t>elevar</w:t>
      </w:r>
      <w:r>
        <w:rPr>
          <w:spacing w:val="-5"/>
        </w:rPr>
        <w:t> </w:t>
      </w:r>
      <w:r>
        <w:rPr/>
        <w:t>el</w:t>
      </w:r>
      <w:r>
        <w:rPr>
          <w:spacing w:val="-7"/>
        </w:rPr>
        <w:t> </w:t>
      </w:r>
      <w:r>
        <w:rPr/>
        <w:t>índice</w:t>
      </w:r>
      <w:r>
        <w:rPr>
          <w:spacing w:val="-4"/>
        </w:rPr>
        <w:t> </w:t>
      </w:r>
      <w:r>
        <w:rPr/>
        <w:t>de</w:t>
      </w:r>
      <w:r>
        <w:rPr>
          <w:spacing w:val="-6"/>
        </w:rPr>
        <w:t> </w:t>
      </w:r>
      <w:r>
        <w:rPr/>
        <w:t>éxito</w:t>
      </w:r>
      <w:r>
        <w:rPr>
          <w:spacing w:val="-4"/>
        </w:rPr>
        <w:t> </w:t>
      </w:r>
      <w:r>
        <w:rPr/>
        <w:t>en</w:t>
      </w:r>
      <w:r>
        <w:rPr>
          <w:spacing w:val="-1"/>
        </w:rPr>
        <w:t> </w:t>
      </w:r>
      <w:r>
        <w:rPr/>
        <w:t>el tratamiento</w:t>
      </w:r>
      <w:r>
        <w:rPr>
          <w:spacing w:val="-10"/>
        </w:rPr>
        <w:t> </w:t>
      </w:r>
      <w:r>
        <w:rPr/>
        <w:t>endodóntico.</w:t>
      </w:r>
    </w:p>
    <w:p>
      <w:pPr>
        <w:pStyle w:val="BodyText"/>
        <w:spacing w:line="360" w:lineRule="auto" w:before="163"/>
        <w:ind w:left="102" w:right="115"/>
        <w:jc w:val="both"/>
      </w:pPr>
      <w:r>
        <w:rPr/>
        <w:t>Se sugiere al clínico endodóncista que, debe conocer la anatomía del primer molar superior así como suponer siempre la existencia de conductos con sus variantes, igualmente,</w:t>
      </w:r>
      <w:r>
        <w:rPr>
          <w:spacing w:val="-5"/>
        </w:rPr>
        <w:t> </w:t>
      </w:r>
      <w:r>
        <w:rPr/>
        <w:t>tener</w:t>
      </w:r>
      <w:r>
        <w:rPr>
          <w:spacing w:val="-8"/>
        </w:rPr>
        <w:t> </w:t>
      </w:r>
      <w:r>
        <w:rPr/>
        <w:t>en</w:t>
      </w:r>
      <w:r>
        <w:rPr>
          <w:spacing w:val="-5"/>
        </w:rPr>
        <w:t> </w:t>
      </w:r>
      <w:r>
        <w:rPr/>
        <w:t>cuenta</w:t>
      </w:r>
      <w:r>
        <w:rPr>
          <w:spacing w:val="-5"/>
        </w:rPr>
        <w:t> </w:t>
      </w:r>
      <w:r>
        <w:rPr/>
        <w:t>el</w:t>
      </w:r>
      <w:r>
        <w:rPr>
          <w:spacing w:val="-6"/>
        </w:rPr>
        <w:t> </w:t>
      </w:r>
      <w:r>
        <w:rPr/>
        <w:t>auxiliarse</w:t>
      </w:r>
      <w:r>
        <w:rPr>
          <w:spacing w:val="-5"/>
        </w:rPr>
        <w:t> </w:t>
      </w:r>
      <w:r>
        <w:rPr/>
        <w:t>con</w:t>
      </w:r>
      <w:r>
        <w:rPr>
          <w:spacing w:val="-5"/>
        </w:rPr>
        <w:t> </w:t>
      </w:r>
      <w:r>
        <w:rPr/>
        <w:t>instrumentos</w:t>
      </w:r>
      <w:r>
        <w:rPr>
          <w:spacing w:val="-8"/>
        </w:rPr>
        <w:t> </w:t>
      </w:r>
      <w:r>
        <w:rPr/>
        <w:t>de</w:t>
      </w:r>
      <w:r>
        <w:rPr>
          <w:spacing w:val="-7"/>
        </w:rPr>
        <w:t> </w:t>
      </w:r>
      <w:r>
        <w:rPr/>
        <w:t>magnificación</w:t>
      </w:r>
      <w:r>
        <w:rPr>
          <w:spacing w:val="-5"/>
        </w:rPr>
        <w:t> </w:t>
      </w:r>
      <w:r>
        <w:rPr/>
        <w:t>(lupas, microscopio) y ultrasónicos, nos ayude a localizar más fácilmente con mayor frecuencia los</w:t>
      </w:r>
      <w:r>
        <w:rPr>
          <w:spacing w:val="-9"/>
        </w:rPr>
        <w:t> </w:t>
      </w:r>
      <w:r>
        <w:rPr/>
        <w:t>conductos.</w:t>
      </w:r>
    </w:p>
    <w:p>
      <w:pPr>
        <w:spacing w:after="0" w:line="360" w:lineRule="auto"/>
        <w:jc w:val="both"/>
        <w:sectPr>
          <w:pgSz w:w="12240" w:h="15840"/>
          <w:pgMar w:header="749" w:footer="0" w:top="960" w:bottom="280" w:left="1600" w:right="1580"/>
        </w:sectPr>
      </w:pPr>
    </w:p>
    <w:p>
      <w:pPr>
        <w:pStyle w:val="BodyText"/>
        <w:rPr>
          <w:sz w:val="20"/>
        </w:rPr>
      </w:pPr>
    </w:p>
    <w:p>
      <w:pPr>
        <w:pStyle w:val="Heading1"/>
        <w:numPr>
          <w:ilvl w:val="0"/>
          <w:numId w:val="2"/>
        </w:numPr>
        <w:tabs>
          <w:tab w:pos="4219" w:val="left" w:leader="none"/>
        </w:tabs>
        <w:spacing w:line="240" w:lineRule="auto" w:before="212" w:after="0"/>
        <w:ind w:left="4218" w:right="0" w:hanging="360"/>
        <w:jc w:val="left"/>
      </w:pPr>
      <w:bookmarkStart w:name="_TOC_250001" w:id="15"/>
      <w:bookmarkEnd w:id="15"/>
      <w:r>
        <w:rPr/>
        <w:t>Bibliografía</w:t>
      </w:r>
    </w:p>
    <w:p>
      <w:pPr>
        <w:pStyle w:val="BodyText"/>
        <w:rPr>
          <w:b/>
        </w:rPr>
      </w:pPr>
    </w:p>
    <w:p>
      <w:pPr>
        <w:pStyle w:val="BodyText"/>
        <w:rPr>
          <w:b/>
          <w:sz w:val="32"/>
        </w:rPr>
      </w:pPr>
    </w:p>
    <w:p>
      <w:pPr>
        <w:pStyle w:val="ListParagraph"/>
        <w:numPr>
          <w:ilvl w:val="0"/>
          <w:numId w:val="9"/>
        </w:numPr>
        <w:tabs>
          <w:tab w:pos="809" w:val="left" w:leader="none"/>
          <w:tab w:pos="810" w:val="left" w:leader="none"/>
        </w:tabs>
        <w:spacing w:line="280" w:lineRule="exact" w:before="0" w:after="0"/>
        <w:ind w:left="102" w:right="121" w:firstLine="0"/>
        <w:jc w:val="both"/>
        <w:rPr>
          <w:rFonts w:ascii="Calibri"/>
          <w:sz w:val="22"/>
        </w:rPr>
      </w:pPr>
      <w:r>
        <w:rPr>
          <w:sz w:val="24"/>
        </w:rPr>
        <w:t>N Adanir. An unusual maxillary first molar with four roots and six canals: a case report. Australian Dental Journal 2007;</w:t>
      </w:r>
      <w:r>
        <w:rPr>
          <w:spacing w:val="-17"/>
          <w:sz w:val="24"/>
        </w:rPr>
        <w:t> </w:t>
      </w:r>
      <w:r>
        <w:rPr>
          <w:sz w:val="24"/>
        </w:rPr>
        <w:t>52(4):333-335</w:t>
      </w:r>
    </w:p>
    <w:p>
      <w:pPr>
        <w:pStyle w:val="ListParagraph"/>
        <w:numPr>
          <w:ilvl w:val="0"/>
          <w:numId w:val="9"/>
        </w:numPr>
        <w:tabs>
          <w:tab w:pos="810" w:val="left" w:leader="none"/>
        </w:tabs>
        <w:spacing w:line="240" w:lineRule="auto" w:before="0" w:after="0"/>
        <w:ind w:left="102" w:right="118" w:firstLine="0"/>
        <w:jc w:val="both"/>
        <w:rPr>
          <w:sz w:val="24"/>
        </w:rPr>
      </w:pPr>
      <w:r>
        <w:rPr>
          <w:sz w:val="24"/>
        </w:rPr>
        <w:t>Lu Qun, Ni longxing, Yu Qing, Lin Yuan, Wen Jun, Duan Qingyue. A case of asymmetric</w:t>
      </w:r>
      <w:r>
        <w:rPr>
          <w:spacing w:val="-21"/>
          <w:sz w:val="24"/>
        </w:rPr>
        <w:t> </w:t>
      </w:r>
      <w:r>
        <w:rPr>
          <w:sz w:val="24"/>
        </w:rPr>
        <w:t>maxillary</w:t>
      </w:r>
      <w:r>
        <w:rPr>
          <w:spacing w:val="-21"/>
          <w:sz w:val="24"/>
        </w:rPr>
        <w:t> </w:t>
      </w:r>
      <w:r>
        <w:rPr>
          <w:sz w:val="24"/>
        </w:rPr>
        <w:t>second</w:t>
      </w:r>
      <w:r>
        <w:rPr>
          <w:spacing w:val="-19"/>
          <w:sz w:val="24"/>
        </w:rPr>
        <w:t> </w:t>
      </w:r>
      <w:r>
        <w:rPr>
          <w:sz w:val="24"/>
        </w:rPr>
        <w:t>molar</w:t>
      </w:r>
      <w:r>
        <w:rPr>
          <w:spacing w:val="-19"/>
          <w:sz w:val="24"/>
        </w:rPr>
        <w:t> </w:t>
      </w:r>
      <w:r>
        <w:rPr>
          <w:sz w:val="24"/>
        </w:rPr>
        <w:t>with</w:t>
      </w:r>
      <w:r>
        <w:rPr>
          <w:spacing w:val="-19"/>
          <w:sz w:val="24"/>
        </w:rPr>
        <w:t> </w:t>
      </w:r>
      <w:r>
        <w:rPr>
          <w:sz w:val="24"/>
        </w:rPr>
        <w:t>doublé</w:t>
      </w:r>
      <w:r>
        <w:rPr>
          <w:spacing w:val="-19"/>
          <w:sz w:val="24"/>
        </w:rPr>
        <w:t> </w:t>
      </w:r>
      <w:r>
        <w:rPr>
          <w:sz w:val="24"/>
        </w:rPr>
        <w:t>palatal</w:t>
      </w:r>
      <w:r>
        <w:rPr>
          <w:spacing w:val="-19"/>
          <w:sz w:val="24"/>
        </w:rPr>
        <w:t> </w:t>
      </w:r>
      <w:r>
        <w:rPr>
          <w:sz w:val="24"/>
        </w:rPr>
        <w:t>roots.</w:t>
      </w:r>
      <w:r>
        <w:rPr>
          <w:spacing w:val="-19"/>
          <w:sz w:val="24"/>
        </w:rPr>
        <w:t> </w:t>
      </w:r>
      <w:r>
        <w:rPr>
          <w:sz w:val="24"/>
        </w:rPr>
        <w:t>Quintessence</w:t>
      </w:r>
      <w:r>
        <w:rPr>
          <w:spacing w:val="-19"/>
          <w:sz w:val="24"/>
        </w:rPr>
        <w:t> </w:t>
      </w:r>
      <w:r>
        <w:rPr>
          <w:sz w:val="24"/>
        </w:rPr>
        <w:t>Int</w:t>
      </w:r>
      <w:r>
        <w:rPr>
          <w:spacing w:val="-21"/>
          <w:sz w:val="24"/>
        </w:rPr>
        <w:t> </w:t>
      </w:r>
      <w:r>
        <w:rPr>
          <w:sz w:val="24"/>
        </w:rPr>
        <w:t>2009; 40:275-276</w:t>
      </w:r>
    </w:p>
    <w:p>
      <w:pPr>
        <w:pStyle w:val="ListParagraph"/>
        <w:numPr>
          <w:ilvl w:val="0"/>
          <w:numId w:val="9"/>
        </w:numPr>
        <w:tabs>
          <w:tab w:pos="810" w:val="left" w:leader="none"/>
        </w:tabs>
        <w:spacing w:line="240" w:lineRule="auto" w:before="0" w:after="0"/>
        <w:ind w:left="102" w:right="116" w:firstLine="0"/>
        <w:jc w:val="both"/>
        <w:rPr>
          <w:sz w:val="24"/>
        </w:rPr>
      </w:pPr>
      <w:r>
        <w:rPr>
          <w:sz w:val="24"/>
        </w:rPr>
        <w:t>Vertucci FJ. Root Canal Morphology and its Relationship to Endodontic Procedures. Endod Topics. 2005; 10:</w:t>
      </w:r>
      <w:r>
        <w:rPr>
          <w:spacing w:val="-13"/>
          <w:sz w:val="24"/>
        </w:rPr>
        <w:t> </w:t>
      </w:r>
      <w:r>
        <w:rPr>
          <w:sz w:val="24"/>
        </w:rPr>
        <w:t>3-29.</w:t>
      </w:r>
    </w:p>
    <w:p>
      <w:pPr>
        <w:pStyle w:val="ListParagraph"/>
        <w:numPr>
          <w:ilvl w:val="0"/>
          <w:numId w:val="9"/>
        </w:numPr>
        <w:tabs>
          <w:tab w:pos="810" w:val="left" w:leader="none"/>
        </w:tabs>
        <w:spacing w:line="240" w:lineRule="auto" w:before="0" w:after="0"/>
        <w:ind w:left="102" w:right="116" w:firstLine="0"/>
        <w:jc w:val="both"/>
        <w:rPr>
          <w:sz w:val="24"/>
        </w:rPr>
      </w:pPr>
      <w:r>
        <w:rPr>
          <w:sz w:val="24"/>
        </w:rPr>
        <w:t>Gopikrishna NV, Reuben Joseph and Kanaswamy DChennai, India. Endodontic</w:t>
      </w:r>
      <w:r>
        <w:rPr>
          <w:spacing w:val="-12"/>
          <w:sz w:val="24"/>
        </w:rPr>
        <w:t> </w:t>
      </w:r>
      <w:r>
        <w:rPr>
          <w:sz w:val="24"/>
        </w:rPr>
        <w:t>management</w:t>
      </w:r>
      <w:r>
        <w:rPr>
          <w:spacing w:val="-11"/>
          <w:sz w:val="24"/>
        </w:rPr>
        <w:t> </w:t>
      </w:r>
      <w:r>
        <w:rPr>
          <w:sz w:val="24"/>
        </w:rPr>
        <w:t>of</w:t>
      </w:r>
      <w:r>
        <w:rPr>
          <w:spacing w:val="-9"/>
          <w:sz w:val="24"/>
        </w:rPr>
        <w:t> </w:t>
      </w:r>
      <w:r>
        <w:rPr>
          <w:sz w:val="24"/>
        </w:rPr>
        <w:t>a</w:t>
      </w:r>
      <w:r>
        <w:rPr>
          <w:spacing w:val="-11"/>
          <w:sz w:val="24"/>
        </w:rPr>
        <w:t> </w:t>
      </w:r>
      <w:r>
        <w:rPr>
          <w:sz w:val="24"/>
        </w:rPr>
        <w:t>maxillary</w:t>
      </w:r>
      <w:r>
        <w:rPr>
          <w:spacing w:val="-12"/>
          <w:sz w:val="24"/>
        </w:rPr>
        <w:t> </w:t>
      </w:r>
      <w:r>
        <w:rPr>
          <w:sz w:val="24"/>
        </w:rPr>
        <w:t>first</w:t>
      </w:r>
      <w:r>
        <w:rPr>
          <w:spacing w:val="-9"/>
          <w:sz w:val="24"/>
        </w:rPr>
        <w:t> </w:t>
      </w:r>
      <w:r>
        <w:rPr>
          <w:sz w:val="24"/>
        </w:rPr>
        <w:t>molar</w:t>
      </w:r>
      <w:r>
        <w:rPr>
          <w:spacing w:val="-9"/>
          <w:sz w:val="24"/>
        </w:rPr>
        <w:t> </w:t>
      </w:r>
      <w:r>
        <w:rPr>
          <w:sz w:val="24"/>
        </w:rPr>
        <w:t>with</w:t>
      </w:r>
      <w:r>
        <w:rPr>
          <w:spacing w:val="-8"/>
          <w:sz w:val="24"/>
        </w:rPr>
        <w:t> </w:t>
      </w:r>
      <w:r>
        <w:rPr>
          <w:sz w:val="24"/>
        </w:rPr>
        <w:t>two</w:t>
      </w:r>
      <w:r>
        <w:rPr>
          <w:spacing w:val="-8"/>
          <w:sz w:val="24"/>
        </w:rPr>
        <w:t> </w:t>
      </w:r>
      <w:r>
        <w:rPr>
          <w:sz w:val="24"/>
        </w:rPr>
        <w:t>palatal</w:t>
      </w:r>
      <w:r>
        <w:rPr>
          <w:spacing w:val="-10"/>
          <w:sz w:val="24"/>
        </w:rPr>
        <w:t> </w:t>
      </w:r>
      <w:r>
        <w:rPr>
          <w:sz w:val="24"/>
        </w:rPr>
        <w:t>roots</w:t>
      </w:r>
      <w:r>
        <w:rPr>
          <w:spacing w:val="-11"/>
          <w:sz w:val="24"/>
        </w:rPr>
        <w:t> </w:t>
      </w:r>
      <w:r>
        <w:rPr>
          <w:sz w:val="24"/>
        </w:rPr>
        <w:t>and</w:t>
      </w:r>
      <w:r>
        <w:rPr>
          <w:spacing w:val="-8"/>
          <w:sz w:val="24"/>
        </w:rPr>
        <w:t> </w:t>
      </w:r>
      <w:r>
        <w:rPr>
          <w:sz w:val="24"/>
        </w:rPr>
        <w:t>a</w:t>
      </w:r>
      <w:r>
        <w:rPr>
          <w:spacing w:val="-11"/>
          <w:sz w:val="24"/>
        </w:rPr>
        <w:t> </w:t>
      </w:r>
      <w:r>
        <w:rPr>
          <w:sz w:val="24"/>
        </w:rPr>
        <w:t>single fused buccal root diagnosed with spiral computed tomography – a case report.</w:t>
      </w:r>
      <w:r>
        <w:rPr>
          <w:spacing w:val="-32"/>
          <w:sz w:val="24"/>
        </w:rPr>
        <w:t> </w:t>
      </w:r>
      <w:r>
        <w:rPr>
          <w:sz w:val="24"/>
        </w:rPr>
        <w:t>Oral Surg Oral Med Oral Pathol Oral Radiol Endod 2008;</w:t>
      </w:r>
      <w:r>
        <w:rPr>
          <w:spacing w:val="-19"/>
          <w:sz w:val="24"/>
        </w:rPr>
        <w:t> </w:t>
      </w:r>
      <w:r>
        <w:rPr>
          <w:sz w:val="24"/>
        </w:rPr>
        <w:t>105:e74-e78.</w:t>
      </w:r>
    </w:p>
    <w:p>
      <w:pPr>
        <w:pStyle w:val="ListParagraph"/>
        <w:numPr>
          <w:ilvl w:val="0"/>
          <w:numId w:val="9"/>
        </w:numPr>
        <w:tabs>
          <w:tab w:pos="810" w:val="left" w:leader="none"/>
        </w:tabs>
        <w:spacing w:line="240" w:lineRule="auto" w:before="0" w:after="0"/>
        <w:ind w:left="102" w:right="115" w:firstLine="0"/>
        <w:jc w:val="both"/>
        <w:rPr>
          <w:sz w:val="24"/>
        </w:rPr>
      </w:pPr>
      <w:r>
        <w:rPr>
          <w:sz w:val="24"/>
        </w:rPr>
        <w:t>Mirdha KC, Ponnappa. Endodontic Management of Maxillary first molar with 2 palatal and 3 buccal canals and associated with multiple space infection. JIOH. 2011.3.</w:t>
      </w:r>
    </w:p>
    <w:p>
      <w:pPr>
        <w:pStyle w:val="ListParagraph"/>
        <w:numPr>
          <w:ilvl w:val="0"/>
          <w:numId w:val="9"/>
        </w:numPr>
        <w:tabs>
          <w:tab w:pos="810" w:val="left" w:leader="none"/>
        </w:tabs>
        <w:spacing w:line="240" w:lineRule="auto" w:before="0" w:after="0"/>
        <w:ind w:left="102" w:right="118" w:firstLine="0"/>
        <w:jc w:val="both"/>
        <w:rPr>
          <w:sz w:val="24"/>
        </w:rPr>
      </w:pPr>
      <w:r>
        <w:rPr>
          <w:sz w:val="24"/>
        </w:rPr>
        <w:t>Krishnaprasad P, Goel BR, Tyagi S. Endodontic Miscellany: Maxillary first molar with two canals in the palatal root. Endodontology.</w:t>
      </w:r>
      <w:r>
        <w:rPr>
          <w:spacing w:val="-20"/>
          <w:sz w:val="24"/>
        </w:rPr>
        <w:t> </w:t>
      </w:r>
      <w:r>
        <w:rPr>
          <w:sz w:val="24"/>
        </w:rPr>
        <w:t>2003.15.</w:t>
      </w:r>
    </w:p>
    <w:p>
      <w:pPr>
        <w:pStyle w:val="ListParagraph"/>
        <w:numPr>
          <w:ilvl w:val="0"/>
          <w:numId w:val="9"/>
        </w:numPr>
        <w:tabs>
          <w:tab w:pos="810" w:val="left" w:leader="none"/>
        </w:tabs>
        <w:spacing w:line="240" w:lineRule="auto" w:before="0" w:after="0"/>
        <w:ind w:left="102" w:right="121" w:firstLine="0"/>
        <w:jc w:val="both"/>
        <w:rPr>
          <w:sz w:val="24"/>
        </w:rPr>
      </w:pPr>
      <w:r>
        <w:rPr>
          <w:sz w:val="24"/>
        </w:rPr>
        <w:t>Mohammad Aminul Islam Md. Shamsul Alam. Five Root Canals for a Maxillary First Molar Tooth – A Case Report. BSMMU J 2012;</w:t>
      </w:r>
      <w:r>
        <w:rPr>
          <w:spacing w:val="-20"/>
          <w:sz w:val="24"/>
        </w:rPr>
        <w:t> </w:t>
      </w:r>
      <w:r>
        <w:rPr>
          <w:sz w:val="24"/>
        </w:rPr>
        <w:t>5(1):61-64.</w:t>
      </w:r>
    </w:p>
    <w:p>
      <w:pPr>
        <w:pStyle w:val="ListParagraph"/>
        <w:numPr>
          <w:ilvl w:val="0"/>
          <w:numId w:val="9"/>
        </w:numPr>
        <w:tabs>
          <w:tab w:pos="810" w:val="left" w:leader="none"/>
        </w:tabs>
        <w:spacing w:line="240" w:lineRule="auto" w:before="0" w:after="0"/>
        <w:ind w:left="102" w:right="117" w:firstLine="0"/>
        <w:jc w:val="both"/>
        <w:rPr>
          <w:sz w:val="24"/>
        </w:rPr>
      </w:pPr>
      <w:r>
        <w:rPr>
          <w:sz w:val="24"/>
        </w:rPr>
        <w:t>Baratto FF, Zaitter S, Aihara GH, Campos EA, Allan Abuabara and Correr GM. Analysis of the Internal Anatomy of Maxillary First Molars by Using Different Methods. JOE.2009.</w:t>
      </w:r>
      <w:r>
        <w:rPr>
          <w:spacing w:val="-12"/>
          <w:sz w:val="24"/>
        </w:rPr>
        <w:t> </w:t>
      </w:r>
      <w:r>
        <w:rPr>
          <w:sz w:val="24"/>
        </w:rPr>
        <w:t>35(3).</w:t>
      </w:r>
    </w:p>
    <w:p>
      <w:pPr>
        <w:pStyle w:val="ListParagraph"/>
        <w:numPr>
          <w:ilvl w:val="0"/>
          <w:numId w:val="9"/>
        </w:numPr>
        <w:tabs>
          <w:tab w:pos="810" w:val="left" w:leader="none"/>
        </w:tabs>
        <w:spacing w:line="240" w:lineRule="auto" w:before="0" w:after="0"/>
        <w:ind w:left="102" w:right="119" w:firstLine="0"/>
        <w:jc w:val="both"/>
        <w:rPr>
          <w:sz w:val="24"/>
        </w:rPr>
      </w:pPr>
      <w:r>
        <w:rPr>
          <w:sz w:val="24"/>
        </w:rPr>
        <w:t>Salapoor M, Farhad MN. Maxillary first molar with two separate palatal</w:t>
      </w:r>
      <w:r>
        <w:rPr>
          <w:spacing w:val="-29"/>
          <w:sz w:val="24"/>
        </w:rPr>
        <w:t> </w:t>
      </w:r>
      <w:r>
        <w:rPr>
          <w:sz w:val="24"/>
        </w:rPr>
        <w:t>roots: a case report. Journal of Dental Medicine-Tehran University of Medical Sciences 2010;</w:t>
      </w:r>
      <w:r>
        <w:rPr>
          <w:spacing w:val="-8"/>
          <w:sz w:val="24"/>
        </w:rPr>
        <w:t> </w:t>
      </w:r>
      <w:r>
        <w:rPr>
          <w:sz w:val="24"/>
        </w:rPr>
        <w:t>23(4):198-201</w:t>
      </w:r>
    </w:p>
    <w:p>
      <w:pPr>
        <w:pStyle w:val="ListParagraph"/>
        <w:numPr>
          <w:ilvl w:val="0"/>
          <w:numId w:val="9"/>
        </w:numPr>
        <w:tabs>
          <w:tab w:pos="810" w:val="left" w:leader="none"/>
        </w:tabs>
        <w:spacing w:line="240" w:lineRule="auto" w:before="0" w:after="0"/>
        <w:ind w:left="102" w:right="118" w:firstLine="0"/>
        <w:jc w:val="both"/>
        <w:rPr>
          <w:sz w:val="24"/>
        </w:rPr>
      </w:pPr>
      <w:r>
        <w:rPr>
          <w:sz w:val="24"/>
        </w:rPr>
        <w:t>Holderrieth S and Gernhardt CR. Maxillary Molars With Morphologic Variations of the Palatal Root Canals: A Report of Four Cases. JOE.</w:t>
      </w:r>
      <w:r>
        <w:rPr>
          <w:spacing w:val="-29"/>
          <w:sz w:val="24"/>
        </w:rPr>
        <w:t> </w:t>
      </w:r>
      <w:r>
        <w:rPr>
          <w:sz w:val="24"/>
        </w:rPr>
        <w:t>2009.35(7).</w:t>
      </w:r>
    </w:p>
    <w:p>
      <w:pPr>
        <w:pStyle w:val="ListParagraph"/>
        <w:numPr>
          <w:ilvl w:val="0"/>
          <w:numId w:val="9"/>
        </w:numPr>
        <w:tabs>
          <w:tab w:pos="810" w:val="left" w:leader="none"/>
        </w:tabs>
        <w:spacing w:line="240" w:lineRule="auto" w:before="0" w:after="0"/>
        <w:ind w:left="102" w:right="121" w:firstLine="0"/>
        <w:jc w:val="both"/>
        <w:rPr>
          <w:sz w:val="24"/>
        </w:rPr>
      </w:pPr>
      <w:r>
        <w:rPr>
          <w:sz w:val="24"/>
        </w:rPr>
        <w:t>Christie, Peikoff, and Fogel. Maxillary Molars with Two Palatal Roots: A Retrospective Clinical Study. Journal Of Endodontics.</w:t>
      </w:r>
      <w:r>
        <w:rPr>
          <w:spacing w:val="-22"/>
          <w:sz w:val="24"/>
        </w:rPr>
        <w:t> </w:t>
      </w:r>
      <w:r>
        <w:rPr>
          <w:sz w:val="24"/>
        </w:rPr>
        <w:t>1991(17),2.</w:t>
      </w:r>
    </w:p>
    <w:p>
      <w:pPr>
        <w:pStyle w:val="ListParagraph"/>
        <w:numPr>
          <w:ilvl w:val="0"/>
          <w:numId w:val="9"/>
        </w:numPr>
        <w:tabs>
          <w:tab w:pos="810" w:val="left" w:leader="none"/>
        </w:tabs>
        <w:spacing w:line="240" w:lineRule="auto" w:before="0" w:after="0"/>
        <w:ind w:left="102" w:right="125" w:firstLine="0"/>
        <w:jc w:val="both"/>
        <w:rPr>
          <w:sz w:val="24"/>
        </w:rPr>
      </w:pPr>
      <w:r>
        <w:rPr>
          <w:sz w:val="24"/>
        </w:rPr>
        <w:t>Giuseppe Cantatore, Elio Berutti and Arnaldo Castellucci. Missed anatomy: frequency and clinical impact. Endodontic Topics</w:t>
      </w:r>
      <w:r>
        <w:rPr>
          <w:spacing w:val="-20"/>
          <w:sz w:val="24"/>
        </w:rPr>
        <w:t> </w:t>
      </w:r>
      <w:r>
        <w:rPr>
          <w:sz w:val="24"/>
        </w:rPr>
        <w:t>2009,15,3–31.</w:t>
      </w:r>
    </w:p>
    <w:p>
      <w:pPr>
        <w:pStyle w:val="ListParagraph"/>
        <w:numPr>
          <w:ilvl w:val="0"/>
          <w:numId w:val="9"/>
        </w:numPr>
        <w:tabs>
          <w:tab w:pos="810" w:val="left" w:leader="none"/>
        </w:tabs>
        <w:spacing w:line="240" w:lineRule="auto" w:before="0" w:after="0"/>
        <w:ind w:left="102" w:right="113" w:firstLine="0"/>
        <w:jc w:val="both"/>
        <w:rPr>
          <w:sz w:val="24"/>
        </w:rPr>
      </w:pPr>
      <w:r>
        <w:rPr>
          <w:sz w:val="24"/>
        </w:rPr>
        <w:t>Clauder</w:t>
      </w:r>
      <w:r>
        <w:rPr>
          <w:spacing w:val="-12"/>
          <w:sz w:val="24"/>
        </w:rPr>
        <w:t> </w:t>
      </w:r>
      <w:r>
        <w:rPr>
          <w:sz w:val="24"/>
        </w:rPr>
        <w:t>T,</w:t>
      </w:r>
      <w:r>
        <w:rPr>
          <w:spacing w:val="-11"/>
          <w:sz w:val="24"/>
        </w:rPr>
        <w:t> </w:t>
      </w:r>
      <w:r>
        <w:rPr>
          <w:sz w:val="24"/>
        </w:rPr>
        <w:t>Baumann</w:t>
      </w:r>
      <w:r>
        <w:rPr>
          <w:spacing w:val="-9"/>
          <w:sz w:val="24"/>
        </w:rPr>
        <w:t> </w:t>
      </w:r>
      <w:r>
        <w:rPr>
          <w:sz w:val="24"/>
        </w:rPr>
        <w:t>MA.</w:t>
      </w:r>
      <w:r>
        <w:rPr>
          <w:spacing w:val="-9"/>
          <w:sz w:val="24"/>
        </w:rPr>
        <w:t> </w:t>
      </w:r>
      <w:r>
        <w:rPr>
          <w:sz w:val="24"/>
        </w:rPr>
        <w:t>ProTaper</w:t>
      </w:r>
      <w:r>
        <w:rPr>
          <w:spacing w:val="-10"/>
          <w:sz w:val="24"/>
        </w:rPr>
        <w:t> </w:t>
      </w:r>
      <w:r>
        <w:rPr>
          <w:sz w:val="24"/>
        </w:rPr>
        <w:t>NT</w:t>
      </w:r>
      <w:r>
        <w:rPr>
          <w:spacing w:val="-9"/>
          <w:sz w:val="24"/>
        </w:rPr>
        <w:t> </w:t>
      </w:r>
      <w:r>
        <w:rPr>
          <w:sz w:val="24"/>
        </w:rPr>
        <w:t>System.</w:t>
      </w:r>
      <w:r>
        <w:rPr>
          <w:spacing w:val="-11"/>
          <w:sz w:val="24"/>
        </w:rPr>
        <w:t> </w:t>
      </w:r>
      <w:r>
        <w:rPr>
          <w:sz w:val="24"/>
        </w:rPr>
        <w:t>Dent</w:t>
      </w:r>
      <w:r>
        <w:rPr>
          <w:spacing w:val="-9"/>
          <w:sz w:val="24"/>
        </w:rPr>
        <w:t> </w:t>
      </w:r>
      <w:r>
        <w:rPr>
          <w:sz w:val="24"/>
        </w:rPr>
        <w:t>Clin</w:t>
      </w:r>
      <w:r>
        <w:rPr>
          <w:spacing w:val="-9"/>
          <w:sz w:val="24"/>
        </w:rPr>
        <w:t> </w:t>
      </w:r>
      <w:r>
        <w:rPr>
          <w:sz w:val="24"/>
        </w:rPr>
        <w:t>N</w:t>
      </w:r>
      <w:r>
        <w:rPr>
          <w:spacing w:val="-12"/>
          <w:sz w:val="24"/>
        </w:rPr>
        <w:t> </w:t>
      </w:r>
      <w:r>
        <w:rPr>
          <w:sz w:val="24"/>
        </w:rPr>
        <w:t>Am</w:t>
      </w:r>
      <w:r>
        <w:rPr>
          <w:spacing w:val="-8"/>
          <w:sz w:val="24"/>
        </w:rPr>
        <w:t> </w:t>
      </w:r>
      <w:r>
        <w:rPr>
          <w:sz w:val="24"/>
        </w:rPr>
        <w:t>48.2004.87– 111.</w:t>
      </w:r>
    </w:p>
    <w:p>
      <w:pPr>
        <w:pStyle w:val="ListParagraph"/>
        <w:numPr>
          <w:ilvl w:val="0"/>
          <w:numId w:val="9"/>
        </w:numPr>
        <w:tabs>
          <w:tab w:pos="810" w:val="left" w:leader="none"/>
        </w:tabs>
        <w:spacing w:line="240" w:lineRule="auto" w:before="0" w:after="0"/>
        <w:ind w:left="102" w:right="115" w:firstLine="0"/>
        <w:jc w:val="both"/>
        <w:rPr>
          <w:sz w:val="24"/>
        </w:rPr>
      </w:pPr>
      <w:r>
        <w:rPr>
          <w:sz w:val="24"/>
        </w:rPr>
        <w:t>Clifford J. Ruddle. The ProTaper technique. Endodontic Topics 2005(10), 187–190.</w:t>
      </w:r>
    </w:p>
    <w:p>
      <w:pPr>
        <w:pStyle w:val="ListParagraph"/>
        <w:numPr>
          <w:ilvl w:val="0"/>
          <w:numId w:val="9"/>
        </w:numPr>
        <w:tabs>
          <w:tab w:pos="810" w:val="left" w:leader="none"/>
        </w:tabs>
        <w:spacing w:line="240" w:lineRule="auto" w:before="0" w:after="0"/>
        <w:ind w:left="102" w:right="118" w:firstLine="0"/>
        <w:jc w:val="both"/>
        <w:rPr>
          <w:sz w:val="24"/>
        </w:rPr>
      </w:pPr>
      <w:r>
        <w:rPr>
          <w:sz w:val="24"/>
        </w:rPr>
        <w:t>Blaine</w:t>
      </w:r>
      <w:r>
        <w:rPr>
          <w:spacing w:val="-16"/>
          <w:sz w:val="24"/>
        </w:rPr>
        <w:t> </w:t>
      </w:r>
      <w:r>
        <w:rPr>
          <w:sz w:val="24"/>
        </w:rPr>
        <w:t>M.</w:t>
      </w:r>
      <w:r>
        <w:rPr>
          <w:spacing w:val="-18"/>
          <w:sz w:val="24"/>
        </w:rPr>
        <w:t> </w:t>
      </w:r>
      <w:r>
        <w:rPr>
          <w:sz w:val="24"/>
        </w:rPr>
        <w:t>Cleghorn,</w:t>
      </w:r>
      <w:r>
        <w:rPr>
          <w:spacing w:val="-21"/>
          <w:sz w:val="24"/>
        </w:rPr>
        <w:t> </w:t>
      </w:r>
      <w:r>
        <w:rPr>
          <w:sz w:val="24"/>
        </w:rPr>
        <w:t>William</w:t>
      </w:r>
      <w:r>
        <w:rPr>
          <w:spacing w:val="-14"/>
          <w:sz w:val="24"/>
        </w:rPr>
        <w:t> </w:t>
      </w:r>
      <w:r>
        <w:rPr>
          <w:sz w:val="24"/>
        </w:rPr>
        <w:t>H.</w:t>
      </w:r>
      <w:r>
        <w:rPr>
          <w:spacing w:val="-16"/>
          <w:sz w:val="24"/>
        </w:rPr>
        <w:t> </w:t>
      </w:r>
      <w:r>
        <w:rPr>
          <w:sz w:val="24"/>
        </w:rPr>
        <w:t>Christie,</w:t>
      </w:r>
      <w:r>
        <w:rPr>
          <w:spacing w:val="-15"/>
          <w:sz w:val="24"/>
        </w:rPr>
        <w:t> </w:t>
      </w:r>
      <w:r>
        <w:rPr>
          <w:sz w:val="24"/>
        </w:rPr>
        <w:t>and</w:t>
      </w:r>
      <w:r>
        <w:rPr>
          <w:spacing w:val="-18"/>
          <w:sz w:val="24"/>
        </w:rPr>
        <w:t> </w:t>
      </w:r>
      <w:r>
        <w:rPr>
          <w:sz w:val="24"/>
        </w:rPr>
        <w:t>Cecilia</w:t>
      </w:r>
      <w:r>
        <w:rPr>
          <w:spacing w:val="-16"/>
          <w:sz w:val="24"/>
        </w:rPr>
        <w:t> </w:t>
      </w:r>
      <w:r>
        <w:rPr>
          <w:sz w:val="24"/>
        </w:rPr>
        <w:t>C.S.</w:t>
      </w:r>
      <w:r>
        <w:rPr>
          <w:spacing w:val="-18"/>
          <w:sz w:val="24"/>
        </w:rPr>
        <w:t> </w:t>
      </w:r>
      <w:r>
        <w:rPr>
          <w:sz w:val="24"/>
        </w:rPr>
        <w:t>Dong.</w:t>
      </w:r>
      <w:r>
        <w:rPr>
          <w:spacing w:val="-16"/>
          <w:sz w:val="24"/>
        </w:rPr>
        <w:t> </w:t>
      </w:r>
      <w:r>
        <w:rPr>
          <w:sz w:val="24"/>
        </w:rPr>
        <w:t>Root</w:t>
      </w:r>
      <w:r>
        <w:rPr>
          <w:spacing w:val="-18"/>
          <w:sz w:val="24"/>
        </w:rPr>
        <w:t> </w:t>
      </w:r>
      <w:r>
        <w:rPr>
          <w:sz w:val="24"/>
        </w:rPr>
        <w:t>and</w:t>
      </w:r>
      <w:r>
        <w:rPr>
          <w:spacing w:val="-18"/>
          <w:sz w:val="24"/>
        </w:rPr>
        <w:t> </w:t>
      </w:r>
      <w:r>
        <w:rPr>
          <w:sz w:val="24"/>
        </w:rPr>
        <w:t>Root Canal Morphology of the Human Permanent Maxillary First Molar: A Literature Review. JOE.</w:t>
      </w:r>
      <w:r>
        <w:rPr>
          <w:spacing w:val="-8"/>
          <w:sz w:val="24"/>
        </w:rPr>
        <w:t> </w:t>
      </w:r>
      <w:r>
        <w:rPr>
          <w:sz w:val="24"/>
        </w:rPr>
        <w:t>2006(32),9.</w:t>
      </w:r>
    </w:p>
    <w:p>
      <w:pPr>
        <w:pStyle w:val="ListParagraph"/>
        <w:numPr>
          <w:ilvl w:val="0"/>
          <w:numId w:val="9"/>
        </w:numPr>
        <w:tabs>
          <w:tab w:pos="810" w:val="left" w:leader="none"/>
        </w:tabs>
        <w:spacing w:line="240" w:lineRule="auto" w:before="0" w:after="0"/>
        <w:ind w:left="102" w:right="122" w:firstLine="0"/>
        <w:jc w:val="both"/>
        <w:rPr>
          <w:sz w:val="24"/>
        </w:rPr>
      </w:pPr>
      <w:r>
        <w:rPr>
          <w:sz w:val="24"/>
        </w:rPr>
        <w:t>Ospina</w:t>
      </w:r>
      <w:r>
        <w:rPr>
          <w:spacing w:val="-8"/>
          <w:sz w:val="24"/>
        </w:rPr>
        <w:t> </w:t>
      </w:r>
      <w:r>
        <w:rPr>
          <w:sz w:val="24"/>
        </w:rPr>
        <w:t>AC.</w:t>
      </w:r>
      <w:r>
        <w:rPr>
          <w:spacing w:val="-10"/>
          <w:sz w:val="24"/>
        </w:rPr>
        <w:t> </w:t>
      </w:r>
      <w:r>
        <w:rPr>
          <w:sz w:val="24"/>
        </w:rPr>
        <w:t>An</w:t>
      </w:r>
      <w:r>
        <w:rPr>
          <w:spacing w:val="-9"/>
          <w:sz w:val="24"/>
        </w:rPr>
        <w:t> </w:t>
      </w:r>
      <w:r>
        <w:rPr>
          <w:sz w:val="24"/>
        </w:rPr>
        <w:t>Endodontic</w:t>
      </w:r>
      <w:r>
        <w:rPr>
          <w:spacing w:val="-10"/>
          <w:sz w:val="24"/>
        </w:rPr>
        <w:t> </w:t>
      </w:r>
      <w:r>
        <w:rPr>
          <w:sz w:val="24"/>
        </w:rPr>
        <w:t>Treatment</w:t>
      </w:r>
      <w:r>
        <w:rPr>
          <w:spacing w:val="-7"/>
          <w:sz w:val="24"/>
        </w:rPr>
        <w:t> </w:t>
      </w:r>
      <w:r>
        <w:rPr>
          <w:sz w:val="24"/>
        </w:rPr>
        <w:t>of</w:t>
      </w:r>
      <w:r>
        <w:rPr>
          <w:spacing w:val="-10"/>
          <w:sz w:val="24"/>
        </w:rPr>
        <w:t> </w:t>
      </w:r>
      <w:r>
        <w:rPr>
          <w:sz w:val="24"/>
        </w:rPr>
        <w:t>a</w:t>
      </w:r>
      <w:r>
        <w:rPr>
          <w:spacing w:val="-7"/>
          <w:sz w:val="24"/>
        </w:rPr>
        <w:t> </w:t>
      </w:r>
      <w:r>
        <w:rPr>
          <w:sz w:val="24"/>
        </w:rPr>
        <w:t>Second</w:t>
      </w:r>
      <w:r>
        <w:rPr>
          <w:spacing w:val="-7"/>
          <w:sz w:val="24"/>
        </w:rPr>
        <w:t> </w:t>
      </w:r>
      <w:r>
        <w:rPr>
          <w:sz w:val="24"/>
        </w:rPr>
        <w:t>Upper</w:t>
      </w:r>
      <w:r>
        <w:rPr>
          <w:spacing w:val="-8"/>
          <w:sz w:val="24"/>
        </w:rPr>
        <w:t> </w:t>
      </w:r>
      <w:r>
        <w:rPr>
          <w:sz w:val="24"/>
        </w:rPr>
        <w:t>Molar</w:t>
      </w:r>
      <w:r>
        <w:rPr>
          <w:spacing w:val="-10"/>
          <w:sz w:val="24"/>
        </w:rPr>
        <w:t> </w:t>
      </w:r>
      <w:r>
        <w:rPr>
          <w:sz w:val="24"/>
        </w:rPr>
        <w:t>with</w:t>
      </w:r>
      <w:r>
        <w:rPr>
          <w:spacing w:val="-7"/>
          <w:sz w:val="24"/>
        </w:rPr>
        <w:t> </w:t>
      </w:r>
      <w:r>
        <w:rPr>
          <w:sz w:val="24"/>
        </w:rPr>
        <w:t>Fourfold Root: a Case Report. Revista Nacional de Odontología.</w:t>
      </w:r>
      <w:r>
        <w:rPr>
          <w:spacing w:val="-17"/>
          <w:sz w:val="24"/>
        </w:rPr>
        <w:t> </w:t>
      </w:r>
      <w:r>
        <w:rPr>
          <w:sz w:val="24"/>
        </w:rPr>
        <w:t>2011(7),2.</w:t>
      </w:r>
    </w:p>
    <w:p>
      <w:pPr>
        <w:pStyle w:val="ListParagraph"/>
        <w:numPr>
          <w:ilvl w:val="0"/>
          <w:numId w:val="9"/>
        </w:numPr>
        <w:tabs>
          <w:tab w:pos="810" w:val="left" w:leader="none"/>
        </w:tabs>
        <w:spacing w:line="240" w:lineRule="auto" w:before="0" w:after="0"/>
        <w:ind w:left="102" w:right="120" w:firstLine="0"/>
        <w:jc w:val="both"/>
        <w:rPr>
          <w:sz w:val="24"/>
        </w:rPr>
      </w:pPr>
      <w:r>
        <w:rPr>
          <w:sz w:val="24"/>
        </w:rPr>
        <w:t>Sahar Shakouie, Hadi Mokhtari, Negin Ghasemi, Seddigheh Gholizadeh. Two-Rooted Maxillary First Molars with Two Canals: A Case Series. Iranian Endodontic Journal 2013; 8</w:t>
      </w:r>
      <w:r>
        <w:rPr>
          <w:spacing w:val="-11"/>
          <w:sz w:val="24"/>
        </w:rPr>
        <w:t> </w:t>
      </w:r>
      <w:r>
        <w:rPr>
          <w:sz w:val="24"/>
        </w:rPr>
        <w:t>(1):29-32.</w:t>
      </w:r>
    </w:p>
    <w:p>
      <w:pPr>
        <w:spacing w:after="0" w:line="240" w:lineRule="auto"/>
        <w:jc w:val="both"/>
        <w:rPr>
          <w:sz w:val="24"/>
        </w:rPr>
        <w:sectPr>
          <w:pgSz w:w="12240" w:h="15840"/>
          <w:pgMar w:header="749" w:footer="0" w:top="960" w:bottom="280" w:left="1600" w:right="1580"/>
        </w:sectPr>
      </w:pPr>
    </w:p>
    <w:p>
      <w:pPr>
        <w:pStyle w:val="BodyText"/>
        <w:rPr>
          <w:sz w:val="20"/>
        </w:rPr>
      </w:pPr>
    </w:p>
    <w:p>
      <w:pPr>
        <w:pStyle w:val="ListParagraph"/>
        <w:numPr>
          <w:ilvl w:val="0"/>
          <w:numId w:val="9"/>
        </w:numPr>
        <w:tabs>
          <w:tab w:pos="810" w:val="left" w:leader="none"/>
        </w:tabs>
        <w:spacing w:line="240" w:lineRule="auto" w:before="212" w:after="0"/>
        <w:ind w:left="102" w:right="120" w:firstLine="0"/>
        <w:jc w:val="both"/>
        <w:rPr>
          <w:sz w:val="24"/>
        </w:rPr>
      </w:pPr>
      <w:r>
        <w:rPr>
          <w:sz w:val="24"/>
        </w:rPr>
        <w:t>Barbizam JVB, Ribeiro RG and Filho MT. Unusual Anatomy of Permanent Maxillary Molars. Journal of Endodontics.</w:t>
      </w:r>
      <w:r>
        <w:rPr>
          <w:spacing w:val="-18"/>
          <w:sz w:val="24"/>
        </w:rPr>
        <w:t> </w:t>
      </w:r>
      <w:r>
        <w:rPr>
          <w:sz w:val="24"/>
        </w:rPr>
        <w:t>2004(30),9.</w:t>
      </w:r>
    </w:p>
    <w:p>
      <w:pPr>
        <w:pStyle w:val="ListParagraph"/>
        <w:numPr>
          <w:ilvl w:val="0"/>
          <w:numId w:val="9"/>
        </w:numPr>
        <w:tabs>
          <w:tab w:pos="810" w:val="left" w:leader="none"/>
        </w:tabs>
        <w:spacing w:line="240" w:lineRule="auto" w:before="0" w:after="0"/>
        <w:ind w:left="102" w:right="122" w:firstLine="0"/>
        <w:jc w:val="both"/>
        <w:rPr>
          <w:sz w:val="24"/>
        </w:rPr>
      </w:pPr>
      <w:r>
        <w:rPr>
          <w:sz w:val="24"/>
        </w:rPr>
        <w:t>Jacobsen EL, Nii C. Unusual palatal root canal morphology in maxillary molars. Endod Dent Traumatol 1994: 10:</w:t>
      </w:r>
      <w:r>
        <w:rPr>
          <w:spacing w:val="-18"/>
          <w:sz w:val="24"/>
        </w:rPr>
        <w:t> </w:t>
      </w:r>
      <w:r>
        <w:rPr>
          <w:sz w:val="24"/>
        </w:rPr>
        <w:t>19-22.</w:t>
      </w:r>
    </w:p>
    <w:p>
      <w:pPr>
        <w:pStyle w:val="ListParagraph"/>
        <w:numPr>
          <w:ilvl w:val="0"/>
          <w:numId w:val="9"/>
        </w:numPr>
        <w:tabs>
          <w:tab w:pos="810" w:val="left" w:leader="none"/>
        </w:tabs>
        <w:spacing w:line="240" w:lineRule="auto" w:before="0" w:after="0"/>
        <w:ind w:left="102" w:right="117" w:firstLine="0"/>
        <w:jc w:val="both"/>
        <w:rPr>
          <w:sz w:val="24"/>
        </w:rPr>
      </w:pPr>
      <w:r>
        <w:rPr>
          <w:sz w:val="24"/>
        </w:rPr>
        <w:t>Neslihan FJmGek, Ali KeleG, and Elçin TekJn Bulut. Unusual Root Canal Morphology of the Maxillary Second Molar: A Case Report. Case Reports in Dentistry.</w:t>
      </w:r>
      <w:r>
        <w:rPr>
          <w:spacing w:val="-8"/>
          <w:sz w:val="24"/>
        </w:rPr>
        <w:t> </w:t>
      </w:r>
      <w:r>
        <w:rPr>
          <w:sz w:val="24"/>
        </w:rPr>
        <w:t>2013,138239,4.</w:t>
      </w:r>
    </w:p>
    <w:p>
      <w:pPr>
        <w:pStyle w:val="ListParagraph"/>
        <w:numPr>
          <w:ilvl w:val="0"/>
          <w:numId w:val="9"/>
        </w:numPr>
        <w:tabs>
          <w:tab w:pos="810" w:val="left" w:leader="none"/>
        </w:tabs>
        <w:spacing w:line="240" w:lineRule="auto" w:before="0" w:after="0"/>
        <w:ind w:left="102" w:right="117" w:firstLine="0"/>
        <w:jc w:val="both"/>
        <w:rPr>
          <w:sz w:val="24"/>
        </w:rPr>
      </w:pPr>
      <w:r>
        <w:rPr>
          <w:sz w:val="24"/>
        </w:rPr>
        <w:t>Amit Gandhi, Natasha Madan. Aberration in Root Canal Morphology of Maxillary First Molar – Case Report. The Internet Journal of Dental Science. 2010(9)1.</w:t>
      </w:r>
    </w:p>
    <w:p>
      <w:pPr>
        <w:pStyle w:val="ListParagraph"/>
        <w:numPr>
          <w:ilvl w:val="0"/>
          <w:numId w:val="9"/>
        </w:numPr>
        <w:tabs>
          <w:tab w:pos="810" w:val="left" w:leader="none"/>
        </w:tabs>
        <w:spacing w:line="240" w:lineRule="auto" w:before="0" w:after="0"/>
        <w:ind w:left="102" w:right="118" w:firstLine="0"/>
        <w:jc w:val="both"/>
        <w:rPr>
          <w:sz w:val="24"/>
        </w:rPr>
      </w:pPr>
      <w:r>
        <w:rPr>
          <w:sz w:val="24"/>
        </w:rPr>
        <w:t>Marvin</w:t>
      </w:r>
      <w:r>
        <w:rPr>
          <w:spacing w:val="-16"/>
          <w:sz w:val="24"/>
        </w:rPr>
        <w:t> </w:t>
      </w:r>
      <w:r>
        <w:rPr>
          <w:sz w:val="24"/>
        </w:rPr>
        <w:t>ET,</w:t>
      </w:r>
      <w:r>
        <w:rPr>
          <w:spacing w:val="-23"/>
          <w:sz w:val="24"/>
        </w:rPr>
        <w:t> </w:t>
      </w:r>
      <w:r>
        <w:rPr>
          <w:sz w:val="24"/>
        </w:rPr>
        <w:t>William</w:t>
      </w:r>
      <w:r>
        <w:rPr>
          <w:spacing w:val="-15"/>
          <w:sz w:val="24"/>
        </w:rPr>
        <w:t> </w:t>
      </w:r>
      <w:r>
        <w:rPr>
          <w:sz w:val="24"/>
        </w:rPr>
        <w:t>BK</w:t>
      </w:r>
      <w:r>
        <w:rPr>
          <w:spacing w:val="-20"/>
          <w:sz w:val="24"/>
        </w:rPr>
        <w:t> </w:t>
      </w:r>
      <w:r>
        <w:rPr>
          <w:sz w:val="24"/>
        </w:rPr>
        <w:t>and</w:t>
      </w:r>
      <w:r>
        <w:rPr>
          <w:spacing w:val="-17"/>
          <w:sz w:val="24"/>
        </w:rPr>
        <w:t> </w:t>
      </w:r>
      <w:r>
        <w:rPr>
          <w:sz w:val="24"/>
        </w:rPr>
        <w:t>Clarence</w:t>
      </w:r>
      <w:r>
        <w:rPr>
          <w:spacing w:val="-18"/>
          <w:sz w:val="24"/>
        </w:rPr>
        <w:t> </w:t>
      </w:r>
      <w:r>
        <w:rPr>
          <w:sz w:val="24"/>
        </w:rPr>
        <w:t>RJ,</w:t>
      </w:r>
      <w:r>
        <w:rPr>
          <w:spacing w:val="-16"/>
          <w:sz w:val="24"/>
        </w:rPr>
        <w:t> </w:t>
      </w:r>
      <w:r>
        <w:rPr>
          <w:sz w:val="24"/>
        </w:rPr>
        <w:t>Richmond,</w:t>
      </w:r>
      <w:r>
        <w:rPr>
          <w:spacing w:val="-18"/>
          <w:sz w:val="24"/>
        </w:rPr>
        <w:t> </w:t>
      </w:r>
      <w:r>
        <w:rPr>
          <w:sz w:val="24"/>
        </w:rPr>
        <w:t>Va.</w:t>
      </w:r>
      <w:r>
        <w:rPr>
          <w:spacing w:val="-18"/>
          <w:sz w:val="24"/>
        </w:rPr>
        <w:t> </w:t>
      </w:r>
      <w:r>
        <w:rPr>
          <w:sz w:val="24"/>
        </w:rPr>
        <w:t>Aberrations</w:t>
      </w:r>
      <w:r>
        <w:rPr>
          <w:spacing w:val="-19"/>
          <w:sz w:val="24"/>
        </w:rPr>
        <w:t> </w:t>
      </w:r>
      <w:r>
        <w:rPr>
          <w:sz w:val="24"/>
        </w:rPr>
        <w:t>in</w:t>
      </w:r>
      <w:r>
        <w:rPr>
          <w:spacing w:val="-16"/>
          <w:sz w:val="24"/>
        </w:rPr>
        <w:t> </w:t>
      </w:r>
      <w:r>
        <w:rPr>
          <w:sz w:val="24"/>
        </w:rPr>
        <w:t>Palatal Root and Root Canal Morphology of Two Maxillary First Molars. Journal of Endodontics.</w:t>
      </w:r>
      <w:r>
        <w:rPr>
          <w:spacing w:val="-11"/>
          <w:sz w:val="24"/>
        </w:rPr>
        <w:t> </w:t>
      </w:r>
      <w:r>
        <w:rPr>
          <w:sz w:val="24"/>
        </w:rPr>
        <w:t>1979(5),3.</w:t>
      </w:r>
    </w:p>
    <w:p>
      <w:pPr>
        <w:pStyle w:val="ListParagraph"/>
        <w:numPr>
          <w:ilvl w:val="0"/>
          <w:numId w:val="9"/>
        </w:numPr>
        <w:tabs>
          <w:tab w:pos="810" w:val="left" w:leader="none"/>
        </w:tabs>
        <w:spacing w:line="240" w:lineRule="auto" w:before="0" w:after="0"/>
        <w:ind w:left="102" w:right="122" w:firstLine="0"/>
        <w:jc w:val="both"/>
        <w:rPr>
          <w:sz w:val="24"/>
        </w:rPr>
      </w:pPr>
      <w:r>
        <w:rPr>
          <w:sz w:val="24"/>
        </w:rPr>
        <w:t>Ralph Bellizzi, Ronald D. Woody, Edward O'Brien and John Fraser. An unusual foreign body associated with an endodontically treated tooth: report of a case. Journal of Endodontics.</w:t>
      </w:r>
      <w:r>
        <w:rPr>
          <w:spacing w:val="-14"/>
          <w:sz w:val="24"/>
        </w:rPr>
        <w:t> </w:t>
      </w:r>
      <w:r>
        <w:rPr>
          <w:sz w:val="24"/>
        </w:rPr>
        <w:t>1982(8),9.</w:t>
      </w:r>
    </w:p>
    <w:p>
      <w:pPr>
        <w:pStyle w:val="ListParagraph"/>
        <w:numPr>
          <w:ilvl w:val="0"/>
          <w:numId w:val="9"/>
        </w:numPr>
        <w:tabs>
          <w:tab w:pos="810" w:val="left" w:leader="none"/>
        </w:tabs>
        <w:spacing w:line="240" w:lineRule="auto" w:before="0" w:after="0"/>
        <w:ind w:left="102" w:right="114" w:firstLine="0"/>
        <w:jc w:val="both"/>
        <w:rPr>
          <w:sz w:val="24"/>
        </w:rPr>
      </w:pPr>
      <w:r>
        <w:rPr>
          <w:sz w:val="24"/>
        </w:rPr>
        <w:t>Baratto-Filho F, Fariniuk LF, Ferreira EL, Pecora JD, Cruz-Filho AM, Sousa- Neto MD. Clinical and macroscopic study of maxillary molars with two palatal roots. International Endodontic Journal.2002,35,</w:t>
      </w:r>
      <w:r>
        <w:rPr>
          <w:spacing w:val="-18"/>
          <w:sz w:val="24"/>
        </w:rPr>
        <w:t> </w:t>
      </w:r>
      <w:r>
        <w:rPr>
          <w:sz w:val="24"/>
        </w:rPr>
        <w:t>796-801.</w:t>
      </w:r>
    </w:p>
    <w:p>
      <w:pPr>
        <w:pStyle w:val="ListParagraph"/>
        <w:numPr>
          <w:ilvl w:val="0"/>
          <w:numId w:val="9"/>
        </w:numPr>
        <w:tabs>
          <w:tab w:pos="810" w:val="left" w:leader="none"/>
        </w:tabs>
        <w:spacing w:line="240" w:lineRule="auto" w:before="0" w:after="0"/>
        <w:ind w:left="102" w:right="120" w:firstLine="0"/>
        <w:jc w:val="both"/>
        <w:rPr>
          <w:sz w:val="24"/>
        </w:rPr>
      </w:pPr>
      <w:r>
        <w:rPr>
          <w:sz w:val="24"/>
        </w:rPr>
        <w:t>Ya-Yun Lee, Pei-Ying Yeh, Sheng-Fang Pai, Shue-Fen Yang. Maxillary first molar with six Canals. J Dent Sci</w:t>
      </w:r>
      <w:r>
        <w:rPr>
          <w:spacing w:val="-20"/>
          <w:sz w:val="24"/>
        </w:rPr>
        <w:t> </w:t>
      </w:r>
      <w:r>
        <w:rPr>
          <w:sz w:val="24"/>
        </w:rPr>
        <w:t>2009;4(4):198−201.</w:t>
      </w:r>
    </w:p>
    <w:p>
      <w:pPr>
        <w:pStyle w:val="ListParagraph"/>
        <w:numPr>
          <w:ilvl w:val="0"/>
          <w:numId w:val="9"/>
        </w:numPr>
        <w:tabs>
          <w:tab w:pos="810" w:val="left" w:leader="none"/>
        </w:tabs>
        <w:spacing w:line="240" w:lineRule="auto" w:before="0" w:after="0"/>
        <w:ind w:left="102" w:right="118" w:firstLine="0"/>
        <w:jc w:val="both"/>
        <w:rPr>
          <w:sz w:val="24"/>
        </w:rPr>
      </w:pPr>
      <w:r>
        <w:rPr>
          <w:sz w:val="24"/>
        </w:rPr>
        <w:t>Marston Wong. Maxillary First Molar with Three Palatal Canals. Journal of Endodontics. 1991(17)</w:t>
      </w:r>
      <w:r>
        <w:rPr>
          <w:spacing w:val="-10"/>
          <w:sz w:val="24"/>
        </w:rPr>
        <w:t> </w:t>
      </w:r>
      <w:r>
        <w:rPr>
          <w:sz w:val="24"/>
        </w:rPr>
        <w:t>6.</w:t>
      </w:r>
    </w:p>
    <w:p>
      <w:pPr>
        <w:pStyle w:val="ListParagraph"/>
        <w:numPr>
          <w:ilvl w:val="0"/>
          <w:numId w:val="9"/>
        </w:numPr>
        <w:tabs>
          <w:tab w:pos="810" w:val="left" w:leader="none"/>
        </w:tabs>
        <w:spacing w:line="240" w:lineRule="auto" w:before="0" w:after="0"/>
        <w:ind w:left="102" w:right="121" w:firstLine="0"/>
        <w:jc w:val="both"/>
        <w:rPr>
          <w:sz w:val="24"/>
        </w:rPr>
      </w:pPr>
      <w:r>
        <w:rPr>
          <w:spacing w:val="3"/>
          <w:sz w:val="24"/>
        </w:rPr>
        <w:t>W. </w:t>
      </w:r>
      <w:r>
        <w:rPr>
          <w:sz w:val="24"/>
        </w:rPr>
        <w:t>H. Christie, M. D. Peikoff and H. M. Fogel. Maxillary Molars with Two Palatal Roots: A Retrospective Clinical Study. Journal of Endodontics.</w:t>
      </w:r>
      <w:r>
        <w:rPr>
          <w:spacing w:val="-27"/>
          <w:sz w:val="24"/>
        </w:rPr>
        <w:t> </w:t>
      </w:r>
      <w:r>
        <w:rPr>
          <w:sz w:val="24"/>
        </w:rPr>
        <w:t>1991(17),2.</w:t>
      </w:r>
    </w:p>
    <w:p>
      <w:pPr>
        <w:pStyle w:val="ListParagraph"/>
        <w:numPr>
          <w:ilvl w:val="0"/>
          <w:numId w:val="9"/>
        </w:numPr>
        <w:tabs>
          <w:tab w:pos="810" w:val="left" w:leader="none"/>
        </w:tabs>
        <w:spacing w:line="240" w:lineRule="auto" w:before="0" w:after="0"/>
        <w:ind w:left="102" w:right="117" w:firstLine="0"/>
        <w:jc w:val="both"/>
        <w:rPr>
          <w:sz w:val="24"/>
        </w:rPr>
      </w:pPr>
      <w:r>
        <w:rPr>
          <w:sz w:val="24"/>
        </w:rPr>
        <w:t>Fred</w:t>
      </w:r>
      <w:r>
        <w:rPr>
          <w:spacing w:val="-14"/>
          <w:sz w:val="24"/>
        </w:rPr>
        <w:t> </w:t>
      </w:r>
      <w:r>
        <w:rPr>
          <w:spacing w:val="3"/>
          <w:sz w:val="24"/>
        </w:rPr>
        <w:t>W.</w:t>
      </w:r>
      <w:r>
        <w:rPr>
          <w:spacing w:val="-12"/>
          <w:sz w:val="24"/>
        </w:rPr>
        <w:t> </w:t>
      </w:r>
      <w:r>
        <w:rPr>
          <w:sz w:val="24"/>
        </w:rPr>
        <w:t>Benenati,</w:t>
      </w:r>
      <w:r>
        <w:rPr>
          <w:spacing w:val="-10"/>
          <w:sz w:val="24"/>
        </w:rPr>
        <w:t> </w:t>
      </w:r>
      <w:r>
        <w:rPr>
          <w:sz w:val="24"/>
        </w:rPr>
        <w:t>MEd.</w:t>
      </w:r>
      <w:r>
        <w:rPr>
          <w:spacing w:val="-10"/>
          <w:sz w:val="24"/>
        </w:rPr>
        <w:t> </w:t>
      </w:r>
      <w:r>
        <w:rPr>
          <w:sz w:val="24"/>
        </w:rPr>
        <w:t>Maxillary</w:t>
      </w:r>
      <w:r>
        <w:rPr>
          <w:spacing w:val="-13"/>
          <w:sz w:val="24"/>
        </w:rPr>
        <w:t> </w:t>
      </w:r>
      <w:r>
        <w:rPr>
          <w:sz w:val="24"/>
        </w:rPr>
        <w:t>Second</w:t>
      </w:r>
      <w:r>
        <w:rPr>
          <w:spacing w:val="-9"/>
          <w:sz w:val="24"/>
        </w:rPr>
        <w:t> </w:t>
      </w:r>
      <w:r>
        <w:rPr>
          <w:sz w:val="24"/>
        </w:rPr>
        <w:t>Molar</w:t>
      </w:r>
      <w:r>
        <w:rPr>
          <w:spacing w:val="-10"/>
          <w:sz w:val="24"/>
        </w:rPr>
        <w:t> </w:t>
      </w:r>
      <w:r>
        <w:rPr>
          <w:sz w:val="24"/>
        </w:rPr>
        <w:t>with</w:t>
      </w:r>
      <w:r>
        <w:rPr>
          <w:spacing w:val="-9"/>
          <w:sz w:val="24"/>
        </w:rPr>
        <w:t> </w:t>
      </w:r>
      <w:r>
        <w:rPr>
          <w:sz w:val="24"/>
        </w:rPr>
        <w:t>Two</w:t>
      </w:r>
      <w:r>
        <w:rPr>
          <w:spacing w:val="-4"/>
          <w:sz w:val="24"/>
        </w:rPr>
        <w:t> </w:t>
      </w:r>
      <w:r>
        <w:rPr>
          <w:sz w:val="24"/>
        </w:rPr>
        <w:t>Palatal</w:t>
      </w:r>
      <w:r>
        <w:rPr>
          <w:spacing w:val="-13"/>
          <w:sz w:val="24"/>
        </w:rPr>
        <w:t> </w:t>
      </w:r>
      <w:r>
        <w:rPr>
          <w:sz w:val="24"/>
        </w:rPr>
        <w:t>Canals</w:t>
      </w:r>
      <w:r>
        <w:rPr>
          <w:spacing w:val="-13"/>
          <w:sz w:val="24"/>
        </w:rPr>
        <w:t> </w:t>
      </w:r>
      <w:r>
        <w:rPr>
          <w:sz w:val="24"/>
        </w:rPr>
        <w:t>and a Palatogingival Groove. Journal of Endooontics.</w:t>
      </w:r>
      <w:r>
        <w:rPr>
          <w:spacing w:val="-21"/>
          <w:sz w:val="24"/>
        </w:rPr>
        <w:t> </w:t>
      </w:r>
      <w:r>
        <w:rPr>
          <w:sz w:val="24"/>
        </w:rPr>
        <w:t>1985(11),7.</w:t>
      </w:r>
    </w:p>
    <w:p>
      <w:pPr>
        <w:pStyle w:val="ListParagraph"/>
        <w:numPr>
          <w:ilvl w:val="0"/>
          <w:numId w:val="9"/>
        </w:numPr>
        <w:tabs>
          <w:tab w:pos="810" w:val="left" w:leader="none"/>
        </w:tabs>
        <w:spacing w:line="240" w:lineRule="auto" w:before="0" w:after="0"/>
        <w:ind w:left="102" w:right="117" w:firstLine="0"/>
        <w:jc w:val="both"/>
        <w:rPr>
          <w:sz w:val="24"/>
        </w:rPr>
      </w:pPr>
      <w:r>
        <w:rPr>
          <w:sz w:val="24"/>
        </w:rPr>
        <w:t>Jesus Djalma Pecora, Julian B. Woelfe, Manoel D. Sousa NEeto, Elias Pacheco ISSA. Morphology Study of the maxillary Molars Part II: internal Anatomy. Braz Dent J. 1992,3:</w:t>
      </w:r>
      <w:r>
        <w:rPr>
          <w:spacing w:val="-10"/>
          <w:sz w:val="24"/>
        </w:rPr>
        <w:t> </w:t>
      </w:r>
      <w:r>
        <w:rPr>
          <w:sz w:val="24"/>
        </w:rPr>
        <w:t>53-57.</w:t>
      </w:r>
    </w:p>
    <w:p>
      <w:pPr>
        <w:pStyle w:val="ListParagraph"/>
        <w:numPr>
          <w:ilvl w:val="0"/>
          <w:numId w:val="9"/>
        </w:numPr>
        <w:tabs>
          <w:tab w:pos="810" w:val="left" w:leader="none"/>
        </w:tabs>
        <w:spacing w:line="240" w:lineRule="auto" w:before="0" w:after="0"/>
        <w:ind w:left="102" w:right="115" w:firstLine="0"/>
        <w:jc w:val="both"/>
        <w:rPr>
          <w:sz w:val="24"/>
        </w:rPr>
      </w:pPr>
      <w:r>
        <w:rPr>
          <w:sz w:val="24"/>
        </w:rPr>
        <w:t>S. Jayaprada Reddy, Ravichandra P V, P. Rajani, Lakshmi Santoshi. Palatal Possibilties: Variations of palatal root canal configuration in maxillary molars - A Report of Two Cases. IJCD.</w:t>
      </w:r>
      <w:r>
        <w:rPr>
          <w:spacing w:val="-10"/>
          <w:sz w:val="24"/>
        </w:rPr>
        <w:t> </w:t>
      </w:r>
      <w:r>
        <w:rPr>
          <w:sz w:val="24"/>
        </w:rPr>
        <w:t>2001(2)2.</w:t>
      </w:r>
    </w:p>
    <w:p>
      <w:pPr>
        <w:pStyle w:val="ListParagraph"/>
        <w:numPr>
          <w:ilvl w:val="0"/>
          <w:numId w:val="9"/>
        </w:numPr>
        <w:tabs>
          <w:tab w:pos="810" w:val="left" w:leader="none"/>
        </w:tabs>
        <w:spacing w:line="240" w:lineRule="auto" w:before="0" w:after="0"/>
        <w:ind w:left="102" w:right="117" w:firstLine="0"/>
        <w:jc w:val="both"/>
        <w:rPr>
          <w:sz w:val="24"/>
        </w:rPr>
      </w:pPr>
      <w:r>
        <w:rPr>
          <w:sz w:val="24"/>
        </w:rPr>
        <w:t>Blaine</w:t>
      </w:r>
      <w:r>
        <w:rPr>
          <w:spacing w:val="-11"/>
          <w:sz w:val="24"/>
        </w:rPr>
        <w:t> </w:t>
      </w:r>
      <w:r>
        <w:rPr>
          <w:sz w:val="24"/>
        </w:rPr>
        <w:t>M.</w:t>
      </w:r>
      <w:r>
        <w:rPr>
          <w:spacing w:val="-11"/>
          <w:sz w:val="24"/>
        </w:rPr>
        <w:t> </w:t>
      </w:r>
      <w:r>
        <w:rPr>
          <w:sz w:val="24"/>
        </w:rPr>
        <w:t>Cleghorn,</w:t>
      </w:r>
      <w:r>
        <w:rPr>
          <w:spacing w:val="-14"/>
          <w:sz w:val="24"/>
        </w:rPr>
        <w:t> </w:t>
      </w:r>
      <w:r>
        <w:rPr>
          <w:sz w:val="24"/>
        </w:rPr>
        <w:t>William</w:t>
      </w:r>
      <w:r>
        <w:rPr>
          <w:spacing w:val="-10"/>
          <w:sz w:val="24"/>
        </w:rPr>
        <w:t> </w:t>
      </w:r>
      <w:r>
        <w:rPr>
          <w:sz w:val="24"/>
        </w:rPr>
        <w:t>H.</w:t>
      </w:r>
      <w:r>
        <w:rPr>
          <w:spacing w:val="-12"/>
          <w:sz w:val="24"/>
        </w:rPr>
        <w:t> </w:t>
      </w:r>
      <w:r>
        <w:rPr>
          <w:sz w:val="24"/>
        </w:rPr>
        <w:t>Christie</w:t>
      </w:r>
      <w:r>
        <w:rPr>
          <w:spacing w:val="-11"/>
          <w:sz w:val="24"/>
        </w:rPr>
        <w:t> </w:t>
      </w:r>
      <w:r>
        <w:rPr>
          <w:sz w:val="24"/>
        </w:rPr>
        <w:t>and</w:t>
      </w:r>
      <w:r>
        <w:rPr>
          <w:spacing w:val="-11"/>
          <w:sz w:val="24"/>
        </w:rPr>
        <w:t> </w:t>
      </w:r>
      <w:r>
        <w:rPr>
          <w:sz w:val="24"/>
        </w:rPr>
        <w:t>Cecilia</w:t>
      </w:r>
      <w:r>
        <w:rPr>
          <w:spacing w:val="-11"/>
          <w:sz w:val="24"/>
        </w:rPr>
        <w:t> </w:t>
      </w:r>
      <w:r>
        <w:rPr>
          <w:sz w:val="24"/>
        </w:rPr>
        <w:t>C.S.</w:t>
      </w:r>
      <w:r>
        <w:rPr>
          <w:spacing w:val="-11"/>
          <w:sz w:val="24"/>
        </w:rPr>
        <w:t> </w:t>
      </w:r>
      <w:r>
        <w:rPr>
          <w:sz w:val="24"/>
        </w:rPr>
        <w:t>Dong.</w:t>
      </w:r>
      <w:r>
        <w:rPr>
          <w:spacing w:val="-11"/>
          <w:sz w:val="24"/>
        </w:rPr>
        <w:t> </w:t>
      </w:r>
      <w:r>
        <w:rPr>
          <w:sz w:val="24"/>
        </w:rPr>
        <w:t>Root</w:t>
      </w:r>
      <w:r>
        <w:rPr>
          <w:spacing w:val="-13"/>
          <w:sz w:val="24"/>
        </w:rPr>
        <w:t> </w:t>
      </w:r>
      <w:r>
        <w:rPr>
          <w:sz w:val="24"/>
        </w:rPr>
        <w:t>and</w:t>
      </w:r>
      <w:r>
        <w:rPr>
          <w:spacing w:val="-11"/>
          <w:sz w:val="24"/>
        </w:rPr>
        <w:t> </w:t>
      </w:r>
      <w:r>
        <w:rPr>
          <w:sz w:val="24"/>
        </w:rPr>
        <w:t>Root Canal Morphology of the Human Permanent Maxillary First Molar: A Literature Review. JOE.</w:t>
      </w:r>
      <w:r>
        <w:rPr>
          <w:spacing w:val="-7"/>
          <w:sz w:val="24"/>
        </w:rPr>
        <w:t> </w:t>
      </w:r>
      <w:r>
        <w:rPr>
          <w:sz w:val="24"/>
        </w:rPr>
        <w:t>2006(32),9.</w:t>
      </w:r>
    </w:p>
    <w:p>
      <w:pPr>
        <w:pStyle w:val="ListParagraph"/>
        <w:numPr>
          <w:ilvl w:val="0"/>
          <w:numId w:val="9"/>
        </w:numPr>
        <w:tabs>
          <w:tab w:pos="810" w:val="left" w:leader="none"/>
        </w:tabs>
        <w:spacing w:line="240" w:lineRule="auto" w:before="0" w:after="0"/>
        <w:ind w:left="102" w:right="124" w:firstLine="0"/>
        <w:jc w:val="both"/>
        <w:rPr>
          <w:sz w:val="24"/>
        </w:rPr>
      </w:pPr>
      <w:r>
        <w:rPr>
          <w:sz w:val="24"/>
        </w:rPr>
        <w:t>Frank J. Vertucci. Root canal morphology and its relationship to endodontic procedures. Endodontic Topics.</w:t>
      </w:r>
      <w:r>
        <w:rPr>
          <w:spacing w:val="-17"/>
          <w:sz w:val="24"/>
        </w:rPr>
        <w:t> </w:t>
      </w:r>
      <w:r>
        <w:rPr>
          <w:sz w:val="24"/>
        </w:rPr>
        <w:t>2005(10)3–29.</w:t>
      </w:r>
    </w:p>
    <w:p>
      <w:pPr>
        <w:pStyle w:val="ListParagraph"/>
        <w:numPr>
          <w:ilvl w:val="0"/>
          <w:numId w:val="9"/>
        </w:numPr>
        <w:tabs>
          <w:tab w:pos="810" w:val="left" w:leader="none"/>
        </w:tabs>
        <w:spacing w:line="240" w:lineRule="auto" w:before="0" w:after="0"/>
        <w:ind w:left="102" w:right="115" w:firstLine="0"/>
        <w:jc w:val="both"/>
        <w:rPr>
          <w:sz w:val="24"/>
        </w:rPr>
      </w:pPr>
      <w:r>
        <w:rPr>
          <w:sz w:val="24"/>
        </w:rPr>
        <w:t>R. P. Thomas, A. J. Moule &amp; R. Bryant. Root canal morphology of maxillary permanent first molar teeth at various ages. International Endodontic Journal. 1993(26)257-267.</w:t>
      </w:r>
    </w:p>
    <w:p>
      <w:pPr>
        <w:pStyle w:val="ListParagraph"/>
        <w:numPr>
          <w:ilvl w:val="0"/>
          <w:numId w:val="9"/>
        </w:numPr>
        <w:tabs>
          <w:tab w:pos="810" w:val="left" w:leader="none"/>
        </w:tabs>
        <w:spacing w:line="240" w:lineRule="auto" w:before="0" w:after="0"/>
        <w:ind w:left="102" w:right="116" w:firstLine="0"/>
        <w:jc w:val="both"/>
        <w:rPr>
          <w:sz w:val="24"/>
        </w:rPr>
      </w:pPr>
      <w:r>
        <w:rPr>
          <w:sz w:val="24"/>
        </w:rPr>
        <w:t>Peter</w:t>
      </w:r>
      <w:r>
        <w:rPr>
          <w:spacing w:val="-7"/>
          <w:sz w:val="24"/>
        </w:rPr>
        <w:t> </w:t>
      </w:r>
      <w:r>
        <w:rPr>
          <w:sz w:val="24"/>
        </w:rPr>
        <w:t>Cecic,</w:t>
      </w:r>
      <w:r>
        <w:rPr>
          <w:spacing w:val="-6"/>
          <w:sz w:val="24"/>
        </w:rPr>
        <w:t> </w:t>
      </w:r>
      <w:r>
        <w:rPr>
          <w:sz w:val="24"/>
        </w:rPr>
        <w:t>Gary</w:t>
      </w:r>
      <w:r>
        <w:rPr>
          <w:spacing w:val="-10"/>
          <w:sz w:val="24"/>
        </w:rPr>
        <w:t> </w:t>
      </w:r>
      <w:r>
        <w:rPr>
          <w:sz w:val="24"/>
        </w:rPr>
        <w:t>Hartwell</w:t>
      </w:r>
      <w:r>
        <w:rPr>
          <w:spacing w:val="-7"/>
          <w:sz w:val="24"/>
        </w:rPr>
        <w:t> </w:t>
      </w:r>
      <w:r>
        <w:rPr>
          <w:sz w:val="24"/>
        </w:rPr>
        <w:t>and</w:t>
      </w:r>
      <w:r>
        <w:rPr>
          <w:spacing w:val="-6"/>
          <w:sz w:val="24"/>
        </w:rPr>
        <w:t> </w:t>
      </w:r>
      <w:r>
        <w:rPr>
          <w:sz w:val="24"/>
        </w:rPr>
        <w:t>Ralph</w:t>
      </w:r>
      <w:r>
        <w:rPr>
          <w:spacing w:val="-6"/>
          <w:sz w:val="24"/>
        </w:rPr>
        <w:t> </w:t>
      </w:r>
      <w:r>
        <w:rPr>
          <w:sz w:val="24"/>
        </w:rPr>
        <w:t>Bellizzi.</w:t>
      </w:r>
      <w:r>
        <w:rPr>
          <w:spacing w:val="-5"/>
          <w:sz w:val="24"/>
        </w:rPr>
        <w:t> </w:t>
      </w:r>
      <w:r>
        <w:rPr>
          <w:sz w:val="24"/>
        </w:rPr>
        <w:t>The</w:t>
      </w:r>
      <w:r>
        <w:rPr>
          <w:spacing w:val="-8"/>
          <w:sz w:val="24"/>
        </w:rPr>
        <w:t> </w:t>
      </w:r>
      <w:r>
        <w:rPr>
          <w:sz w:val="24"/>
        </w:rPr>
        <w:t>multiple</w:t>
      </w:r>
      <w:r>
        <w:rPr>
          <w:spacing w:val="-8"/>
          <w:sz w:val="24"/>
        </w:rPr>
        <w:t> </w:t>
      </w:r>
      <w:r>
        <w:rPr>
          <w:sz w:val="24"/>
        </w:rPr>
        <w:t>root</w:t>
      </w:r>
      <w:r>
        <w:rPr>
          <w:spacing w:val="-9"/>
          <w:sz w:val="24"/>
        </w:rPr>
        <w:t> </w:t>
      </w:r>
      <w:r>
        <w:rPr>
          <w:sz w:val="24"/>
        </w:rPr>
        <w:t>canal</w:t>
      </w:r>
      <w:r>
        <w:rPr>
          <w:spacing w:val="-7"/>
          <w:sz w:val="24"/>
        </w:rPr>
        <w:t> </w:t>
      </w:r>
      <w:r>
        <w:rPr>
          <w:sz w:val="24"/>
        </w:rPr>
        <w:t>system in the maxillary first molar: a case report. Journal of Endodontics.</w:t>
      </w:r>
      <w:r>
        <w:rPr>
          <w:spacing w:val="-16"/>
          <w:sz w:val="24"/>
        </w:rPr>
        <w:t> </w:t>
      </w:r>
      <w:r>
        <w:rPr>
          <w:sz w:val="24"/>
        </w:rPr>
        <w:t>1982(8)3.</w:t>
      </w:r>
    </w:p>
    <w:p>
      <w:pPr>
        <w:pStyle w:val="ListParagraph"/>
        <w:numPr>
          <w:ilvl w:val="0"/>
          <w:numId w:val="9"/>
        </w:numPr>
        <w:tabs>
          <w:tab w:pos="810" w:val="left" w:leader="none"/>
        </w:tabs>
        <w:spacing w:line="240" w:lineRule="auto" w:before="0" w:after="0"/>
        <w:ind w:left="102" w:right="119" w:firstLine="0"/>
        <w:jc w:val="both"/>
        <w:rPr>
          <w:sz w:val="24"/>
        </w:rPr>
      </w:pPr>
      <w:r>
        <w:rPr>
          <w:sz w:val="24"/>
        </w:rPr>
        <w:t>Flávia S. F. Tomazinho, Flares Baratto-Filho, Suellen Zaitter, Denise P. Leonardi</w:t>
      </w:r>
      <w:r>
        <w:rPr>
          <w:spacing w:val="-9"/>
          <w:sz w:val="24"/>
        </w:rPr>
        <w:t> </w:t>
      </w:r>
      <w:r>
        <w:rPr>
          <w:sz w:val="24"/>
        </w:rPr>
        <w:t>and</w:t>
      </w:r>
      <w:r>
        <w:rPr>
          <w:spacing w:val="-8"/>
          <w:sz w:val="24"/>
        </w:rPr>
        <w:t> </w:t>
      </w:r>
      <w:r>
        <w:rPr>
          <w:sz w:val="24"/>
        </w:rPr>
        <w:t>Carla</w:t>
      </w:r>
      <w:r>
        <w:rPr>
          <w:spacing w:val="-8"/>
          <w:sz w:val="24"/>
        </w:rPr>
        <w:t> </w:t>
      </w:r>
      <w:r>
        <w:rPr>
          <w:sz w:val="24"/>
        </w:rPr>
        <w:t>C.</w:t>
      </w:r>
      <w:r>
        <w:rPr>
          <w:spacing w:val="-12"/>
          <w:sz w:val="24"/>
        </w:rPr>
        <w:t> </w:t>
      </w:r>
      <w:r>
        <w:rPr>
          <w:sz w:val="24"/>
        </w:rPr>
        <w:t>Gonzaga.</w:t>
      </w:r>
      <w:r>
        <w:rPr>
          <w:spacing w:val="-9"/>
          <w:sz w:val="24"/>
        </w:rPr>
        <w:t> </w:t>
      </w:r>
      <w:r>
        <w:rPr>
          <w:sz w:val="24"/>
        </w:rPr>
        <w:t>Unusual</w:t>
      </w:r>
      <w:r>
        <w:rPr>
          <w:spacing w:val="-10"/>
          <w:sz w:val="24"/>
        </w:rPr>
        <w:t> </w:t>
      </w:r>
      <w:r>
        <w:rPr>
          <w:sz w:val="24"/>
        </w:rPr>
        <w:t>anatomy</w:t>
      </w:r>
      <w:r>
        <w:rPr>
          <w:spacing w:val="-12"/>
          <w:sz w:val="24"/>
        </w:rPr>
        <w:t> </w:t>
      </w:r>
      <w:r>
        <w:rPr>
          <w:sz w:val="24"/>
        </w:rPr>
        <w:t>of</w:t>
      </w:r>
      <w:r>
        <w:rPr>
          <w:spacing w:val="-7"/>
          <w:sz w:val="24"/>
        </w:rPr>
        <w:t> </w:t>
      </w:r>
      <w:r>
        <w:rPr>
          <w:sz w:val="24"/>
        </w:rPr>
        <w:t>a</w:t>
      </w:r>
      <w:r>
        <w:rPr>
          <w:spacing w:val="-11"/>
          <w:sz w:val="24"/>
        </w:rPr>
        <w:t> </w:t>
      </w:r>
      <w:r>
        <w:rPr>
          <w:sz w:val="24"/>
        </w:rPr>
        <w:t>maxillary</w:t>
      </w:r>
      <w:r>
        <w:rPr>
          <w:spacing w:val="-12"/>
          <w:sz w:val="24"/>
        </w:rPr>
        <w:t> </w:t>
      </w:r>
      <w:r>
        <w:rPr>
          <w:sz w:val="24"/>
        </w:rPr>
        <w:t>first</w:t>
      </w:r>
      <w:r>
        <w:rPr>
          <w:spacing w:val="-9"/>
          <w:sz w:val="24"/>
        </w:rPr>
        <w:t> </w:t>
      </w:r>
      <w:r>
        <w:rPr>
          <w:sz w:val="24"/>
        </w:rPr>
        <w:t>molar</w:t>
      </w:r>
      <w:r>
        <w:rPr>
          <w:spacing w:val="-9"/>
          <w:sz w:val="24"/>
        </w:rPr>
        <w:t> </w:t>
      </w:r>
      <w:r>
        <w:rPr>
          <w:sz w:val="24"/>
        </w:rPr>
        <w:t>with</w:t>
      </w:r>
      <w:r>
        <w:rPr>
          <w:spacing w:val="-8"/>
          <w:sz w:val="24"/>
        </w:rPr>
        <w:t> </w:t>
      </w:r>
      <w:r>
        <w:rPr>
          <w:sz w:val="24"/>
        </w:rPr>
        <w:t>two palatal roots: a case report. Journal of Oral Science.</w:t>
      </w:r>
      <w:r>
        <w:rPr>
          <w:spacing w:val="-22"/>
          <w:sz w:val="24"/>
        </w:rPr>
        <w:t> </w:t>
      </w:r>
      <w:r>
        <w:rPr>
          <w:sz w:val="24"/>
        </w:rPr>
        <w:t>2010(52),1,149-153.</w:t>
      </w:r>
    </w:p>
    <w:p>
      <w:pPr>
        <w:spacing w:after="0" w:line="240" w:lineRule="auto"/>
        <w:jc w:val="both"/>
        <w:rPr>
          <w:sz w:val="24"/>
        </w:rPr>
        <w:sectPr>
          <w:pgSz w:w="12240" w:h="15840"/>
          <w:pgMar w:header="749" w:footer="0" w:top="960" w:bottom="280" w:left="1600" w:right="1580"/>
        </w:sectPr>
      </w:pPr>
    </w:p>
    <w:p>
      <w:pPr>
        <w:pStyle w:val="BodyText"/>
        <w:rPr>
          <w:sz w:val="20"/>
        </w:rPr>
      </w:pPr>
    </w:p>
    <w:p>
      <w:pPr>
        <w:pStyle w:val="ListParagraph"/>
        <w:numPr>
          <w:ilvl w:val="0"/>
          <w:numId w:val="9"/>
        </w:numPr>
        <w:tabs>
          <w:tab w:pos="810" w:val="left" w:leader="none"/>
        </w:tabs>
        <w:spacing w:line="240" w:lineRule="auto" w:before="212" w:after="0"/>
        <w:ind w:left="102" w:right="120" w:firstLine="0"/>
        <w:jc w:val="both"/>
        <w:rPr>
          <w:sz w:val="24"/>
        </w:rPr>
      </w:pPr>
      <w:r>
        <w:rPr>
          <w:sz w:val="24"/>
        </w:rPr>
        <w:t>Barbizam JVB, Ribeiro RG and Filho MT. Unusual Anatomy of Permanent Maxillary Molars. Journal of Endodontics.</w:t>
      </w:r>
      <w:r>
        <w:rPr>
          <w:spacing w:val="-18"/>
          <w:sz w:val="24"/>
        </w:rPr>
        <w:t> </w:t>
      </w:r>
      <w:r>
        <w:rPr>
          <w:sz w:val="24"/>
        </w:rPr>
        <w:t>2004(30),9.</w:t>
      </w:r>
    </w:p>
    <w:p>
      <w:pPr>
        <w:pStyle w:val="ListParagraph"/>
        <w:numPr>
          <w:ilvl w:val="0"/>
          <w:numId w:val="9"/>
        </w:numPr>
        <w:tabs>
          <w:tab w:pos="810" w:val="left" w:leader="none"/>
        </w:tabs>
        <w:spacing w:line="240" w:lineRule="auto" w:before="0" w:after="0"/>
        <w:ind w:left="102" w:right="119" w:firstLine="0"/>
        <w:jc w:val="both"/>
        <w:rPr>
          <w:sz w:val="24"/>
        </w:rPr>
      </w:pPr>
      <w:r>
        <w:rPr>
          <w:sz w:val="24"/>
        </w:rPr>
        <w:t>William</w:t>
      </w:r>
      <w:r>
        <w:rPr>
          <w:spacing w:val="-7"/>
          <w:sz w:val="24"/>
        </w:rPr>
        <w:t> </w:t>
      </w:r>
      <w:r>
        <w:rPr>
          <w:sz w:val="24"/>
        </w:rPr>
        <w:t>E.</w:t>
      </w:r>
      <w:r>
        <w:rPr>
          <w:spacing w:val="-8"/>
          <w:sz w:val="24"/>
        </w:rPr>
        <w:t> </w:t>
      </w:r>
      <w:r>
        <w:rPr>
          <w:sz w:val="24"/>
        </w:rPr>
        <w:t>Harris.</w:t>
      </w:r>
      <w:r>
        <w:rPr>
          <w:spacing w:val="-8"/>
          <w:sz w:val="24"/>
        </w:rPr>
        <w:t> </w:t>
      </w:r>
      <w:r>
        <w:rPr>
          <w:sz w:val="24"/>
        </w:rPr>
        <w:t>Unusual</w:t>
      </w:r>
      <w:r>
        <w:rPr>
          <w:spacing w:val="-9"/>
          <w:sz w:val="24"/>
        </w:rPr>
        <w:t> </w:t>
      </w:r>
      <w:r>
        <w:rPr>
          <w:sz w:val="24"/>
        </w:rPr>
        <w:t>root</w:t>
      </w:r>
      <w:r>
        <w:rPr>
          <w:spacing w:val="-10"/>
          <w:sz w:val="24"/>
        </w:rPr>
        <w:t> </w:t>
      </w:r>
      <w:r>
        <w:rPr>
          <w:sz w:val="24"/>
        </w:rPr>
        <w:t>canal</w:t>
      </w:r>
      <w:r>
        <w:rPr>
          <w:spacing w:val="-9"/>
          <w:sz w:val="24"/>
        </w:rPr>
        <w:t> </w:t>
      </w:r>
      <w:r>
        <w:rPr>
          <w:sz w:val="24"/>
        </w:rPr>
        <w:t>anatomy</w:t>
      </w:r>
      <w:r>
        <w:rPr>
          <w:spacing w:val="-11"/>
          <w:sz w:val="24"/>
        </w:rPr>
        <w:t> </w:t>
      </w:r>
      <w:r>
        <w:rPr>
          <w:sz w:val="24"/>
        </w:rPr>
        <w:t>in</w:t>
      </w:r>
      <w:r>
        <w:rPr>
          <w:spacing w:val="-8"/>
          <w:sz w:val="24"/>
        </w:rPr>
        <w:t> </w:t>
      </w:r>
      <w:r>
        <w:rPr>
          <w:sz w:val="24"/>
        </w:rPr>
        <w:t>a</w:t>
      </w:r>
      <w:r>
        <w:rPr>
          <w:spacing w:val="-10"/>
          <w:sz w:val="24"/>
        </w:rPr>
        <w:t> </w:t>
      </w:r>
      <w:r>
        <w:rPr>
          <w:sz w:val="24"/>
        </w:rPr>
        <w:t>maxillary</w:t>
      </w:r>
      <w:r>
        <w:rPr>
          <w:spacing w:val="-11"/>
          <w:sz w:val="24"/>
        </w:rPr>
        <w:t> </w:t>
      </w:r>
      <w:r>
        <w:rPr>
          <w:sz w:val="24"/>
        </w:rPr>
        <w:t>molar.</w:t>
      </w:r>
      <w:r>
        <w:rPr>
          <w:spacing w:val="-8"/>
          <w:sz w:val="24"/>
        </w:rPr>
        <w:t> </w:t>
      </w:r>
      <w:r>
        <w:rPr>
          <w:sz w:val="24"/>
        </w:rPr>
        <w:t>Journal</w:t>
      </w:r>
      <w:r>
        <w:rPr>
          <w:spacing w:val="-13"/>
          <w:sz w:val="24"/>
        </w:rPr>
        <w:t> </w:t>
      </w:r>
      <w:r>
        <w:rPr>
          <w:sz w:val="24"/>
        </w:rPr>
        <w:t>of Endodontics.</w:t>
      </w:r>
      <w:r>
        <w:rPr>
          <w:spacing w:val="-11"/>
          <w:sz w:val="24"/>
        </w:rPr>
        <w:t> </w:t>
      </w:r>
      <w:r>
        <w:rPr>
          <w:sz w:val="24"/>
        </w:rPr>
        <w:t>1980(6),5.</w:t>
      </w:r>
    </w:p>
    <w:p>
      <w:pPr>
        <w:pStyle w:val="ListParagraph"/>
        <w:numPr>
          <w:ilvl w:val="0"/>
          <w:numId w:val="9"/>
        </w:numPr>
        <w:tabs>
          <w:tab w:pos="810" w:val="left" w:leader="none"/>
        </w:tabs>
        <w:spacing w:line="240" w:lineRule="auto" w:before="0" w:after="0"/>
        <w:ind w:left="102" w:right="123" w:firstLine="0"/>
        <w:jc w:val="both"/>
        <w:rPr>
          <w:sz w:val="24"/>
        </w:rPr>
      </w:pPr>
      <w:r>
        <w:rPr>
          <w:sz w:val="24"/>
        </w:rPr>
        <w:t>Barbizam</w:t>
      </w:r>
      <w:r>
        <w:rPr>
          <w:spacing w:val="-14"/>
          <w:sz w:val="24"/>
        </w:rPr>
        <w:t> </w:t>
      </w:r>
      <w:r>
        <w:rPr>
          <w:sz w:val="24"/>
        </w:rPr>
        <w:t>JV,</w:t>
      </w:r>
      <w:r>
        <w:rPr>
          <w:spacing w:val="-14"/>
          <w:sz w:val="24"/>
        </w:rPr>
        <w:t> </w:t>
      </w:r>
      <w:r>
        <w:rPr>
          <w:sz w:val="24"/>
        </w:rPr>
        <w:t>Ribeiro</w:t>
      </w:r>
      <w:r>
        <w:rPr>
          <w:spacing w:val="-16"/>
          <w:sz w:val="24"/>
        </w:rPr>
        <w:t> </w:t>
      </w:r>
      <w:r>
        <w:rPr>
          <w:sz w:val="24"/>
        </w:rPr>
        <w:t>RG,</w:t>
      </w:r>
      <w:r>
        <w:rPr>
          <w:spacing w:val="-14"/>
          <w:sz w:val="24"/>
        </w:rPr>
        <w:t> </w:t>
      </w:r>
      <w:r>
        <w:rPr>
          <w:sz w:val="24"/>
        </w:rPr>
        <w:t>Tanomaru</w:t>
      </w:r>
      <w:r>
        <w:rPr>
          <w:spacing w:val="-15"/>
          <w:sz w:val="24"/>
        </w:rPr>
        <w:t> </w:t>
      </w:r>
      <w:r>
        <w:rPr>
          <w:sz w:val="24"/>
        </w:rPr>
        <w:t>Filho</w:t>
      </w:r>
      <w:r>
        <w:rPr>
          <w:spacing w:val="-14"/>
          <w:sz w:val="24"/>
        </w:rPr>
        <w:t> </w:t>
      </w:r>
      <w:r>
        <w:rPr>
          <w:sz w:val="24"/>
        </w:rPr>
        <w:t>M.</w:t>
      </w:r>
      <w:r>
        <w:rPr>
          <w:spacing w:val="-14"/>
          <w:sz w:val="24"/>
        </w:rPr>
        <w:t> </w:t>
      </w:r>
      <w:r>
        <w:rPr>
          <w:sz w:val="24"/>
        </w:rPr>
        <w:t>Unusual</w:t>
      </w:r>
      <w:r>
        <w:rPr>
          <w:spacing w:val="-17"/>
          <w:sz w:val="24"/>
        </w:rPr>
        <w:t> </w:t>
      </w:r>
      <w:r>
        <w:rPr>
          <w:sz w:val="24"/>
        </w:rPr>
        <w:t>anatomy</w:t>
      </w:r>
      <w:r>
        <w:rPr>
          <w:spacing w:val="-16"/>
          <w:sz w:val="24"/>
        </w:rPr>
        <w:t> </w:t>
      </w:r>
      <w:r>
        <w:rPr>
          <w:sz w:val="24"/>
        </w:rPr>
        <w:t>of</w:t>
      </w:r>
      <w:r>
        <w:rPr>
          <w:spacing w:val="-12"/>
          <w:sz w:val="24"/>
        </w:rPr>
        <w:t> </w:t>
      </w:r>
      <w:r>
        <w:rPr>
          <w:sz w:val="24"/>
        </w:rPr>
        <w:t>permanent maxillary molars. J Endod.</w:t>
      </w:r>
      <w:r>
        <w:rPr>
          <w:spacing w:val="-16"/>
          <w:sz w:val="24"/>
        </w:rPr>
        <w:t> </w:t>
      </w:r>
      <w:r>
        <w:rPr>
          <w:sz w:val="24"/>
        </w:rPr>
        <w:t>2004;30:668-71</w:t>
      </w:r>
    </w:p>
    <w:p>
      <w:pPr>
        <w:pStyle w:val="ListParagraph"/>
        <w:numPr>
          <w:ilvl w:val="0"/>
          <w:numId w:val="9"/>
        </w:numPr>
        <w:tabs>
          <w:tab w:pos="810" w:val="left" w:leader="none"/>
        </w:tabs>
        <w:spacing w:line="240" w:lineRule="auto" w:before="0" w:after="0"/>
        <w:ind w:left="102" w:right="122" w:firstLine="0"/>
        <w:jc w:val="both"/>
        <w:rPr>
          <w:sz w:val="24"/>
        </w:rPr>
      </w:pPr>
      <w:r>
        <w:rPr>
          <w:sz w:val="24"/>
        </w:rPr>
        <w:t>Siqueira</w:t>
      </w:r>
      <w:r>
        <w:rPr>
          <w:spacing w:val="-6"/>
          <w:sz w:val="24"/>
        </w:rPr>
        <w:t> </w:t>
      </w:r>
      <w:r>
        <w:rPr>
          <w:sz w:val="24"/>
        </w:rPr>
        <w:t>JF</w:t>
      </w:r>
      <w:r>
        <w:rPr>
          <w:spacing w:val="-7"/>
          <w:sz w:val="24"/>
        </w:rPr>
        <w:t> </w:t>
      </w:r>
      <w:r>
        <w:rPr>
          <w:sz w:val="24"/>
        </w:rPr>
        <w:t>Jr,</w:t>
      </w:r>
      <w:r>
        <w:rPr>
          <w:spacing w:val="-7"/>
          <w:sz w:val="24"/>
        </w:rPr>
        <w:t> </w:t>
      </w:r>
      <w:r>
        <w:rPr>
          <w:sz w:val="24"/>
        </w:rPr>
        <w:t>Rocas</w:t>
      </w:r>
      <w:r>
        <w:rPr>
          <w:spacing w:val="-7"/>
          <w:sz w:val="24"/>
        </w:rPr>
        <w:t> </w:t>
      </w:r>
      <w:r>
        <w:rPr>
          <w:sz w:val="24"/>
        </w:rPr>
        <w:t>IN,</w:t>
      </w:r>
      <w:r>
        <w:rPr>
          <w:spacing w:val="-7"/>
          <w:sz w:val="24"/>
        </w:rPr>
        <w:t> </w:t>
      </w:r>
      <w:r>
        <w:rPr>
          <w:sz w:val="24"/>
        </w:rPr>
        <w:t>Santos</w:t>
      </w:r>
      <w:r>
        <w:rPr>
          <w:spacing w:val="-7"/>
          <w:sz w:val="24"/>
        </w:rPr>
        <w:t> </w:t>
      </w:r>
      <w:r>
        <w:rPr>
          <w:sz w:val="24"/>
        </w:rPr>
        <w:t>SR,</w:t>
      </w:r>
      <w:r>
        <w:rPr>
          <w:spacing w:val="-9"/>
          <w:sz w:val="24"/>
        </w:rPr>
        <w:t> </w:t>
      </w:r>
      <w:r>
        <w:rPr>
          <w:sz w:val="24"/>
        </w:rPr>
        <w:t>Lima</w:t>
      </w:r>
      <w:r>
        <w:rPr>
          <w:spacing w:val="-6"/>
          <w:sz w:val="24"/>
        </w:rPr>
        <w:t> </w:t>
      </w:r>
      <w:r>
        <w:rPr>
          <w:sz w:val="24"/>
        </w:rPr>
        <w:t>KC,</w:t>
      </w:r>
      <w:r>
        <w:rPr>
          <w:spacing w:val="-7"/>
          <w:sz w:val="24"/>
        </w:rPr>
        <w:t> </w:t>
      </w:r>
      <w:r>
        <w:rPr>
          <w:sz w:val="24"/>
        </w:rPr>
        <w:t>Magalhares</w:t>
      </w:r>
      <w:r>
        <w:rPr>
          <w:spacing w:val="-7"/>
          <w:sz w:val="24"/>
        </w:rPr>
        <w:t> </w:t>
      </w:r>
      <w:r>
        <w:rPr>
          <w:sz w:val="24"/>
        </w:rPr>
        <w:t>FA,</w:t>
      </w:r>
      <w:r>
        <w:rPr>
          <w:spacing w:val="-8"/>
          <w:sz w:val="24"/>
        </w:rPr>
        <w:t> </w:t>
      </w:r>
      <w:r>
        <w:rPr>
          <w:sz w:val="24"/>
        </w:rPr>
        <w:t>de</w:t>
      </w:r>
      <w:r>
        <w:rPr>
          <w:spacing w:val="-8"/>
          <w:sz w:val="24"/>
        </w:rPr>
        <w:t> </w:t>
      </w:r>
      <w:r>
        <w:rPr>
          <w:sz w:val="24"/>
        </w:rPr>
        <w:t>Uzeda</w:t>
      </w:r>
      <w:r>
        <w:rPr>
          <w:spacing w:val="-6"/>
          <w:sz w:val="24"/>
        </w:rPr>
        <w:t> </w:t>
      </w:r>
      <w:r>
        <w:rPr>
          <w:sz w:val="24"/>
        </w:rPr>
        <w:t>M. Efficacy of instrumentation techniques and irrigation regimens in reducing the bacterial population within root canals. J Endod.</w:t>
      </w:r>
      <w:r>
        <w:rPr>
          <w:spacing w:val="-24"/>
          <w:sz w:val="24"/>
        </w:rPr>
        <w:t> </w:t>
      </w:r>
      <w:r>
        <w:rPr>
          <w:sz w:val="24"/>
        </w:rPr>
        <w:t>2002;28:181-184.</w:t>
      </w:r>
    </w:p>
    <w:p>
      <w:pPr>
        <w:spacing w:after="0" w:line="240" w:lineRule="auto"/>
        <w:jc w:val="both"/>
        <w:rPr>
          <w:sz w:val="24"/>
        </w:rPr>
        <w:sectPr>
          <w:pgSz w:w="12240" w:h="15840"/>
          <w:pgMar w:header="749" w:footer="0" w:top="960" w:bottom="280" w:left="1600" w:right="1580"/>
        </w:sectPr>
      </w:pPr>
    </w:p>
    <w:p>
      <w:pPr>
        <w:pStyle w:val="BodyText"/>
        <w:rPr>
          <w:sz w:val="20"/>
        </w:rPr>
      </w:pPr>
    </w:p>
    <w:p>
      <w:pPr>
        <w:pStyle w:val="Heading1"/>
        <w:numPr>
          <w:ilvl w:val="0"/>
          <w:numId w:val="2"/>
        </w:numPr>
        <w:tabs>
          <w:tab w:pos="4327" w:val="left" w:leader="none"/>
        </w:tabs>
        <w:spacing w:line="240" w:lineRule="auto" w:before="212" w:after="0"/>
        <w:ind w:left="4326" w:right="0" w:hanging="360"/>
        <w:jc w:val="left"/>
      </w:pPr>
      <w:bookmarkStart w:name="_TOC_250000" w:id="16"/>
      <w:bookmarkEnd w:id="16"/>
      <w:r>
        <w:rPr/>
        <w:t>Anexos</w:t>
      </w:r>
    </w:p>
    <w:p>
      <w:pPr>
        <w:spacing w:after="0" w:line="240" w:lineRule="auto"/>
        <w:jc w:val="left"/>
        <w:sectPr>
          <w:pgSz w:w="12240" w:h="15840"/>
          <w:pgMar w:header="749" w:footer="0" w:top="960" w:bottom="280" w:left="1720" w:right="1580"/>
        </w:sectPr>
      </w:pPr>
    </w:p>
    <w:p>
      <w:pPr>
        <w:pStyle w:val="BodyText"/>
        <w:ind w:left="109"/>
        <w:rPr>
          <w:sz w:val="20"/>
        </w:rPr>
      </w:pPr>
      <w:r>
        <w:rPr/>
        <w:pict>
          <v:shape style="position:absolute;margin-left:60.48pt;margin-top:34.919998pt;width:486pt;height:646.450pt;mso-position-horizontal-relative:page;mso-position-vertical-relative:page;z-index:-17032" type="#_x0000_t202" filled="false" stroked="false">
            <v:textbox inset="0,0,0,0">
              <w:txbxContent>
                <w:p>
                  <w:pPr>
                    <w:spacing w:before="6"/>
                    <w:ind w:left="0" w:right="384" w:firstLine="0"/>
                    <w:jc w:val="right"/>
                    <w:rPr>
                      <w:rFonts w:ascii="Calibri"/>
                      <w:sz w:val="22"/>
                    </w:rPr>
                  </w:pPr>
                  <w:r>
                    <w:rPr>
                      <w:rFonts w:ascii="Calibri"/>
                      <w:sz w:val="22"/>
                    </w:rPr>
                    <w:t>30</w:t>
                  </w:r>
                </w:p>
              </w:txbxContent>
            </v:textbox>
            <w10:wrap type="none"/>
          </v:shape>
        </w:pict>
      </w:r>
      <w:r>
        <w:rPr>
          <w:sz w:val="20"/>
        </w:rPr>
        <w:drawing>
          <wp:inline distT="0" distB="0" distL="0" distR="0">
            <wp:extent cx="6090707" cy="8101393"/>
            <wp:effectExtent l="0" t="0" r="0" b="0"/>
            <wp:docPr id="21" name="image16.jpeg" descr=""/>
            <wp:cNvGraphicFramePr>
              <a:graphicFrameLocks noChangeAspect="1"/>
            </wp:cNvGraphicFramePr>
            <a:graphic>
              <a:graphicData uri="http://schemas.openxmlformats.org/drawingml/2006/picture">
                <pic:pic>
                  <pic:nvPicPr>
                    <pic:cNvPr id="22" name="image16.jpeg"/>
                    <pic:cNvPicPr/>
                  </pic:nvPicPr>
                  <pic:blipFill>
                    <a:blip r:embed="rId26" cstate="print"/>
                    <a:stretch>
                      <a:fillRect/>
                    </a:stretch>
                  </pic:blipFill>
                  <pic:spPr>
                    <a:xfrm>
                      <a:off x="0" y="0"/>
                      <a:ext cx="6090707" cy="8101393"/>
                    </a:xfrm>
                    <a:prstGeom prst="rect">
                      <a:avLst/>
                    </a:prstGeom>
                  </pic:spPr>
                </pic:pic>
              </a:graphicData>
            </a:graphic>
          </wp:inline>
        </w:drawing>
      </w:r>
      <w:r>
        <w:rPr>
          <w:sz w:val="20"/>
        </w:rPr>
      </w:r>
    </w:p>
    <w:p>
      <w:pPr>
        <w:spacing w:after="0"/>
        <w:rPr>
          <w:sz w:val="20"/>
        </w:rPr>
        <w:sectPr>
          <w:headerReference w:type="default" r:id="rId25"/>
          <w:pgSz w:w="12240" w:h="15840"/>
          <w:pgMar w:header="0" w:footer="0" w:top="700" w:bottom="280" w:left="1100" w:right="1200"/>
        </w:sectPr>
      </w:pPr>
    </w:p>
    <w:p>
      <w:pPr>
        <w:pStyle w:val="BodyText"/>
        <w:ind w:left="103"/>
        <w:rPr>
          <w:sz w:val="20"/>
        </w:rPr>
      </w:pPr>
      <w:r>
        <w:rPr/>
        <w:pict>
          <v:shape style="position:absolute;margin-left:74.160004pt;margin-top:35.759998pt;width:466.2pt;height:595.950pt;mso-position-horizontal-relative:page;mso-position-vertical-relative:page;z-index:-17008" type="#_x0000_t202" filled="false" stroked="false">
            <v:textbox inset="0,0,0,0">
              <w:txbxContent>
                <w:p>
                  <w:pPr>
                    <w:spacing w:line="258" w:lineRule="exact" w:before="0"/>
                    <w:ind w:left="0" w:right="262" w:firstLine="0"/>
                    <w:jc w:val="right"/>
                    <w:rPr>
                      <w:rFonts w:ascii="Calibri"/>
                      <w:sz w:val="22"/>
                    </w:rPr>
                  </w:pPr>
                  <w:r>
                    <w:rPr>
                      <w:rFonts w:ascii="Calibri"/>
                      <w:sz w:val="22"/>
                    </w:rPr>
                    <w:t>31</w:t>
                  </w:r>
                </w:p>
              </w:txbxContent>
            </v:textbox>
            <w10:wrap type="none"/>
          </v:shape>
        </w:pict>
      </w:r>
      <w:r>
        <w:rPr>
          <w:sz w:val="20"/>
        </w:rPr>
        <w:drawing>
          <wp:inline distT="0" distB="0" distL="0" distR="0">
            <wp:extent cx="5841231" cy="7466552"/>
            <wp:effectExtent l="0" t="0" r="0" b="0"/>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28" cstate="print"/>
                    <a:stretch>
                      <a:fillRect/>
                    </a:stretch>
                  </pic:blipFill>
                  <pic:spPr>
                    <a:xfrm>
                      <a:off x="0" y="0"/>
                      <a:ext cx="5841231" cy="7466552"/>
                    </a:xfrm>
                    <a:prstGeom prst="rect">
                      <a:avLst/>
                    </a:prstGeom>
                  </pic:spPr>
                </pic:pic>
              </a:graphicData>
            </a:graphic>
          </wp:inline>
        </w:drawing>
      </w:r>
      <w:r>
        <w:rPr>
          <w:sz w:val="20"/>
        </w:rPr>
      </w:r>
    </w:p>
    <w:p>
      <w:pPr>
        <w:spacing w:after="0"/>
        <w:rPr>
          <w:sz w:val="20"/>
        </w:rPr>
        <w:sectPr>
          <w:headerReference w:type="default" r:id="rId27"/>
          <w:pgSz w:w="12240" w:h="15840"/>
          <w:pgMar w:header="0" w:footer="0" w:top="720" w:bottom="280" w:left="1380" w:right="1320"/>
        </w:sectPr>
      </w:pPr>
    </w:p>
    <w:p>
      <w:pPr>
        <w:pStyle w:val="BodyText"/>
        <w:ind w:left="100"/>
        <w:rPr>
          <w:sz w:val="20"/>
        </w:rPr>
      </w:pPr>
      <w:r>
        <w:rPr/>
        <w:pict>
          <v:shape style="position:absolute;margin-left:74.040001pt;margin-top:35.759998pt;width:463.95pt;height:620.3pt;mso-position-horizontal-relative:page;mso-position-vertical-relative:page;z-index:-16984" type="#_x0000_t202" filled="false" stroked="false">
            <v:textbox inset="0,0,0,0">
              <w:txbxContent>
                <w:p>
                  <w:pPr>
                    <w:spacing w:line="258" w:lineRule="exact" w:before="0"/>
                    <w:ind w:left="0" w:right="214" w:firstLine="0"/>
                    <w:jc w:val="right"/>
                    <w:rPr>
                      <w:rFonts w:ascii="Calibri"/>
                      <w:sz w:val="22"/>
                    </w:rPr>
                  </w:pPr>
                  <w:r>
                    <w:rPr>
                      <w:rFonts w:ascii="Calibri"/>
                      <w:sz w:val="22"/>
                    </w:rPr>
                    <w:t>32</w:t>
                  </w:r>
                </w:p>
              </w:txbxContent>
            </v:textbox>
            <w10:wrap type="none"/>
          </v:shape>
        </w:pict>
      </w:r>
      <w:r>
        <w:rPr>
          <w:sz w:val="20"/>
        </w:rPr>
        <w:drawing>
          <wp:inline distT="0" distB="0" distL="0" distR="0">
            <wp:extent cx="5804943" cy="7761446"/>
            <wp:effectExtent l="0" t="0" r="0" b="0"/>
            <wp:docPr id="25" name="image18.jpeg" descr=""/>
            <wp:cNvGraphicFramePr>
              <a:graphicFrameLocks noChangeAspect="1"/>
            </wp:cNvGraphicFramePr>
            <a:graphic>
              <a:graphicData uri="http://schemas.openxmlformats.org/drawingml/2006/picture">
                <pic:pic>
                  <pic:nvPicPr>
                    <pic:cNvPr id="26" name="image18.jpeg"/>
                    <pic:cNvPicPr/>
                  </pic:nvPicPr>
                  <pic:blipFill>
                    <a:blip r:embed="rId30" cstate="print"/>
                    <a:stretch>
                      <a:fillRect/>
                    </a:stretch>
                  </pic:blipFill>
                  <pic:spPr>
                    <a:xfrm>
                      <a:off x="0" y="0"/>
                      <a:ext cx="5804943" cy="7761446"/>
                    </a:xfrm>
                    <a:prstGeom prst="rect">
                      <a:avLst/>
                    </a:prstGeom>
                  </pic:spPr>
                </pic:pic>
              </a:graphicData>
            </a:graphic>
          </wp:inline>
        </w:drawing>
      </w:r>
      <w:r>
        <w:rPr>
          <w:sz w:val="20"/>
        </w:rPr>
      </w:r>
    </w:p>
    <w:sectPr>
      <w:headerReference w:type="default" r:id="rId29"/>
      <w:pgSz w:w="12240" w:h="15840"/>
      <w:pgMar w:header="0" w:footer="0" w:top="720" w:bottom="280" w:left="138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36.439999pt;width:9.6pt;height:13.05pt;mso-position-horizontal-relative:page;mso-position-vertical-relative:page;z-index:-17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1734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17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36.439999pt;width:13.3pt;height:13.05pt;mso-position-horizontal-relative:page;mso-position-vertical-relative:page;z-index:-1729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36.439999pt;width:15.3pt;height:13.05pt;mso-position-horizontal-relative:page;mso-position-vertical-relative:page;z-index:-17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decimal"/>
      <w:lvlText w:val="%1)"/>
      <w:lvlJc w:val="left"/>
      <w:pPr>
        <w:ind w:left="102" w:hanging="708"/>
        <w:jc w:val="left"/>
      </w:pPr>
      <w:rPr>
        <w:rFonts w:hint="default"/>
        <w:w w:val="100"/>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7">
    <w:multiLevelType w:val="hybridMultilevel"/>
    <w:lvl w:ilvl="0">
      <w:start w:val="5"/>
      <w:numFmt w:val="decimal"/>
      <w:lvlText w:val="%1"/>
      <w:lvlJc w:val="left"/>
      <w:pPr>
        <w:ind w:left="1213" w:hanging="404"/>
        <w:jc w:val="left"/>
      </w:pPr>
      <w:rPr>
        <w:rFonts w:hint="default"/>
      </w:rPr>
    </w:lvl>
    <w:lvl w:ilvl="1">
      <w:start w:val="1"/>
      <w:numFmt w:val="decimal"/>
      <w:lvlText w:val="%1.%2"/>
      <w:lvlJc w:val="left"/>
      <w:pPr>
        <w:ind w:left="1213" w:hanging="404"/>
        <w:jc w:val="left"/>
      </w:pPr>
      <w:rPr>
        <w:rFonts w:hint="default" w:ascii="Arial" w:hAnsi="Arial" w:eastAsia="Arial" w:cs="Arial"/>
        <w:b/>
        <w:bCs/>
        <w:w w:val="99"/>
        <w:sz w:val="24"/>
        <w:szCs w:val="24"/>
      </w:rPr>
    </w:lvl>
    <w:lvl w:ilvl="2">
      <w:start w:val="1"/>
      <w:numFmt w:val="bullet"/>
      <w:lvlText w:val="•"/>
      <w:lvlJc w:val="left"/>
      <w:pPr>
        <w:ind w:left="2788" w:hanging="404"/>
      </w:pPr>
      <w:rPr>
        <w:rFonts w:hint="default"/>
      </w:rPr>
    </w:lvl>
    <w:lvl w:ilvl="3">
      <w:start w:val="1"/>
      <w:numFmt w:val="bullet"/>
      <w:lvlText w:val="•"/>
      <w:lvlJc w:val="left"/>
      <w:pPr>
        <w:ind w:left="3572" w:hanging="404"/>
      </w:pPr>
      <w:rPr>
        <w:rFonts w:hint="default"/>
      </w:rPr>
    </w:lvl>
    <w:lvl w:ilvl="4">
      <w:start w:val="1"/>
      <w:numFmt w:val="bullet"/>
      <w:lvlText w:val="•"/>
      <w:lvlJc w:val="left"/>
      <w:pPr>
        <w:ind w:left="4356" w:hanging="404"/>
      </w:pPr>
      <w:rPr>
        <w:rFonts w:hint="default"/>
      </w:rPr>
    </w:lvl>
    <w:lvl w:ilvl="5">
      <w:start w:val="1"/>
      <w:numFmt w:val="bullet"/>
      <w:lvlText w:val="•"/>
      <w:lvlJc w:val="left"/>
      <w:pPr>
        <w:ind w:left="5140" w:hanging="404"/>
      </w:pPr>
      <w:rPr>
        <w:rFonts w:hint="default"/>
      </w:rPr>
    </w:lvl>
    <w:lvl w:ilvl="6">
      <w:start w:val="1"/>
      <w:numFmt w:val="bullet"/>
      <w:lvlText w:val="•"/>
      <w:lvlJc w:val="left"/>
      <w:pPr>
        <w:ind w:left="5924" w:hanging="404"/>
      </w:pPr>
      <w:rPr>
        <w:rFonts w:hint="default"/>
      </w:rPr>
    </w:lvl>
    <w:lvl w:ilvl="7">
      <w:start w:val="1"/>
      <w:numFmt w:val="bullet"/>
      <w:lvlText w:val="•"/>
      <w:lvlJc w:val="left"/>
      <w:pPr>
        <w:ind w:left="6708" w:hanging="404"/>
      </w:pPr>
      <w:rPr>
        <w:rFonts w:hint="default"/>
      </w:rPr>
    </w:lvl>
    <w:lvl w:ilvl="8">
      <w:start w:val="1"/>
      <w:numFmt w:val="bullet"/>
      <w:lvlText w:val="•"/>
      <w:lvlJc w:val="left"/>
      <w:pPr>
        <w:ind w:left="7492" w:hanging="404"/>
      </w:pPr>
      <w:rPr>
        <w:rFonts w:hint="default"/>
      </w:rPr>
    </w:lvl>
  </w:abstractNum>
  <w:abstractNum w:abstractNumId="6">
    <w:multiLevelType w:val="hybridMultilevel"/>
    <w:lvl w:ilvl="0">
      <w:start w:val="1"/>
      <w:numFmt w:val="decimal"/>
      <w:lvlText w:val="%1"/>
      <w:lvlJc w:val="left"/>
      <w:pPr>
        <w:ind w:left="636" w:hanging="535"/>
        <w:jc w:val="left"/>
      </w:pPr>
      <w:rPr>
        <w:rFonts w:hint="default"/>
      </w:rPr>
    </w:lvl>
    <w:lvl w:ilvl="1">
      <w:start w:val="40"/>
      <w:numFmt w:val="decimal"/>
      <w:lvlText w:val="%1.%2"/>
      <w:lvlJc w:val="left"/>
      <w:pPr>
        <w:ind w:left="636" w:hanging="535"/>
        <w:jc w:val="left"/>
      </w:pPr>
      <w:rPr>
        <w:rFonts w:hint="default" w:ascii="Arial" w:hAnsi="Arial" w:eastAsia="Arial" w:cs="Arial"/>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3"/>
      <w:numFmt w:val="decimal"/>
      <w:lvlText w:val="%1"/>
      <w:lvlJc w:val="left"/>
      <w:pPr>
        <w:ind w:left="1182" w:hanging="720"/>
        <w:jc w:val="left"/>
      </w:pPr>
      <w:rPr>
        <w:rFonts w:hint="default"/>
      </w:rPr>
    </w:lvl>
    <w:lvl w:ilvl="1">
      <w:start w:val="3"/>
      <w:numFmt w:val="decimal"/>
      <w:lvlText w:val="%1.%2"/>
      <w:lvlJc w:val="left"/>
      <w:pPr>
        <w:ind w:left="1182" w:hanging="720"/>
        <w:jc w:val="left"/>
      </w:pPr>
      <w:rPr>
        <w:rFonts w:hint="default"/>
      </w:rPr>
    </w:lvl>
    <w:lvl w:ilvl="2">
      <w:start w:val="2"/>
      <w:numFmt w:val="decimal"/>
      <w:lvlText w:val="%1.%2.%3"/>
      <w:lvlJc w:val="left"/>
      <w:pPr>
        <w:ind w:left="1182" w:hanging="720"/>
        <w:jc w:val="left"/>
      </w:pPr>
      <w:rPr>
        <w:rFonts w:hint="default" w:ascii="Arial" w:hAnsi="Arial" w:eastAsia="Arial" w:cs="Arial"/>
        <w:b/>
        <w:bCs/>
        <w:spacing w:val="-2"/>
        <w:w w:val="99"/>
        <w:sz w:val="24"/>
        <w:szCs w:val="24"/>
      </w:rPr>
    </w:lvl>
    <w:lvl w:ilvl="3">
      <w:start w:val="1"/>
      <w:numFmt w:val="decimal"/>
      <w:lvlText w:val="%1.%2.%3.%4"/>
      <w:lvlJc w:val="left"/>
      <w:pPr>
        <w:ind w:left="1542" w:hanging="1080"/>
        <w:jc w:val="left"/>
      </w:pPr>
      <w:rPr>
        <w:rFonts w:hint="default" w:ascii="Arial" w:hAnsi="Arial" w:eastAsia="Arial" w:cs="Arial"/>
        <w:spacing w:val="-3"/>
        <w:w w:val="99"/>
        <w:sz w:val="24"/>
        <w:szCs w:val="24"/>
      </w:rPr>
    </w:lvl>
    <w:lvl w:ilvl="4">
      <w:start w:val="1"/>
      <w:numFmt w:val="bullet"/>
      <w:lvlText w:val="•"/>
      <w:lvlJc w:val="left"/>
      <w:pPr>
        <w:ind w:left="4046" w:hanging="1080"/>
      </w:pPr>
      <w:rPr>
        <w:rFonts w:hint="default"/>
      </w:rPr>
    </w:lvl>
    <w:lvl w:ilvl="5">
      <w:start w:val="1"/>
      <w:numFmt w:val="bullet"/>
      <w:lvlText w:val="•"/>
      <w:lvlJc w:val="left"/>
      <w:pPr>
        <w:ind w:left="4882" w:hanging="1080"/>
      </w:pPr>
      <w:rPr>
        <w:rFonts w:hint="default"/>
      </w:rPr>
    </w:lvl>
    <w:lvl w:ilvl="6">
      <w:start w:val="1"/>
      <w:numFmt w:val="bullet"/>
      <w:lvlText w:val="•"/>
      <w:lvlJc w:val="left"/>
      <w:pPr>
        <w:ind w:left="5717" w:hanging="1080"/>
      </w:pPr>
      <w:rPr>
        <w:rFonts w:hint="default"/>
      </w:rPr>
    </w:lvl>
    <w:lvl w:ilvl="7">
      <w:start w:val="1"/>
      <w:numFmt w:val="bullet"/>
      <w:lvlText w:val="•"/>
      <w:lvlJc w:val="left"/>
      <w:pPr>
        <w:ind w:left="6553" w:hanging="1080"/>
      </w:pPr>
      <w:rPr>
        <w:rFonts w:hint="default"/>
      </w:rPr>
    </w:lvl>
    <w:lvl w:ilvl="8">
      <w:start w:val="1"/>
      <w:numFmt w:val="bullet"/>
      <w:lvlText w:val="•"/>
      <w:lvlJc w:val="left"/>
      <w:pPr>
        <w:ind w:left="7388" w:hanging="1080"/>
      </w:pPr>
      <w:rPr>
        <w:rFonts w:hint="default"/>
      </w:rPr>
    </w:lvl>
  </w:abstractNum>
  <w:abstractNum w:abstractNumId="3">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3"/>
      <w:numFmt w:val="decimal"/>
      <w:lvlText w:val="%1"/>
      <w:lvlJc w:val="left"/>
      <w:pPr>
        <w:ind w:left="891" w:hanging="430"/>
        <w:jc w:val="left"/>
      </w:pPr>
      <w:rPr>
        <w:rFonts w:hint="default"/>
      </w:rPr>
    </w:lvl>
    <w:lvl w:ilvl="1">
      <w:start w:val="1"/>
      <w:numFmt w:val="decimal"/>
      <w:lvlText w:val="%1.%2"/>
      <w:lvlJc w:val="left"/>
      <w:pPr>
        <w:ind w:left="891" w:hanging="430"/>
        <w:jc w:val="left"/>
      </w:pPr>
      <w:rPr>
        <w:rFonts w:hint="default" w:ascii="Arial" w:hAnsi="Arial" w:eastAsia="Arial" w:cs="Arial"/>
        <w:b/>
        <w:bCs/>
        <w:w w:val="99"/>
        <w:sz w:val="24"/>
        <w:szCs w:val="24"/>
      </w:rPr>
    </w:lvl>
    <w:lvl w:ilvl="2">
      <w:start w:val="1"/>
      <w:numFmt w:val="decimal"/>
      <w:lvlText w:val="%1.%2.%3"/>
      <w:lvlJc w:val="left"/>
      <w:pPr>
        <w:ind w:left="1182" w:hanging="720"/>
        <w:jc w:val="left"/>
      </w:pPr>
      <w:rPr>
        <w:rFonts w:hint="default"/>
        <w:b/>
        <w:bCs/>
        <w:spacing w:val="-2"/>
        <w:w w:val="99"/>
      </w:rPr>
    </w:lvl>
    <w:lvl w:ilvl="3">
      <w:start w:val="1"/>
      <w:numFmt w:val="decimal"/>
      <w:lvlText w:val="%1.%2.%3.%4"/>
      <w:lvlJc w:val="left"/>
      <w:pPr>
        <w:ind w:left="1542" w:hanging="1080"/>
        <w:jc w:val="left"/>
      </w:pPr>
      <w:rPr>
        <w:rFonts w:hint="default" w:ascii="Arial" w:hAnsi="Arial" w:eastAsia="Arial" w:cs="Arial"/>
        <w:spacing w:val="-2"/>
        <w:w w:val="99"/>
        <w:sz w:val="24"/>
        <w:szCs w:val="24"/>
      </w:rPr>
    </w:lvl>
    <w:lvl w:ilvl="4">
      <w:start w:val="1"/>
      <w:numFmt w:val="bullet"/>
      <w:lvlText w:val="•"/>
      <w:lvlJc w:val="left"/>
      <w:pPr>
        <w:ind w:left="2614" w:hanging="1080"/>
      </w:pPr>
      <w:rPr>
        <w:rFonts w:hint="default"/>
      </w:rPr>
    </w:lvl>
    <w:lvl w:ilvl="5">
      <w:start w:val="1"/>
      <w:numFmt w:val="bullet"/>
      <w:lvlText w:val="•"/>
      <w:lvlJc w:val="left"/>
      <w:pPr>
        <w:ind w:left="3688" w:hanging="1080"/>
      </w:pPr>
      <w:rPr>
        <w:rFonts w:hint="default"/>
      </w:rPr>
    </w:lvl>
    <w:lvl w:ilvl="6">
      <w:start w:val="1"/>
      <w:numFmt w:val="bullet"/>
      <w:lvlText w:val="•"/>
      <w:lvlJc w:val="left"/>
      <w:pPr>
        <w:ind w:left="4762" w:hanging="1080"/>
      </w:pPr>
      <w:rPr>
        <w:rFonts w:hint="default"/>
      </w:rPr>
    </w:lvl>
    <w:lvl w:ilvl="7">
      <w:start w:val="1"/>
      <w:numFmt w:val="bullet"/>
      <w:lvlText w:val="•"/>
      <w:lvlJc w:val="left"/>
      <w:pPr>
        <w:ind w:left="5837" w:hanging="1080"/>
      </w:pPr>
      <w:rPr>
        <w:rFonts w:hint="default"/>
      </w:rPr>
    </w:lvl>
    <w:lvl w:ilvl="8">
      <w:start w:val="1"/>
      <w:numFmt w:val="bullet"/>
      <w:lvlText w:val="•"/>
      <w:lvlJc w:val="left"/>
      <w:pPr>
        <w:ind w:left="6911" w:hanging="1080"/>
      </w:pPr>
      <w:rPr>
        <w:rFonts w:hint="default"/>
      </w:rPr>
    </w:lvl>
  </w:abstractNum>
  <w:abstractNum w:abstractNumId="1">
    <w:multiLevelType w:val="hybridMultilevel"/>
    <w:lvl w:ilvl="0">
      <w:start w:val="1"/>
      <w:numFmt w:val="decimal"/>
      <w:lvlText w:val="%1."/>
      <w:lvlJc w:val="left"/>
      <w:pPr>
        <w:ind w:left="4281" w:hanging="360"/>
        <w:jc w:val="right"/>
      </w:pPr>
      <w:rPr>
        <w:rFonts w:hint="default" w:ascii="Arial" w:hAnsi="Arial" w:eastAsia="Arial" w:cs="Arial"/>
        <w:b/>
        <w:bCs/>
        <w:w w:val="99"/>
        <w:sz w:val="24"/>
        <w:szCs w:val="24"/>
      </w:rPr>
    </w:lvl>
    <w:lvl w:ilvl="1">
      <w:start w:val="1"/>
      <w:numFmt w:val="bullet"/>
      <w:lvlText w:val="•"/>
      <w:lvlJc w:val="left"/>
      <w:pPr>
        <w:ind w:left="4758" w:hanging="360"/>
      </w:pPr>
      <w:rPr>
        <w:rFonts w:hint="default"/>
      </w:rPr>
    </w:lvl>
    <w:lvl w:ilvl="2">
      <w:start w:val="1"/>
      <w:numFmt w:val="bullet"/>
      <w:lvlText w:val="•"/>
      <w:lvlJc w:val="left"/>
      <w:pPr>
        <w:ind w:left="5236" w:hanging="360"/>
      </w:pPr>
      <w:rPr>
        <w:rFonts w:hint="default"/>
      </w:rPr>
    </w:lvl>
    <w:lvl w:ilvl="3">
      <w:start w:val="1"/>
      <w:numFmt w:val="bullet"/>
      <w:lvlText w:val="•"/>
      <w:lvlJc w:val="left"/>
      <w:pPr>
        <w:ind w:left="5714" w:hanging="360"/>
      </w:pPr>
      <w:rPr>
        <w:rFonts w:hint="default"/>
      </w:rPr>
    </w:lvl>
    <w:lvl w:ilvl="4">
      <w:start w:val="1"/>
      <w:numFmt w:val="bullet"/>
      <w:lvlText w:val="•"/>
      <w:lvlJc w:val="left"/>
      <w:pPr>
        <w:ind w:left="6192" w:hanging="360"/>
      </w:pPr>
      <w:rPr>
        <w:rFonts w:hint="default"/>
      </w:rPr>
    </w:lvl>
    <w:lvl w:ilvl="5">
      <w:start w:val="1"/>
      <w:numFmt w:val="bullet"/>
      <w:lvlText w:val="•"/>
      <w:lvlJc w:val="left"/>
      <w:pPr>
        <w:ind w:left="6670" w:hanging="360"/>
      </w:pPr>
      <w:rPr>
        <w:rFonts w:hint="default"/>
      </w:rPr>
    </w:lvl>
    <w:lvl w:ilvl="6">
      <w:start w:val="1"/>
      <w:numFmt w:val="bullet"/>
      <w:lvlText w:val="•"/>
      <w:lvlJc w:val="left"/>
      <w:pPr>
        <w:ind w:left="7148" w:hanging="360"/>
      </w:pPr>
      <w:rPr>
        <w:rFonts w:hint="default"/>
      </w:rPr>
    </w:lvl>
    <w:lvl w:ilvl="7">
      <w:start w:val="1"/>
      <w:numFmt w:val="bullet"/>
      <w:lvlText w:val="•"/>
      <w:lvlJc w:val="left"/>
      <w:pPr>
        <w:ind w:left="7626" w:hanging="360"/>
      </w:pPr>
      <w:rPr>
        <w:rFonts w:hint="default"/>
      </w:rPr>
    </w:lvl>
    <w:lvl w:ilvl="8">
      <w:start w:val="1"/>
      <w:numFmt w:val="bullet"/>
      <w:lvlText w:val="•"/>
      <w:lvlJc w:val="left"/>
      <w:pPr>
        <w:ind w:left="8104" w:hanging="360"/>
      </w:pPr>
      <w:rPr>
        <w:rFonts w:hint="default"/>
      </w:rPr>
    </w:lvl>
  </w:abstractNum>
  <w:abstractNum w:abstractNumId="0">
    <w:multiLevelType w:val="hybridMultilevel"/>
    <w:lvl w:ilvl="0">
      <w:start w:val="1"/>
      <w:numFmt w:val="decimal"/>
      <w:lvlText w:val="%1."/>
      <w:lvlJc w:val="left"/>
      <w:pPr>
        <w:ind w:left="1182" w:hanging="720"/>
        <w:jc w:val="left"/>
      </w:pPr>
      <w:rPr>
        <w:rFonts w:hint="default" w:ascii="Arial" w:hAnsi="Arial" w:eastAsia="Arial" w:cs="Arial"/>
        <w:spacing w:val="-1"/>
        <w:w w:val="99"/>
        <w:sz w:val="24"/>
        <w:szCs w:val="24"/>
      </w:rPr>
    </w:lvl>
    <w:lvl w:ilvl="1">
      <w:start w:val="1"/>
      <w:numFmt w:val="decimal"/>
      <w:lvlText w:val="%1.%2"/>
      <w:lvlJc w:val="left"/>
      <w:pPr>
        <w:ind w:left="822" w:hanging="360"/>
        <w:jc w:val="left"/>
      </w:pPr>
      <w:rPr>
        <w:rFonts w:hint="default" w:ascii="Arial" w:hAnsi="Arial" w:eastAsia="Arial" w:cs="Arial"/>
        <w:w w:val="99"/>
        <w:sz w:val="24"/>
        <w:szCs w:val="24"/>
      </w:rPr>
    </w:lvl>
    <w:lvl w:ilvl="2">
      <w:start w:val="1"/>
      <w:numFmt w:val="decimal"/>
      <w:lvlText w:val="%1.%2.%3"/>
      <w:lvlJc w:val="left"/>
      <w:pPr>
        <w:ind w:left="1182" w:hanging="720"/>
        <w:jc w:val="left"/>
      </w:pPr>
      <w:rPr>
        <w:rFonts w:hint="default" w:ascii="Arial" w:hAnsi="Arial" w:eastAsia="Arial" w:cs="Arial"/>
        <w:spacing w:val="-2"/>
        <w:w w:val="99"/>
        <w:sz w:val="24"/>
        <w:szCs w:val="24"/>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19"/>
      <w:ind w:left="1182" w:hanging="720"/>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14"/>
      <w:ind w:left="2458"/>
      <w:outlineLvl w:val="1"/>
    </w:pPr>
    <w:rPr>
      <w:rFonts w:ascii="Arial" w:hAnsi="Arial" w:eastAsia="Arial" w:cs="Arial"/>
      <w:b/>
      <w:bCs/>
      <w:sz w:val="24"/>
      <w:szCs w:val="24"/>
    </w:rPr>
  </w:style>
  <w:style w:styleId="Heading2" w:type="paragraph">
    <w:name w:val="Heading 2"/>
    <w:basedOn w:val="Normal"/>
    <w:uiPriority w:val="1"/>
    <w:qFormat/>
    <w:pPr>
      <w:spacing w:before="164"/>
      <w:ind w:left="1412" w:hanging="602"/>
      <w:outlineLvl w:val="2"/>
    </w:pPr>
    <w:rPr>
      <w:rFonts w:ascii="Arial" w:hAnsi="Arial" w:eastAsia="Arial" w:cs="Arial"/>
      <w:b/>
      <w:bCs/>
      <w:i/>
      <w:sz w:val="24"/>
      <w:szCs w:val="24"/>
    </w:rPr>
  </w:style>
  <w:style w:styleId="ListParagraph" w:type="paragraph">
    <w:name w:val="List Paragraph"/>
    <w:basedOn w:val="Normal"/>
    <w:uiPriority w:val="1"/>
    <w:qFormat/>
    <w:pPr>
      <w:ind w:left="102"/>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image" Target="media/image3.pn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header" Target="header2.xml"/><Relationship Id="rId13" Type="http://schemas.openxmlformats.org/officeDocument/2006/relationships/header" Target="header3.xml"/><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png"/><Relationship Id="rId19" Type="http://schemas.openxmlformats.org/officeDocument/2006/relationships/header" Target="header4.xml"/><Relationship Id="rId20" Type="http://schemas.openxmlformats.org/officeDocument/2006/relationships/image" Target="media/image12.png"/><Relationship Id="rId21" Type="http://schemas.openxmlformats.org/officeDocument/2006/relationships/image" Target="media/image13.jpeg"/><Relationship Id="rId22" Type="http://schemas.openxmlformats.org/officeDocument/2006/relationships/header" Target="header5.xml"/><Relationship Id="rId23" Type="http://schemas.openxmlformats.org/officeDocument/2006/relationships/image" Target="media/image14.jpeg"/><Relationship Id="rId24" Type="http://schemas.openxmlformats.org/officeDocument/2006/relationships/image" Target="media/image15.jpeg"/><Relationship Id="rId25" Type="http://schemas.openxmlformats.org/officeDocument/2006/relationships/header" Target="header6.xml"/><Relationship Id="rId26" Type="http://schemas.openxmlformats.org/officeDocument/2006/relationships/image" Target="media/image16.jpeg"/><Relationship Id="rId27" Type="http://schemas.openxmlformats.org/officeDocument/2006/relationships/header" Target="header7.xml"/><Relationship Id="rId28" Type="http://schemas.openxmlformats.org/officeDocument/2006/relationships/image" Target="media/image17.jpeg"/><Relationship Id="rId29" Type="http://schemas.openxmlformats.org/officeDocument/2006/relationships/header" Target="header8.xml"/><Relationship Id="rId30" Type="http://schemas.openxmlformats.org/officeDocument/2006/relationships/image" Target="media/image18.jpeg"/><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 Inspirion</dc:creator>
  <dcterms:created xsi:type="dcterms:W3CDTF">2017-05-27T03:08:39Z</dcterms:created>
  <dcterms:modified xsi:type="dcterms:W3CDTF">2017-05-27T03:08:39Z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2014-12-11T00:00:00Z</vt:filetime>
  </property>
  <property fmtid="{D5CDD505-2E9C-101B-9397-08002B2CF9AE}" pid="3" name="Creator">
    <vt:lpwstr>Microsoft® Word 2013</vt:lpwstr>
  </property>
  <property fmtid="{D5CDD505-2E9C-101B-9397-08002B2CF9AE}" pid="4" name="LastSaved">
    <vt:filetime>2017-05-27T00:00:00Z</vt:filetime>
  </property>
</Properties>
</file>