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spacing w:before="10"/>
        <w:rPr>
          <w:rFonts w:ascii="Times New Roman"/>
          <w:sz w:val="23"/>
        </w:rPr>
      </w:pPr>
    </w:p>
    <w:p>
      <w:pPr>
        <w:pStyle w:val="Heading1"/>
        <w:spacing w:line="292" w:lineRule="auto" w:before="69"/>
        <w:ind w:left="4221" w:right="745" w:hanging="1287"/>
      </w:pPr>
      <w:r>
        <w:rPr/>
        <w:drawing>
          <wp:anchor distT="0" distB="0" distL="0" distR="0" allowOverlap="1" layoutInCell="1" locked="0" behindDoc="0" simplePos="0" relativeHeight="0">
            <wp:simplePos x="0" y="0"/>
            <wp:positionH relativeFrom="page">
              <wp:posOffset>571500</wp:posOffset>
            </wp:positionH>
            <wp:positionV relativeFrom="paragraph">
              <wp:posOffset>-469952</wp:posOffset>
            </wp:positionV>
            <wp:extent cx="1276350" cy="1152525"/>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276350" cy="1152525"/>
                    </a:xfrm>
                    <a:prstGeom prst="rect">
                      <a:avLst/>
                    </a:prstGeom>
                  </pic:spPr>
                </pic:pic>
              </a:graphicData>
            </a:graphic>
          </wp:anchor>
        </w:drawing>
      </w:r>
      <w:r>
        <w:rPr/>
        <w:t>UNIVERSIDAD AUTÓNOMA DEL ESTADO DE MÉXICO FACULTAD DE ODONTOLOGÍA</w:t>
      </w:r>
    </w:p>
    <w:p>
      <w:pPr>
        <w:pStyle w:val="BodyText"/>
        <w:rPr>
          <w:b/>
        </w:rPr>
      </w:pPr>
    </w:p>
    <w:p>
      <w:pPr>
        <w:pStyle w:val="BodyText"/>
        <w:rPr>
          <w:b/>
        </w:rPr>
      </w:pPr>
    </w:p>
    <w:p>
      <w:pPr>
        <w:pStyle w:val="BodyText"/>
        <w:spacing w:before="9"/>
        <w:rPr>
          <w:b/>
          <w:sz w:val="22"/>
        </w:rPr>
      </w:pPr>
    </w:p>
    <w:p>
      <w:pPr>
        <w:spacing w:before="0"/>
        <w:ind w:left="940" w:right="154" w:firstLine="0"/>
        <w:jc w:val="center"/>
        <w:rPr>
          <w:b/>
          <w:sz w:val="24"/>
        </w:rPr>
      </w:pPr>
      <w:r>
        <w:rPr/>
        <w:pict>
          <v:line style="position:absolute;mso-position-horizontal-relative:page;mso-position-vertical-relative:paragraph;z-index:1048" from="60pt,9.715869pt" to="60pt,476.765869pt" stroked="true" strokeweight="2.25pt" strokecolor="#000000">
            <w10:wrap type="none"/>
          </v:line>
        </w:pict>
      </w:r>
      <w:r>
        <w:rPr>
          <w:b/>
          <w:sz w:val="24"/>
        </w:rPr>
        <w:t>CENTRO DE INVESTIGACIÓN Y ESTUDIOS AVANZADOS EN ODONTOLOGÍA “DR. KEISABURO MIYATA”</w:t>
      </w:r>
    </w:p>
    <w:p>
      <w:pPr>
        <w:pStyle w:val="BodyText"/>
        <w:rPr>
          <w:b/>
        </w:rPr>
      </w:pPr>
    </w:p>
    <w:p>
      <w:pPr>
        <w:pStyle w:val="BodyText"/>
        <w:rPr>
          <w:b/>
        </w:rPr>
      </w:pPr>
    </w:p>
    <w:p>
      <w:pPr>
        <w:pStyle w:val="BodyText"/>
        <w:rPr>
          <w:b/>
        </w:rPr>
      </w:pPr>
    </w:p>
    <w:p>
      <w:pPr>
        <w:spacing w:before="0"/>
        <w:ind w:left="933" w:right="154" w:firstLine="0"/>
        <w:jc w:val="center"/>
        <w:rPr>
          <w:b/>
          <w:sz w:val="24"/>
        </w:rPr>
      </w:pPr>
      <w:r>
        <w:rPr>
          <w:b/>
          <w:sz w:val="24"/>
        </w:rPr>
        <w:t>CONOCIMIENTO DE LAS GESTANTES SOBRE LA SALUD BUCAL DE SUS HIJOS EN EL “IMIEM” HOSPITAL DE GINECOLOGÍA Y OBSTETRICIA.</w:t>
      </w:r>
    </w:p>
    <w:p>
      <w:pPr>
        <w:pStyle w:val="BodyText"/>
        <w:rPr>
          <w:b/>
        </w:rPr>
      </w:pPr>
    </w:p>
    <w:p>
      <w:pPr>
        <w:pStyle w:val="BodyText"/>
        <w:rPr>
          <w:b/>
        </w:rPr>
      </w:pPr>
    </w:p>
    <w:p>
      <w:pPr>
        <w:pStyle w:val="BodyText"/>
        <w:rPr>
          <w:b/>
        </w:rPr>
      </w:pPr>
    </w:p>
    <w:p>
      <w:pPr>
        <w:pStyle w:val="BodyText"/>
        <w:rPr>
          <w:b/>
        </w:rPr>
      </w:pPr>
    </w:p>
    <w:p>
      <w:pPr>
        <w:spacing w:before="0"/>
        <w:ind w:left="928" w:right="154" w:firstLine="0"/>
        <w:jc w:val="center"/>
        <w:rPr>
          <w:b/>
          <w:sz w:val="24"/>
        </w:rPr>
      </w:pPr>
      <w:r>
        <w:rPr>
          <w:b/>
          <w:sz w:val="24"/>
        </w:rPr>
        <w:t>PROYECTO TERMINAL</w:t>
      </w:r>
    </w:p>
    <w:p>
      <w:pPr>
        <w:pStyle w:val="BodyText"/>
        <w:rPr>
          <w:b/>
        </w:rPr>
      </w:pPr>
    </w:p>
    <w:p>
      <w:pPr>
        <w:pStyle w:val="BodyText"/>
        <w:rPr>
          <w:b/>
        </w:rPr>
      </w:pPr>
    </w:p>
    <w:p>
      <w:pPr>
        <w:spacing w:before="0"/>
        <w:ind w:left="3040" w:right="2257" w:hanging="5"/>
        <w:jc w:val="center"/>
        <w:rPr>
          <w:b/>
          <w:sz w:val="24"/>
        </w:rPr>
      </w:pPr>
      <w:r>
        <w:rPr>
          <w:b/>
          <w:sz w:val="24"/>
        </w:rPr>
        <w:t>QUE PARA OBTENER EL DIPLOMA DE ESPECIALISTA EN ODONTOPEDIATRÍA</w:t>
      </w:r>
    </w:p>
    <w:p>
      <w:pPr>
        <w:pStyle w:val="BodyText"/>
        <w:rPr>
          <w:b/>
        </w:rPr>
      </w:pPr>
    </w:p>
    <w:p>
      <w:pPr>
        <w:pStyle w:val="BodyText"/>
        <w:rPr>
          <w:b/>
        </w:rPr>
      </w:pPr>
    </w:p>
    <w:p>
      <w:pPr>
        <w:pStyle w:val="BodyText"/>
        <w:rPr>
          <w:b/>
        </w:rPr>
      </w:pPr>
    </w:p>
    <w:p>
      <w:pPr>
        <w:pStyle w:val="BodyText"/>
        <w:rPr>
          <w:b/>
        </w:rPr>
      </w:pPr>
    </w:p>
    <w:p>
      <w:pPr>
        <w:spacing w:before="0"/>
        <w:ind w:left="930" w:right="154" w:firstLine="0"/>
        <w:jc w:val="center"/>
        <w:rPr>
          <w:b/>
          <w:sz w:val="24"/>
        </w:rPr>
      </w:pPr>
      <w:r>
        <w:rPr>
          <w:b/>
          <w:sz w:val="24"/>
        </w:rPr>
        <w:t>PRESENTA:</w:t>
      </w:r>
    </w:p>
    <w:p>
      <w:pPr>
        <w:pStyle w:val="BodyText"/>
        <w:rPr>
          <w:b/>
        </w:rPr>
      </w:pPr>
    </w:p>
    <w:p>
      <w:pPr>
        <w:spacing w:before="0"/>
        <w:ind w:left="2680" w:right="745" w:firstLine="0"/>
        <w:jc w:val="left"/>
        <w:rPr>
          <w:b/>
          <w:sz w:val="24"/>
        </w:rPr>
      </w:pPr>
      <w:r>
        <w:rPr>
          <w:b/>
          <w:sz w:val="24"/>
        </w:rPr>
        <w:t>C.D. JINNAH MAHELET BENÍTEZ VELÁZQUEZ</w:t>
      </w:r>
    </w:p>
    <w:p>
      <w:pPr>
        <w:pStyle w:val="BodyText"/>
        <w:rPr>
          <w:b/>
        </w:rPr>
      </w:pPr>
    </w:p>
    <w:p>
      <w:pPr>
        <w:pStyle w:val="BodyText"/>
        <w:rPr>
          <w:b/>
        </w:rPr>
      </w:pPr>
    </w:p>
    <w:p>
      <w:pPr>
        <w:pStyle w:val="BodyText"/>
        <w:rPr>
          <w:b/>
        </w:rPr>
      </w:pPr>
    </w:p>
    <w:p>
      <w:pPr>
        <w:spacing w:before="0"/>
        <w:ind w:left="934" w:right="154" w:firstLine="0"/>
        <w:jc w:val="center"/>
        <w:rPr>
          <w:b/>
          <w:sz w:val="24"/>
        </w:rPr>
      </w:pPr>
      <w:r>
        <w:rPr>
          <w:b/>
          <w:sz w:val="24"/>
        </w:rPr>
        <w:t>DIRECTOR:</w:t>
      </w:r>
    </w:p>
    <w:p>
      <w:pPr>
        <w:pStyle w:val="BodyText"/>
        <w:rPr>
          <w:b/>
        </w:rPr>
      </w:pPr>
    </w:p>
    <w:p>
      <w:pPr>
        <w:spacing w:before="0"/>
        <w:ind w:left="928" w:right="154" w:firstLine="0"/>
        <w:jc w:val="center"/>
        <w:rPr>
          <w:b/>
          <w:sz w:val="24"/>
        </w:rPr>
      </w:pPr>
      <w:r>
        <w:rPr>
          <w:b/>
          <w:color w:val="070707"/>
          <w:sz w:val="24"/>
        </w:rPr>
        <w:t>DRA. en C.S. EDITH LARA CARRILLO</w:t>
      </w:r>
    </w:p>
    <w:p>
      <w:pPr>
        <w:pStyle w:val="BodyText"/>
        <w:rPr>
          <w:b/>
        </w:rPr>
      </w:pPr>
    </w:p>
    <w:p>
      <w:pPr>
        <w:pStyle w:val="BodyText"/>
        <w:rPr>
          <w:b/>
        </w:rPr>
      </w:pPr>
    </w:p>
    <w:p>
      <w:pPr>
        <w:spacing w:before="0"/>
        <w:ind w:left="1783" w:right="154" w:firstLine="0"/>
        <w:jc w:val="center"/>
        <w:rPr>
          <w:b/>
          <w:sz w:val="24"/>
        </w:rPr>
      </w:pPr>
      <w:r>
        <w:rPr>
          <w:b/>
          <w:sz w:val="24"/>
        </w:rPr>
        <w:t>ASESOR:</w:t>
      </w:r>
    </w:p>
    <w:p>
      <w:pPr>
        <w:pStyle w:val="BodyText"/>
        <w:rPr>
          <w:b/>
        </w:rPr>
      </w:pPr>
    </w:p>
    <w:p>
      <w:pPr>
        <w:pStyle w:val="ListParagraph"/>
        <w:numPr>
          <w:ilvl w:val="0"/>
          <w:numId w:val="1"/>
        </w:numPr>
        <w:tabs>
          <w:tab w:pos="2894" w:val="left" w:leader="none"/>
        </w:tabs>
        <w:spacing w:line="240" w:lineRule="auto" w:before="0" w:after="0"/>
        <w:ind w:left="2893" w:right="0" w:hanging="333"/>
        <w:jc w:val="left"/>
        <w:rPr>
          <w:b/>
          <w:sz w:val="24"/>
        </w:rPr>
      </w:pPr>
      <w:r>
        <w:rPr/>
        <w:drawing>
          <wp:anchor distT="0" distB="0" distL="0" distR="0" allowOverlap="1" layoutInCell="1" locked="0" behindDoc="0" simplePos="0" relativeHeight="1072">
            <wp:simplePos x="0" y="0"/>
            <wp:positionH relativeFrom="page">
              <wp:posOffset>654050</wp:posOffset>
            </wp:positionH>
            <wp:positionV relativeFrom="paragraph">
              <wp:posOffset>372565</wp:posOffset>
            </wp:positionV>
            <wp:extent cx="962660" cy="1117599"/>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962660" cy="1117599"/>
                    </a:xfrm>
                    <a:prstGeom prst="rect">
                      <a:avLst/>
                    </a:prstGeom>
                  </pic:spPr>
                </pic:pic>
              </a:graphicData>
            </a:graphic>
          </wp:anchor>
        </w:drawing>
      </w:r>
      <w:r>
        <w:rPr>
          <w:b/>
          <w:color w:val="070707"/>
          <w:sz w:val="24"/>
        </w:rPr>
        <w:t>en C. Ed. NORMA LETICIA ROBLES</w:t>
      </w:r>
      <w:r>
        <w:rPr>
          <w:b/>
          <w:color w:val="070707"/>
          <w:spacing w:val="-6"/>
          <w:sz w:val="24"/>
        </w:rPr>
        <w:t> </w:t>
      </w:r>
      <w:r>
        <w:rPr>
          <w:b/>
          <w:color w:val="070707"/>
          <w:sz w:val="24"/>
        </w:rPr>
        <w:t>BERMEO</w:t>
      </w:r>
    </w:p>
    <w:p>
      <w:pPr>
        <w:pStyle w:val="BodyText"/>
        <w:rPr>
          <w:b/>
        </w:rPr>
      </w:pPr>
    </w:p>
    <w:p>
      <w:pPr>
        <w:pStyle w:val="BodyText"/>
        <w:rPr>
          <w:b/>
        </w:rPr>
      </w:pPr>
    </w:p>
    <w:p>
      <w:pPr>
        <w:pStyle w:val="BodyText"/>
        <w:rPr>
          <w:b/>
        </w:rPr>
      </w:pPr>
    </w:p>
    <w:p>
      <w:pPr>
        <w:spacing w:before="0"/>
        <w:ind w:left="3475" w:right="0" w:firstLine="0"/>
        <w:jc w:val="left"/>
        <w:rPr>
          <w:b/>
          <w:sz w:val="24"/>
        </w:rPr>
      </w:pPr>
      <w:r>
        <w:rPr>
          <w:b/>
          <w:sz w:val="24"/>
        </w:rPr>
        <w:t>TOLUCA, ESTADO DE MÉXICO, NOVIEMBRE  DE 2014.</w:t>
      </w:r>
    </w:p>
    <w:p>
      <w:pPr>
        <w:spacing w:after="0"/>
        <w:jc w:val="left"/>
        <w:rPr>
          <w:sz w:val="24"/>
        </w:rPr>
        <w:sectPr>
          <w:type w:val="continuous"/>
          <w:pgSz w:w="12240" w:h="15840"/>
          <w:pgMar w:top="1280" w:bottom="280" w:left="800" w:right="1580"/>
        </w:sectPr>
      </w:pPr>
    </w:p>
    <w:p>
      <w:pPr>
        <w:pStyle w:val="Heading1"/>
        <w:spacing w:before="54"/>
        <w:ind w:left="4382" w:right="4284"/>
        <w:jc w:val="center"/>
      </w:pPr>
      <w:r>
        <w:rPr/>
        <w:t>ÍNDICE</w:t>
      </w:r>
    </w:p>
    <w:p>
      <w:pPr>
        <w:pStyle w:val="BodyText"/>
        <w:rPr>
          <w:b/>
        </w:rPr>
      </w:pPr>
    </w:p>
    <w:p>
      <w:pPr>
        <w:pStyle w:val="BodyText"/>
        <w:rPr>
          <w:b/>
        </w:rPr>
      </w:pPr>
    </w:p>
    <w:p>
      <w:pPr>
        <w:pStyle w:val="BodyText"/>
        <w:tabs>
          <w:tab w:pos="7899" w:val="left" w:leader="none"/>
        </w:tabs>
        <w:ind w:left="202"/>
      </w:pPr>
      <w:r>
        <w:rPr/>
        <w:t>Contenido</w:t>
        <w:tab/>
        <w:t>No.</w:t>
      </w:r>
      <w:r>
        <w:rPr>
          <w:spacing w:val="-4"/>
        </w:rPr>
        <w:t> </w:t>
      </w:r>
      <w:r>
        <w:rPr/>
        <w:t>página</w:t>
      </w:r>
    </w:p>
    <w:p>
      <w:pPr>
        <w:pStyle w:val="BodyText"/>
        <w:rPr>
          <w:sz w:val="20"/>
        </w:rPr>
      </w:pPr>
    </w:p>
    <w:p>
      <w:pPr>
        <w:pStyle w:val="BodyText"/>
        <w:rPr>
          <w:sz w:val="20"/>
        </w:rPr>
      </w:pPr>
    </w:p>
    <w:p>
      <w:pPr>
        <w:pStyle w:val="BodyText"/>
        <w:spacing w:before="7"/>
        <w:rPr>
          <w:sz w:val="10"/>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566"/>
        <w:gridCol w:w="2123"/>
      </w:tblGrid>
      <w:tr>
        <w:trPr>
          <w:trHeight w:val="534" w:hRule="exact"/>
        </w:trPr>
        <w:tc>
          <w:tcPr>
            <w:tcW w:w="6566" w:type="dxa"/>
          </w:tcPr>
          <w:p>
            <w:pPr>
              <w:pStyle w:val="TableParagraph"/>
              <w:tabs>
                <w:tab w:pos="953" w:val="left" w:leader="none"/>
              </w:tabs>
              <w:spacing w:line="245" w:lineRule="exact"/>
              <w:ind w:left="233"/>
              <w:rPr>
                <w:sz w:val="24"/>
              </w:rPr>
            </w:pPr>
            <w:r>
              <w:rPr>
                <w:sz w:val="24"/>
              </w:rPr>
              <w:t>I.</w:t>
              <w:tab/>
              <w:t>INTRODUCCIÓN</w:t>
            </w:r>
          </w:p>
        </w:tc>
        <w:tc>
          <w:tcPr>
            <w:tcW w:w="2123" w:type="dxa"/>
          </w:tcPr>
          <w:p>
            <w:pPr>
              <w:pStyle w:val="TableParagraph"/>
              <w:spacing w:line="245" w:lineRule="exact"/>
              <w:ind w:right="266"/>
              <w:jc w:val="right"/>
              <w:rPr>
                <w:sz w:val="24"/>
              </w:rPr>
            </w:pPr>
            <w:r>
              <w:rPr>
                <w:w w:val="99"/>
                <w:sz w:val="24"/>
              </w:rPr>
              <w:t>3</w:t>
            </w:r>
          </w:p>
        </w:tc>
      </w:tr>
      <w:tr>
        <w:trPr>
          <w:trHeight w:val="828" w:hRule="exact"/>
        </w:trPr>
        <w:tc>
          <w:tcPr>
            <w:tcW w:w="6566" w:type="dxa"/>
          </w:tcPr>
          <w:p>
            <w:pPr>
              <w:pStyle w:val="TableParagraph"/>
              <w:spacing w:before="10"/>
              <w:rPr>
                <w:sz w:val="22"/>
              </w:rPr>
            </w:pPr>
          </w:p>
          <w:p>
            <w:pPr>
              <w:pStyle w:val="TableParagraph"/>
              <w:tabs>
                <w:tab w:pos="953" w:val="left" w:leader="none"/>
              </w:tabs>
              <w:ind w:left="233"/>
              <w:rPr>
                <w:sz w:val="24"/>
              </w:rPr>
            </w:pPr>
            <w:r>
              <w:rPr>
                <w:sz w:val="24"/>
              </w:rPr>
              <w:t>II.</w:t>
              <w:tab/>
              <w:t>ANTECEDENTES</w:t>
            </w:r>
          </w:p>
        </w:tc>
        <w:tc>
          <w:tcPr>
            <w:tcW w:w="2123" w:type="dxa"/>
          </w:tcPr>
          <w:p>
            <w:pPr>
              <w:pStyle w:val="TableParagraph"/>
              <w:spacing w:before="10"/>
              <w:rPr>
                <w:sz w:val="22"/>
              </w:rPr>
            </w:pPr>
          </w:p>
          <w:p>
            <w:pPr>
              <w:pStyle w:val="TableParagraph"/>
              <w:ind w:right="266"/>
              <w:jc w:val="right"/>
              <w:rPr>
                <w:sz w:val="24"/>
              </w:rPr>
            </w:pPr>
            <w:r>
              <w:rPr>
                <w:w w:val="99"/>
                <w:sz w:val="24"/>
              </w:rPr>
              <w:t>5</w:t>
            </w:r>
          </w:p>
        </w:tc>
      </w:tr>
      <w:tr>
        <w:trPr>
          <w:trHeight w:val="828" w:hRule="exact"/>
        </w:trPr>
        <w:tc>
          <w:tcPr>
            <w:tcW w:w="6566" w:type="dxa"/>
          </w:tcPr>
          <w:p>
            <w:pPr>
              <w:pStyle w:val="TableParagraph"/>
              <w:spacing w:before="10"/>
              <w:rPr>
                <w:sz w:val="22"/>
              </w:rPr>
            </w:pPr>
          </w:p>
          <w:p>
            <w:pPr>
              <w:pStyle w:val="TableParagraph"/>
              <w:tabs>
                <w:tab w:pos="953" w:val="left" w:leader="none"/>
              </w:tabs>
              <w:ind w:left="233"/>
              <w:rPr>
                <w:sz w:val="24"/>
              </w:rPr>
            </w:pPr>
            <w:r>
              <w:rPr>
                <w:sz w:val="24"/>
              </w:rPr>
              <w:t>III.</w:t>
              <w:tab/>
              <w:t>PLANTEAMIENTO DEL</w:t>
            </w:r>
            <w:r>
              <w:rPr>
                <w:spacing w:val="-12"/>
                <w:sz w:val="24"/>
              </w:rPr>
              <w:t> </w:t>
            </w:r>
            <w:r>
              <w:rPr>
                <w:sz w:val="24"/>
              </w:rPr>
              <w:t>PROBLEMA</w:t>
            </w:r>
          </w:p>
        </w:tc>
        <w:tc>
          <w:tcPr>
            <w:tcW w:w="2123" w:type="dxa"/>
          </w:tcPr>
          <w:p>
            <w:pPr>
              <w:pStyle w:val="TableParagraph"/>
              <w:spacing w:before="10"/>
              <w:rPr>
                <w:sz w:val="22"/>
              </w:rPr>
            </w:pPr>
          </w:p>
          <w:p>
            <w:pPr>
              <w:pStyle w:val="TableParagraph"/>
              <w:ind w:right="198"/>
              <w:jc w:val="right"/>
              <w:rPr>
                <w:sz w:val="24"/>
              </w:rPr>
            </w:pPr>
            <w:r>
              <w:rPr>
                <w:sz w:val="24"/>
              </w:rPr>
              <w:t>19</w:t>
            </w:r>
          </w:p>
        </w:tc>
      </w:tr>
      <w:tr>
        <w:trPr>
          <w:trHeight w:val="828" w:hRule="exact"/>
        </w:trPr>
        <w:tc>
          <w:tcPr>
            <w:tcW w:w="6566" w:type="dxa"/>
          </w:tcPr>
          <w:p>
            <w:pPr>
              <w:pStyle w:val="TableParagraph"/>
              <w:spacing w:before="10"/>
              <w:rPr>
                <w:sz w:val="22"/>
              </w:rPr>
            </w:pPr>
          </w:p>
          <w:p>
            <w:pPr>
              <w:pStyle w:val="TableParagraph"/>
              <w:tabs>
                <w:tab w:pos="953" w:val="left" w:leader="none"/>
              </w:tabs>
              <w:ind w:left="233"/>
              <w:rPr>
                <w:sz w:val="24"/>
              </w:rPr>
            </w:pPr>
            <w:r>
              <w:rPr>
                <w:sz w:val="24"/>
              </w:rPr>
              <w:t>IV.</w:t>
              <w:tab/>
              <w:t>HIPÓTESIS</w:t>
            </w:r>
          </w:p>
        </w:tc>
        <w:tc>
          <w:tcPr>
            <w:tcW w:w="2123" w:type="dxa"/>
          </w:tcPr>
          <w:p>
            <w:pPr>
              <w:pStyle w:val="TableParagraph"/>
              <w:spacing w:before="10"/>
              <w:rPr>
                <w:sz w:val="22"/>
              </w:rPr>
            </w:pPr>
          </w:p>
          <w:p>
            <w:pPr>
              <w:pStyle w:val="TableParagraph"/>
              <w:ind w:right="198"/>
              <w:jc w:val="right"/>
              <w:rPr>
                <w:sz w:val="24"/>
              </w:rPr>
            </w:pPr>
            <w:r>
              <w:rPr>
                <w:sz w:val="24"/>
              </w:rPr>
              <w:t>20</w:t>
            </w:r>
          </w:p>
        </w:tc>
      </w:tr>
      <w:tr>
        <w:trPr>
          <w:trHeight w:val="828" w:hRule="exact"/>
        </w:trPr>
        <w:tc>
          <w:tcPr>
            <w:tcW w:w="6566" w:type="dxa"/>
          </w:tcPr>
          <w:p>
            <w:pPr>
              <w:pStyle w:val="TableParagraph"/>
              <w:spacing w:before="10"/>
              <w:rPr>
                <w:sz w:val="22"/>
              </w:rPr>
            </w:pPr>
          </w:p>
          <w:p>
            <w:pPr>
              <w:pStyle w:val="TableParagraph"/>
              <w:tabs>
                <w:tab w:pos="953" w:val="left" w:leader="none"/>
              </w:tabs>
              <w:ind w:left="233"/>
              <w:rPr>
                <w:sz w:val="24"/>
              </w:rPr>
            </w:pPr>
            <w:r>
              <w:rPr>
                <w:sz w:val="24"/>
              </w:rPr>
              <w:t>V.</w:t>
              <w:tab/>
              <w:t>JUSTIFICACIÓN</w:t>
            </w:r>
          </w:p>
        </w:tc>
        <w:tc>
          <w:tcPr>
            <w:tcW w:w="2123" w:type="dxa"/>
          </w:tcPr>
          <w:p>
            <w:pPr>
              <w:pStyle w:val="TableParagraph"/>
              <w:spacing w:before="10"/>
              <w:rPr>
                <w:sz w:val="22"/>
              </w:rPr>
            </w:pPr>
          </w:p>
          <w:p>
            <w:pPr>
              <w:pStyle w:val="TableParagraph"/>
              <w:ind w:right="198"/>
              <w:jc w:val="right"/>
              <w:rPr>
                <w:sz w:val="24"/>
              </w:rPr>
            </w:pPr>
            <w:r>
              <w:rPr>
                <w:sz w:val="24"/>
              </w:rPr>
              <w:t>22</w:t>
            </w:r>
          </w:p>
        </w:tc>
      </w:tr>
      <w:tr>
        <w:trPr>
          <w:trHeight w:val="828" w:hRule="exact"/>
        </w:trPr>
        <w:tc>
          <w:tcPr>
            <w:tcW w:w="6566" w:type="dxa"/>
          </w:tcPr>
          <w:p>
            <w:pPr>
              <w:pStyle w:val="TableParagraph"/>
              <w:spacing w:before="10"/>
              <w:rPr>
                <w:sz w:val="22"/>
              </w:rPr>
            </w:pPr>
          </w:p>
          <w:p>
            <w:pPr>
              <w:pStyle w:val="TableParagraph"/>
              <w:tabs>
                <w:tab w:pos="953" w:val="left" w:leader="none"/>
              </w:tabs>
              <w:ind w:left="233"/>
              <w:rPr>
                <w:sz w:val="24"/>
              </w:rPr>
            </w:pPr>
            <w:r>
              <w:rPr>
                <w:sz w:val="24"/>
              </w:rPr>
              <w:t>VI.</w:t>
              <w:tab/>
              <w:t>MATERIAL Y</w:t>
            </w:r>
            <w:r>
              <w:rPr>
                <w:spacing w:val="-2"/>
                <w:sz w:val="24"/>
              </w:rPr>
              <w:t> </w:t>
            </w:r>
            <w:r>
              <w:rPr>
                <w:sz w:val="24"/>
              </w:rPr>
              <w:t>MÉTODOS</w:t>
            </w:r>
          </w:p>
        </w:tc>
        <w:tc>
          <w:tcPr>
            <w:tcW w:w="2123" w:type="dxa"/>
          </w:tcPr>
          <w:p>
            <w:pPr>
              <w:pStyle w:val="TableParagraph"/>
              <w:spacing w:before="10"/>
              <w:rPr>
                <w:sz w:val="22"/>
              </w:rPr>
            </w:pPr>
          </w:p>
          <w:p>
            <w:pPr>
              <w:pStyle w:val="TableParagraph"/>
              <w:ind w:right="198"/>
              <w:jc w:val="right"/>
              <w:rPr>
                <w:sz w:val="24"/>
              </w:rPr>
            </w:pPr>
            <w:r>
              <w:rPr>
                <w:sz w:val="24"/>
              </w:rPr>
              <w:t>23</w:t>
            </w:r>
          </w:p>
        </w:tc>
      </w:tr>
      <w:tr>
        <w:trPr>
          <w:trHeight w:val="828" w:hRule="exact"/>
        </w:trPr>
        <w:tc>
          <w:tcPr>
            <w:tcW w:w="6566" w:type="dxa"/>
          </w:tcPr>
          <w:p>
            <w:pPr>
              <w:pStyle w:val="TableParagraph"/>
              <w:spacing w:before="10"/>
              <w:rPr>
                <w:sz w:val="22"/>
              </w:rPr>
            </w:pPr>
          </w:p>
          <w:p>
            <w:pPr>
              <w:pStyle w:val="TableParagraph"/>
              <w:tabs>
                <w:tab w:pos="953" w:val="left" w:leader="none"/>
              </w:tabs>
              <w:ind w:left="233"/>
              <w:rPr>
                <w:sz w:val="24"/>
              </w:rPr>
            </w:pPr>
            <w:r>
              <w:rPr>
                <w:sz w:val="24"/>
              </w:rPr>
              <w:t>VII.</w:t>
              <w:tab/>
              <w:t>RESULTADOS</w:t>
            </w:r>
          </w:p>
        </w:tc>
        <w:tc>
          <w:tcPr>
            <w:tcW w:w="2123" w:type="dxa"/>
          </w:tcPr>
          <w:p>
            <w:pPr>
              <w:pStyle w:val="TableParagraph"/>
              <w:spacing w:before="10"/>
              <w:rPr>
                <w:sz w:val="22"/>
              </w:rPr>
            </w:pPr>
          </w:p>
          <w:p>
            <w:pPr>
              <w:pStyle w:val="TableParagraph"/>
              <w:ind w:right="198"/>
              <w:jc w:val="right"/>
              <w:rPr>
                <w:sz w:val="24"/>
              </w:rPr>
            </w:pPr>
            <w:r>
              <w:rPr>
                <w:sz w:val="24"/>
              </w:rPr>
              <w:t>30</w:t>
            </w:r>
          </w:p>
        </w:tc>
      </w:tr>
      <w:tr>
        <w:trPr>
          <w:trHeight w:val="828" w:hRule="exact"/>
        </w:trPr>
        <w:tc>
          <w:tcPr>
            <w:tcW w:w="6566" w:type="dxa"/>
          </w:tcPr>
          <w:p>
            <w:pPr>
              <w:pStyle w:val="TableParagraph"/>
              <w:spacing w:before="10"/>
              <w:rPr>
                <w:sz w:val="22"/>
              </w:rPr>
            </w:pPr>
          </w:p>
          <w:p>
            <w:pPr>
              <w:pStyle w:val="TableParagraph"/>
              <w:tabs>
                <w:tab w:pos="1020" w:val="left" w:leader="none"/>
              </w:tabs>
              <w:ind w:left="233"/>
              <w:rPr>
                <w:sz w:val="24"/>
              </w:rPr>
            </w:pPr>
            <w:r>
              <w:rPr>
                <w:sz w:val="24"/>
              </w:rPr>
              <w:t>VIII.</w:t>
              <w:tab/>
              <w:t>DISCUSIÓN</w:t>
            </w:r>
          </w:p>
        </w:tc>
        <w:tc>
          <w:tcPr>
            <w:tcW w:w="2123" w:type="dxa"/>
          </w:tcPr>
          <w:p>
            <w:pPr>
              <w:pStyle w:val="TableParagraph"/>
              <w:spacing w:before="10"/>
              <w:rPr>
                <w:sz w:val="22"/>
              </w:rPr>
            </w:pPr>
          </w:p>
          <w:p>
            <w:pPr>
              <w:pStyle w:val="TableParagraph"/>
              <w:ind w:right="198"/>
              <w:jc w:val="right"/>
              <w:rPr>
                <w:sz w:val="24"/>
              </w:rPr>
            </w:pPr>
            <w:r>
              <w:rPr>
                <w:sz w:val="24"/>
              </w:rPr>
              <w:t>43</w:t>
            </w:r>
          </w:p>
        </w:tc>
      </w:tr>
      <w:tr>
        <w:trPr>
          <w:trHeight w:val="828" w:hRule="exact"/>
        </w:trPr>
        <w:tc>
          <w:tcPr>
            <w:tcW w:w="6566" w:type="dxa"/>
          </w:tcPr>
          <w:p>
            <w:pPr>
              <w:pStyle w:val="TableParagraph"/>
              <w:spacing w:before="10"/>
              <w:rPr>
                <w:sz w:val="22"/>
              </w:rPr>
            </w:pPr>
          </w:p>
          <w:p>
            <w:pPr>
              <w:pStyle w:val="TableParagraph"/>
              <w:tabs>
                <w:tab w:pos="828" w:val="left" w:leader="none"/>
              </w:tabs>
              <w:ind w:left="200"/>
              <w:rPr>
                <w:sz w:val="24"/>
              </w:rPr>
            </w:pPr>
            <w:r>
              <w:rPr>
                <w:sz w:val="24"/>
              </w:rPr>
              <w:t>IX.</w:t>
              <w:tab/>
              <w:t>CONCLUSIONES</w:t>
            </w:r>
          </w:p>
        </w:tc>
        <w:tc>
          <w:tcPr>
            <w:tcW w:w="2123" w:type="dxa"/>
          </w:tcPr>
          <w:p>
            <w:pPr>
              <w:pStyle w:val="TableParagraph"/>
              <w:spacing w:before="10"/>
              <w:rPr>
                <w:sz w:val="22"/>
              </w:rPr>
            </w:pPr>
          </w:p>
          <w:p>
            <w:pPr>
              <w:pStyle w:val="TableParagraph"/>
              <w:ind w:right="198"/>
              <w:jc w:val="right"/>
              <w:rPr>
                <w:sz w:val="24"/>
              </w:rPr>
            </w:pPr>
            <w:r>
              <w:rPr>
                <w:sz w:val="24"/>
              </w:rPr>
              <w:t>45</w:t>
            </w:r>
          </w:p>
        </w:tc>
      </w:tr>
      <w:tr>
        <w:trPr>
          <w:trHeight w:val="828" w:hRule="exact"/>
        </w:trPr>
        <w:tc>
          <w:tcPr>
            <w:tcW w:w="6566" w:type="dxa"/>
          </w:tcPr>
          <w:p>
            <w:pPr>
              <w:pStyle w:val="TableParagraph"/>
              <w:spacing w:before="10"/>
              <w:rPr>
                <w:sz w:val="22"/>
              </w:rPr>
            </w:pPr>
          </w:p>
          <w:p>
            <w:pPr>
              <w:pStyle w:val="TableParagraph"/>
              <w:tabs>
                <w:tab w:pos="694" w:val="left" w:leader="none"/>
              </w:tabs>
              <w:ind w:left="200"/>
              <w:rPr>
                <w:sz w:val="24"/>
              </w:rPr>
            </w:pPr>
            <w:r>
              <w:rPr>
                <w:sz w:val="24"/>
              </w:rPr>
              <w:t>X.</w:t>
              <w:tab/>
              <w:t>REFERENCIAS</w:t>
            </w:r>
            <w:r>
              <w:rPr>
                <w:spacing w:val="-7"/>
                <w:sz w:val="24"/>
              </w:rPr>
              <w:t> </w:t>
            </w:r>
            <w:r>
              <w:rPr>
                <w:sz w:val="24"/>
              </w:rPr>
              <w:t>BIBLIOGRÁFICAS</w:t>
            </w:r>
          </w:p>
        </w:tc>
        <w:tc>
          <w:tcPr>
            <w:tcW w:w="2123" w:type="dxa"/>
          </w:tcPr>
          <w:p>
            <w:pPr>
              <w:pStyle w:val="TableParagraph"/>
              <w:spacing w:before="10"/>
              <w:rPr>
                <w:sz w:val="22"/>
              </w:rPr>
            </w:pPr>
          </w:p>
          <w:p>
            <w:pPr>
              <w:pStyle w:val="TableParagraph"/>
              <w:ind w:right="198"/>
              <w:jc w:val="right"/>
              <w:rPr>
                <w:sz w:val="24"/>
              </w:rPr>
            </w:pPr>
            <w:r>
              <w:rPr>
                <w:sz w:val="24"/>
              </w:rPr>
              <w:t>46</w:t>
            </w:r>
          </w:p>
        </w:tc>
      </w:tr>
      <w:tr>
        <w:trPr>
          <w:trHeight w:val="534" w:hRule="exact"/>
        </w:trPr>
        <w:tc>
          <w:tcPr>
            <w:tcW w:w="6566" w:type="dxa"/>
          </w:tcPr>
          <w:p>
            <w:pPr>
              <w:pStyle w:val="TableParagraph"/>
              <w:spacing w:before="10"/>
              <w:rPr>
                <w:sz w:val="22"/>
              </w:rPr>
            </w:pPr>
          </w:p>
          <w:p>
            <w:pPr>
              <w:pStyle w:val="TableParagraph"/>
              <w:tabs>
                <w:tab w:pos="761" w:val="left" w:leader="none"/>
              </w:tabs>
              <w:ind w:left="200"/>
              <w:rPr>
                <w:sz w:val="24"/>
              </w:rPr>
            </w:pPr>
            <w:r>
              <w:rPr>
                <w:sz w:val="24"/>
              </w:rPr>
              <w:t>XI.</w:t>
              <w:tab/>
              <w:t>ANEXOS</w:t>
            </w:r>
          </w:p>
        </w:tc>
        <w:tc>
          <w:tcPr>
            <w:tcW w:w="2123" w:type="dxa"/>
          </w:tcPr>
          <w:p>
            <w:pPr>
              <w:pStyle w:val="TableParagraph"/>
              <w:spacing w:before="10"/>
              <w:rPr>
                <w:sz w:val="22"/>
              </w:rPr>
            </w:pPr>
          </w:p>
          <w:p>
            <w:pPr>
              <w:pStyle w:val="TableParagraph"/>
              <w:ind w:right="198"/>
              <w:jc w:val="right"/>
              <w:rPr>
                <w:sz w:val="24"/>
              </w:rPr>
            </w:pPr>
            <w:r>
              <w:rPr>
                <w:sz w:val="24"/>
              </w:rPr>
              <w:t>49</w:t>
            </w:r>
          </w:p>
        </w:tc>
      </w:tr>
    </w:tbl>
    <w:p>
      <w:pPr>
        <w:spacing w:after="0"/>
        <w:jc w:val="right"/>
        <w:rPr>
          <w:sz w:val="24"/>
        </w:rPr>
        <w:sectPr>
          <w:footerReference w:type="default" r:id="rId7"/>
          <w:pgSz w:w="12240" w:h="15840"/>
          <w:pgMar w:footer="1003" w:header="0" w:top="1360" w:bottom="1200" w:left="1500" w:right="1220"/>
          <w:pgNumType w:start="2"/>
        </w:sectPr>
      </w:pPr>
    </w:p>
    <w:p>
      <w:pPr>
        <w:pStyle w:val="Heading1"/>
        <w:numPr>
          <w:ilvl w:val="1"/>
          <w:numId w:val="1"/>
        </w:numPr>
        <w:tabs>
          <w:tab w:pos="4129" w:val="left" w:leader="none"/>
          <w:tab w:pos="4130" w:val="left" w:leader="none"/>
        </w:tabs>
        <w:spacing w:line="240" w:lineRule="auto" w:before="54" w:after="0"/>
        <w:ind w:left="4129" w:right="0" w:hanging="664"/>
        <w:jc w:val="left"/>
      </w:pPr>
      <w:r>
        <w:rPr/>
        <w:t>INTRODUCCIÓN</w:t>
      </w:r>
    </w:p>
    <w:p>
      <w:pPr>
        <w:pStyle w:val="BodyText"/>
        <w:rPr>
          <w:b/>
        </w:rPr>
      </w:pPr>
    </w:p>
    <w:p>
      <w:pPr>
        <w:pStyle w:val="BodyText"/>
        <w:rPr>
          <w:b/>
        </w:rPr>
      </w:pPr>
    </w:p>
    <w:p>
      <w:pPr>
        <w:pStyle w:val="BodyText"/>
        <w:spacing w:line="360" w:lineRule="auto"/>
        <w:ind w:left="102" w:right="105"/>
        <w:jc w:val="both"/>
      </w:pPr>
      <w:r>
        <w:rPr/>
        <w:t>En busca de la disminución de incidencia y prevalencia de las enfermedades bucales; el odontólogo ha implementado modelos que involucran aspectos cruciales como la promoción de la salud y la prevención de la enfermedad; los cuales empezaron a desarrollarse desde hace algunas décadas y hoy continúan vigentes. Éstos tienen estrategias que involucran tanto un componente de bienestar colectivo, como  atenuar</w:t>
      </w:r>
    </w:p>
    <w:p>
      <w:pPr>
        <w:pStyle w:val="BodyText"/>
        <w:spacing w:line="328" w:lineRule="auto" w:before="5"/>
        <w:ind w:left="102" w:right="105"/>
        <w:jc w:val="both"/>
        <w:rPr>
          <w:sz w:val="16"/>
        </w:rPr>
      </w:pPr>
      <w:r>
        <w:rPr/>
        <w:t>y disminuir los factores de riesgo que ocasionan numerosas patologías bucales con el objetivo de tener salud en el aparato estomatognatico.</w:t>
      </w:r>
      <w:r>
        <w:rPr>
          <w:position w:val="11"/>
          <w:sz w:val="16"/>
        </w:rPr>
        <w:t>1</w:t>
      </w:r>
    </w:p>
    <w:p>
      <w:pPr>
        <w:pStyle w:val="BodyText"/>
        <w:spacing w:before="2"/>
        <w:rPr>
          <w:sz w:val="38"/>
        </w:rPr>
      </w:pPr>
    </w:p>
    <w:p>
      <w:pPr>
        <w:pStyle w:val="BodyText"/>
        <w:spacing w:line="350" w:lineRule="auto"/>
        <w:ind w:left="102" w:right="102"/>
        <w:jc w:val="both"/>
        <w:rPr>
          <w:sz w:val="16"/>
        </w:rPr>
      </w:pPr>
      <w:r>
        <w:rPr/>
        <w:t>La salud bucal es una de las necesidades esenciales del hombre, si se enfoca en esa perspectiva, su satisfacción plena es un mandato social que debe ser atendido en forma prioritaria. La salud bucal forma parte importante en la prevención de enfermedades y recuperación de la salud. </w:t>
      </w:r>
      <w:r>
        <w:rPr>
          <w:position w:val="11"/>
          <w:sz w:val="16"/>
        </w:rPr>
        <w:t>1,2</w:t>
      </w:r>
    </w:p>
    <w:p>
      <w:pPr>
        <w:pStyle w:val="BodyText"/>
        <w:spacing w:before="8"/>
        <w:rPr>
          <w:sz w:val="35"/>
        </w:rPr>
      </w:pPr>
    </w:p>
    <w:p>
      <w:pPr>
        <w:pStyle w:val="BodyText"/>
        <w:spacing w:line="360" w:lineRule="auto" w:before="1"/>
        <w:ind w:left="102" w:right="106"/>
        <w:jc w:val="both"/>
      </w:pPr>
      <w:r>
        <w:rPr/>
        <w:t>La tarea de prevención coincide casi exactamente con la educación, pues trata de promover el desarrollo de habilidades y capacidades de adaptación que constituyen factores de protección ante situaciones de riesgo. La educación para la salud bucal debe ser considerada como el pilar donde se sustente todo programa asistencial a futuro.</w:t>
      </w:r>
    </w:p>
    <w:p>
      <w:pPr>
        <w:pStyle w:val="BodyText"/>
      </w:pPr>
    </w:p>
    <w:p>
      <w:pPr>
        <w:pStyle w:val="BodyText"/>
        <w:spacing w:line="360" w:lineRule="auto" w:before="142"/>
        <w:ind w:left="102" w:right="102"/>
        <w:jc w:val="both"/>
      </w:pPr>
      <w:r>
        <w:rPr/>
        <w:t>En la actualidad se sabe que los cuidados bucales deben iniciarse desde el  nacimiento del bebé y no esperar a que se cumplan tres años o más como anteriormente se creía; sin embargo, éstos son conocimientos que tienen los odontopediatras como profesionales de la salud bucal en pacientes infantiles, mas no las gestantes, pediatras, ginecólogos, profesores y sociedad en general, donde existe una falta de conocimiento sobre cuidados bucales. Por lo tanto, el odontopediatra desempeña funciones de educador, motivando y logrando cambios de comportamiento en los grupos de personas antes mencionados, promover la implementación</w:t>
      </w:r>
      <w:r>
        <w:rPr>
          <w:spacing w:val="26"/>
        </w:rPr>
        <w:t> </w:t>
      </w:r>
      <w:r>
        <w:rPr/>
        <w:t>de</w:t>
      </w:r>
      <w:r>
        <w:rPr>
          <w:spacing w:val="28"/>
        </w:rPr>
        <w:t> </w:t>
      </w:r>
      <w:r>
        <w:rPr/>
        <w:t>hábitos</w:t>
      </w:r>
      <w:r>
        <w:rPr>
          <w:spacing w:val="26"/>
        </w:rPr>
        <w:t> </w:t>
      </w:r>
      <w:r>
        <w:rPr/>
        <w:t>saludables</w:t>
      </w:r>
      <w:r>
        <w:rPr>
          <w:spacing w:val="26"/>
        </w:rPr>
        <w:t> </w:t>
      </w:r>
      <w:r>
        <w:rPr/>
        <w:t>que</w:t>
      </w:r>
      <w:r>
        <w:rPr>
          <w:spacing w:val="22"/>
        </w:rPr>
        <w:t> </w:t>
      </w:r>
      <w:r>
        <w:rPr/>
        <w:t>mejoren</w:t>
      </w:r>
      <w:r>
        <w:rPr>
          <w:spacing w:val="26"/>
        </w:rPr>
        <w:t> </w:t>
      </w:r>
      <w:r>
        <w:rPr/>
        <w:t>el</w:t>
      </w:r>
      <w:r>
        <w:rPr>
          <w:spacing w:val="23"/>
        </w:rPr>
        <w:t> </w:t>
      </w:r>
      <w:r>
        <w:rPr/>
        <w:t>estado</w:t>
      </w:r>
      <w:r>
        <w:rPr>
          <w:spacing w:val="24"/>
        </w:rPr>
        <w:t> </w:t>
      </w:r>
      <w:r>
        <w:rPr/>
        <w:t>bucodental</w:t>
      </w:r>
      <w:r>
        <w:rPr>
          <w:spacing w:val="25"/>
        </w:rPr>
        <w:t> </w:t>
      </w:r>
      <w:r>
        <w:rPr/>
        <w:t>y</w:t>
      </w:r>
      <w:r>
        <w:rPr>
          <w:spacing w:val="23"/>
        </w:rPr>
        <w:t> </w:t>
      </w:r>
      <w:r>
        <w:rPr/>
        <w:t>eviten</w:t>
      </w:r>
      <w:r>
        <w:rPr>
          <w:spacing w:val="26"/>
        </w:rPr>
        <w:t> </w:t>
      </w:r>
      <w:r>
        <w:rPr/>
        <w:t>la</w:t>
      </w:r>
    </w:p>
    <w:p>
      <w:pPr>
        <w:pStyle w:val="BodyText"/>
        <w:spacing w:line="281" w:lineRule="exact"/>
        <w:ind w:left="102"/>
        <w:jc w:val="both"/>
        <w:rPr>
          <w:sz w:val="16"/>
        </w:rPr>
      </w:pPr>
      <w:r>
        <w:rPr/>
        <w:t>aparición de posibles enfermedades. </w:t>
      </w:r>
      <w:r>
        <w:rPr>
          <w:position w:val="11"/>
          <w:sz w:val="16"/>
        </w:rPr>
        <w:t>1,3,4</w:t>
      </w:r>
    </w:p>
    <w:p>
      <w:pPr>
        <w:spacing w:after="0" w:line="281" w:lineRule="exact"/>
        <w:jc w:val="both"/>
        <w:rPr>
          <w:sz w:val="16"/>
        </w:rPr>
        <w:sectPr>
          <w:pgSz w:w="12240" w:h="15840"/>
          <w:pgMar w:header="0" w:footer="1003" w:top="1360" w:bottom="1200" w:left="1600" w:right="1220"/>
        </w:sectPr>
      </w:pPr>
    </w:p>
    <w:p>
      <w:pPr>
        <w:pStyle w:val="BodyText"/>
        <w:spacing w:before="7"/>
        <w:rPr>
          <w:sz w:val="22"/>
        </w:rPr>
      </w:pPr>
    </w:p>
    <w:p>
      <w:pPr>
        <w:pStyle w:val="BodyText"/>
        <w:spacing w:line="352" w:lineRule="auto" w:before="69"/>
        <w:ind w:left="102" w:right="101"/>
        <w:jc w:val="both"/>
      </w:pPr>
      <w:r>
        <w:rPr/>
        <w:t>La única posibilidad de mantener la salud bucal, es prevenir la enfermedad de forma precoz, por ello es necesario que las gestantes, pediatras, ginecólogos, profesores y sociedad en general sean capacitados y concientizados sobre la importancia de la salud bucal.</w:t>
      </w:r>
      <w:r>
        <w:rPr>
          <w:position w:val="11"/>
          <w:sz w:val="16"/>
        </w:rPr>
        <w:t>5 </w:t>
      </w:r>
      <w:r>
        <w:rPr/>
        <w:t>Con lo que se podría evitar alteraciones en el sistema estomatognático como pérdidas de estructuras dentales, procesos infecciosos, etc., que repercutan  en</w:t>
      </w:r>
    </w:p>
    <w:p>
      <w:pPr>
        <w:pStyle w:val="BodyText"/>
        <w:spacing w:line="350" w:lineRule="auto" w:before="11"/>
        <w:ind w:left="102" w:right="100"/>
        <w:jc w:val="both"/>
        <w:rPr>
          <w:sz w:val="16"/>
        </w:rPr>
      </w:pPr>
      <w:r>
        <w:rPr/>
        <w:t>la calidad de vida del individuo, ya sea desde el punto de vista funcional, estético o psicológico, y en consecuencia beneficien el desarrollo integral del niño. Los provechosos resultados obtenidos en investigaciones similares fueron una motivación para llevar a cabo esta propuesta de estudio. </w:t>
      </w:r>
      <w:r>
        <w:rPr>
          <w:position w:val="11"/>
          <w:sz w:val="16"/>
        </w:rPr>
        <w:t>3,5,6</w:t>
      </w:r>
    </w:p>
    <w:p>
      <w:pPr>
        <w:spacing w:after="0" w:line="350" w:lineRule="auto"/>
        <w:jc w:val="both"/>
        <w:rPr>
          <w:sz w:val="16"/>
        </w:rPr>
        <w:sectPr>
          <w:pgSz w:w="12240" w:h="15840"/>
          <w:pgMar w:header="0" w:footer="1003" w:top="1500" w:bottom="1200" w:left="1600" w:right="1220"/>
        </w:sectPr>
      </w:pPr>
    </w:p>
    <w:p>
      <w:pPr>
        <w:pStyle w:val="Heading1"/>
        <w:numPr>
          <w:ilvl w:val="1"/>
          <w:numId w:val="1"/>
        </w:numPr>
        <w:tabs>
          <w:tab w:pos="4081" w:val="left" w:leader="none"/>
          <w:tab w:pos="4082" w:val="left" w:leader="none"/>
        </w:tabs>
        <w:spacing w:line="240" w:lineRule="auto" w:before="54" w:after="0"/>
        <w:ind w:left="4081" w:right="0" w:hanging="664"/>
        <w:jc w:val="left"/>
      </w:pPr>
      <w:r>
        <w:rPr/>
        <w:t>ANTECEDENTES</w:t>
      </w:r>
    </w:p>
    <w:p>
      <w:pPr>
        <w:pStyle w:val="BodyText"/>
        <w:rPr>
          <w:b/>
        </w:rPr>
      </w:pPr>
    </w:p>
    <w:p>
      <w:pPr>
        <w:pStyle w:val="BodyText"/>
        <w:rPr>
          <w:b/>
        </w:rPr>
      </w:pPr>
    </w:p>
    <w:p>
      <w:pPr>
        <w:pStyle w:val="ListParagraph"/>
        <w:numPr>
          <w:ilvl w:val="0"/>
          <w:numId w:val="2"/>
        </w:numPr>
        <w:tabs>
          <w:tab w:pos="572" w:val="left" w:leader="none"/>
        </w:tabs>
        <w:spacing w:line="240" w:lineRule="auto" w:before="0" w:after="0"/>
        <w:ind w:left="571" w:right="0" w:hanging="469"/>
        <w:jc w:val="both"/>
        <w:rPr>
          <w:b/>
          <w:sz w:val="24"/>
        </w:rPr>
      </w:pPr>
      <w:r>
        <w:rPr>
          <w:b/>
          <w:sz w:val="24"/>
        </w:rPr>
        <w:t>HIGIENE</w:t>
      </w:r>
      <w:r>
        <w:rPr>
          <w:b/>
          <w:spacing w:val="-9"/>
          <w:sz w:val="24"/>
        </w:rPr>
        <w:t> </w:t>
      </w:r>
      <w:r>
        <w:rPr>
          <w:b/>
          <w:sz w:val="24"/>
        </w:rPr>
        <w:t>BUCAL</w:t>
      </w:r>
    </w:p>
    <w:p>
      <w:pPr>
        <w:pStyle w:val="ListParagraph"/>
        <w:numPr>
          <w:ilvl w:val="1"/>
          <w:numId w:val="2"/>
        </w:numPr>
        <w:tabs>
          <w:tab w:pos="705" w:val="left" w:leader="none"/>
        </w:tabs>
        <w:spacing w:line="240" w:lineRule="auto" w:before="139" w:after="0"/>
        <w:ind w:left="704" w:right="0" w:hanging="602"/>
        <w:jc w:val="both"/>
        <w:rPr>
          <w:b/>
          <w:sz w:val="24"/>
        </w:rPr>
      </w:pPr>
      <w:r>
        <w:rPr>
          <w:b/>
          <w:sz w:val="24"/>
        </w:rPr>
        <w:t>Conocimiento</w:t>
      </w:r>
    </w:p>
    <w:p>
      <w:pPr>
        <w:pStyle w:val="BodyText"/>
        <w:spacing w:line="355" w:lineRule="auto" w:before="137"/>
        <w:ind w:left="102" w:right="107"/>
        <w:jc w:val="both"/>
        <w:rPr>
          <w:sz w:val="16"/>
        </w:rPr>
      </w:pPr>
      <w:r>
        <w:rPr/>
        <w:t>Existen muchas definiciones sobre conocimiento. A pesar de que es una operación del día a día, no existe acuerdo en lo que respecta a lo que realmente sucede cuando se conoce algo. La real academia de la Lengua Española define conocer, como el proceso de averiguar por el ejercicio de las facultades intelectuales la naturaleza, cualidades y relaciones de las cosas. Según esta definición, se puede afirmar entonces que conocer es enfrentar la realidad, pero de nuevo resalta la duda.</w:t>
      </w:r>
      <w:r>
        <w:rPr>
          <w:spacing w:val="-23"/>
        </w:rPr>
        <w:t> </w:t>
      </w:r>
      <w:r>
        <w:rPr>
          <w:position w:val="11"/>
          <w:sz w:val="16"/>
        </w:rPr>
        <w:t>7</w:t>
      </w:r>
    </w:p>
    <w:p>
      <w:pPr>
        <w:pStyle w:val="BodyText"/>
        <w:spacing w:before="2"/>
        <w:rPr>
          <w:sz w:val="35"/>
        </w:rPr>
      </w:pPr>
    </w:p>
    <w:p>
      <w:pPr>
        <w:pStyle w:val="Heading1"/>
        <w:numPr>
          <w:ilvl w:val="2"/>
          <w:numId w:val="2"/>
        </w:numPr>
        <w:tabs>
          <w:tab w:pos="906" w:val="left" w:leader="none"/>
        </w:tabs>
        <w:spacing w:line="240" w:lineRule="auto" w:before="1" w:after="0"/>
        <w:ind w:left="906" w:right="0" w:hanging="804"/>
        <w:jc w:val="both"/>
      </w:pPr>
      <w:r>
        <w:rPr/>
        <w:t>Nivel de</w:t>
      </w:r>
      <w:r>
        <w:rPr>
          <w:spacing w:val="-8"/>
        </w:rPr>
        <w:t> </w:t>
      </w:r>
      <w:r>
        <w:rPr/>
        <w:t>Conocimiento</w:t>
      </w:r>
    </w:p>
    <w:p>
      <w:pPr>
        <w:pStyle w:val="BodyText"/>
        <w:spacing w:line="331" w:lineRule="auto" w:before="137"/>
        <w:ind w:left="102" w:right="100"/>
        <w:jc w:val="both"/>
        <w:rPr>
          <w:sz w:val="16"/>
        </w:rPr>
      </w:pPr>
      <w:r>
        <w:rPr/>
        <w:t>Aprendizaje adquirido estimado a una escala, puede ser cualitativa (ej. Excelente, bueno, regular y malo) o cuantitativa (ej. de 0 a 10). </w:t>
      </w:r>
      <w:r>
        <w:rPr>
          <w:position w:val="11"/>
          <w:sz w:val="16"/>
        </w:rPr>
        <w:t>7</w:t>
      </w:r>
    </w:p>
    <w:p>
      <w:pPr>
        <w:pStyle w:val="BodyText"/>
        <w:spacing w:before="10"/>
        <w:rPr>
          <w:sz w:val="37"/>
        </w:rPr>
      </w:pPr>
    </w:p>
    <w:p>
      <w:pPr>
        <w:pStyle w:val="Heading1"/>
        <w:numPr>
          <w:ilvl w:val="2"/>
          <w:numId w:val="2"/>
        </w:numPr>
        <w:tabs>
          <w:tab w:pos="890" w:val="left" w:leader="none"/>
        </w:tabs>
        <w:spacing w:line="240" w:lineRule="auto" w:before="0" w:after="0"/>
        <w:ind w:left="889" w:right="0" w:hanging="787"/>
        <w:jc w:val="both"/>
      </w:pPr>
      <w:r>
        <w:rPr/>
        <w:t>Conocimiento sobre Salud</w:t>
      </w:r>
      <w:r>
        <w:rPr>
          <w:spacing w:val="-5"/>
        </w:rPr>
        <w:t> </w:t>
      </w:r>
      <w:r>
        <w:rPr/>
        <w:t>Bucal</w:t>
      </w:r>
    </w:p>
    <w:p>
      <w:pPr>
        <w:pStyle w:val="BodyText"/>
        <w:spacing w:line="350" w:lineRule="auto" w:before="137"/>
        <w:ind w:left="102" w:right="108"/>
        <w:jc w:val="both"/>
        <w:rPr>
          <w:sz w:val="16"/>
        </w:rPr>
      </w:pPr>
      <w:r>
        <w:rPr/>
        <w:t>Es el aprendizaje o entendimiento de los conocimientos básicos sobre anatomía, fisiología de la boca, enfermedades de mayor prevalencia o incidencia como caries dental, enfermedad periodontal y maloclusiones; además de los aspectos preventivos que son los más importantes. </w:t>
      </w:r>
      <w:r>
        <w:rPr>
          <w:position w:val="11"/>
          <w:sz w:val="16"/>
        </w:rPr>
        <w:t>7,8</w:t>
      </w:r>
    </w:p>
    <w:p>
      <w:pPr>
        <w:pStyle w:val="BodyText"/>
        <w:spacing w:before="8"/>
        <w:rPr>
          <w:sz w:val="35"/>
        </w:rPr>
      </w:pPr>
    </w:p>
    <w:p>
      <w:pPr>
        <w:pStyle w:val="Heading1"/>
        <w:numPr>
          <w:ilvl w:val="3"/>
          <w:numId w:val="2"/>
        </w:numPr>
        <w:tabs>
          <w:tab w:pos="1106" w:val="left" w:leader="none"/>
        </w:tabs>
        <w:spacing w:line="240" w:lineRule="auto" w:before="1" w:after="0"/>
        <w:ind w:left="1105" w:right="0" w:hanging="1003"/>
        <w:jc w:val="both"/>
      </w:pPr>
      <w:r>
        <w:rPr/>
        <w:t>Enfermedades e Higiene</w:t>
      </w:r>
      <w:r>
        <w:rPr>
          <w:spacing w:val="-6"/>
        </w:rPr>
        <w:t> </w:t>
      </w:r>
      <w:r>
        <w:rPr/>
        <w:t>Bucal</w:t>
      </w:r>
    </w:p>
    <w:p>
      <w:pPr>
        <w:pStyle w:val="BodyText"/>
        <w:spacing w:line="345" w:lineRule="auto" w:before="137"/>
        <w:ind w:left="102" w:right="108"/>
        <w:jc w:val="both"/>
        <w:rPr>
          <w:sz w:val="16"/>
        </w:rPr>
      </w:pPr>
      <w:r>
        <w:rPr/>
        <w:t>Los problemas y enfermedades bucodentales más frecuentes son debido a una incorrecta o insuficiente higiene bucodental e incluyen procesos infecciosos por caries dental o enfermedades periodontales como gingivitis o periodontitis. </w:t>
      </w:r>
      <w:r>
        <w:rPr>
          <w:position w:val="11"/>
          <w:sz w:val="16"/>
        </w:rPr>
        <w:t>9</w:t>
      </w:r>
    </w:p>
    <w:p>
      <w:pPr>
        <w:pStyle w:val="BodyText"/>
        <w:spacing w:before="10"/>
      </w:pPr>
    </w:p>
    <w:p>
      <w:pPr>
        <w:pStyle w:val="BodyText"/>
        <w:spacing w:line="360" w:lineRule="auto"/>
        <w:ind w:left="102" w:right="105"/>
        <w:jc w:val="both"/>
      </w:pPr>
      <w:r>
        <w:rPr/>
        <w:t>El mejor modo de prevenirlas es con una buena higiene bucodental y con revisiones periódicas. También es relevante el control de la ingesta de determinados alimentos, especialmente aquellos que tienen un alto potencial cariogénico por incluir en su contenido azúcares como la sacarosa o la glucosa.</w:t>
      </w:r>
    </w:p>
    <w:p>
      <w:pPr>
        <w:spacing w:after="0" w:line="360" w:lineRule="auto"/>
        <w:jc w:val="both"/>
        <w:sectPr>
          <w:pgSz w:w="12240" w:h="15840"/>
          <w:pgMar w:header="0" w:footer="1003" w:top="1360" w:bottom="1200" w:left="1600" w:right="1220"/>
        </w:sectPr>
      </w:pPr>
    </w:p>
    <w:p>
      <w:pPr>
        <w:pStyle w:val="BodyText"/>
        <w:spacing w:line="350" w:lineRule="auto" w:before="54"/>
        <w:ind w:left="102" w:right="104"/>
        <w:jc w:val="both"/>
        <w:rPr>
          <w:sz w:val="16"/>
        </w:rPr>
      </w:pPr>
      <w:r>
        <w:rPr/>
        <w:t>Una buena higiene bucodental debería establecerse mediante la adopción de hábitos como el cepillado dental, profilaxis en consultorio dental, uso de enjuagues, uso de hilo dental y visitas periódicas al odontólogo. Las enfermedades bucodentales son prevenibles y el dolor que éstas traen consigo innecesario.</w:t>
      </w:r>
      <w:r>
        <w:rPr>
          <w:spacing w:val="-17"/>
        </w:rPr>
        <w:t> </w:t>
      </w:r>
      <w:r>
        <w:rPr>
          <w:position w:val="11"/>
          <w:sz w:val="16"/>
        </w:rPr>
        <w:t>9,10</w:t>
      </w:r>
    </w:p>
    <w:p>
      <w:pPr>
        <w:pStyle w:val="BodyText"/>
        <w:spacing w:before="1"/>
      </w:pPr>
    </w:p>
    <w:p>
      <w:pPr>
        <w:pStyle w:val="Heading1"/>
        <w:numPr>
          <w:ilvl w:val="3"/>
          <w:numId w:val="2"/>
        </w:numPr>
        <w:tabs>
          <w:tab w:pos="1182" w:val="left" w:leader="none"/>
        </w:tabs>
        <w:spacing w:line="240" w:lineRule="auto" w:before="0" w:after="0"/>
        <w:ind w:left="1182" w:right="0" w:hanging="1080"/>
        <w:jc w:val="both"/>
      </w:pPr>
      <w:r>
        <w:rPr/>
        <w:t>Asesoramiento Prenatal sobre Salud</w:t>
      </w:r>
      <w:r>
        <w:rPr>
          <w:spacing w:val="-11"/>
        </w:rPr>
        <w:t> </w:t>
      </w:r>
      <w:r>
        <w:rPr/>
        <w:t>Bucal</w:t>
      </w:r>
    </w:p>
    <w:p>
      <w:pPr>
        <w:pStyle w:val="BodyText"/>
        <w:rPr>
          <w:b/>
        </w:rPr>
      </w:pPr>
    </w:p>
    <w:p>
      <w:pPr>
        <w:pStyle w:val="BodyText"/>
        <w:spacing w:line="360" w:lineRule="auto" w:before="141"/>
        <w:ind w:left="102" w:right="106"/>
        <w:jc w:val="both"/>
      </w:pPr>
      <w:r>
        <w:rPr/>
        <w:t>El objetivo, es esencialmente de educación para la salud, entendiendo a ésta, como todos los conocimientos que los padres tengan sobre temas de salud de sus futuros hijos. Aun antes de que nazca el bebé, los padres deben estar asesorados tanto por ginecólogo, para poder asesorar a sus pacientes gestantes, como por odontólogos y odontopediatras. Se deben brindar conocimientos sobre buenos hábitos de higiene que contribuyan a la salud bucal de sus hijos en toda su vida. El asesoramiento prenatal puede ser bastante efectivo, debido que durante este periodo las gestantes son más receptivas sobre la información de salud bucal que durante otra etapa de su vida. Se debe orientar a las gestantes sobre el desarrollo de enfermedades dentales y medidas de prevención que se tienen para que no surjan trastornos. Además, se debe informar sobre la importancia de la dieta durante la gestación, incluyendo el efecto  de</w:t>
      </w:r>
    </w:p>
    <w:p>
      <w:pPr>
        <w:pStyle w:val="BodyText"/>
        <w:spacing w:line="328" w:lineRule="auto" w:before="5"/>
        <w:ind w:left="102" w:right="109"/>
        <w:jc w:val="both"/>
        <w:rPr>
          <w:sz w:val="16"/>
        </w:rPr>
      </w:pPr>
      <w:r>
        <w:rPr/>
        <w:t>medicamentos, alcohol y la necesidad de una supervisión odontológica durante el periodo de gestación, así como programas de tratamientos dentales. </w:t>
      </w:r>
      <w:r>
        <w:rPr>
          <w:position w:val="11"/>
          <w:sz w:val="16"/>
        </w:rPr>
        <w:t>9</w:t>
      </w:r>
    </w:p>
    <w:p>
      <w:pPr>
        <w:pStyle w:val="BodyText"/>
        <w:spacing w:before="5"/>
        <w:rPr>
          <w:sz w:val="26"/>
        </w:rPr>
      </w:pPr>
    </w:p>
    <w:p>
      <w:pPr>
        <w:pStyle w:val="Heading1"/>
        <w:numPr>
          <w:ilvl w:val="3"/>
          <w:numId w:val="2"/>
        </w:numPr>
        <w:tabs>
          <w:tab w:pos="1173" w:val="left" w:leader="none"/>
        </w:tabs>
        <w:spacing w:line="240" w:lineRule="auto" w:before="0" w:after="0"/>
        <w:ind w:left="1172" w:right="0" w:hanging="1070"/>
        <w:jc w:val="both"/>
      </w:pPr>
      <w:r>
        <w:rPr/>
        <w:t>Higiene del</w:t>
      </w:r>
      <w:r>
        <w:rPr>
          <w:spacing w:val="-7"/>
        </w:rPr>
        <w:t> </w:t>
      </w:r>
      <w:r>
        <w:rPr/>
        <w:t>Lactante</w:t>
      </w:r>
    </w:p>
    <w:p>
      <w:pPr>
        <w:pStyle w:val="BodyText"/>
        <w:rPr>
          <w:b/>
        </w:rPr>
      </w:pPr>
    </w:p>
    <w:p>
      <w:pPr>
        <w:pStyle w:val="BodyText"/>
        <w:spacing w:line="360" w:lineRule="auto" w:before="141"/>
        <w:ind w:left="102" w:right="105"/>
        <w:jc w:val="both"/>
      </w:pPr>
      <w:r>
        <w:rPr/>
        <w:t>La madre debe de recibir asesoramiento sobre cómo realizar la limpieza dental de su bebé, permitiendo así, que ella se sienta motivada y debe estar atenta del momento en que comienzan a erupcionar los dientes de su bebé para adquirir el hábito de efectuar la limpieza y estrechar la relación madre hijo, que pudiera romperse durante la época del destete, lo cual perjudica psicológicamente a ambos. Fortalecer esta relación permite mantener la súper vigilancia del estado de salud bucal del infante. La limpieza puede realizarse con una gasa húmeda con agua, deben limpiarse los rebordes alveolares, así como la mucosa bucal y la lengua, enseguida de cada lactancia. También hay que realizar una limpieza de la cavidad bucal del bebé tras  </w:t>
      </w:r>
      <w:r>
        <w:rPr>
          <w:spacing w:val="21"/>
        </w:rPr>
        <w:t> </w:t>
      </w:r>
      <w:r>
        <w:rPr/>
        <w:t>la</w:t>
      </w:r>
    </w:p>
    <w:p>
      <w:pPr>
        <w:spacing w:after="0" w:line="360" w:lineRule="auto"/>
        <w:jc w:val="both"/>
        <w:sectPr>
          <w:pgSz w:w="12240" w:h="15840"/>
          <w:pgMar w:header="0" w:footer="1003" w:top="1360" w:bottom="1200" w:left="1600" w:right="1220"/>
        </w:sectPr>
      </w:pPr>
    </w:p>
    <w:p>
      <w:pPr>
        <w:pStyle w:val="BodyText"/>
        <w:spacing w:line="331" w:lineRule="auto" w:before="54"/>
        <w:ind w:left="102" w:right="110"/>
        <w:jc w:val="both"/>
        <w:rPr>
          <w:sz w:val="16"/>
        </w:rPr>
      </w:pPr>
      <w:r>
        <w:rPr/>
        <w:t>administración de medicamentos, como jarabes, los cuales tienen alto contenido en azúcar. </w:t>
      </w:r>
      <w:r>
        <w:rPr>
          <w:position w:val="11"/>
          <w:sz w:val="16"/>
        </w:rPr>
        <w:t>9</w:t>
      </w:r>
    </w:p>
    <w:p>
      <w:pPr>
        <w:pStyle w:val="BodyText"/>
        <w:spacing w:before="10"/>
        <w:rPr>
          <w:sz w:val="37"/>
        </w:rPr>
      </w:pPr>
    </w:p>
    <w:p>
      <w:pPr>
        <w:pStyle w:val="BodyText"/>
        <w:spacing w:line="350" w:lineRule="auto"/>
        <w:ind w:left="102" w:right="106"/>
        <w:jc w:val="both"/>
        <w:rPr>
          <w:sz w:val="16"/>
        </w:rPr>
      </w:pPr>
      <w:r>
        <w:rPr/>
        <w:t>Se deben evitar costumbres como limpiar el chupón con la boca de la madre, probar la comida con la misma cuchara con la que se le da al niño o darle besos en la boca. Luego de la aparición del primer diente iniciar con el cepillado dental con cepillos acordes a las características del niño.</w:t>
      </w:r>
      <w:r>
        <w:rPr>
          <w:spacing w:val="-8"/>
        </w:rPr>
        <w:t> </w:t>
      </w:r>
      <w:r>
        <w:rPr>
          <w:position w:val="11"/>
          <w:sz w:val="16"/>
        </w:rPr>
        <w:t>10</w:t>
      </w:r>
    </w:p>
    <w:p>
      <w:pPr>
        <w:pStyle w:val="BodyText"/>
        <w:spacing w:before="8"/>
        <w:rPr>
          <w:sz w:val="35"/>
        </w:rPr>
      </w:pPr>
    </w:p>
    <w:p>
      <w:pPr>
        <w:pStyle w:val="Heading1"/>
        <w:numPr>
          <w:ilvl w:val="3"/>
          <w:numId w:val="2"/>
        </w:numPr>
        <w:tabs>
          <w:tab w:pos="1173" w:val="left" w:leader="none"/>
        </w:tabs>
        <w:spacing w:line="240" w:lineRule="auto" w:before="1" w:after="0"/>
        <w:ind w:left="1172" w:right="0" w:hanging="1070"/>
        <w:jc w:val="both"/>
      </w:pPr>
      <w:r>
        <w:rPr/>
        <w:t>Higiene Bucal del Bebé de 0 a 6</w:t>
      </w:r>
      <w:r>
        <w:rPr>
          <w:spacing w:val="-9"/>
        </w:rPr>
        <w:t> </w:t>
      </w:r>
      <w:r>
        <w:rPr/>
        <w:t>Meses</w:t>
      </w:r>
    </w:p>
    <w:p>
      <w:pPr>
        <w:pStyle w:val="BodyText"/>
        <w:rPr>
          <w:b/>
        </w:rPr>
      </w:pPr>
    </w:p>
    <w:p>
      <w:pPr>
        <w:pStyle w:val="BodyText"/>
        <w:spacing w:line="352" w:lineRule="auto" w:before="140"/>
        <w:ind w:left="102" w:right="98"/>
        <w:jc w:val="both"/>
        <w:rPr>
          <w:sz w:val="16"/>
        </w:rPr>
      </w:pPr>
      <w:r>
        <w:rPr/>
        <w:t>A.- Antes de que erupcionen los dientes está indicado la limpieza de las encías. Las madres deben ser gradualmente estimuladas y motivadas para realizar la higiene bucal del bebé utilizando inicialmente un paño o gasa con agua hervida tibia o fría, por lo menos una vez al día en una solución con agua oxigenada de 10 volúmenes en una proporción de 4 a 1. </w:t>
      </w:r>
      <w:r>
        <w:rPr>
          <w:position w:val="11"/>
          <w:sz w:val="16"/>
        </w:rPr>
        <w:t>10</w:t>
      </w:r>
    </w:p>
    <w:p>
      <w:pPr>
        <w:pStyle w:val="BodyText"/>
        <w:spacing w:before="5"/>
        <w:rPr>
          <w:sz w:val="35"/>
        </w:rPr>
      </w:pPr>
    </w:p>
    <w:p>
      <w:pPr>
        <w:pStyle w:val="BodyText"/>
        <w:spacing w:line="350" w:lineRule="auto" w:before="1"/>
        <w:ind w:left="102" w:right="100"/>
        <w:jc w:val="both"/>
        <w:rPr>
          <w:sz w:val="16"/>
        </w:rPr>
      </w:pPr>
      <w:r>
        <w:rPr/>
        <w:t>B.- Con la erupción del primer diente se debe promover la higiene bucal del niño con cepillado dental infantil, en caso de no adaptarse o carecer del mismo, se puede mantener el uso diario de paño o gasas con agua hervida tibia o fría, sólo hasta la erupción de los molares; luego será imprescindible el uso del cepillo. </w:t>
      </w:r>
      <w:r>
        <w:rPr>
          <w:position w:val="11"/>
          <w:sz w:val="16"/>
        </w:rPr>
        <w:t>10</w:t>
      </w:r>
    </w:p>
    <w:p>
      <w:pPr>
        <w:pStyle w:val="BodyText"/>
        <w:spacing w:before="8"/>
        <w:rPr>
          <w:sz w:val="35"/>
        </w:rPr>
      </w:pPr>
    </w:p>
    <w:p>
      <w:pPr>
        <w:pStyle w:val="BodyText"/>
        <w:spacing w:before="1"/>
        <w:ind w:left="102"/>
        <w:jc w:val="both"/>
      </w:pPr>
      <w:r>
        <w:rPr/>
        <w:t>C.- El bebé no debe dormir con la boca sin aseo.</w:t>
      </w:r>
    </w:p>
    <w:p>
      <w:pPr>
        <w:pStyle w:val="BodyText"/>
      </w:pPr>
    </w:p>
    <w:p>
      <w:pPr>
        <w:pStyle w:val="BodyText"/>
      </w:pPr>
    </w:p>
    <w:p>
      <w:pPr>
        <w:pStyle w:val="BodyText"/>
        <w:spacing w:line="331" w:lineRule="auto"/>
        <w:ind w:left="102" w:right="105"/>
        <w:jc w:val="both"/>
        <w:rPr>
          <w:sz w:val="16"/>
        </w:rPr>
      </w:pPr>
      <w:r>
        <w:rPr/>
        <w:t>E.-Cepillar los dientes tres veces al día, después de los alimentos y obligatoriamente antes de dormir.</w:t>
      </w:r>
      <w:r>
        <w:rPr>
          <w:position w:val="11"/>
          <w:sz w:val="16"/>
        </w:rPr>
        <w:t>10</w:t>
      </w:r>
    </w:p>
    <w:p>
      <w:pPr>
        <w:pStyle w:val="BodyText"/>
        <w:spacing w:before="11"/>
        <w:rPr>
          <w:sz w:val="37"/>
        </w:rPr>
      </w:pPr>
    </w:p>
    <w:p>
      <w:pPr>
        <w:pStyle w:val="BodyText"/>
        <w:spacing w:line="345" w:lineRule="auto"/>
        <w:ind w:left="102" w:right="111"/>
        <w:jc w:val="both"/>
        <w:rPr>
          <w:sz w:val="16"/>
        </w:rPr>
      </w:pPr>
      <w:r>
        <w:rPr/>
        <w:t>F.-Introducir después del primer año de vida el uso del hilo dental por lo menos una vez al día de preferencia en la noche, especialmente en niños con ausencia de espacios interdentales (diastemas) o con Arco de Baume tipo II. </w:t>
      </w:r>
      <w:r>
        <w:rPr>
          <w:position w:val="11"/>
          <w:sz w:val="16"/>
        </w:rPr>
        <w:t>10</w:t>
      </w:r>
    </w:p>
    <w:p>
      <w:pPr>
        <w:pStyle w:val="BodyText"/>
        <w:spacing w:before="1"/>
        <w:rPr>
          <w:sz w:val="36"/>
        </w:rPr>
      </w:pPr>
    </w:p>
    <w:p>
      <w:pPr>
        <w:pStyle w:val="BodyText"/>
        <w:spacing w:line="360" w:lineRule="auto"/>
        <w:ind w:left="102" w:right="111"/>
        <w:jc w:val="both"/>
      </w:pPr>
      <w:r>
        <w:rPr/>
        <w:t>G. -Se deberá informar y supervisar al responsable de la higiene bucal del bebé entre los 3 y 4 años de edad el niño alcanza cierto grado de desarrollo psicomotor que le</w:t>
      </w:r>
    </w:p>
    <w:p>
      <w:pPr>
        <w:spacing w:after="0" w:line="360" w:lineRule="auto"/>
        <w:jc w:val="both"/>
        <w:sectPr>
          <w:pgSz w:w="12240" w:h="15840"/>
          <w:pgMar w:header="0" w:footer="1003" w:top="1360" w:bottom="1200" w:left="1600" w:right="1220"/>
        </w:sectPr>
      </w:pPr>
    </w:p>
    <w:p>
      <w:pPr>
        <w:pStyle w:val="BodyText"/>
        <w:spacing w:line="352" w:lineRule="auto" w:before="54"/>
        <w:ind w:left="102" w:right="102"/>
        <w:jc w:val="both"/>
        <w:rPr>
          <w:sz w:val="16"/>
        </w:rPr>
      </w:pPr>
      <w:r>
        <w:rPr/>
        <w:t>permitirá por sí solo manipular el cepillo teniendo la supervisión de sus padres por lo menos una vez al día. El cepillado dental es un excelente medio para reducir la presencia de placa bacteriana. Holt menciona que la frecuencia de cepillado de los niños debe ser como mínimo dos veces al día, siendo el más importante el de la noche. </w:t>
      </w:r>
      <w:r>
        <w:rPr>
          <w:position w:val="11"/>
          <w:sz w:val="16"/>
        </w:rPr>
        <w:t>10</w:t>
      </w:r>
    </w:p>
    <w:p>
      <w:pPr>
        <w:pStyle w:val="BodyText"/>
        <w:spacing w:before="7"/>
        <w:rPr>
          <w:sz w:val="23"/>
        </w:rPr>
      </w:pPr>
    </w:p>
    <w:p>
      <w:pPr>
        <w:pStyle w:val="Heading1"/>
        <w:numPr>
          <w:ilvl w:val="3"/>
          <w:numId w:val="2"/>
        </w:numPr>
        <w:tabs>
          <w:tab w:pos="1250" w:val="left" w:leader="none"/>
        </w:tabs>
        <w:spacing w:line="240" w:lineRule="auto" w:before="0" w:after="0"/>
        <w:ind w:left="1249" w:right="0" w:hanging="1147"/>
        <w:jc w:val="both"/>
      </w:pPr>
      <w:r>
        <w:rPr/>
        <w:t>Higiene en la Dentición</w:t>
      </w:r>
      <w:r>
        <w:rPr>
          <w:spacing w:val="-5"/>
        </w:rPr>
        <w:t> </w:t>
      </w:r>
      <w:r>
        <w:rPr/>
        <w:t>Decidua</w:t>
      </w:r>
    </w:p>
    <w:p>
      <w:pPr>
        <w:pStyle w:val="BodyText"/>
        <w:spacing w:line="360" w:lineRule="auto" w:before="137"/>
        <w:ind w:left="102" w:right="100"/>
        <w:jc w:val="both"/>
      </w:pPr>
      <w:r>
        <w:rPr/>
        <w:t>Es importante que la madre empiece a realizar la higiene bucal de su hijo inmediatamente desde la primera erupción dental. Si se comienza la higiene y cepillado dental hasta que se termine la erupción puede ser demasiado tarde, pues la caries puede estar ya instalada. Los órganos dentarios son susceptibles a iniciar procesos cariosos desde el momento de su aparición. El principal microorganismo involucrado en el proceso carioso es el Streptococcus mutans, que la mamá o las personas cercanas transmiten al bebé a través de la saliva. Cuando las piezas dentales son pocas se recomienda la higiene dental una vez al día frotando los dientes y las encías con una gasa enrolladla en el dedo índice o un cepillo de cabeza pequeña y cerdas extra suaves de nylon. A medida que van erupcionando los dientes del bebé ya se va ajustando una rutina de limpieza diaria. </w:t>
      </w:r>
      <w:r>
        <w:rPr>
          <w:spacing w:val="5"/>
        </w:rPr>
        <w:t>La </w:t>
      </w:r>
      <w:r>
        <w:rPr/>
        <w:t>limpieza nocturna es la más importante, ya que durante la noche el flujo salival y los movimientos bucales disminuyen y ésto estimula la formación de la placa dentobacteriana, lo que </w:t>
      </w:r>
      <w:r>
        <w:rPr>
          <w:spacing w:val="51"/>
        </w:rPr>
        <w:t> </w:t>
      </w:r>
      <w:r>
        <w:rPr/>
        <w:t>aumenta</w:t>
      </w:r>
    </w:p>
    <w:p>
      <w:pPr>
        <w:pStyle w:val="BodyText"/>
        <w:spacing w:line="281" w:lineRule="exact"/>
        <w:ind w:left="102"/>
        <w:jc w:val="both"/>
        <w:rPr>
          <w:sz w:val="16"/>
        </w:rPr>
      </w:pPr>
      <w:r>
        <w:rPr/>
        <w:t>el riesgo a caries. </w:t>
      </w:r>
      <w:r>
        <w:rPr>
          <w:position w:val="11"/>
          <w:sz w:val="16"/>
        </w:rPr>
        <w:t>11</w:t>
      </w:r>
    </w:p>
    <w:p>
      <w:pPr>
        <w:pStyle w:val="BodyText"/>
        <w:rPr>
          <w:sz w:val="28"/>
        </w:rPr>
      </w:pPr>
    </w:p>
    <w:p>
      <w:pPr>
        <w:pStyle w:val="BodyText"/>
        <w:spacing w:line="360" w:lineRule="auto" w:before="230"/>
        <w:ind w:left="102" w:right="106"/>
        <w:jc w:val="both"/>
      </w:pPr>
      <w:r>
        <w:rPr/>
        <w:t>Los padres deben de asumir la responsabilidad de la limpieza bucal hasta que el niño adquiera la destreza motora necesaria para realizarla él mismo correctamente. La infancia, es la edad ideal de aprendizaje, por lo que se debe de incluir y crear hábitos de higiene bucal en esta etapa de la vida.</w:t>
      </w:r>
    </w:p>
    <w:p>
      <w:pPr>
        <w:pStyle w:val="BodyText"/>
      </w:pPr>
    </w:p>
    <w:p>
      <w:pPr>
        <w:pStyle w:val="Heading1"/>
        <w:numPr>
          <w:ilvl w:val="2"/>
          <w:numId w:val="3"/>
        </w:numPr>
        <w:tabs>
          <w:tab w:pos="971" w:val="left" w:leader="none"/>
        </w:tabs>
        <w:spacing w:line="240" w:lineRule="auto" w:before="142" w:after="0"/>
        <w:ind w:left="970" w:right="0" w:hanging="868"/>
        <w:jc w:val="both"/>
      </w:pPr>
      <w:r>
        <w:rPr/>
        <w:t>Técnicas de</w:t>
      </w:r>
      <w:r>
        <w:rPr>
          <w:spacing w:val="-6"/>
        </w:rPr>
        <w:t> </w:t>
      </w:r>
      <w:r>
        <w:rPr/>
        <w:t>Cepillado</w:t>
      </w:r>
    </w:p>
    <w:p>
      <w:pPr>
        <w:pStyle w:val="BodyText"/>
        <w:spacing w:line="360" w:lineRule="auto" w:before="139"/>
        <w:ind w:left="102" w:right="105"/>
        <w:jc w:val="both"/>
      </w:pPr>
      <w:r>
        <w:rPr/>
        <w:t>La técnica de Bass Modificada es considerada en odontología la más eficiente, consiste en colocar las cerdas sobre la encía en un ángulo de 45° grados y cepillar suavemente realizando movimientos de adelante hacia atrás sobre toda la superficie lingual o palatina y vestibular, abarcando con el cepillo un máximo de 2 ó 3 dientes   y</w:t>
      </w:r>
    </w:p>
    <w:p>
      <w:pPr>
        <w:spacing w:after="0" w:line="360" w:lineRule="auto"/>
        <w:jc w:val="both"/>
        <w:sectPr>
          <w:pgSz w:w="12240" w:h="15840"/>
          <w:pgMar w:header="0" w:footer="1003" w:top="1360" w:bottom="1200" w:left="1600" w:right="1220"/>
        </w:sectPr>
      </w:pPr>
    </w:p>
    <w:p>
      <w:pPr>
        <w:pStyle w:val="BodyText"/>
        <w:spacing w:line="360" w:lineRule="auto" w:before="54"/>
        <w:ind w:left="102" w:right="101"/>
        <w:jc w:val="both"/>
      </w:pPr>
      <w:r>
        <w:rPr/>
        <w:t>repetir la operación. Se inclina el cepillo verticalmente en las caras palatinas y linguales de los dientes anteriores y se realizan varios movimientos de arriba hacia abajo o de abajo hacia arriba respectivamente, usando la parte delantera del cepillo. Finalmente, se coloca el cepillo sobre las caras oclusales y se realizan movimientos suaves de atrás hacia adelante y se debe cepillar la lengua hacia adelante con la</w:t>
      </w:r>
    </w:p>
    <w:p>
      <w:pPr>
        <w:pStyle w:val="BodyText"/>
        <w:spacing w:line="328" w:lineRule="auto" w:before="5"/>
        <w:ind w:left="102" w:right="109"/>
        <w:jc w:val="both"/>
        <w:rPr>
          <w:sz w:val="16"/>
        </w:rPr>
      </w:pPr>
      <w:r>
        <w:rPr/>
        <w:t>parte lateral del cepillo para eliminar las bacterias que producen mal aliento sin lastimar el tejido. </w:t>
      </w:r>
      <w:r>
        <w:rPr>
          <w:position w:val="11"/>
          <w:sz w:val="16"/>
        </w:rPr>
        <w:t>12</w:t>
      </w:r>
    </w:p>
    <w:p>
      <w:pPr>
        <w:pStyle w:val="BodyText"/>
        <w:spacing w:before="1"/>
        <w:rPr>
          <w:sz w:val="38"/>
        </w:rPr>
      </w:pPr>
    </w:p>
    <w:p>
      <w:pPr>
        <w:pStyle w:val="Heading1"/>
        <w:numPr>
          <w:ilvl w:val="2"/>
          <w:numId w:val="3"/>
        </w:numPr>
        <w:tabs>
          <w:tab w:pos="971" w:val="left" w:leader="none"/>
        </w:tabs>
        <w:spacing w:line="240" w:lineRule="auto" w:before="1" w:after="0"/>
        <w:ind w:left="970" w:right="0" w:hanging="868"/>
        <w:jc w:val="both"/>
      </w:pPr>
      <w:r>
        <w:rPr/>
        <w:t>Uso de Hilo</w:t>
      </w:r>
      <w:r>
        <w:rPr>
          <w:spacing w:val="-7"/>
        </w:rPr>
        <w:t> </w:t>
      </w:r>
      <w:r>
        <w:rPr/>
        <w:t>Dental</w:t>
      </w:r>
    </w:p>
    <w:p>
      <w:pPr>
        <w:pStyle w:val="BodyText"/>
        <w:spacing w:line="360" w:lineRule="auto" w:before="140"/>
        <w:ind w:left="102" w:right="107"/>
        <w:jc w:val="both"/>
      </w:pPr>
      <w:r>
        <w:rPr/>
        <w:t>El uso del hilo dental es tan importante como el uso del cepillo. El hilo dental garantiza la remoción de restos alimenticios que el cepillado no elimina. De acuerdo con algunos estudios, el uso conjunto del cepillado y el hilo dental remueve un 26% más de placa dentobacteriana, al compararlo con el uso aislado del cepillado. La  capacidad para manipular con efectividad el hilo dental es función de coordinación entre  ojos,  manos  y  destreza  manual.  Se  reconoce  que  los  niños  en     </w:t>
      </w:r>
      <w:r>
        <w:rPr>
          <w:spacing w:val="28"/>
        </w:rPr>
        <w:t> </w:t>
      </w:r>
      <w:r>
        <w:rPr/>
        <w:t>edades</w:t>
      </w:r>
    </w:p>
    <w:p>
      <w:pPr>
        <w:pStyle w:val="BodyText"/>
        <w:spacing w:line="328" w:lineRule="auto" w:before="5"/>
        <w:ind w:left="102" w:right="109"/>
        <w:jc w:val="both"/>
        <w:rPr>
          <w:sz w:val="16"/>
        </w:rPr>
      </w:pPr>
      <w:r>
        <w:rPr/>
        <w:t>tempranas son incapaces de manipular de manera correcta el hilo dental entre sus dientes, consecuente a ello es responsabilidad de los padres durante este periodo. </w:t>
      </w:r>
      <w:r>
        <w:rPr>
          <w:position w:val="11"/>
          <w:sz w:val="16"/>
        </w:rPr>
        <w:t>12</w:t>
      </w:r>
    </w:p>
    <w:p>
      <w:pPr>
        <w:pStyle w:val="BodyText"/>
        <w:spacing w:before="2"/>
        <w:rPr>
          <w:sz w:val="38"/>
        </w:rPr>
      </w:pPr>
    </w:p>
    <w:p>
      <w:pPr>
        <w:pStyle w:val="BodyText"/>
        <w:spacing w:line="355" w:lineRule="auto"/>
        <w:ind w:left="102" w:right="101"/>
        <w:jc w:val="both"/>
        <w:rPr>
          <w:sz w:val="16"/>
        </w:rPr>
      </w:pPr>
      <w:r>
        <w:rPr/>
        <w:t>Se deben utilizar aproximadamente 60 cms de hilo y enrollarlo en los dedos medios  de ambas manos, dejando libre cerca de 20 cms. Se pasa el hilo con los dedos pulgares e índices, manteniendo tensos de 3 a 4 cm. Se desliza el hilo entre dos dientes, introduciéndolo suavemente, sin movimientos de vaivén para no lacerar la encía interproximal, tratando de adaptar el hilo a la superficie del diente. Se repite  esta operación en todos los dientes.</w:t>
      </w:r>
      <w:r>
        <w:rPr>
          <w:spacing w:val="-10"/>
        </w:rPr>
        <w:t> </w:t>
      </w:r>
      <w:r>
        <w:rPr>
          <w:position w:val="11"/>
          <w:sz w:val="16"/>
        </w:rPr>
        <w:t>12</w:t>
      </w:r>
    </w:p>
    <w:p>
      <w:pPr>
        <w:pStyle w:val="BodyText"/>
        <w:spacing w:before="2"/>
        <w:rPr>
          <w:sz w:val="35"/>
        </w:rPr>
      </w:pPr>
    </w:p>
    <w:p>
      <w:pPr>
        <w:pStyle w:val="Heading1"/>
        <w:numPr>
          <w:ilvl w:val="0"/>
          <w:numId w:val="2"/>
        </w:numPr>
        <w:tabs>
          <w:tab w:pos="438" w:val="left" w:leader="none"/>
        </w:tabs>
        <w:spacing w:line="240" w:lineRule="auto" w:before="1" w:after="0"/>
        <w:ind w:left="438" w:right="0" w:hanging="336"/>
        <w:jc w:val="both"/>
      </w:pPr>
      <w:r>
        <w:rPr/>
        <w:t>DIETA</w:t>
      </w:r>
    </w:p>
    <w:p>
      <w:pPr>
        <w:pStyle w:val="BodyText"/>
        <w:spacing w:line="360" w:lineRule="auto" w:before="137"/>
        <w:ind w:left="102" w:right="108"/>
        <w:jc w:val="both"/>
      </w:pPr>
      <w:r>
        <w:rPr/>
        <w:t>Cada vez se hace más evidente que la alimentación y la ingesta de nutrientes durante toda la vida ejerce una influencia muy profunda sobre el nivel de salud, así como la prevención de una amplia variedad de enfermedades, incluyendo las de la cavidad oral. La nutrición es importante para el desarrollo de la salud del niño, comenzando antes  del  nacimiento  y  continuando  a  través  de  toda  la  vida.  Los  alimentos son</w:t>
      </w:r>
    </w:p>
    <w:p>
      <w:pPr>
        <w:spacing w:after="0" w:line="360" w:lineRule="auto"/>
        <w:jc w:val="both"/>
        <w:sectPr>
          <w:pgSz w:w="12240" w:h="15840"/>
          <w:pgMar w:header="0" w:footer="1003" w:top="1360" w:bottom="1200" w:left="1600" w:right="1220"/>
        </w:sectPr>
      </w:pPr>
    </w:p>
    <w:p>
      <w:pPr>
        <w:pStyle w:val="BodyText"/>
        <w:spacing w:line="350" w:lineRule="auto" w:before="54"/>
        <w:ind w:left="102" w:right="105"/>
        <w:jc w:val="both"/>
        <w:rPr>
          <w:sz w:val="16"/>
        </w:rPr>
      </w:pPr>
      <w:r>
        <w:rPr/>
        <w:t>fuentes de energía y de nutrientes esenciales que han sido clasificados en 6 grupos principales: proteínas, hidratos de carbono, lípidos, vitaminas, minerales y agua. Todos son necesarios para favorecer el crecimiento, desarrollo y funcionamiento correcto de todos los órganos y sistemas</w:t>
      </w:r>
      <w:r>
        <w:rPr>
          <w:spacing w:val="-10"/>
        </w:rPr>
        <w:t> </w:t>
      </w:r>
      <w:r>
        <w:rPr/>
        <w:t>corporales.</w:t>
      </w:r>
      <w:r>
        <w:rPr>
          <w:position w:val="11"/>
          <w:sz w:val="16"/>
        </w:rPr>
        <w:t>13</w:t>
      </w:r>
    </w:p>
    <w:p>
      <w:pPr>
        <w:pStyle w:val="BodyText"/>
        <w:spacing w:before="8"/>
        <w:rPr>
          <w:sz w:val="35"/>
        </w:rPr>
      </w:pPr>
    </w:p>
    <w:p>
      <w:pPr>
        <w:pStyle w:val="Heading1"/>
        <w:numPr>
          <w:ilvl w:val="1"/>
          <w:numId w:val="2"/>
        </w:numPr>
        <w:tabs>
          <w:tab w:pos="839" w:val="left" w:leader="none"/>
        </w:tabs>
        <w:spacing w:line="240" w:lineRule="auto" w:before="1" w:after="0"/>
        <w:ind w:left="838" w:right="0" w:hanging="736"/>
        <w:jc w:val="both"/>
      </w:pPr>
      <w:r>
        <w:rPr/>
        <w:t>Nutrición en el</w:t>
      </w:r>
      <w:r>
        <w:rPr>
          <w:spacing w:val="-5"/>
        </w:rPr>
        <w:t> </w:t>
      </w:r>
      <w:r>
        <w:rPr/>
        <w:t>Embarazo</w:t>
      </w:r>
    </w:p>
    <w:p>
      <w:pPr>
        <w:pStyle w:val="BodyText"/>
        <w:spacing w:line="360" w:lineRule="auto" w:before="137"/>
        <w:ind w:left="102" w:right="108"/>
        <w:jc w:val="both"/>
      </w:pPr>
      <w:r>
        <w:rPr/>
        <w:t>Es evidente la influencia de la nutrición en el embarazo y en el desarrollo inicial del bebé. Durante el embarazo hay una variedad de cambios metabólicos y hormonales que crean un medio favorable para el desarrollo del feto en desarrollo. En sentido nutricional, estos cambios están asociados con un aumento sustancial de los requisitos de las madres embarazadas con respecto a todos los nutrientes. La madre embarazada tiene mayor necesidad de proteínas, calorías, vitaminas y minerales. La única forma de que éstos pueden alcanzar al niño en desarrollo es a través de la sangre materna. La placenta es el órgano que transfiere los nutrientes y oxígeno de la madre  al  feto,  a  la  vez  que  elimina  las  sustancias  de  desecho  del  mismo,</w:t>
      </w:r>
    </w:p>
    <w:p>
      <w:pPr>
        <w:pStyle w:val="BodyText"/>
        <w:spacing w:line="281" w:lineRule="exact"/>
        <w:ind w:left="102"/>
        <w:jc w:val="both"/>
        <w:rPr>
          <w:sz w:val="16"/>
        </w:rPr>
      </w:pPr>
      <w:r>
        <w:rPr/>
        <w:t>conduciéndolos a la sangre materna para su excreción. </w:t>
      </w:r>
      <w:r>
        <w:rPr>
          <w:position w:val="11"/>
          <w:sz w:val="16"/>
        </w:rPr>
        <w:t>13,14</w:t>
      </w:r>
    </w:p>
    <w:p>
      <w:pPr>
        <w:pStyle w:val="BodyText"/>
        <w:rPr>
          <w:sz w:val="28"/>
        </w:rPr>
      </w:pPr>
    </w:p>
    <w:p>
      <w:pPr>
        <w:pStyle w:val="BodyText"/>
        <w:spacing w:line="350" w:lineRule="auto" w:before="230"/>
        <w:ind w:left="102" w:right="101"/>
        <w:jc w:val="both"/>
        <w:rPr>
          <w:sz w:val="16"/>
        </w:rPr>
      </w:pPr>
      <w:r>
        <w:rPr/>
        <w:t>El estado nutricional de la mujer embarazada influye en la salud del recién nacido y en su posterior desarrollo. Un desequilibrio nutricional de la madre como deficiencia o exceso de un nutriente durante el periodo de amelogénesis o dentonogénesis conduce a la formación de dientes con mayor susceptilibad de caries dental.</w:t>
      </w:r>
      <w:r>
        <w:rPr>
          <w:spacing w:val="-43"/>
        </w:rPr>
        <w:t> </w:t>
      </w:r>
      <w:r>
        <w:rPr>
          <w:position w:val="11"/>
          <w:sz w:val="16"/>
        </w:rPr>
        <w:t>3,4</w:t>
      </w:r>
    </w:p>
    <w:p>
      <w:pPr>
        <w:pStyle w:val="BodyText"/>
        <w:spacing w:before="8"/>
        <w:rPr>
          <w:sz w:val="35"/>
        </w:rPr>
      </w:pPr>
    </w:p>
    <w:p>
      <w:pPr>
        <w:pStyle w:val="BodyText"/>
        <w:spacing w:line="360" w:lineRule="auto" w:before="1"/>
        <w:ind w:left="102" w:right="99"/>
        <w:jc w:val="both"/>
      </w:pPr>
      <w:r>
        <w:rPr/>
        <w:t>Durante el desarrollo de los dientes debe tenerse presente una variedad de nutrientes para asegurar una calcificación óptima, tales como la vitamina D y minerales como calcio y fósforo. Entre las principales vitaminas se encuentra la vitamina A, que interviene en la formación de dientes, en razón al origen epitelial del órgano dentario del esmalte. El requerimiento durante el embarazo es de 0,001g diarios. Así mismo, la</w:t>
      </w:r>
    </w:p>
    <w:p>
      <w:pPr>
        <w:pStyle w:val="BodyText"/>
        <w:spacing w:line="328" w:lineRule="auto" w:before="5"/>
        <w:ind w:left="102" w:right="110"/>
        <w:jc w:val="both"/>
        <w:rPr>
          <w:sz w:val="16"/>
        </w:rPr>
      </w:pPr>
      <w:r>
        <w:rPr/>
        <w:t>vitamina D es necesaria para la calcificación normal de los tejidos óseos, siendo ésta primordial para el desarrollo de los huesos y dientes. </w:t>
      </w:r>
      <w:r>
        <w:rPr>
          <w:position w:val="11"/>
          <w:sz w:val="16"/>
        </w:rPr>
        <w:t>4,13,14</w:t>
      </w:r>
    </w:p>
    <w:p>
      <w:pPr>
        <w:spacing w:after="0" w:line="328" w:lineRule="auto"/>
        <w:jc w:val="both"/>
        <w:rPr>
          <w:sz w:val="16"/>
        </w:rPr>
        <w:sectPr>
          <w:footerReference w:type="default" r:id="rId8"/>
          <w:pgSz w:w="12240" w:h="15840"/>
          <w:pgMar w:footer="1003" w:header="0" w:top="1360" w:bottom="1200" w:left="1600" w:right="1220"/>
        </w:sectPr>
      </w:pPr>
    </w:p>
    <w:p>
      <w:pPr>
        <w:pStyle w:val="BodyText"/>
        <w:spacing w:line="360" w:lineRule="auto" w:before="54"/>
        <w:ind w:left="102" w:right="104"/>
        <w:jc w:val="both"/>
      </w:pPr>
      <w:r>
        <w:rPr/>
        <w:t>Minerales como el calcio y el fósforo constituyen tejidos duros como los huesos y dientes en un porcentaje aproximado del 99% y 80% respectivamente y adicionalmente proporcionan a dichos tejidos fuerza y rigidez. Una deficiente estructura dentaria, que se manifiesta en una mayor predisposición a caries dental, puede ser el resultado de una ingesta deficiente de calcio en el periodo de formación de los dientes. Trastornos en el metabolismo del calcio y el fósforo durante el  periodo</w:t>
      </w:r>
    </w:p>
    <w:p>
      <w:pPr>
        <w:pStyle w:val="BodyText"/>
        <w:spacing w:line="331" w:lineRule="auto" w:before="2"/>
        <w:ind w:left="102" w:right="111"/>
        <w:jc w:val="both"/>
        <w:rPr>
          <w:sz w:val="16"/>
        </w:rPr>
      </w:pPr>
      <w:r>
        <w:rPr/>
        <w:t>de formación de los dientes, pueden dar como resultado una hipoplasia grave del esmalte y defectos en dentina. </w:t>
      </w:r>
      <w:r>
        <w:rPr>
          <w:position w:val="11"/>
          <w:sz w:val="16"/>
        </w:rPr>
        <w:t>13,14</w:t>
      </w:r>
    </w:p>
    <w:p>
      <w:pPr>
        <w:pStyle w:val="BodyText"/>
        <w:spacing w:before="11"/>
        <w:rPr>
          <w:sz w:val="37"/>
        </w:rPr>
      </w:pPr>
    </w:p>
    <w:p>
      <w:pPr>
        <w:pStyle w:val="BodyText"/>
        <w:spacing w:line="360" w:lineRule="auto"/>
        <w:ind w:left="102" w:right="107"/>
        <w:jc w:val="both"/>
      </w:pPr>
      <w:r>
        <w:rPr/>
        <w:t>Los dientes deciduos empiezan a calcificarse en el feto aproximadamente a las 20 semanas. Es de suma importancia que los nutrientes maternos proporcionen los materiales necesarios para la formación apropiada de los dientes antes de su erupción, que comienzan a desarrollarse a las 6 semanas de vida intrauterina. Dependerá mucho de las cualidades de la dieta de la madre, el proceso de maduración del esmalte al momento de la erupción, el tamaño, forma    y composición</w:t>
      </w:r>
    </w:p>
    <w:p>
      <w:pPr>
        <w:pStyle w:val="BodyText"/>
        <w:spacing w:line="281" w:lineRule="exact"/>
        <w:ind w:left="102"/>
        <w:jc w:val="both"/>
        <w:rPr>
          <w:sz w:val="16"/>
        </w:rPr>
      </w:pPr>
      <w:r>
        <w:rPr/>
        <w:t>química de los dientes de sus hijos. </w:t>
      </w:r>
      <w:r>
        <w:rPr>
          <w:position w:val="11"/>
          <w:sz w:val="16"/>
        </w:rPr>
        <w:t>15</w:t>
      </w:r>
    </w:p>
    <w:p>
      <w:pPr>
        <w:pStyle w:val="BodyText"/>
        <w:rPr>
          <w:sz w:val="28"/>
        </w:rPr>
      </w:pPr>
    </w:p>
    <w:p>
      <w:pPr>
        <w:pStyle w:val="BodyText"/>
        <w:spacing w:line="360" w:lineRule="auto" w:before="230"/>
        <w:ind w:left="102" w:right="107"/>
        <w:jc w:val="both"/>
      </w:pPr>
      <w:r>
        <w:rPr/>
        <w:t>Se han realizado muchos estudios con respecto al tema de dieta en el embarazo. Larios Olachea en el año de 1996, evaluó la asociación entre la dieta de la madre durante el embarazo y la prevalencia de caries dental en el infante, dicho estudio fue de forma transversal, descriptiva y observacional. La muestra se consiguió de 248 infantes entre las edades de 6 y 42 meses de edad, que acudieron a los servicios de pediatría de dos policlínicas en Lima Perú, no se encontró diferencia estadística significativa entre la caries dental del infante y la dieta de la madre durante el embarazo. Tampoco se  encontraron asociaciones con la  cantidad  de  consumo    de</w:t>
      </w:r>
    </w:p>
    <w:p>
      <w:pPr>
        <w:pStyle w:val="BodyText"/>
        <w:spacing w:line="281" w:lineRule="exact"/>
        <w:ind w:left="102"/>
        <w:jc w:val="both"/>
        <w:rPr>
          <w:sz w:val="16"/>
        </w:rPr>
      </w:pPr>
      <w:r>
        <w:rPr/>
        <w:t>proteína, vitaminas y minerales como calcio y fósforo. </w:t>
      </w:r>
      <w:r>
        <w:rPr>
          <w:position w:val="11"/>
          <w:sz w:val="16"/>
        </w:rPr>
        <w:t>16</w:t>
      </w:r>
    </w:p>
    <w:p>
      <w:pPr>
        <w:pStyle w:val="BodyText"/>
        <w:rPr>
          <w:sz w:val="28"/>
        </w:rPr>
      </w:pPr>
    </w:p>
    <w:p>
      <w:pPr>
        <w:pStyle w:val="Heading1"/>
        <w:numPr>
          <w:ilvl w:val="1"/>
          <w:numId w:val="2"/>
        </w:numPr>
        <w:tabs>
          <w:tab w:pos="772" w:val="left" w:leader="none"/>
        </w:tabs>
        <w:spacing w:line="240" w:lineRule="auto" w:before="230" w:after="0"/>
        <w:ind w:left="771" w:right="0" w:hanging="669"/>
        <w:jc w:val="both"/>
      </w:pPr>
      <w:r>
        <w:rPr/>
        <w:t>Consideraciones Nutricionales Durante la</w:t>
      </w:r>
      <w:r>
        <w:rPr>
          <w:spacing w:val="-12"/>
        </w:rPr>
        <w:t> </w:t>
      </w:r>
      <w:r>
        <w:rPr/>
        <w:t>Lactancia</w:t>
      </w:r>
    </w:p>
    <w:p>
      <w:pPr>
        <w:pStyle w:val="BodyText"/>
        <w:rPr>
          <w:b/>
        </w:rPr>
      </w:pPr>
    </w:p>
    <w:p>
      <w:pPr>
        <w:pStyle w:val="BodyText"/>
        <w:spacing w:before="9"/>
        <w:rPr>
          <w:b/>
          <w:sz w:val="23"/>
        </w:rPr>
      </w:pPr>
    </w:p>
    <w:p>
      <w:pPr>
        <w:pStyle w:val="BodyText"/>
        <w:spacing w:line="360" w:lineRule="auto"/>
        <w:ind w:left="102" w:right="109"/>
        <w:jc w:val="both"/>
      </w:pPr>
      <w:r>
        <w:rPr/>
        <w:t>A excepción del periodo prenatal, el periodo de crecimiento más rápido de los humanos</w:t>
      </w:r>
      <w:r>
        <w:rPr>
          <w:spacing w:val="56"/>
        </w:rPr>
        <w:t> </w:t>
      </w:r>
      <w:r>
        <w:rPr/>
        <w:t>ocurre</w:t>
      </w:r>
      <w:r>
        <w:rPr>
          <w:spacing w:val="56"/>
        </w:rPr>
        <w:t> </w:t>
      </w:r>
      <w:r>
        <w:rPr/>
        <w:t>durante</w:t>
      </w:r>
      <w:r>
        <w:rPr>
          <w:spacing w:val="57"/>
        </w:rPr>
        <w:t> </w:t>
      </w:r>
      <w:r>
        <w:rPr/>
        <w:t>los</w:t>
      </w:r>
      <w:r>
        <w:rPr>
          <w:spacing w:val="56"/>
        </w:rPr>
        <w:t> </w:t>
      </w:r>
      <w:r>
        <w:rPr/>
        <w:t>primeros</w:t>
      </w:r>
      <w:r>
        <w:rPr>
          <w:spacing w:val="56"/>
        </w:rPr>
        <w:t> </w:t>
      </w:r>
      <w:r>
        <w:rPr/>
        <w:t>6</w:t>
      </w:r>
      <w:r>
        <w:rPr>
          <w:spacing w:val="56"/>
        </w:rPr>
        <w:t> </w:t>
      </w:r>
      <w:r>
        <w:rPr/>
        <w:t>meses</w:t>
      </w:r>
      <w:r>
        <w:rPr>
          <w:spacing w:val="56"/>
        </w:rPr>
        <w:t> </w:t>
      </w:r>
      <w:r>
        <w:rPr/>
        <w:t>de</w:t>
      </w:r>
      <w:r>
        <w:rPr>
          <w:spacing w:val="56"/>
        </w:rPr>
        <w:t> </w:t>
      </w:r>
      <w:r>
        <w:rPr/>
        <w:t>vida.</w:t>
      </w:r>
      <w:r>
        <w:rPr>
          <w:spacing w:val="56"/>
        </w:rPr>
        <w:t> </w:t>
      </w:r>
      <w:r>
        <w:rPr/>
        <w:t>El</w:t>
      </w:r>
      <w:r>
        <w:rPr>
          <w:spacing w:val="55"/>
        </w:rPr>
        <w:t> </w:t>
      </w:r>
      <w:r>
        <w:rPr/>
        <w:t>peso</w:t>
      </w:r>
      <w:r>
        <w:rPr>
          <w:spacing w:val="56"/>
        </w:rPr>
        <w:t> </w:t>
      </w:r>
      <w:r>
        <w:rPr/>
        <w:t>al</w:t>
      </w:r>
      <w:r>
        <w:rPr>
          <w:spacing w:val="55"/>
        </w:rPr>
        <w:t> </w:t>
      </w:r>
      <w:r>
        <w:rPr/>
        <w:t>momento</w:t>
      </w:r>
      <w:r>
        <w:rPr>
          <w:spacing w:val="56"/>
        </w:rPr>
        <w:t> </w:t>
      </w:r>
      <w:r>
        <w:rPr/>
        <w:t>del</w:t>
      </w:r>
    </w:p>
    <w:p>
      <w:pPr>
        <w:spacing w:after="0" w:line="360" w:lineRule="auto"/>
        <w:jc w:val="both"/>
        <w:sectPr>
          <w:footerReference w:type="default" r:id="rId9"/>
          <w:pgSz w:w="12240" w:h="15840"/>
          <w:pgMar w:footer="1003" w:header="0" w:top="1360" w:bottom="1200" w:left="1600" w:right="1220"/>
          <w:pgNumType w:start="11"/>
        </w:sectPr>
      </w:pPr>
    </w:p>
    <w:p>
      <w:pPr>
        <w:pStyle w:val="BodyText"/>
        <w:spacing w:line="350" w:lineRule="auto" w:before="54"/>
        <w:ind w:left="102" w:right="103"/>
        <w:jc w:val="both"/>
        <w:rPr>
          <w:sz w:val="16"/>
        </w:rPr>
      </w:pPr>
      <w:r>
        <w:rPr/>
        <w:t>nacimiento se duplica los primeros 6 meses de vida y se triplica al cumplir el año. La lactancia materna se reconoce como el mejor método de alimentación del niños en sus primeros 4 o 6 meses de vida, después de esto la leche materna puede ser sustituida por diversos alimentos.</w:t>
      </w:r>
      <w:r>
        <w:rPr>
          <w:spacing w:val="-5"/>
        </w:rPr>
        <w:t> </w:t>
      </w:r>
      <w:r>
        <w:rPr>
          <w:position w:val="11"/>
          <w:sz w:val="16"/>
        </w:rPr>
        <w:t>17</w:t>
      </w:r>
    </w:p>
    <w:p>
      <w:pPr>
        <w:pStyle w:val="BodyText"/>
        <w:spacing w:before="8"/>
        <w:rPr>
          <w:sz w:val="35"/>
        </w:rPr>
      </w:pPr>
    </w:p>
    <w:p>
      <w:pPr>
        <w:pStyle w:val="BodyText"/>
        <w:spacing w:line="360" w:lineRule="auto" w:before="1"/>
        <w:ind w:left="102" w:right="99"/>
        <w:jc w:val="both"/>
      </w:pPr>
      <w:r>
        <w:rPr/>
        <w:t>Tanto la leche materna como la leche de vaca, pueden inducir a la aparición de caries dental, y su ingestión sin cuidados bucales diarios llega a originar la caries temprana de la infancia. Las ventajas nutricionales, inmunológicas e incluso económicas del amamantamiento la hacen la alimentación más apropiadas para el lactante. Con relación a su posible potencial cariogénico, la leche humana como solución azucarada es capaz de remover la desmineralización del esmalte siempre que se tenga como</w:t>
      </w:r>
    </w:p>
    <w:p>
      <w:pPr>
        <w:pStyle w:val="BodyText"/>
        <w:spacing w:line="281" w:lineRule="exact"/>
        <w:ind w:left="102"/>
        <w:jc w:val="both"/>
        <w:rPr>
          <w:sz w:val="16"/>
        </w:rPr>
      </w:pPr>
      <w:r>
        <w:rPr/>
        <w:t>sustrato disponible durante 8 horas seguidas. </w:t>
      </w:r>
      <w:r>
        <w:rPr>
          <w:position w:val="11"/>
          <w:sz w:val="16"/>
        </w:rPr>
        <w:t>17, 18</w:t>
      </w:r>
    </w:p>
    <w:p>
      <w:pPr>
        <w:pStyle w:val="BodyText"/>
        <w:rPr>
          <w:sz w:val="28"/>
        </w:rPr>
      </w:pPr>
    </w:p>
    <w:p>
      <w:pPr>
        <w:pStyle w:val="BodyText"/>
        <w:spacing w:line="360" w:lineRule="auto" w:before="230"/>
        <w:ind w:left="102" w:right="103"/>
        <w:jc w:val="both"/>
      </w:pPr>
      <w:r>
        <w:rPr/>
        <w:t>Se debe de orientar más tanto a los profesionales de la salud como a las madres de los lactantes, en relación a los efectos perjudiciales del hábito de dormir con el  biberón o amamantando. Los dientes deciduos deben de comenzar a limpiarse tan pronto como emergen en la cavidad bucal, para ello la madre puede envolver su dedo índice con una gasa y remover los restos alimenticios que se depositan en la  superficie dental después de cada alimentación. La administración de un biberón con agua</w:t>
      </w:r>
      <w:r>
        <w:rPr>
          <w:spacing w:val="25"/>
        </w:rPr>
        <w:t> </w:t>
      </w:r>
      <w:r>
        <w:rPr/>
        <w:t>después</w:t>
      </w:r>
      <w:r>
        <w:rPr>
          <w:spacing w:val="24"/>
        </w:rPr>
        <w:t> </w:t>
      </w:r>
      <w:r>
        <w:rPr/>
        <w:t>de</w:t>
      </w:r>
      <w:r>
        <w:rPr>
          <w:spacing w:val="25"/>
        </w:rPr>
        <w:t> </w:t>
      </w:r>
      <w:r>
        <w:rPr/>
        <w:t>cada</w:t>
      </w:r>
      <w:r>
        <w:rPr>
          <w:spacing w:val="25"/>
        </w:rPr>
        <w:t> </w:t>
      </w:r>
      <w:r>
        <w:rPr/>
        <w:t>alimentación</w:t>
      </w:r>
      <w:r>
        <w:rPr>
          <w:spacing w:val="23"/>
        </w:rPr>
        <w:t> </w:t>
      </w:r>
      <w:r>
        <w:rPr/>
        <w:t>debe</w:t>
      </w:r>
      <w:r>
        <w:rPr>
          <w:spacing w:val="23"/>
        </w:rPr>
        <w:t> </w:t>
      </w:r>
      <w:r>
        <w:rPr/>
        <w:t>de</w:t>
      </w:r>
      <w:r>
        <w:rPr>
          <w:spacing w:val="23"/>
        </w:rPr>
        <w:t> </w:t>
      </w:r>
      <w:r>
        <w:rPr/>
        <w:t>fomentarse</w:t>
      </w:r>
      <w:r>
        <w:rPr>
          <w:spacing w:val="22"/>
        </w:rPr>
        <w:t> </w:t>
      </w:r>
      <w:r>
        <w:rPr/>
        <w:t>como</w:t>
      </w:r>
      <w:r>
        <w:rPr>
          <w:spacing w:val="23"/>
        </w:rPr>
        <w:t> </w:t>
      </w:r>
      <w:r>
        <w:rPr/>
        <w:t>hábito</w:t>
      </w:r>
      <w:r>
        <w:rPr>
          <w:spacing w:val="23"/>
        </w:rPr>
        <w:t> </w:t>
      </w:r>
      <w:r>
        <w:rPr/>
        <w:t>pues</w:t>
      </w:r>
      <w:r>
        <w:rPr>
          <w:spacing w:val="24"/>
        </w:rPr>
        <w:t> </w:t>
      </w:r>
      <w:r>
        <w:rPr/>
        <w:t>también</w:t>
      </w:r>
    </w:p>
    <w:p>
      <w:pPr>
        <w:pStyle w:val="BodyText"/>
        <w:spacing w:line="279" w:lineRule="exact"/>
        <w:ind w:left="102"/>
        <w:jc w:val="both"/>
        <w:rPr>
          <w:sz w:val="16"/>
        </w:rPr>
      </w:pPr>
      <w:r>
        <w:rPr/>
        <w:t>contribuye como auxiliar en la higiene del lactante. </w:t>
      </w:r>
      <w:r>
        <w:rPr>
          <w:position w:val="11"/>
          <w:sz w:val="16"/>
        </w:rPr>
        <w:t>2,5 7,18</w:t>
      </w:r>
    </w:p>
    <w:p>
      <w:pPr>
        <w:pStyle w:val="BodyText"/>
        <w:rPr>
          <w:sz w:val="28"/>
        </w:rPr>
      </w:pPr>
    </w:p>
    <w:p>
      <w:pPr>
        <w:pStyle w:val="Heading1"/>
        <w:numPr>
          <w:ilvl w:val="1"/>
          <w:numId w:val="2"/>
        </w:numPr>
        <w:tabs>
          <w:tab w:pos="705" w:val="left" w:leader="none"/>
        </w:tabs>
        <w:spacing w:line="240" w:lineRule="auto" w:before="230" w:after="0"/>
        <w:ind w:left="704" w:right="0" w:hanging="602"/>
        <w:jc w:val="both"/>
      </w:pPr>
      <w:r>
        <w:rPr/>
        <w:t>Nutrición Durante la Erupción</w:t>
      </w:r>
      <w:r>
        <w:rPr>
          <w:spacing w:val="58"/>
        </w:rPr>
        <w:t> </w:t>
      </w:r>
      <w:r>
        <w:rPr/>
        <w:t>Dentaria</w:t>
      </w:r>
    </w:p>
    <w:p>
      <w:pPr>
        <w:pStyle w:val="BodyText"/>
        <w:spacing w:line="360" w:lineRule="auto" w:before="139"/>
        <w:ind w:left="102" w:right="105"/>
        <w:jc w:val="both"/>
      </w:pPr>
      <w:r>
        <w:rPr/>
        <w:t>La creación de hábitos alimenticios correctos durante la lactancia facilita su continuación en etapas posteriores, hay que orientar a los padres sobre alimentos apropiados que además de nutritivos sean adecuados para la salud dental. Primeramente frutas y verduras suaves, luego cereales no azucarados, gelatinas, galletas</w:t>
      </w:r>
      <w:r>
        <w:rPr>
          <w:spacing w:val="56"/>
        </w:rPr>
        <w:t> </w:t>
      </w:r>
      <w:r>
        <w:rPr/>
        <w:t>sin</w:t>
      </w:r>
      <w:r>
        <w:rPr>
          <w:spacing w:val="57"/>
        </w:rPr>
        <w:t> </w:t>
      </w:r>
      <w:r>
        <w:rPr/>
        <w:t>sal,</w:t>
      </w:r>
      <w:r>
        <w:rPr>
          <w:spacing w:val="56"/>
        </w:rPr>
        <w:t> </w:t>
      </w:r>
      <w:r>
        <w:rPr/>
        <w:t>hay</w:t>
      </w:r>
      <w:r>
        <w:rPr>
          <w:spacing w:val="54"/>
        </w:rPr>
        <w:t> </w:t>
      </w:r>
      <w:r>
        <w:rPr/>
        <w:t>que</w:t>
      </w:r>
      <w:r>
        <w:rPr>
          <w:spacing w:val="57"/>
        </w:rPr>
        <w:t> </w:t>
      </w:r>
      <w:r>
        <w:rPr/>
        <w:t>añadirlos</w:t>
      </w:r>
      <w:r>
        <w:rPr>
          <w:spacing w:val="57"/>
        </w:rPr>
        <w:t> </w:t>
      </w:r>
      <w:r>
        <w:rPr/>
        <w:t>conforme</w:t>
      </w:r>
      <w:r>
        <w:rPr>
          <w:spacing w:val="54"/>
        </w:rPr>
        <w:t> </w:t>
      </w:r>
      <w:r>
        <w:rPr/>
        <w:t>el</w:t>
      </w:r>
      <w:r>
        <w:rPr>
          <w:spacing w:val="56"/>
        </w:rPr>
        <w:t> </w:t>
      </w:r>
      <w:r>
        <w:rPr/>
        <w:t>lactante</w:t>
      </w:r>
      <w:r>
        <w:rPr>
          <w:spacing w:val="57"/>
        </w:rPr>
        <w:t> </w:t>
      </w:r>
      <w:r>
        <w:rPr/>
        <w:t>desarrolla</w:t>
      </w:r>
      <w:r>
        <w:rPr>
          <w:spacing w:val="57"/>
        </w:rPr>
        <w:t> </w:t>
      </w:r>
      <w:r>
        <w:rPr/>
        <w:t>los</w:t>
      </w:r>
      <w:r>
        <w:rPr>
          <w:spacing w:val="54"/>
        </w:rPr>
        <w:t> </w:t>
      </w:r>
      <w:r>
        <w:rPr/>
        <w:t>hábitos</w:t>
      </w:r>
      <w:r>
        <w:rPr>
          <w:spacing w:val="56"/>
        </w:rPr>
        <w:t> </w:t>
      </w:r>
      <w:r>
        <w:rPr/>
        <w:t>de</w:t>
      </w:r>
    </w:p>
    <w:p>
      <w:pPr>
        <w:pStyle w:val="BodyText"/>
        <w:spacing w:line="279" w:lineRule="exact"/>
        <w:ind w:left="102"/>
        <w:jc w:val="both"/>
        <w:rPr>
          <w:sz w:val="16"/>
        </w:rPr>
      </w:pPr>
      <w:r>
        <w:rPr/>
        <w:t>masticación y reflejo de deglución. </w:t>
      </w:r>
      <w:r>
        <w:rPr>
          <w:position w:val="11"/>
          <w:sz w:val="16"/>
        </w:rPr>
        <w:t>14, 17,18</w:t>
      </w:r>
    </w:p>
    <w:p>
      <w:pPr>
        <w:spacing w:after="0" w:line="279" w:lineRule="exact"/>
        <w:jc w:val="both"/>
        <w:rPr>
          <w:sz w:val="16"/>
        </w:rPr>
        <w:sectPr>
          <w:pgSz w:w="12240" w:h="15840"/>
          <w:pgMar w:header="0" w:footer="1003" w:top="1360" w:bottom="1200" w:left="1600" w:right="1220"/>
        </w:sectPr>
      </w:pPr>
    </w:p>
    <w:p>
      <w:pPr>
        <w:pStyle w:val="BodyText"/>
        <w:spacing w:line="345" w:lineRule="auto" w:before="54"/>
        <w:ind w:left="102" w:right="101"/>
        <w:jc w:val="both"/>
        <w:rPr>
          <w:sz w:val="16"/>
        </w:rPr>
      </w:pPr>
      <w:r>
        <w:rPr/>
        <w:t>Deben de evitarse alimentos con alto contenido de carbohidratos que generalmente  es ignorado por la familia quienes acostumbran a agregar dos o tres cucharadas de azúcar al biberón o endulzar las papillas para que el niño los acepte</w:t>
      </w:r>
      <w:r>
        <w:rPr>
          <w:spacing w:val="-16"/>
        </w:rPr>
        <w:t> </w:t>
      </w:r>
      <w:r>
        <w:rPr/>
        <w:t>mejor.</w:t>
      </w:r>
      <w:r>
        <w:rPr>
          <w:position w:val="11"/>
          <w:sz w:val="16"/>
        </w:rPr>
        <w:t>18</w:t>
      </w:r>
    </w:p>
    <w:p>
      <w:pPr>
        <w:pStyle w:val="BodyText"/>
        <w:spacing w:before="3"/>
        <w:rPr>
          <w:sz w:val="36"/>
        </w:rPr>
      </w:pPr>
    </w:p>
    <w:p>
      <w:pPr>
        <w:pStyle w:val="Heading1"/>
        <w:numPr>
          <w:ilvl w:val="0"/>
          <w:numId w:val="2"/>
        </w:numPr>
        <w:tabs>
          <w:tab w:pos="573" w:val="left" w:leader="none"/>
        </w:tabs>
        <w:spacing w:line="240" w:lineRule="auto" w:before="0" w:after="0"/>
        <w:ind w:left="572" w:right="0" w:hanging="470"/>
        <w:jc w:val="both"/>
      </w:pPr>
      <w:r>
        <w:rPr/>
        <w:t>CARIES</w:t>
      </w:r>
    </w:p>
    <w:p>
      <w:pPr>
        <w:pStyle w:val="BodyText"/>
        <w:rPr>
          <w:b/>
        </w:rPr>
      </w:pPr>
    </w:p>
    <w:p>
      <w:pPr>
        <w:pStyle w:val="BodyText"/>
        <w:spacing w:line="350" w:lineRule="auto" w:before="139"/>
        <w:ind w:left="102" w:right="108"/>
        <w:jc w:val="both"/>
        <w:rPr>
          <w:sz w:val="16"/>
        </w:rPr>
      </w:pPr>
      <w:r>
        <w:rPr/>
        <w:t>Es una enfermedad de origen multifactorial, dinámica y de progresión lenta. Los síntomas relacionados a ella incluyen la pérdida gradual de minerales, que van desde una disolución ultraestructural y microscópica, hasta la destrucción total de sus tejidos dentarios.</w:t>
      </w:r>
      <w:r>
        <w:rPr>
          <w:spacing w:val="59"/>
        </w:rPr>
        <w:t> </w:t>
      </w:r>
      <w:r>
        <w:rPr>
          <w:position w:val="11"/>
          <w:sz w:val="16"/>
        </w:rPr>
        <w:t>12,13,18</w:t>
      </w:r>
    </w:p>
    <w:p>
      <w:pPr>
        <w:pStyle w:val="BodyText"/>
        <w:spacing w:before="8"/>
        <w:rPr>
          <w:sz w:val="35"/>
        </w:rPr>
      </w:pPr>
    </w:p>
    <w:p>
      <w:pPr>
        <w:pStyle w:val="Heading1"/>
        <w:numPr>
          <w:ilvl w:val="1"/>
          <w:numId w:val="2"/>
        </w:numPr>
        <w:tabs>
          <w:tab w:pos="705" w:val="left" w:leader="none"/>
        </w:tabs>
        <w:spacing w:line="240" w:lineRule="auto" w:before="1" w:after="0"/>
        <w:ind w:left="704" w:right="0" w:hanging="602"/>
        <w:jc w:val="both"/>
      </w:pPr>
      <w:r>
        <w:rPr/>
        <w:t>Etiología de la Caries</w:t>
      </w:r>
      <w:r>
        <w:rPr>
          <w:spacing w:val="-7"/>
        </w:rPr>
        <w:t> </w:t>
      </w:r>
      <w:r>
        <w:rPr/>
        <w:t>Cental</w:t>
      </w:r>
    </w:p>
    <w:p>
      <w:pPr>
        <w:pStyle w:val="BodyText"/>
        <w:spacing w:before="10"/>
        <w:rPr>
          <w:b/>
          <w:sz w:val="35"/>
        </w:rPr>
      </w:pPr>
    </w:p>
    <w:p>
      <w:pPr>
        <w:pStyle w:val="BodyText"/>
        <w:ind w:left="102"/>
        <w:jc w:val="both"/>
      </w:pPr>
      <w:r>
        <w:rPr/>
        <w:t>La caries es una enfermedad infecciosa y transmisible que requiere cuatro factores:</w:t>
      </w:r>
    </w:p>
    <w:p>
      <w:pPr>
        <w:pStyle w:val="BodyText"/>
      </w:pPr>
    </w:p>
    <w:p>
      <w:pPr>
        <w:pStyle w:val="BodyText"/>
        <w:ind w:left="102" w:right="108"/>
        <w:jc w:val="both"/>
      </w:pPr>
      <w:r>
        <w:rPr/>
        <w:t>A.- Huésped susceptible (diente): El diente ofrece puntos débiles que lo predispone al ataque de la caries:</w:t>
      </w:r>
    </w:p>
    <w:p>
      <w:pPr>
        <w:pStyle w:val="BodyText"/>
      </w:pPr>
    </w:p>
    <w:p>
      <w:pPr>
        <w:pStyle w:val="ListParagraph"/>
        <w:numPr>
          <w:ilvl w:val="0"/>
          <w:numId w:val="4"/>
        </w:numPr>
        <w:tabs>
          <w:tab w:pos="338" w:val="left" w:leader="none"/>
        </w:tabs>
        <w:spacing w:line="240" w:lineRule="auto" w:before="0" w:after="0"/>
        <w:ind w:left="102" w:right="108" w:firstLine="0"/>
        <w:jc w:val="both"/>
        <w:rPr>
          <w:sz w:val="24"/>
        </w:rPr>
      </w:pPr>
      <w:r>
        <w:rPr>
          <w:sz w:val="24"/>
        </w:rPr>
        <w:t>Anatomía: existen zonas retentivas como las fosas y fisuras profundas y las superficies proximales, donde es limitado el acceso de la saliva y de los instrumentos de</w:t>
      </w:r>
      <w:r>
        <w:rPr>
          <w:spacing w:val="-3"/>
          <w:sz w:val="24"/>
        </w:rPr>
        <w:t> </w:t>
      </w:r>
      <w:r>
        <w:rPr>
          <w:sz w:val="24"/>
        </w:rPr>
        <w:t>higiene.</w:t>
      </w:r>
    </w:p>
    <w:p>
      <w:pPr>
        <w:pStyle w:val="BodyText"/>
      </w:pPr>
    </w:p>
    <w:p>
      <w:pPr>
        <w:pStyle w:val="ListParagraph"/>
        <w:numPr>
          <w:ilvl w:val="0"/>
          <w:numId w:val="4"/>
        </w:numPr>
        <w:tabs>
          <w:tab w:pos="270" w:val="left" w:leader="none"/>
        </w:tabs>
        <w:spacing w:line="240" w:lineRule="auto" w:before="0" w:after="0"/>
        <w:ind w:left="102" w:right="98" w:firstLine="0"/>
        <w:jc w:val="both"/>
        <w:rPr>
          <w:sz w:val="24"/>
        </w:rPr>
      </w:pPr>
      <w:r>
        <w:rPr>
          <w:sz w:val="24"/>
        </w:rPr>
        <w:t>Disposición de dientes en la arcada: el apiñamiento dentario predispone a la caries dental.</w:t>
      </w:r>
    </w:p>
    <w:p>
      <w:pPr>
        <w:pStyle w:val="BodyText"/>
        <w:spacing w:before="2"/>
      </w:pPr>
    </w:p>
    <w:p>
      <w:pPr>
        <w:pStyle w:val="ListParagraph"/>
        <w:numPr>
          <w:ilvl w:val="0"/>
          <w:numId w:val="4"/>
        </w:numPr>
        <w:tabs>
          <w:tab w:pos="314" w:val="left" w:leader="none"/>
        </w:tabs>
        <w:spacing w:line="360" w:lineRule="auto" w:before="0" w:after="0"/>
        <w:ind w:left="102" w:right="109" w:firstLine="0"/>
        <w:jc w:val="both"/>
        <w:rPr>
          <w:sz w:val="24"/>
        </w:rPr>
      </w:pPr>
      <w:r>
        <w:rPr>
          <w:sz w:val="24"/>
        </w:rPr>
        <w:t>Constitución del esmalte: las deficiencias adquiridas durante la formación de la matriz o en la mineralización puede favorecer el desarrollo de la</w:t>
      </w:r>
      <w:r>
        <w:rPr>
          <w:spacing w:val="-27"/>
          <w:sz w:val="24"/>
        </w:rPr>
        <w:t> </w:t>
      </w:r>
      <w:r>
        <w:rPr>
          <w:sz w:val="24"/>
        </w:rPr>
        <w:t>caries.</w:t>
      </w:r>
    </w:p>
    <w:p>
      <w:pPr>
        <w:pStyle w:val="BodyText"/>
      </w:pPr>
    </w:p>
    <w:p>
      <w:pPr>
        <w:pStyle w:val="ListParagraph"/>
        <w:numPr>
          <w:ilvl w:val="0"/>
          <w:numId w:val="4"/>
        </w:numPr>
        <w:tabs>
          <w:tab w:pos="270" w:val="left" w:leader="none"/>
        </w:tabs>
        <w:spacing w:line="360" w:lineRule="auto" w:before="142" w:after="0"/>
        <w:ind w:left="102" w:right="99" w:firstLine="0"/>
        <w:jc w:val="both"/>
        <w:rPr>
          <w:sz w:val="24"/>
        </w:rPr>
      </w:pPr>
      <w:r>
        <w:rPr>
          <w:sz w:val="24"/>
        </w:rPr>
        <w:t>Edad posteruptiva del diente: la susceptibilidad de caries es mayor inmediatamente después de la erupción de diente, y disminuye con la</w:t>
      </w:r>
      <w:r>
        <w:rPr>
          <w:spacing w:val="-18"/>
          <w:sz w:val="24"/>
        </w:rPr>
        <w:t> </w:t>
      </w:r>
      <w:r>
        <w:rPr>
          <w:sz w:val="24"/>
        </w:rPr>
        <w:t>edad.</w:t>
      </w:r>
    </w:p>
    <w:p>
      <w:pPr>
        <w:pStyle w:val="BodyText"/>
      </w:pPr>
    </w:p>
    <w:p>
      <w:pPr>
        <w:pStyle w:val="BodyText"/>
        <w:spacing w:line="360" w:lineRule="auto" w:before="140"/>
        <w:ind w:left="102" w:right="100"/>
        <w:jc w:val="both"/>
      </w:pPr>
      <w:r>
        <w:rPr/>
        <w:t>B.- Flora bucal cariogénica (microorganismos – </w:t>
      </w:r>
      <w:r>
        <w:rPr>
          <w:i/>
        </w:rPr>
        <w:t>Estreptococo mutans</w:t>
      </w:r>
      <w:r>
        <w:rPr/>
        <w:t>): Los primeros microorganismos suelen ser bacterias grampositivas principalmente estreptococos y lactobacilos, que producen ácido láctico difícil de neutralizar.</w:t>
      </w:r>
    </w:p>
    <w:p>
      <w:pPr>
        <w:spacing w:after="0" w:line="360" w:lineRule="auto"/>
        <w:jc w:val="both"/>
        <w:sectPr>
          <w:pgSz w:w="12240" w:h="15840"/>
          <w:pgMar w:header="0" w:footer="1003" w:top="1360" w:bottom="1200" w:left="1600" w:right="1220"/>
        </w:sectPr>
      </w:pPr>
    </w:p>
    <w:p>
      <w:pPr>
        <w:pStyle w:val="BodyText"/>
        <w:spacing w:line="360" w:lineRule="auto" w:before="54"/>
        <w:ind w:left="102" w:right="102"/>
        <w:jc w:val="both"/>
      </w:pPr>
      <w:r>
        <w:rPr/>
        <w:t>C.-Sustrato (carbohidratos fermentables en la dieta): La sacarosa es el sustrato más cariogénico ya que produce glucano, polisacárido responsable de la adhesión a la placa dental. Cuando el pH en boca cae por debajo de </w:t>
      </w:r>
      <w:r>
        <w:rPr>
          <w:spacing w:val="3"/>
        </w:rPr>
        <w:t>5.5 </w:t>
      </w:r>
      <w:r>
        <w:rPr/>
        <w:t>(valor crítico) comienza a producirse la desmineralización del esmalte. El proceso comienza de los 3 a 5 minutos después de la ingesta y tarda entre 30 a 60 minutos en alcanzar el pH neutro de 7. Por lo tanto decimos que la ingesta frecuente de azúcares extrínsecos sin la realización de la higiene bucal entre horas, favorece la aparición de caries, al prolongar los niveles de pH bajos en el medio</w:t>
      </w:r>
      <w:r>
        <w:rPr>
          <w:spacing w:val="-15"/>
        </w:rPr>
        <w:t> </w:t>
      </w:r>
      <w:r>
        <w:rPr/>
        <w:t>bucal.</w:t>
      </w:r>
    </w:p>
    <w:p>
      <w:pPr>
        <w:pStyle w:val="BodyText"/>
      </w:pPr>
    </w:p>
    <w:p>
      <w:pPr>
        <w:pStyle w:val="BodyText"/>
        <w:spacing w:line="360" w:lineRule="auto" w:before="142"/>
        <w:ind w:left="102" w:right="106"/>
        <w:jc w:val="both"/>
      </w:pPr>
      <w:r>
        <w:rPr/>
        <w:t>Cuando las bacterias colonizan una superficie dental con sacarosa producen ácido láctico por la fermentación de los carbohidratos, originando la disolución de los cristales de hidroxiapatita y produciendo la caries dental.</w:t>
      </w:r>
    </w:p>
    <w:p>
      <w:pPr>
        <w:pStyle w:val="BodyText"/>
        <w:spacing w:before="2"/>
      </w:pPr>
    </w:p>
    <w:p>
      <w:pPr>
        <w:pStyle w:val="BodyText"/>
        <w:spacing w:line="360" w:lineRule="auto"/>
        <w:ind w:left="102" w:right="99"/>
        <w:jc w:val="both"/>
      </w:pPr>
      <w:r>
        <w:rPr/>
        <w:t>D.- Tiempo: La presencia y formación de caries en niños no está solamente relacionada con la cantidad de carbohidratos ingeridos, sino también por la consistencia del alimento y la frecuencia de ingestión. Como después de la ingestión de alimentos cariogénicos el pH baja al nivel de 5 y se mantiene aproximadamente 45 minutos, la frecuencia por encima de 6 ingestión/día contribuye para aumentar el riesgo de caries. Cuando el consumo de alimentos ocurre entre las comidas, esto determina una acidificación de placa en forma continua que perturba la capacidad buffer, así como altera el mecanismo remineralización y desmineralización, aumentando el riesgo de caries.</w:t>
      </w:r>
    </w:p>
    <w:p>
      <w:pPr>
        <w:pStyle w:val="BodyText"/>
        <w:spacing w:before="5"/>
      </w:pPr>
    </w:p>
    <w:p>
      <w:pPr>
        <w:pStyle w:val="Heading1"/>
        <w:numPr>
          <w:ilvl w:val="1"/>
          <w:numId w:val="2"/>
        </w:numPr>
        <w:tabs>
          <w:tab w:pos="772" w:val="left" w:leader="none"/>
        </w:tabs>
        <w:spacing w:line="240" w:lineRule="auto" w:before="0" w:after="0"/>
        <w:ind w:left="771" w:right="0" w:hanging="669"/>
        <w:jc w:val="both"/>
      </w:pPr>
      <w:r>
        <w:rPr/>
        <w:t>Manifestaciones Clínicas de la Caries</w:t>
      </w:r>
      <w:r>
        <w:rPr>
          <w:spacing w:val="-16"/>
        </w:rPr>
        <w:t> </w:t>
      </w:r>
      <w:r>
        <w:rPr/>
        <w:t>Dental:</w:t>
      </w:r>
    </w:p>
    <w:p>
      <w:pPr>
        <w:pStyle w:val="BodyText"/>
        <w:rPr>
          <w:b/>
        </w:rPr>
      </w:pPr>
    </w:p>
    <w:p>
      <w:pPr>
        <w:pStyle w:val="BodyText"/>
        <w:rPr>
          <w:b/>
        </w:rPr>
      </w:pPr>
    </w:p>
    <w:p>
      <w:pPr>
        <w:pStyle w:val="ListParagraph"/>
        <w:numPr>
          <w:ilvl w:val="0"/>
          <w:numId w:val="5"/>
        </w:numPr>
        <w:tabs>
          <w:tab w:pos="253" w:val="left" w:leader="none"/>
        </w:tabs>
        <w:spacing w:line="240" w:lineRule="auto" w:before="0" w:after="0"/>
        <w:ind w:left="252" w:right="0" w:hanging="150"/>
        <w:jc w:val="both"/>
        <w:rPr>
          <w:b/>
          <w:sz w:val="24"/>
        </w:rPr>
      </w:pPr>
      <w:r>
        <w:rPr>
          <w:b/>
          <w:sz w:val="24"/>
        </w:rPr>
        <w:t>Lesión inicial de caries en la superficie del</w:t>
      </w:r>
      <w:r>
        <w:rPr>
          <w:b/>
          <w:spacing w:val="-17"/>
          <w:sz w:val="24"/>
        </w:rPr>
        <w:t> </w:t>
      </w:r>
      <w:r>
        <w:rPr>
          <w:b/>
          <w:sz w:val="24"/>
        </w:rPr>
        <w:t>esmalte</w:t>
      </w:r>
    </w:p>
    <w:p>
      <w:pPr>
        <w:pStyle w:val="BodyText"/>
        <w:spacing w:line="360" w:lineRule="auto" w:before="137"/>
        <w:ind w:left="102" w:right="108"/>
        <w:jc w:val="both"/>
      </w:pPr>
      <w:r>
        <w:rPr/>
        <w:t>El estadío más temprano de caries implica la disolución del esmalte, con la apertura de las vías de difusión. En estos casos se produce un reblandecimiento de la superficie. Cuando la desmineralización llega a la superficie, el porcentaje de pérdida de mineral se vuelve mayor en esta zona que en la superficie produciéndose la llamada  “lesión  subsuperficial”.  Se  ha  demostrado  que  la  capa  subsuperficial</w:t>
      </w:r>
      <w:r>
        <w:rPr>
          <w:spacing w:val="26"/>
        </w:rPr>
        <w:t> </w:t>
      </w:r>
      <w:r>
        <w:rPr/>
        <w:t>del</w:t>
      </w:r>
    </w:p>
    <w:p>
      <w:pPr>
        <w:spacing w:after="0" w:line="360" w:lineRule="auto"/>
        <w:jc w:val="both"/>
        <w:sectPr>
          <w:pgSz w:w="12240" w:h="15840"/>
          <w:pgMar w:header="0" w:footer="1003" w:top="1360" w:bottom="1200" w:left="1600" w:right="1220"/>
        </w:sectPr>
      </w:pPr>
    </w:p>
    <w:p>
      <w:pPr>
        <w:pStyle w:val="BodyText"/>
        <w:spacing w:line="331" w:lineRule="auto" w:before="54"/>
        <w:ind w:left="102" w:right="110"/>
        <w:jc w:val="both"/>
        <w:rPr>
          <w:sz w:val="16"/>
        </w:rPr>
      </w:pPr>
      <w:r>
        <w:rPr/>
        <w:t>esmalte puede repararse por deposición del calcio y fosfatos disueltos desde la superficie del esmalte. </w:t>
      </w:r>
      <w:r>
        <w:rPr>
          <w:position w:val="11"/>
          <w:sz w:val="16"/>
        </w:rPr>
        <w:t>19</w:t>
      </w:r>
    </w:p>
    <w:p>
      <w:pPr>
        <w:pStyle w:val="BodyText"/>
        <w:spacing w:before="9"/>
        <w:rPr>
          <w:sz w:val="25"/>
        </w:rPr>
      </w:pPr>
    </w:p>
    <w:p>
      <w:pPr>
        <w:pStyle w:val="ListParagraph"/>
        <w:numPr>
          <w:ilvl w:val="0"/>
          <w:numId w:val="6"/>
        </w:numPr>
        <w:tabs>
          <w:tab w:pos="256" w:val="left" w:leader="none"/>
        </w:tabs>
        <w:spacing w:line="360" w:lineRule="auto" w:before="0" w:after="0"/>
        <w:ind w:left="102" w:right="99" w:firstLine="0"/>
        <w:jc w:val="both"/>
        <w:rPr>
          <w:sz w:val="24"/>
        </w:rPr>
      </w:pPr>
      <w:r>
        <w:rPr>
          <w:b/>
          <w:sz w:val="24"/>
        </w:rPr>
        <w:t>Lesión inicial de caries en fosas y fisuras: </w:t>
      </w:r>
      <w:r>
        <w:rPr>
          <w:sz w:val="24"/>
        </w:rPr>
        <w:t>Inicialmente la lesión no se forma en el fondo si no en las paredes de las fisuras, y tiene el aspecto de dos lesiones pequeñas similares a las de la superficie lisa. Esto se debe a la presencia de material orgánico en el fondo de la fisura, que actúa como un tapón amortiguador contra los residuos básicos de la placa, suavizando el ataque ácido en la base de la fisura durante la fase inicial de formación de</w:t>
      </w:r>
      <w:r>
        <w:rPr>
          <w:spacing w:val="-10"/>
          <w:sz w:val="24"/>
        </w:rPr>
        <w:t> </w:t>
      </w:r>
      <w:r>
        <w:rPr>
          <w:sz w:val="24"/>
        </w:rPr>
        <w:t>caries.</w:t>
      </w:r>
    </w:p>
    <w:p>
      <w:pPr>
        <w:pStyle w:val="BodyText"/>
      </w:pPr>
    </w:p>
    <w:p>
      <w:pPr>
        <w:pStyle w:val="ListParagraph"/>
        <w:numPr>
          <w:ilvl w:val="0"/>
          <w:numId w:val="6"/>
        </w:numPr>
        <w:tabs>
          <w:tab w:pos="302" w:val="left" w:leader="none"/>
        </w:tabs>
        <w:spacing w:line="360" w:lineRule="auto" w:before="142" w:after="0"/>
        <w:ind w:left="102" w:right="103" w:firstLine="0"/>
        <w:jc w:val="both"/>
        <w:rPr>
          <w:sz w:val="24"/>
        </w:rPr>
      </w:pPr>
      <w:r>
        <w:rPr>
          <w:b/>
          <w:sz w:val="24"/>
        </w:rPr>
        <w:t>Caries en dentina</w:t>
      </w:r>
      <w:r>
        <w:rPr>
          <w:sz w:val="24"/>
        </w:rPr>
        <w:t>: La dentina y el tejido pulpar son tejidos vitales íntimamente interconectados, y constituyen una unidad biológica capaz de reaccionar frente a una agresión mediante los siguientes</w:t>
      </w:r>
      <w:r>
        <w:rPr>
          <w:spacing w:val="-15"/>
          <w:sz w:val="24"/>
        </w:rPr>
        <w:t> </w:t>
      </w:r>
      <w:r>
        <w:rPr>
          <w:sz w:val="24"/>
        </w:rPr>
        <w:t>mecanismos:</w:t>
      </w:r>
    </w:p>
    <w:p>
      <w:pPr>
        <w:pStyle w:val="BodyText"/>
      </w:pPr>
    </w:p>
    <w:p>
      <w:pPr>
        <w:pStyle w:val="BodyText"/>
        <w:spacing w:line="360" w:lineRule="auto" w:before="142"/>
        <w:ind w:left="102" w:right="109"/>
        <w:jc w:val="both"/>
      </w:pPr>
      <w:r>
        <w:rPr/>
        <w:t>-Esclerosis tubular: Proceso por el que se deposita mineral en la luz de los túbulos dentinarios. Se suele observar justo en la periferia de las lesiones de caries que afectan a la dentina.</w:t>
      </w:r>
    </w:p>
    <w:p>
      <w:pPr>
        <w:pStyle w:val="BodyText"/>
      </w:pPr>
    </w:p>
    <w:p>
      <w:pPr>
        <w:pStyle w:val="BodyText"/>
        <w:spacing w:line="350" w:lineRule="auto" w:before="142"/>
        <w:ind w:left="102" w:right="100"/>
        <w:jc w:val="both"/>
        <w:rPr>
          <w:sz w:val="16"/>
        </w:rPr>
      </w:pPr>
      <w:r>
        <w:rPr/>
        <w:t>-Formación de la dentina reparadora: Constituye la creación de una capa de dentina irregular en la interfase de la dentina y la pulpa. Es llamada también “dentina  terciaria”, para diferenciarla de la “dentina primaria “formada antes de la erupción dentaria, y de la “dentina secundaria” formada durante toda la vida. </w:t>
      </w:r>
      <w:r>
        <w:rPr>
          <w:position w:val="11"/>
          <w:sz w:val="16"/>
        </w:rPr>
        <w:t>19,</w:t>
      </w:r>
      <w:r>
        <w:rPr>
          <w:spacing w:val="-25"/>
          <w:position w:val="11"/>
          <w:sz w:val="16"/>
        </w:rPr>
        <w:t> </w:t>
      </w:r>
      <w:r>
        <w:rPr>
          <w:position w:val="11"/>
          <w:sz w:val="16"/>
        </w:rPr>
        <w:t>20</w:t>
      </w:r>
    </w:p>
    <w:p>
      <w:pPr>
        <w:pStyle w:val="BodyText"/>
        <w:spacing w:before="6"/>
        <w:rPr>
          <w:sz w:val="35"/>
        </w:rPr>
      </w:pPr>
    </w:p>
    <w:p>
      <w:pPr>
        <w:pStyle w:val="Heading1"/>
        <w:numPr>
          <w:ilvl w:val="1"/>
          <w:numId w:val="2"/>
        </w:numPr>
        <w:tabs>
          <w:tab w:pos="772" w:val="left" w:leader="none"/>
        </w:tabs>
        <w:spacing w:line="240" w:lineRule="auto" w:before="0" w:after="0"/>
        <w:ind w:left="771" w:right="0" w:hanging="669"/>
        <w:jc w:val="both"/>
      </w:pPr>
      <w:r>
        <w:rPr/>
        <w:t>Diagnóstico de</w:t>
      </w:r>
      <w:r>
        <w:rPr>
          <w:spacing w:val="-6"/>
        </w:rPr>
        <w:t> </w:t>
      </w:r>
      <w:r>
        <w:rPr/>
        <w:t>Caries</w:t>
      </w:r>
    </w:p>
    <w:p>
      <w:pPr>
        <w:pStyle w:val="BodyText"/>
        <w:spacing w:before="2"/>
        <w:rPr>
          <w:b/>
        </w:rPr>
      </w:pPr>
    </w:p>
    <w:p>
      <w:pPr>
        <w:pStyle w:val="BodyText"/>
        <w:spacing w:line="360" w:lineRule="auto"/>
        <w:ind w:left="102" w:right="99"/>
        <w:jc w:val="both"/>
      </w:pPr>
      <w:r>
        <w:rPr/>
        <w:t>La caries se manifiesta de diferentes maneras en las distintas superficies dentarias. Las lesiones cavitadas no constituyen ningún problema en el diagnóstico, mientras que las lesiones incipientes son más difíciles de identificar. El diagnóstico de caries se basa en el uso de una o más de las cuatro técnicas básicas: examen visual, examen táctil con sonda, examen radiográfico y trasiluminaciòn. En la exploración clínica de las lesiones de fosas y fisuras se consideran los siguientes criterios de diagnóstico: Opacidad alrededor de la fosa o fisura: indica que el esmalte subyacente se</w:t>
      </w:r>
      <w:r>
        <w:rPr>
          <w:spacing w:val="-17"/>
        </w:rPr>
        <w:t> </w:t>
      </w:r>
      <w:r>
        <w:rPr/>
        <w:t>encuentra</w:t>
      </w:r>
    </w:p>
    <w:p>
      <w:pPr>
        <w:spacing w:after="0" w:line="360" w:lineRule="auto"/>
        <w:jc w:val="both"/>
        <w:sectPr>
          <w:pgSz w:w="12240" w:h="15840"/>
          <w:pgMar w:header="0" w:footer="1003" w:top="1360" w:bottom="1200" w:left="1600" w:right="1220"/>
        </w:sectPr>
      </w:pPr>
    </w:p>
    <w:p>
      <w:pPr>
        <w:pStyle w:val="BodyText"/>
        <w:spacing w:line="331" w:lineRule="auto" w:before="54"/>
        <w:ind w:left="102" w:right="110"/>
        <w:jc w:val="both"/>
        <w:rPr>
          <w:sz w:val="16"/>
        </w:rPr>
      </w:pPr>
      <w:r>
        <w:rPr/>
        <w:t>socavado o desmineralizado. Reblandecimiento de la base de la fosa o la fisura. Esmalte reblandecido en el área adyacente. </w:t>
      </w:r>
      <w:r>
        <w:rPr>
          <w:position w:val="11"/>
          <w:sz w:val="16"/>
        </w:rPr>
        <w:t>19, 20, 22</w:t>
      </w:r>
    </w:p>
    <w:p>
      <w:pPr>
        <w:pStyle w:val="BodyText"/>
        <w:spacing w:before="10"/>
        <w:rPr>
          <w:sz w:val="37"/>
        </w:rPr>
      </w:pPr>
    </w:p>
    <w:p>
      <w:pPr>
        <w:pStyle w:val="BodyText"/>
        <w:spacing w:line="360" w:lineRule="auto"/>
        <w:ind w:left="102" w:right="99"/>
        <w:jc w:val="both"/>
      </w:pPr>
      <w:r>
        <w:rPr/>
        <w:t>La caries incipiente en fosas y fisuras es difícil de diagnosticar por radiografía de aleta de mordida. Sin embargo una lesión de caries poco agresiva pueden conducir a una infravaloración de su diagnóstico, como ocurre con la caries oculta. En fosas y fisuras donde se sospecha la existencia de caries se puede facilitar la exploración clínica mediante una apertura mínima de la fisura con una fresa redonda muy pequeña </w:t>
      </w:r>
      <w:r>
        <w:rPr>
          <w:spacing w:val="64"/>
        </w:rPr>
        <w:t> </w:t>
      </w:r>
      <w:r>
        <w:rPr/>
        <w:t>para</w:t>
      </w:r>
    </w:p>
    <w:p>
      <w:pPr>
        <w:pStyle w:val="BodyText"/>
        <w:spacing w:line="279" w:lineRule="exact"/>
        <w:ind w:left="102"/>
        <w:jc w:val="both"/>
        <w:rPr>
          <w:sz w:val="16"/>
        </w:rPr>
      </w:pPr>
      <w:r>
        <w:rPr/>
        <w:t>realizar un diagnóstico más exacto.</w:t>
      </w:r>
      <w:r>
        <w:rPr>
          <w:position w:val="11"/>
          <w:sz w:val="16"/>
        </w:rPr>
        <w:t>21-23</w:t>
      </w:r>
    </w:p>
    <w:p>
      <w:pPr>
        <w:pStyle w:val="BodyText"/>
        <w:rPr>
          <w:sz w:val="28"/>
        </w:rPr>
      </w:pPr>
    </w:p>
    <w:p>
      <w:pPr>
        <w:pStyle w:val="Heading1"/>
        <w:numPr>
          <w:ilvl w:val="1"/>
          <w:numId w:val="2"/>
        </w:numPr>
        <w:tabs>
          <w:tab w:pos="705" w:val="left" w:leader="none"/>
        </w:tabs>
        <w:spacing w:line="240" w:lineRule="auto" w:before="230" w:after="0"/>
        <w:ind w:left="704" w:right="0" w:hanging="602"/>
        <w:jc w:val="both"/>
      </w:pPr>
      <w:r>
        <w:rPr/>
        <w:t>Caries Temprana de la</w:t>
      </w:r>
      <w:r>
        <w:rPr>
          <w:spacing w:val="-10"/>
        </w:rPr>
        <w:t> </w:t>
      </w:r>
      <w:r>
        <w:rPr/>
        <w:t>Infancia</w:t>
      </w:r>
    </w:p>
    <w:p>
      <w:pPr>
        <w:pStyle w:val="BodyText"/>
        <w:rPr>
          <w:b/>
        </w:rPr>
      </w:pPr>
    </w:p>
    <w:p>
      <w:pPr>
        <w:pStyle w:val="BodyText"/>
        <w:spacing w:line="350" w:lineRule="auto" w:before="139"/>
        <w:ind w:left="102" w:right="108"/>
        <w:jc w:val="both"/>
        <w:rPr>
          <w:sz w:val="16"/>
        </w:rPr>
      </w:pPr>
      <w:r>
        <w:rPr/>
        <w:t>La Academia Americana de Odontología Pediátrica define a la Caries de Infancia Temprana (C.I.T.), como la presencia de uno o más dientes cariados (cavitados o no), ausente (debido a caries) o restaurada en la dentición primaria en niños de edad preescolar, es decir, entre el nacimiento y los 71 meses de edad. </w:t>
      </w:r>
      <w:r>
        <w:rPr>
          <w:position w:val="11"/>
          <w:sz w:val="16"/>
        </w:rPr>
        <w:t>24</w:t>
      </w:r>
    </w:p>
    <w:p>
      <w:pPr>
        <w:pStyle w:val="BodyText"/>
        <w:spacing w:before="8"/>
        <w:rPr>
          <w:sz w:val="35"/>
        </w:rPr>
      </w:pPr>
    </w:p>
    <w:p>
      <w:pPr>
        <w:pStyle w:val="BodyText"/>
        <w:spacing w:line="360" w:lineRule="auto" w:before="1"/>
        <w:ind w:left="102" w:right="104"/>
        <w:jc w:val="both"/>
      </w:pPr>
      <w:r>
        <w:rPr/>
        <w:t>Los dientes temporales con respecto a los permanentes tienen un grosor y una calcificación menor en el esmalte, y esto favorece el avance de las lesiones afectando varios dientes, con frecuencia recién erupcionando. En esta denominación se debe destacar el “síndrome de caries de biberón “que no es más que aquellas caries que se observa</w:t>
      </w:r>
      <w:r>
        <w:rPr>
          <w:spacing w:val="51"/>
        </w:rPr>
        <w:t> </w:t>
      </w:r>
      <w:r>
        <w:rPr/>
        <w:t>en niños, específicamente en</w:t>
      </w:r>
      <w:r>
        <w:rPr>
          <w:spacing w:val="51"/>
        </w:rPr>
        <w:t> </w:t>
      </w:r>
      <w:r>
        <w:rPr/>
        <w:t>la</w:t>
      </w:r>
      <w:r>
        <w:rPr>
          <w:spacing w:val="51"/>
        </w:rPr>
        <w:t> </w:t>
      </w:r>
      <w:r>
        <w:rPr/>
        <w:t>zona anterior de</w:t>
      </w:r>
      <w:r>
        <w:rPr>
          <w:spacing w:val="51"/>
        </w:rPr>
        <w:t> </w:t>
      </w:r>
      <w:r>
        <w:rPr/>
        <w:t>los incisivos</w:t>
      </w:r>
      <w:r>
        <w:rPr>
          <w:spacing w:val="50"/>
        </w:rPr>
        <w:t> </w:t>
      </w:r>
      <w:r>
        <w:rPr/>
        <w:t>superiores</w:t>
      </w:r>
    </w:p>
    <w:p>
      <w:pPr>
        <w:pStyle w:val="BodyText"/>
        <w:spacing w:line="328" w:lineRule="auto" w:before="5"/>
        <w:ind w:left="102" w:right="110"/>
        <w:jc w:val="both"/>
        <w:rPr>
          <w:sz w:val="16"/>
        </w:rPr>
      </w:pPr>
      <w:r>
        <w:rPr/>
        <w:t>debido a una alimentación prolongada por biberón o lactancia materna, producido durante los dos primeros años de vida. </w:t>
      </w:r>
      <w:r>
        <w:rPr>
          <w:position w:val="11"/>
          <w:sz w:val="16"/>
        </w:rPr>
        <w:t>25, 27</w:t>
      </w:r>
    </w:p>
    <w:p>
      <w:pPr>
        <w:pStyle w:val="BodyText"/>
        <w:spacing w:before="1"/>
        <w:rPr>
          <w:sz w:val="38"/>
        </w:rPr>
      </w:pPr>
    </w:p>
    <w:p>
      <w:pPr>
        <w:pStyle w:val="BodyText"/>
        <w:spacing w:line="350" w:lineRule="auto" w:before="1"/>
        <w:ind w:left="102" w:right="109"/>
        <w:jc w:val="both"/>
        <w:rPr>
          <w:sz w:val="16"/>
        </w:rPr>
      </w:pPr>
      <w:r>
        <w:rPr/>
        <w:t>La presencia en boca de carbohidratos mientras el niño duerme favorece la aparición de lesiones, debido al menor flujo salival. Entre los factores que contribuyen al desarrollo de caries temprana en el niño pequeño también se encuentra la hipoplasia del esmalte. </w:t>
      </w:r>
      <w:r>
        <w:rPr>
          <w:position w:val="11"/>
          <w:sz w:val="16"/>
        </w:rPr>
        <w:t>27</w:t>
      </w:r>
    </w:p>
    <w:p>
      <w:pPr>
        <w:spacing w:after="0" w:line="350" w:lineRule="auto"/>
        <w:jc w:val="both"/>
        <w:rPr>
          <w:sz w:val="16"/>
        </w:rPr>
        <w:sectPr>
          <w:pgSz w:w="12240" w:h="15840"/>
          <w:pgMar w:header="0" w:footer="1003" w:top="1360" w:bottom="1200" w:left="1600" w:right="1220"/>
        </w:sectPr>
      </w:pPr>
    </w:p>
    <w:p>
      <w:pPr>
        <w:pStyle w:val="Heading1"/>
        <w:numPr>
          <w:ilvl w:val="1"/>
          <w:numId w:val="2"/>
        </w:numPr>
        <w:tabs>
          <w:tab w:pos="913" w:val="left" w:leader="none"/>
          <w:tab w:pos="914" w:val="left" w:leader="none"/>
        </w:tabs>
        <w:spacing w:line="240" w:lineRule="auto" w:before="51" w:after="0"/>
        <w:ind w:left="913" w:right="0" w:hanging="670"/>
        <w:jc w:val="left"/>
      </w:pPr>
      <w:r>
        <w:rPr/>
        <w:t>Factores de Riesgo de la Caries Temprana de la</w:t>
      </w:r>
      <w:r>
        <w:rPr>
          <w:spacing w:val="-17"/>
        </w:rPr>
        <w:t> </w:t>
      </w:r>
      <w:r>
        <w:rPr/>
        <w:t>Infancia</w:t>
      </w:r>
    </w:p>
    <w:p>
      <w:pPr>
        <w:pStyle w:val="BodyText"/>
        <w:spacing w:before="2"/>
        <w:rPr>
          <w:b/>
        </w:rPr>
      </w:pPr>
    </w:p>
    <w:p>
      <w:pPr>
        <w:pStyle w:val="BodyText"/>
        <w:spacing w:line="352" w:lineRule="auto" w:before="1"/>
        <w:ind w:left="102" w:right="108"/>
        <w:jc w:val="both"/>
        <w:rPr>
          <w:sz w:val="16"/>
        </w:rPr>
      </w:pPr>
      <w:r>
        <w:rPr/>
        <w:t>Los dientes que se exponen antes a un ambiente cariogénico serán los primeros en mostrar signos de la enfermedad. Por tanto, los niños con alto riesgo pueden desarrollar caries en los incisivos superiores poco después de su erupción. Si el alto riesgo continúa se podría desarrollar caries de fisuras en los molares temporales, y posteriormente caries proximal. </w:t>
      </w:r>
      <w:r>
        <w:rPr>
          <w:position w:val="11"/>
          <w:sz w:val="16"/>
        </w:rPr>
        <w:t>28</w:t>
      </w:r>
    </w:p>
    <w:p>
      <w:pPr>
        <w:pStyle w:val="BodyText"/>
        <w:spacing w:before="5"/>
        <w:rPr>
          <w:sz w:val="35"/>
        </w:rPr>
      </w:pPr>
    </w:p>
    <w:p>
      <w:pPr>
        <w:pStyle w:val="BodyText"/>
        <w:spacing w:line="360" w:lineRule="auto" w:before="1"/>
        <w:ind w:left="102" w:right="101"/>
        <w:jc w:val="both"/>
      </w:pPr>
      <w:r>
        <w:rPr/>
        <w:t>Los niños con riesgo de caries moderado pueden iniciar caries en una edad más tardía, normalmente caries de fisura y posiblemente caries proximal en molares.</w:t>
      </w:r>
    </w:p>
    <w:p>
      <w:pPr>
        <w:pStyle w:val="BodyText"/>
        <w:spacing w:before="3"/>
        <w:ind w:left="102"/>
        <w:jc w:val="both"/>
      </w:pPr>
      <w:r>
        <w:rPr/>
        <w:t>Entre los factores de riesgo tenemos:</w:t>
      </w:r>
    </w:p>
    <w:p>
      <w:pPr>
        <w:pStyle w:val="BodyText"/>
      </w:pPr>
    </w:p>
    <w:p>
      <w:pPr>
        <w:pStyle w:val="BodyText"/>
      </w:pPr>
    </w:p>
    <w:p>
      <w:pPr>
        <w:pStyle w:val="ListParagraph"/>
        <w:numPr>
          <w:ilvl w:val="0"/>
          <w:numId w:val="6"/>
        </w:numPr>
        <w:tabs>
          <w:tab w:pos="263" w:val="left" w:leader="none"/>
        </w:tabs>
        <w:spacing w:line="360" w:lineRule="auto" w:before="0" w:after="0"/>
        <w:ind w:left="102" w:right="104" w:firstLine="0"/>
        <w:jc w:val="both"/>
        <w:rPr>
          <w:sz w:val="24"/>
        </w:rPr>
      </w:pPr>
      <w:r>
        <w:rPr>
          <w:b/>
          <w:sz w:val="24"/>
        </w:rPr>
        <w:t>Dieta Cariogénica</w:t>
      </w:r>
      <w:r>
        <w:rPr>
          <w:sz w:val="24"/>
        </w:rPr>
        <w:t>: Los hábitos alimentarios inadecuados resultan importantes para que se desarrolle la caries dental por lo cual cumplen un papel importante en los primeros años de vida. Los ácidos que son producidos por la placa dental durante la degradación bacteriana de los carbohidratos consumidos en la dieta, inician la caries dental. La caries aparece debido al consumo de cualquier carbohidrato fermentable, esto incluye a la leche con o sin azúcar, agua azucarada, jugos de frutas, gaseosas. La dieta debería contener la menor cantidad posible de azúcar. </w:t>
      </w:r>
      <w:r>
        <w:rPr>
          <w:spacing w:val="10"/>
          <w:sz w:val="24"/>
        </w:rPr>
        <w:t> </w:t>
      </w:r>
      <w:r>
        <w:rPr>
          <w:sz w:val="24"/>
        </w:rPr>
        <w:t>Desafortunadamente,</w:t>
      </w:r>
    </w:p>
    <w:p>
      <w:pPr>
        <w:pStyle w:val="BodyText"/>
        <w:spacing w:line="328" w:lineRule="auto" w:before="5"/>
        <w:ind w:left="102" w:right="109"/>
        <w:jc w:val="both"/>
        <w:rPr>
          <w:sz w:val="16"/>
        </w:rPr>
      </w:pPr>
      <w:r>
        <w:rPr/>
        <w:t>los azúcares y los dulces son usados usualmente por los padres y por los amigos como regalos, como algo bonito o bueno. </w:t>
      </w:r>
      <w:r>
        <w:rPr>
          <w:position w:val="11"/>
          <w:sz w:val="16"/>
        </w:rPr>
        <w:t>28</w:t>
      </w:r>
    </w:p>
    <w:p>
      <w:pPr>
        <w:pStyle w:val="BodyText"/>
        <w:spacing w:before="3"/>
        <w:rPr>
          <w:sz w:val="26"/>
        </w:rPr>
      </w:pPr>
    </w:p>
    <w:p>
      <w:pPr>
        <w:pStyle w:val="ListParagraph"/>
        <w:numPr>
          <w:ilvl w:val="0"/>
          <w:numId w:val="7"/>
        </w:numPr>
        <w:tabs>
          <w:tab w:pos="302" w:val="left" w:leader="none"/>
        </w:tabs>
        <w:spacing w:line="360" w:lineRule="auto" w:before="0" w:after="0"/>
        <w:ind w:left="102" w:right="99" w:firstLine="0"/>
        <w:jc w:val="both"/>
        <w:rPr>
          <w:sz w:val="24"/>
        </w:rPr>
      </w:pPr>
      <w:r>
        <w:rPr>
          <w:b/>
          <w:sz w:val="24"/>
        </w:rPr>
        <w:t>Lactancia Inadecuada: </w:t>
      </w:r>
      <w:r>
        <w:rPr>
          <w:sz w:val="24"/>
        </w:rPr>
        <w:t>La leche materna es el alimento ideal para el bebé. La lactancia natural es siempre deseable para la satisfacción psicológica y fisiológica de la madre y del bebé. Cuando la lactancia se prolonga por mucho tiempo o cuando existe el hábito de la utilización nocturna del biberón, el potencial de la enfermedad dental aumenta en niños muy pequeños. Durante el sueño se produce una disminución del reflejo de deglución y un declive de la secreción salival; la leche o líquidos  azucarados  quedan  estancados  alrededor  de  los  dientes,  dando   </w:t>
      </w:r>
      <w:r>
        <w:rPr>
          <w:spacing w:val="63"/>
          <w:sz w:val="24"/>
        </w:rPr>
        <w:t> </w:t>
      </w:r>
      <w:r>
        <w:rPr>
          <w:sz w:val="24"/>
        </w:rPr>
        <w:t>como</w:t>
      </w:r>
    </w:p>
    <w:p>
      <w:pPr>
        <w:spacing w:line="279" w:lineRule="exact" w:before="0"/>
        <w:ind w:left="102" w:right="0" w:firstLine="0"/>
        <w:jc w:val="both"/>
        <w:rPr>
          <w:sz w:val="16"/>
        </w:rPr>
      </w:pPr>
      <w:r>
        <w:rPr>
          <w:sz w:val="24"/>
        </w:rPr>
        <w:t>resultado un medio altamente cariogénico.  </w:t>
      </w:r>
      <w:r>
        <w:rPr>
          <w:position w:val="11"/>
          <w:sz w:val="16"/>
        </w:rPr>
        <w:t>17, 29, 30,</w:t>
      </w:r>
    </w:p>
    <w:p>
      <w:pPr>
        <w:spacing w:after="0" w:line="279" w:lineRule="exact"/>
        <w:jc w:val="both"/>
        <w:rPr>
          <w:sz w:val="16"/>
        </w:rPr>
        <w:sectPr>
          <w:pgSz w:w="12240" w:h="15840"/>
          <w:pgMar w:header="0" w:footer="1003" w:top="1360" w:bottom="1200" w:left="1600" w:right="1220"/>
        </w:sectPr>
      </w:pPr>
    </w:p>
    <w:p>
      <w:pPr>
        <w:pStyle w:val="ListParagraph"/>
        <w:numPr>
          <w:ilvl w:val="0"/>
          <w:numId w:val="7"/>
        </w:numPr>
        <w:tabs>
          <w:tab w:pos="294" w:val="left" w:leader="none"/>
        </w:tabs>
        <w:spacing w:line="355" w:lineRule="auto" w:before="54" w:after="0"/>
        <w:ind w:left="102" w:right="101" w:firstLine="0"/>
        <w:jc w:val="both"/>
        <w:rPr>
          <w:sz w:val="16"/>
        </w:rPr>
      </w:pPr>
      <w:r>
        <w:rPr>
          <w:b/>
          <w:sz w:val="24"/>
        </w:rPr>
        <w:t>Transmisibilidad Microbiana de Madre al Hijo: </w:t>
      </w:r>
      <w:r>
        <w:rPr>
          <w:sz w:val="24"/>
        </w:rPr>
        <w:t>La presencia de streptococos y lactobacilos en la cavidad oral de niños muy pequeños ha sido demostrada en diferentes estudios microbiológicos reportados en la literatura, siendo generalmente transmitidos de la madre a su niño mediante la saliva materna, a través de besos, de utensilios o por los dedos del infante que van de la boca de la madre a la suya, considerando la saliva como el principal vehículo de transmisibilidad.</w:t>
      </w:r>
      <w:r>
        <w:rPr>
          <w:spacing w:val="-22"/>
          <w:sz w:val="24"/>
        </w:rPr>
        <w:t> </w:t>
      </w:r>
      <w:r>
        <w:rPr>
          <w:position w:val="11"/>
          <w:sz w:val="16"/>
        </w:rPr>
        <w:t>18</w:t>
      </w:r>
    </w:p>
    <w:p>
      <w:pPr>
        <w:pStyle w:val="BodyText"/>
        <w:spacing w:before="2"/>
        <w:rPr>
          <w:sz w:val="35"/>
        </w:rPr>
      </w:pPr>
    </w:p>
    <w:p>
      <w:pPr>
        <w:pStyle w:val="Heading1"/>
        <w:spacing w:before="1"/>
        <w:jc w:val="both"/>
      </w:pPr>
      <w:r>
        <w:rPr/>
        <w:t>4 .6     Recomendaciones para Disminuir la Caries Temprana de la Infancia.</w:t>
      </w:r>
    </w:p>
    <w:p>
      <w:pPr>
        <w:pStyle w:val="BodyText"/>
        <w:spacing w:before="10"/>
        <w:rPr>
          <w:b/>
          <w:sz w:val="35"/>
        </w:rPr>
      </w:pPr>
    </w:p>
    <w:p>
      <w:pPr>
        <w:pStyle w:val="BodyText"/>
        <w:spacing w:line="360" w:lineRule="auto" w:before="1"/>
        <w:ind w:left="102" w:right="108"/>
        <w:jc w:val="both"/>
      </w:pPr>
      <w:r>
        <w:rPr/>
        <w:t>Los médicos pediatras y los demás profesionales de la salud que tienen contacto con las gestantes y madres de niños pequeños (médicos obstetras, enfermeras, etc.), deben estimularlas en el cuidado de salud oral como parte del cuidado de salud general y la de sus hijos. Deben efectuarse controles odontológicos periódicos, tanto la</w:t>
      </w:r>
      <w:r>
        <w:rPr>
          <w:spacing w:val="37"/>
        </w:rPr>
        <w:t> </w:t>
      </w:r>
      <w:r>
        <w:rPr/>
        <w:t>madre</w:t>
      </w:r>
      <w:r>
        <w:rPr>
          <w:spacing w:val="37"/>
        </w:rPr>
        <w:t> </w:t>
      </w:r>
      <w:r>
        <w:rPr/>
        <w:t>como</w:t>
      </w:r>
      <w:r>
        <w:rPr>
          <w:spacing w:val="35"/>
        </w:rPr>
        <w:t> </w:t>
      </w:r>
      <w:r>
        <w:rPr/>
        <w:t>el</w:t>
      </w:r>
      <w:r>
        <w:rPr>
          <w:spacing w:val="36"/>
        </w:rPr>
        <w:t> </w:t>
      </w:r>
      <w:r>
        <w:rPr/>
        <w:t>niño,</w:t>
      </w:r>
      <w:r>
        <w:rPr>
          <w:spacing w:val="37"/>
        </w:rPr>
        <w:t> </w:t>
      </w:r>
      <w:r>
        <w:rPr/>
        <w:t>ya</w:t>
      </w:r>
      <w:r>
        <w:rPr>
          <w:spacing w:val="37"/>
        </w:rPr>
        <w:t> </w:t>
      </w:r>
      <w:r>
        <w:rPr/>
        <w:t>que</w:t>
      </w:r>
      <w:r>
        <w:rPr>
          <w:spacing w:val="37"/>
        </w:rPr>
        <w:t> </w:t>
      </w:r>
      <w:r>
        <w:rPr/>
        <w:t>controlando</w:t>
      </w:r>
      <w:r>
        <w:rPr>
          <w:spacing w:val="35"/>
        </w:rPr>
        <w:t> </w:t>
      </w:r>
      <w:r>
        <w:rPr/>
        <w:t>los</w:t>
      </w:r>
      <w:r>
        <w:rPr>
          <w:spacing w:val="37"/>
        </w:rPr>
        <w:t> </w:t>
      </w:r>
      <w:r>
        <w:rPr/>
        <w:t>niveles</w:t>
      </w:r>
      <w:r>
        <w:rPr>
          <w:spacing w:val="37"/>
        </w:rPr>
        <w:t> </w:t>
      </w:r>
      <w:r>
        <w:rPr/>
        <w:t>de</w:t>
      </w:r>
      <w:r>
        <w:rPr>
          <w:spacing w:val="37"/>
        </w:rPr>
        <w:t> </w:t>
      </w:r>
      <w:r>
        <w:rPr/>
        <w:t>higiene</w:t>
      </w:r>
      <w:r>
        <w:rPr>
          <w:spacing w:val="37"/>
        </w:rPr>
        <w:t> </w:t>
      </w:r>
      <w:r>
        <w:rPr/>
        <w:t>de</w:t>
      </w:r>
      <w:r>
        <w:rPr>
          <w:spacing w:val="37"/>
        </w:rPr>
        <w:t> </w:t>
      </w:r>
      <w:r>
        <w:rPr/>
        <w:t>la</w:t>
      </w:r>
      <w:r>
        <w:rPr>
          <w:spacing w:val="37"/>
        </w:rPr>
        <w:t> </w:t>
      </w:r>
      <w:r>
        <w:rPr/>
        <w:t>madre,</w:t>
      </w:r>
      <w:r>
        <w:rPr>
          <w:spacing w:val="37"/>
        </w:rPr>
        <w:t> </w:t>
      </w:r>
      <w:r>
        <w:rPr/>
        <w:t>se</w:t>
      </w:r>
    </w:p>
    <w:p>
      <w:pPr>
        <w:pStyle w:val="BodyText"/>
        <w:spacing w:line="328" w:lineRule="auto" w:before="5"/>
        <w:ind w:left="102" w:right="111"/>
        <w:jc w:val="both"/>
        <w:rPr>
          <w:sz w:val="16"/>
        </w:rPr>
      </w:pPr>
      <w:r>
        <w:rPr/>
        <w:t>previene el contagio del niño. Los padres deben tomar medidas de prevención que ayuden a mejorar la salud oral de sus hijos, las cuales incluyen: </w:t>
      </w:r>
      <w:r>
        <w:rPr>
          <w:position w:val="11"/>
          <w:sz w:val="16"/>
        </w:rPr>
        <w:t>24, 26, 27</w:t>
      </w:r>
    </w:p>
    <w:p>
      <w:pPr>
        <w:pStyle w:val="BodyText"/>
        <w:spacing w:before="1"/>
        <w:rPr>
          <w:sz w:val="38"/>
        </w:rPr>
      </w:pPr>
    </w:p>
    <w:p>
      <w:pPr>
        <w:pStyle w:val="ListParagraph"/>
        <w:numPr>
          <w:ilvl w:val="0"/>
          <w:numId w:val="8"/>
        </w:numPr>
        <w:tabs>
          <w:tab w:pos="388" w:val="left" w:leader="none"/>
        </w:tabs>
        <w:spacing w:line="362" w:lineRule="auto" w:before="1" w:after="0"/>
        <w:ind w:left="102" w:right="110" w:firstLine="0"/>
        <w:jc w:val="both"/>
        <w:rPr>
          <w:sz w:val="24"/>
        </w:rPr>
      </w:pPr>
      <w:r>
        <w:rPr>
          <w:sz w:val="24"/>
        </w:rPr>
        <w:t>Comenzar a limpiar diariamente los dientes desde su aparición en la boca, con una gasa o un cepillo</w:t>
      </w:r>
      <w:r>
        <w:rPr>
          <w:spacing w:val="-10"/>
          <w:sz w:val="24"/>
        </w:rPr>
        <w:t> </w:t>
      </w:r>
      <w:r>
        <w:rPr>
          <w:sz w:val="24"/>
        </w:rPr>
        <w:t>adaptado.</w:t>
      </w:r>
    </w:p>
    <w:p>
      <w:pPr>
        <w:pStyle w:val="ListParagraph"/>
        <w:numPr>
          <w:ilvl w:val="0"/>
          <w:numId w:val="8"/>
        </w:numPr>
        <w:tabs>
          <w:tab w:pos="402" w:val="left" w:leader="none"/>
        </w:tabs>
        <w:spacing w:line="360" w:lineRule="auto" w:before="0" w:after="0"/>
        <w:ind w:left="102" w:right="111" w:firstLine="0"/>
        <w:jc w:val="both"/>
        <w:rPr>
          <w:sz w:val="24"/>
        </w:rPr>
      </w:pPr>
      <w:r>
        <w:rPr>
          <w:sz w:val="24"/>
        </w:rPr>
        <w:t>Consultar con el odontopediatra desde antes del primer año de vida del niño para realizar medidas preventivas y</w:t>
      </w:r>
      <w:r>
        <w:rPr>
          <w:spacing w:val="-14"/>
          <w:sz w:val="24"/>
        </w:rPr>
        <w:t> </w:t>
      </w:r>
      <w:r>
        <w:rPr>
          <w:sz w:val="24"/>
        </w:rPr>
        <w:t>educativas</w:t>
      </w:r>
    </w:p>
    <w:p>
      <w:pPr>
        <w:pStyle w:val="ListParagraph"/>
        <w:numPr>
          <w:ilvl w:val="0"/>
          <w:numId w:val="8"/>
        </w:numPr>
        <w:tabs>
          <w:tab w:pos="368" w:val="left" w:leader="none"/>
        </w:tabs>
        <w:spacing w:line="240" w:lineRule="auto" w:before="2" w:after="0"/>
        <w:ind w:left="368" w:right="0" w:hanging="266"/>
        <w:jc w:val="both"/>
        <w:rPr>
          <w:sz w:val="24"/>
        </w:rPr>
      </w:pPr>
      <w:r>
        <w:rPr>
          <w:sz w:val="24"/>
        </w:rPr>
        <w:t>Reducir la ingesta de azúcares por parte de los</w:t>
      </w:r>
      <w:r>
        <w:rPr>
          <w:spacing w:val="-17"/>
          <w:sz w:val="24"/>
        </w:rPr>
        <w:t> </w:t>
      </w:r>
      <w:r>
        <w:rPr>
          <w:sz w:val="24"/>
        </w:rPr>
        <w:t>niños.</w:t>
      </w:r>
    </w:p>
    <w:p>
      <w:pPr>
        <w:pStyle w:val="ListParagraph"/>
        <w:numPr>
          <w:ilvl w:val="0"/>
          <w:numId w:val="8"/>
        </w:numPr>
        <w:tabs>
          <w:tab w:pos="402" w:val="left" w:leader="none"/>
        </w:tabs>
        <w:spacing w:line="360" w:lineRule="auto" w:before="139" w:after="0"/>
        <w:ind w:left="102" w:right="110" w:firstLine="0"/>
        <w:jc w:val="both"/>
        <w:rPr>
          <w:sz w:val="24"/>
        </w:rPr>
      </w:pPr>
      <w:r>
        <w:rPr>
          <w:sz w:val="24"/>
        </w:rPr>
        <w:t>Evitar el uso de biberón durante la noche a los niños, y cepillar sus dientes antes  de</w:t>
      </w:r>
      <w:r>
        <w:rPr>
          <w:spacing w:val="-4"/>
          <w:sz w:val="24"/>
        </w:rPr>
        <w:t> </w:t>
      </w:r>
      <w:r>
        <w:rPr>
          <w:sz w:val="24"/>
        </w:rPr>
        <w:t>dormir.</w:t>
      </w:r>
    </w:p>
    <w:p>
      <w:pPr>
        <w:pStyle w:val="ListParagraph"/>
        <w:numPr>
          <w:ilvl w:val="0"/>
          <w:numId w:val="8"/>
        </w:numPr>
        <w:tabs>
          <w:tab w:pos="407" w:val="left" w:leader="none"/>
        </w:tabs>
        <w:spacing w:line="360" w:lineRule="auto" w:before="5" w:after="0"/>
        <w:ind w:left="102" w:right="102" w:firstLine="0"/>
        <w:jc w:val="both"/>
        <w:rPr>
          <w:sz w:val="24"/>
        </w:rPr>
      </w:pPr>
      <w:r>
        <w:rPr>
          <w:sz w:val="24"/>
        </w:rPr>
        <w:t>No contaminar los cubiertos que usa el niño ni su chupón o cepillo dental, con la saliva de los</w:t>
      </w:r>
      <w:r>
        <w:rPr>
          <w:spacing w:val="-5"/>
          <w:sz w:val="24"/>
        </w:rPr>
        <w:t> </w:t>
      </w:r>
      <w:r>
        <w:rPr>
          <w:sz w:val="24"/>
        </w:rPr>
        <w:t>adultos</w:t>
      </w:r>
    </w:p>
    <w:p>
      <w:pPr>
        <w:pStyle w:val="ListParagraph"/>
        <w:numPr>
          <w:ilvl w:val="0"/>
          <w:numId w:val="8"/>
        </w:numPr>
        <w:tabs>
          <w:tab w:pos="319" w:val="left" w:leader="none"/>
        </w:tabs>
        <w:spacing w:line="240" w:lineRule="auto" w:before="5" w:after="0"/>
        <w:ind w:left="318" w:right="0" w:hanging="216"/>
        <w:jc w:val="both"/>
        <w:rPr>
          <w:sz w:val="24"/>
        </w:rPr>
      </w:pPr>
      <w:r>
        <w:rPr>
          <w:sz w:val="24"/>
        </w:rPr>
        <w:t>No soplar a los alimentos para</w:t>
      </w:r>
      <w:r>
        <w:rPr>
          <w:spacing w:val="-18"/>
          <w:sz w:val="24"/>
        </w:rPr>
        <w:t> </w:t>
      </w:r>
      <w:r>
        <w:rPr>
          <w:sz w:val="24"/>
        </w:rPr>
        <w:t>enfriarlos.</w:t>
      </w:r>
    </w:p>
    <w:p>
      <w:pPr>
        <w:spacing w:after="0" w:line="240" w:lineRule="auto"/>
        <w:jc w:val="both"/>
        <w:rPr>
          <w:sz w:val="24"/>
        </w:rPr>
        <w:sectPr>
          <w:pgSz w:w="12240" w:h="15840"/>
          <w:pgMar w:header="0" w:footer="1003" w:top="1360" w:bottom="1200" w:left="1600" w:right="1220"/>
        </w:sectPr>
      </w:pPr>
    </w:p>
    <w:p>
      <w:pPr>
        <w:pStyle w:val="Heading1"/>
        <w:numPr>
          <w:ilvl w:val="0"/>
          <w:numId w:val="9"/>
        </w:numPr>
        <w:tabs>
          <w:tab w:pos="3582" w:val="left" w:leader="none"/>
          <w:tab w:pos="3583" w:val="left" w:leader="none"/>
        </w:tabs>
        <w:spacing w:line="240" w:lineRule="auto" w:before="54" w:after="0"/>
        <w:ind w:left="102" w:right="0" w:firstLine="2760"/>
        <w:jc w:val="left"/>
      </w:pPr>
      <w:r>
        <w:rPr/>
        <w:t>PLANTEAMIENTO DEL</w:t>
      </w:r>
      <w:r>
        <w:rPr>
          <w:spacing w:val="-7"/>
        </w:rPr>
        <w:t> </w:t>
      </w:r>
      <w:r>
        <w:rPr/>
        <w:t>PROBLEMA</w:t>
      </w:r>
    </w:p>
    <w:p>
      <w:pPr>
        <w:pStyle w:val="BodyText"/>
        <w:rPr>
          <w:b/>
        </w:rPr>
      </w:pPr>
    </w:p>
    <w:p>
      <w:pPr>
        <w:pStyle w:val="BodyText"/>
        <w:rPr>
          <w:b/>
        </w:rPr>
      </w:pPr>
    </w:p>
    <w:p>
      <w:pPr>
        <w:pStyle w:val="BodyText"/>
        <w:spacing w:line="360" w:lineRule="auto"/>
        <w:ind w:left="102" w:right="111"/>
        <w:jc w:val="both"/>
      </w:pPr>
      <w:r>
        <w:rPr/>
        <w:t>La falta de conocimiento por parte de la sociedad acerca de la salud, y en especial de la salud oral, es uno de los problemas más graves que afronta nuestro país hoy en día, y esto nos lleva a tener una total falta de interés en el</w:t>
      </w:r>
      <w:r>
        <w:rPr>
          <w:spacing w:val="-24"/>
        </w:rPr>
        <w:t> </w:t>
      </w:r>
      <w:r>
        <w:rPr/>
        <w:t>tema.</w:t>
      </w:r>
    </w:p>
    <w:p>
      <w:pPr>
        <w:pStyle w:val="BodyText"/>
      </w:pPr>
    </w:p>
    <w:p>
      <w:pPr>
        <w:pStyle w:val="BodyText"/>
        <w:spacing w:line="360" w:lineRule="auto" w:before="142"/>
        <w:ind w:left="102" w:right="99"/>
        <w:jc w:val="both"/>
      </w:pPr>
      <w:r>
        <w:rPr/>
        <w:t>La enfermedad bucal es la resultante de condiciones específicas de la salud, respuesta a la exposición a determinados agentes bacterianos, dieta rica o carente de carbohidratos, fluoruros, hábitos higiénicos bucales, acceso a la atención estomatológica, adquisición de conocimientos sobre problemas buco-dentales, responsabilidad individual con su propia salud, asistencia sistemática a los servicios y otros. La Educación para la Salud, influye favorablemente sobre los conocimientos, actitudes y comportamiento de los individuos.</w:t>
      </w:r>
    </w:p>
    <w:p>
      <w:pPr>
        <w:pStyle w:val="BodyText"/>
      </w:pPr>
    </w:p>
    <w:p>
      <w:pPr>
        <w:pStyle w:val="BodyText"/>
        <w:spacing w:line="360" w:lineRule="auto" w:before="142"/>
        <w:ind w:left="102" w:right="98"/>
        <w:jc w:val="both"/>
      </w:pPr>
      <w:r>
        <w:rPr/>
        <w:t>De esta problemática surge conocer ¿Cuál es el nivel de conocimiento de las gestantes sobre la salud bucal de sus futuros hijos en el Instituto Materno Infantil del Estado de México IMIEM Hospital de Ginecología y Obstetricia?</w:t>
      </w:r>
    </w:p>
    <w:p>
      <w:pPr>
        <w:spacing w:after="0" w:line="360" w:lineRule="auto"/>
        <w:jc w:val="both"/>
        <w:sectPr>
          <w:pgSz w:w="12240" w:h="15840"/>
          <w:pgMar w:header="0" w:footer="1003" w:top="1360" w:bottom="1200" w:left="1600" w:right="1220"/>
        </w:sectPr>
      </w:pPr>
    </w:p>
    <w:p>
      <w:pPr>
        <w:pStyle w:val="Heading1"/>
        <w:numPr>
          <w:ilvl w:val="0"/>
          <w:numId w:val="9"/>
        </w:numPr>
        <w:tabs>
          <w:tab w:pos="5003" w:val="left" w:leader="none"/>
          <w:tab w:pos="5004" w:val="left" w:leader="none"/>
        </w:tabs>
        <w:spacing w:line="240" w:lineRule="auto" w:before="54" w:after="0"/>
        <w:ind w:left="5003" w:right="0" w:hanging="787"/>
        <w:jc w:val="left"/>
      </w:pPr>
      <w:r>
        <w:rPr/>
        <w:t>HIPÓTESIS</w:t>
      </w:r>
    </w:p>
    <w:p>
      <w:pPr>
        <w:pStyle w:val="BodyText"/>
        <w:rPr>
          <w:b/>
          <w:sz w:val="20"/>
        </w:rPr>
      </w:pPr>
    </w:p>
    <w:p>
      <w:pPr>
        <w:pStyle w:val="BodyText"/>
        <w:rPr>
          <w:b/>
          <w:sz w:val="22"/>
        </w:rPr>
      </w:pPr>
    </w:p>
    <w:p>
      <w:pPr>
        <w:pStyle w:val="BodyText"/>
        <w:spacing w:before="69"/>
        <w:ind w:left="102"/>
        <w:jc w:val="both"/>
      </w:pPr>
      <w:r>
        <w:rPr/>
        <w:t>Hipótesis</w:t>
      </w:r>
    </w:p>
    <w:p>
      <w:pPr>
        <w:pStyle w:val="BodyText"/>
      </w:pPr>
    </w:p>
    <w:p>
      <w:pPr>
        <w:pStyle w:val="BodyText"/>
      </w:pPr>
    </w:p>
    <w:p>
      <w:pPr>
        <w:pStyle w:val="BodyText"/>
        <w:spacing w:line="360" w:lineRule="auto"/>
        <w:ind w:left="102" w:right="102"/>
        <w:jc w:val="both"/>
      </w:pPr>
      <w:r>
        <w:rPr/>
        <w:t>Las gestantes primerizas tendrán un nivel de conocimiento menor que las no primerizas sobre la salud bucal de sus futuros hijos, en el Instituto Materno Infantil del Estado de México “IMIEM” Hospital de Ginecología y Obstetricia.</w:t>
      </w:r>
    </w:p>
    <w:p>
      <w:pPr>
        <w:pStyle w:val="BodyText"/>
      </w:pPr>
    </w:p>
    <w:p>
      <w:pPr>
        <w:pStyle w:val="BodyText"/>
      </w:pPr>
    </w:p>
    <w:p>
      <w:pPr>
        <w:pStyle w:val="BodyText"/>
        <w:spacing w:before="5"/>
      </w:pPr>
    </w:p>
    <w:p>
      <w:pPr>
        <w:pStyle w:val="BodyText"/>
        <w:spacing w:before="1"/>
        <w:ind w:left="102"/>
        <w:jc w:val="both"/>
      </w:pPr>
      <w:r>
        <w:rPr/>
        <w:t>Hipótesis Nula</w:t>
      </w:r>
    </w:p>
    <w:p>
      <w:pPr>
        <w:pStyle w:val="BodyText"/>
      </w:pPr>
    </w:p>
    <w:p>
      <w:pPr>
        <w:pStyle w:val="BodyText"/>
      </w:pPr>
    </w:p>
    <w:p>
      <w:pPr>
        <w:pStyle w:val="BodyText"/>
        <w:spacing w:line="360" w:lineRule="auto"/>
        <w:ind w:left="102" w:right="102"/>
        <w:jc w:val="both"/>
      </w:pPr>
      <w:r>
        <w:rPr/>
        <w:t>Las gestantes primerizas tendrán un nivel de conocimiento igual o mayor que las no primerizas sobre la salud bucal de sus futuros hijos, en el Instituto Materno Infantil del Estado de México “IMIEM” Hospital de Ginecología y Obstetricia.</w:t>
      </w:r>
    </w:p>
    <w:p>
      <w:pPr>
        <w:spacing w:after="0" w:line="360" w:lineRule="auto"/>
        <w:jc w:val="both"/>
        <w:sectPr>
          <w:footerReference w:type="default" r:id="rId10"/>
          <w:pgSz w:w="12240" w:h="15840"/>
          <w:pgMar w:footer="1003" w:header="0" w:top="1360" w:bottom="1200" w:left="1600" w:right="1220"/>
        </w:sectPr>
      </w:pPr>
    </w:p>
    <w:p>
      <w:pPr>
        <w:pStyle w:val="Heading1"/>
        <w:numPr>
          <w:ilvl w:val="0"/>
          <w:numId w:val="9"/>
        </w:numPr>
        <w:tabs>
          <w:tab w:pos="4941" w:val="left" w:leader="none"/>
          <w:tab w:pos="4942" w:val="left" w:leader="none"/>
        </w:tabs>
        <w:spacing w:line="240" w:lineRule="auto" w:before="54" w:after="0"/>
        <w:ind w:left="4941" w:right="0" w:hanging="720"/>
        <w:jc w:val="left"/>
      </w:pPr>
      <w:r>
        <w:rPr/>
        <w:t>OBJETIVOS</w:t>
      </w:r>
    </w:p>
    <w:p>
      <w:pPr>
        <w:pStyle w:val="BodyText"/>
        <w:rPr>
          <w:b/>
        </w:rPr>
      </w:pPr>
    </w:p>
    <w:p>
      <w:pPr>
        <w:pStyle w:val="BodyText"/>
        <w:rPr>
          <w:b/>
        </w:rPr>
      </w:pPr>
    </w:p>
    <w:p>
      <w:pPr>
        <w:spacing w:before="0"/>
        <w:ind w:left="263" w:right="52" w:firstLine="0"/>
        <w:jc w:val="left"/>
        <w:rPr>
          <w:b/>
          <w:sz w:val="24"/>
        </w:rPr>
      </w:pPr>
      <w:r>
        <w:rPr>
          <w:b/>
          <w:sz w:val="24"/>
        </w:rPr>
        <w:t>Objetivo General</w:t>
      </w:r>
    </w:p>
    <w:p>
      <w:pPr>
        <w:pStyle w:val="BodyText"/>
        <w:spacing w:line="360" w:lineRule="auto" w:before="139"/>
        <w:ind w:left="122" w:right="98"/>
        <w:jc w:val="both"/>
      </w:pPr>
      <w:r>
        <w:rPr/>
        <w:t>Determinar la correlación entre el contexto personal y social de las gestantes en el Instituto Materno Infantil del Estado de México “IMIEM” Hospital de Ginecología y Obstetricia  con el conocimiento sobre la salud bucal de sus hijos.</w:t>
      </w:r>
    </w:p>
    <w:p>
      <w:pPr>
        <w:pStyle w:val="BodyText"/>
      </w:pPr>
    </w:p>
    <w:p>
      <w:pPr>
        <w:pStyle w:val="Heading1"/>
        <w:spacing w:before="142"/>
        <w:ind w:left="122"/>
        <w:jc w:val="both"/>
      </w:pPr>
      <w:r>
        <w:rPr/>
        <w:t>Objetivos Particulares</w:t>
      </w:r>
    </w:p>
    <w:p>
      <w:pPr>
        <w:pStyle w:val="BodyText"/>
        <w:rPr>
          <w:b/>
        </w:rPr>
      </w:pPr>
    </w:p>
    <w:p>
      <w:pPr>
        <w:pStyle w:val="BodyText"/>
        <w:rPr>
          <w:b/>
        </w:rPr>
      </w:pPr>
    </w:p>
    <w:p>
      <w:pPr>
        <w:pStyle w:val="ListParagraph"/>
        <w:numPr>
          <w:ilvl w:val="0"/>
          <w:numId w:val="10"/>
        </w:numPr>
        <w:tabs>
          <w:tab w:pos="830" w:val="left" w:leader="none"/>
        </w:tabs>
        <w:spacing w:line="360" w:lineRule="auto" w:before="0" w:after="0"/>
        <w:ind w:left="122" w:right="109" w:hanging="12"/>
        <w:jc w:val="both"/>
        <w:rPr>
          <w:sz w:val="24"/>
        </w:rPr>
      </w:pPr>
      <w:r>
        <w:rPr>
          <w:sz w:val="24"/>
        </w:rPr>
        <w:t>Conocer la edad de las gestantes, así como el nivel de estudios, número de gestas y número de</w:t>
      </w:r>
      <w:r>
        <w:rPr>
          <w:spacing w:val="-8"/>
          <w:sz w:val="24"/>
        </w:rPr>
        <w:t> </w:t>
      </w:r>
      <w:r>
        <w:rPr>
          <w:sz w:val="24"/>
        </w:rPr>
        <w:t>hijos.</w:t>
      </w:r>
    </w:p>
    <w:p>
      <w:pPr>
        <w:pStyle w:val="BodyText"/>
      </w:pPr>
    </w:p>
    <w:p>
      <w:pPr>
        <w:pStyle w:val="ListParagraph"/>
        <w:numPr>
          <w:ilvl w:val="0"/>
          <w:numId w:val="10"/>
        </w:numPr>
        <w:tabs>
          <w:tab w:pos="830" w:val="left" w:leader="none"/>
        </w:tabs>
        <w:spacing w:line="360" w:lineRule="auto" w:before="142" w:after="0"/>
        <w:ind w:left="122" w:right="101" w:hanging="12"/>
        <w:jc w:val="both"/>
        <w:rPr>
          <w:sz w:val="24"/>
        </w:rPr>
      </w:pPr>
      <w:r>
        <w:rPr>
          <w:sz w:val="24"/>
        </w:rPr>
        <w:t>Establecer si el nivel de conocimiento de la salud bucal está determinado por el número de gestaciones que presentan las</w:t>
      </w:r>
      <w:r>
        <w:rPr>
          <w:spacing w:val="-15"/>
          <w:sz w:val="24"/>
        </w:rPr>
        <w:t> </w:t>
      </w:r>
      <w:r>
        <w:rPr>
          <w:sz w:val="24"/>
        </w:rPr>
        <w:t>madres.</w:t>
      </w:r>
    </w:p>
    <w:p>
      <w:pPr>
        <w:spacing w:after="0" w:line="360" w:lineRule="auto"/>
        <w:jc w:val="both"/>
        <w:rPr>
          <w:sz w:val="24"/>
        </w:rPr>
        <w:sectPr>
          <w:footerReference w:type="default" r:id="rId11"/>
          <w:pgSz w:w="12240" w:h="15840"/>
          <w:pgMar w:footer="943" w:header="0" w:top="1360" w:bottom="1140" w:left="1580" w:right="1220"/>
          <w:pgNumType w:start="21"/>
        </w:sectPr>
      </w:pPr>
    </w:p>
    <w:p>
      <w:pPr>
        <w:pStyle w:val="Heading1"/>
        <w:numPr>
          <w:ilvl w:val="0"/>
          <w:numId w:val="9"/>
        </w:numPr>
        <w:tabs>
          <w:tab w:pos="4688" w:val="left" w:leader="none"/>
          <w:tab w:pos="4689" w:val="left" w:leader="none"/>
        </w:tabs>
        <w:spacing w:line="240" w:lineRule="auto" w:before="54" w:after="0"/>
        <w:ind w:left="4689" w:right="0" w:hanging="720"/>
        <w:jc w:val="left"/>
      </w:pPr>
      <w:r>
        <w:rPr/>
        <w:t>JUSTIFICACIÓN</w:t>
      </w:r>
    </w:p>
    <w:p>
      <w:pPr>
        <w:pStyle w:val="BodyText"/>
        <w:rPr>
          <w:b/>
        </w:rPr>
      </w:pPr>
    </w:p>
    <w:p>
      <w:pPr>
        <w:pStyle w:val="BodyText"/>
        <w:spacing w:before="9"/>
        <w:rPr>
          <w:b/>
          <w:sz w:val="23"/>
        </w:rPr>
      </w:pPr>
    </w:p>
    <w:p>
      <w:pPr>
        <w:pStyle w:val="BodyText"/>
        <w:spacing w:line="480" w:lineRule="auto"/>
        <w:ind w:left="102" w:right="98"/>
        <w:jc w:val="both"/>
      </w:pPr>
      <w:r>
        <w:rPr/>
        <w:t>La ejecución de estudios como éste en las instituciones de salud públicas como el Instituto Materno Infantil del Estado de México, Hospital de Ginecología y Obstetricia es de mucha importancia, debido a que no existen estadísticas confiables </w:t>
      </w:r>
      <w:r>
        <w:rPr>
          <w:spacing w:val="-2"/>
        </w:rPr>
        <w:t>que </w:t>
      </w:r>
      <w:r>
        <w:rPr/>
        <w:t>permitan tener un marco de referencia para tener parámetros para evaluar los niveles de conocimientos de salud bucal, y que con ellos se permita conocer el nivel de conocimientos de las gestantes respecto a medidas preventivas, principales enfermedades bucales, así como desarrollo y crecimiento dental con miras a aportar información referente a estos temas, con la finalidad de tener una mejor salud bucal  de sus hijos, y que ésto se refleje en la salud integral de ellos, y permita mejores condiciones de crecimiento y desarrollo de los infantes dando lugar a una mejor calidad de</w:t>
      </w:r>
      <w:r>
        <w:rPr>
          <w:spacing w:val="-5"/>
        </w:rPr>
        <w:t> </w:t>
      </w:r>
      <w:r>
        <w:rPr/>
        <w:t>vida.</w:t>
      </w:r>
    </w:p>
    <w:p>
      <w:pPr>
        <w:spacing w:after="0" w:line="480" w:lineRule="auto"/>
        <w:jc w:val="both"/>
        <w:sectPr>
          <w:pgSz w:w="12240" w:h="15840"/>
          <w:pgMar w:header="0" w:footer="943" w:top="1360" w:bottom="1200" w:left="1600" w:right="1220"/>
        </w:sectPr>
      </w:pPr>
    </w:p>
    <w:p>
      <w:pPr>
        <w:pStyle w:val="ListParagraph"/>
        <w:numPr>
          <w:ilvl w:val="0"/>
          <w:numId w:val="9"/>
        </w:numPr>
        <w:tabs>
          <w:tab w:pos="4074" w:val="left" w:leader="none"/>
          <w:tab w:pos="4075" w:val="left" w:leader="none"/>
        </w:tabs>
        <w:spacing w:line="720" w:lineRule="auto" w:before="54" w:after="0"/>
        <w:ind w:left="102" w:right="2062" w:firstLine="3252"/>
        <w:jc w:val="left"/>
        <w:rPr>
          <w:sz w:val="24"/>
        </w:rPr>
      </w:pPr>
      <w:r>
        <w:rPr>
          <w:b/>
          <w:sz w:val="24"/>
        </w:rPr>
        <w:t>MATERIALES Y MÉTODOS Diseño del Estudio: </w:t>
      </w:r>
      <w:r>
        <w:rPr>
          <w:sz w:val="24"/>
        </w:rPr>
        <w:t>Estudio descriptivo, comparativo y</w:t>
      </w:r>
      <w:r>
        <w:rPr>
          <w:spacing w:val="-22"/>
          <w:sz w:val="24"/>
        </w:rPr>
        <w:t> </w:t>
      </w:r>
      <w:r>
        <w:rPr>
          <w:sz w:val="24"/>
        </w:rPr>
        <w:t>transversal.</w:t>
      </w:r>
    </w:p>
    <w:p>
      <w:pPr>
        <w:pStyle w:val="BodyText"/>
        <w:spacing w:line="360" w:lineRule="auto" w:before="15"/>
        <w:ind w:left="102" w:right="100"/>
        <w:jc w:val="both"/>
      </w:pPr>
      <w:r>
        <w:rPr>
          <w:b/>
        </w:rPr>
        <w:t>Universo: </w:t>
      </w:r>
      <w:r>
        <w:rPr/>
        <w:t>Mujeres embarazadas que acudieron a consulta ginecológica al Instituto Materno Infantil del Estado de México “IMIEM” Hospital de Ginecología y Obstetricia.</w:t>
      </w:r>
    </w:p>
    <w:p>
      <w:pPr>
        <w:pStyle w:val="BodyText"/>
      </w:pPr>
    </w:p>
    <w:p>
      <w:pPr>
        <w:pStyle w:val="BodyText"/>
        <w:spacing w:line="360" w:lineRule="auto" w:before="142"/>
        <w:ind w:left="102" w:right="99"/>
        <w:jc w:val="both"/>
      </w:pPr>
      <w:r>
        <w:rPr>
          <w:b/>
        </w:rPr>
        <w:t>Muestra: </w:t>
      </w:r>
      <w:r>
        <w:rPr/>
        <w:t>La población muestral resultó equivalente a las gestantes que acudieron a consulta ginecológica al Instituto Materno Infantil del Estado de México IMIEM  Hospital de Ginecología y Obstetricia en el periodo comprendido de Septiembre y Octubre</w:t>
      </w:r>
      <w:r>
        <w:rPr>
          <w:spacing w:val="-5"/>
        </w:rPr>
        <w:t> </w:t>
      </w:r>
      <w:r>
        <w:rPr/>
        <w:t>2013.</w:t>
      </w:r>
    </w:p>
    <w:p>
      <w:pPr>
        <w:pStyle w:val="BodyText"/>
      </w:pPr>
    </w:p>
    <w:p>
      <w:pPr>
        <w:pStyle w:val="BodyText"/>
        <w:spacing w:line="360" w:lineRule="auto" w:before="142"/>
        <w:ind w:left="102" w:right="99"/>
        <w:jc w:val="both"/>
      </w:pPr>
      <w:r>
        <w:rPr>
          <w:b/>
        </w:rPr>
        <w:t>Unidades de Observación: </w:t>
      </w:r>
      <w:r>
        <w:rPr/>
        <w:t>Pacientes gestantes primerizas y no primerizas que acudieron a su consulta ginecológica al Instituto Materno Infantil del Estado de  México IMIEM Hospital de Ginecología y</w:t>
      </w:r>
      <w:r>
        <w:rPr>
          <w:spacing w:val="-16"/>
        </w:rPr>
        <w:t> </w:t>
      </w:r>
      <w:r>
        <w:rPr/>
        <w:t>Obstetricia</w:t>
      </w:r>
    </w:p>
    <w:p>
      <w:pPr>
        <w:spacing w:after="0" w:line="360" w:lineRule="auto"/>
        <w:jc w:val="both"/>
        <w:sectPr>
          <w:pgSz w:w="12240" w:h="15840"/>
          <w:pgMar w:header="0" w:footer="943" w:top="1360" w:bottom="1200" w:left="1600" w:right="1220"/>
        </w:sectPr>
      </w:pPr>
    </w:p>
    <w:p>
      <w:pPr>
        <w:pStyle w:val="Heading1"/>
        <w:spacing w:before="54"/>
        <w:ind w:left="2281" w:right="1840"/>
      </w:pPr>
      <w:r>
        <w:rPr/>
        <w:t>CRITERIOS DE INCLUSIÓN Y</w:t>
      </w:r>
      <w:r>
        <w:rPr>
          <w:spacing w:val="58"/>
        </w:rPr>
        <w:t> </w:t>
      </w:r>
      <w:r>
        <w:rPr/>
        <w:t>EXCLUSIÓN</w:t>
      </w:r>
    </w:p>
    <w:p>
      <w:pPr>
        <w:pStyle w:val="BodyText"/>
        <w:rPr>
          <w:b/>
        </w:rPr>
      </w:pPr>
    </w:p>
    <w:p>
      <w:pPr>
        <w:pStyle w:val="BodyText"/>
        <w:rPr>
          <w:b/>
        </w:rPr>
      </w:pPr>
    </w:p>
    <w:p>
      <w:pPr>
        <w:spacing w:before="0"/>
        <w:ind w:left="102" w:right="1840" w:firstLine="0"/>
        <w:jc w:val="left"/>
        <w:rPr>
          <w:b/>
          <w:sz w:val="24"/>
        </w:rPr>
      </w:pPr>
      <w:r>
        <w:rPr>
          <w:b/>
          <w:sz w:val="24"/>
        </w:rPr>
        <w:t>Criterios de inclusión:</w:t>
      </w:r>
    </w:p>
    <w:p>
      <w:pPr>
        <w:pStyle w:val="BodyText"/>
        <w:rPr>
          <w:b/>
        </w:rPr>
      </w:pPr>
    </w:p>
    <w:p>
      <w:pPr>
        <w:pStyle w:val="BodyText"/>
        <w:rPr>
          <w:b/>
        </w:rPr>
      </w:pPr>
    </w:p>
    <w:p>
      <w:pPr>
        <w:pStyle w:val="ListParagraph"/>
        <w:numPr>
          <w:ilvl w:val="1"/>
          <w:numId w:val="10"/>
        </w:numPr>
        <w:tabs>
          <w:tab w:pos="822" w:val="left" w:leader="none"/>
        </w:tabs>
        <w:spacing w:line="352" w:lineRule="auto" w:before="0" w:after="0"/>
        <w:ind w:left="822" w:right="102" w:hanging="360"/>
        <w:jc w:val="both"/>
        <w:rPr>
          <w:sz w:val="24"/>
        </w:rPr>
      </w:pPr>
      <w:r>
        <w:rPr>
          <w:sz w:val="24"/>
        </w:rPr>
        <w:t>Primogestantes que acudieron a consulta ginecológica al Instituto Materno Infantil del Estado de México “IMIEM” Hospital de Ginecología y</w:t>
      </w:r>
      <w:r>
        <w:rPr>
          <w:spacing w:val="-28"/>
          <w:sz w:val="24"/>
        </w:rPr>
        <w:t> </w:t>
      </w:r>
      <w:r>
        <w:rPr>
          <w:sz w:val="24"/>
        </w:rPr>
        <w:t>Obstetricia</w:t>
      </w:r>
    </w:p>
    <w:p>
      <w:pPr>
        <w:pStyle w:val="BodyText"/>
      </w:pPr>
    </w:p>
    <w:p>
      <w:pPr>
        <w:pStyle w:val="ListParagraph"/>
        <w:numPr>
          <w:ilvl w:val="1"/>
          <w:numId w:val="10"/>
        </w:numPr>
        <w:tabs>
          <w:tab w:pos="822" w:val="left" w:leader="none"/>
        </w:tabs>
        <w:spacing w:line="355" w:lineRule="auto" w:before="150" w:after="0"/>
        <w:ind w:left="822" w:right="106" w:hanging="360"/>
        <w:jc w:val="both"/>
        <w:rPr>
          <w:sz w:val="24"/>
        </w:rPr>
      </w:pPr>
      <w:r>
        <w:rPr>
          <w:sz w:val="24"/>
        </w:rPr>
        <w:t>Gestantes que aceptaron participar en el estudio que acuden a consulta ginecológica al Instituto Materno Infantil del Estado de México  “IMIEM”  Hospital de Ginecología y</w:t>
      </w:r>
      <w:r>
        <w:rPr>
          <w:spacing w:val="-10"/>
          <w:sz w:val="24"/>
        </w:rPr>
        <w:t> </w:t>
      </w:r>
      <w:r>
        <w:rPr>
          <w:sz w:val="24"/>
        </w:rPr>
        <w:t>Obstetricia</w:t>
      </w:r>
    </w:p>
    <w:p>
      <w:pPr>
        <w:pStyle w:val="BodyText"/>
        <w:spacing w:before="11"/>
      </w:pPr>
    </w:p>
    <w:p>
      <w:pPr>
        <w:pStyle w:val="ListParagraph"/>
        <w:numPr>
          <w:ilvl w:val="1"/>
          <w:numId w:val="10"/>
        </w:numPr>
        <w:tabs>
          <w:tab w:pos="822" w:val="left" w:leader="none"/>
        </w:tabs>
        <w:spacing w:line="355" w:lineRule="auto" w:before="0" w:after="0"/>
        <w:ind w:left="822" w:right="98" w:hanging="360"/>
        <w:jc w:val="both"/>
        <w:rPr>
          <w:sz w:val="24"/>
        </w:rPr>
      </w:pPr>
      <w:r>
        <w:rPr>
          <w:sz w:val="24"/>
        </w:rPr>
        <w:t>Gestantes que respondieron el cuestionario y que acudieron a consulta ginecológica al Instituto Materno Infantil del Estado de México IMIEM Hospital de Ginecología y</w:t>
      </w:r>
      <w:r>
        <w:rPr>
          <w:spacing w:val="-6"/>
          <w:sz w:val="24"/>
        </w:rPr>
        <w:t> </w:t>
      </w:r>
      <w:r>
        <w:rPr>
          <w:sz w:val="24"/>
        </w:rPr>
        <w:t>Obstetricia.</w:t>
      </w:r>
    </w:p>
    <w:p>
      <w:pPr>
        <w:pStyle w:val="BodyText"/>
      </w:pPr>
    </w:p>
    <w:p>
      <w:pPr>
        <w:pStyle w:val="BodyText"/>
      </w:pPr>
    </w:p>
    <w:p>
      <w:pPr>
        <w:pStyle w:val="BodyText"/>
        <w:spacing w:before="10"/>
      </w:pPr>
    </w:p>
    <w:p>
      <w:pPr>
        <w:pStyle w:val="Heading1"/>
        <w:ind w:left="243" w:right="1840"/>
      </w:pPr>
      <w:r>
        <w:rPr/>
        <w:t>Criterios de Exclusión</w:t>
      </w:r>
    </w:p>
    <w:p>
      <w:pPr>
        <w:pStyle w:val="BodyText"/>
        <w:rPr>
          <w:b/>
        </w:rPr>
      </w:pPr>
    </w:p>
    <w:p>
      <w:pPr>
        <w:pStyle w:val="BodyText"/>
        <w:spacing w:before="1"/>
        <w:rPr>
          <w:b/>
        </w:rPr>
      </w:pPr>
    </w:p>
    <w:p>
      <w:pPr>
        <w:pStyle w:val="ListParagraph"/>
        <w:numPr>
          <w:ilvl w:val="1"/>
          <w:numId w:val="10"/>
        </w:numPr>
        <w:tabs>
          <w:tab w:pos="822" w:val="left" w:leader="none"/>
        </w:tabs>
        <w:spacing w:line="355" w:lineRule="auto" w:before="0" w:after="0"/>
        <w:ind w:left="822" w:right="98" w:hanging="360"/>
        <w:jc w:val="both"/>
        <w:rPr>
          <w:sz w:val="24"/>
        </w:rPr>
      </w:pPr>
      <w:r>
        <w:rPr>
          <w:sz w:val="24"/>
        </w:rPr>
        <w:t>Mujeres que acudieron a consulta ginecológica al Instituto Materno Infantil del Estado de México IMIEM Hospital de Ginecología y Obstetricia que no estaban embarazadas.</w:t>
      </w:r>
    </w:p>
    <w:p>
      <w:pPr>
        <w:pStyle w:val="BodyText"/>
      </w:pPr>
    </w:p>
    <w:p>
      <w:pPr>
        <w:pStyle w:val="ListParagraph"/>
        <w:numPr>
          <w:ilvl w:val="1"/>
          <w:numId w:val="10"/>
        </w:numPr>
        <w:tabs>
          <w:tab w:pos="822" w:val="left" w:leader="none"/>
        </w:tabs>
        <w:spacing w:line="355" w:lineRule="auto" w:before="148" w:after="0"/>
        <w:ind w:left="822" w:right="98" w:hanging="360"/>
        <w:jc w:val="both"/>
        <w:rPr>
          <w:sz w:val="24"/>
        </w:rPr>
      </w:pPr>
      <w:r>
        <w:rPr>
          <w:sz w:val="24"/>
        </w:rPr>
        <w:t>Mujeres que no desearon participar en el estudio y que acudieron a consulta ginecológica al Instituto Materno Infantil del Estado de México IMIEM Hospital de Ginecología y</w:t>
      </w:r>
      <w:r>
        <w:rPr>
          <w:spacing w:val="-9"/>
          <w:sz w:val="24"/>
        </w:rPr>
        <w:t> </w:t>
      </w:r>
      <w:r>
        <w:rPr>
          <w:sz w:val="24"/>
        </w:rPr>
        <w:t>Obstetricia</w:t>
      </w:r>
    </w:p>
    <w:p>
      <w:pPr>
        <w:pStyle w:val="BodyText"/>
      </w:pPr>
    </w:p>
    <w:p>
      <w:pPr>
        <w:pStyle w:val="ListParagraph"/>
        <w:numPr>
          <w:ilvl w:val="1"/>
          <w:numId w:val="10"/>
        </w:numPr>
        <w:tabs>
          <w:tab w:pos="822" w:val="left" w:leader="none"/>
        </w:tabs>
        <w:spacing w:line="355" w:lineRule="auto" w:before="148" w:after="0"/>
        <w:ind w:left="822" w:right="98" w:hanging="360"/>
        <w:jc w:val="both"/>
        <w:rPr>
          <w:sz w:val="24"/>
        </w:rPr>
      </w:pPr>
      <w:r>
        <w:rPr>
          <w:sz w:val="24"/>
        </w:rPr>
        <w:t>Mujeres que no saben leer y escribir y que acudieron a consulta ginecológica al Instituto Materno Infantil del Estado de México IMIEM Hospital de Ginecología y Obstetricia.</w:t>
      </w:r>
    </w:p>
    <w:p>
      <w:pPr>
        <w:spacing w:after="0" w:line="355" w:lineRule="auto"/>
        <w:jc w:val="both"/>
        <w:rPr>
          <w:sz w:val="24"/>
        </w:rPr>
        <w:sectPr>
          <w:pgSz w:w="12240" w:h="15840"/>
          <w:pgMar w:header="0" w:footer="943" w:top="1360" w:bottom="1200" w:left="1600" w:right="1220"/>
        </w:sectPr>
      </w:pPr>
    </w:p>
    <w:p>
      <w:pPr>
        <w:pStyle w:val="Heading1"/>
        <w:spacing w:before="54"/>
        <w:ind w:left="4249"/>
      </w:pPr>
      <w:r>
        <w:rPr/>
        <w:t>VARIABLES DE ESTUDIO</w:t>
      </w:r>
    </w:p>
    <w:p>
      <w:pPr>
        <w:pStyle w:val="BodyText"/>
        <w:rPr>
          <w:b/>
        </w:rPr>
      </w:pPr>
    </w:p>
    <w:p>
      <w:pPr>
        <w:pStyle w:val="BodyText"/>
        <w:rPr>
          <w:b/>
        </w:rPr>
      </w:pPr>
    </w:p>
    <w:p>
      <w:pPr>
        <w:spacing w:before="0"/>
        <w:ind w:left="1102" w:right="0" w:firstLine="0"/>
        <w:jc w:val="both"/>
        <w:rPr>
          <w:sz w:val="24"/>
        </w:rPr>
      </w:pPr>
      <w:r>
        <w:rPr>
          <w:b/>
          <w:sz w:val="24"/>
        </w:rPr>
        <w:t>Variable Dependiente: </w:t>
      </w:r>
      <w:r>
        <w:rPr>
          <w:sz w:val="24"/>
        </w:rPr>
        <w:t>Conocimientos sobre salud bucal de las gestantes.</w:t>
      </w:r>
    </w:p>
    <w:p>
      <w:pPr>
        <w:pStyle w:val="BodyText"/>
      </w:pPr>
    </w:p>
    <w:p>
      <w:pPr>
        <w:pStyle w:val="BodyText"/>
      </w:pPr>
    </w:p>
    <w:p>
      <w:pPr>
        <w:pStyle w:val="BodyText"/>
        <w:spacing w:line="360" w:lineRule="auto"/>
        <w:ind w:left="1102" w:right="220"/>
        <w:jc w:val="both"/>
      </w:pPr>
      <w:r>
        <w:rPr>
          <w:b/>
        </w:rPr>
        <w:t>Variables Independientes: </w:t>
      </w:r>
      <w:r>
        <w:rPr/>
        <w:t>Número de embarazos, número de hijos nacidos vivos, estado civil, máximo grado de estudios, ocupación, lugar de origen, lugar de residencia.</w:t>
      </w:r>
    </w:p>
    <w:p>
      <w:pPr>
        <w:pStyle w:val="BodyText"/>
      </w:pPr>
    </w:p>
    <w:p>
      <w:pPr>
        <w:pStyle w:val="Heading1"/>
        <w:spacing w:before="142"/>
        <w:ind w:left="3689"/>
      </w:pPr>
      <w:r>
        <w:rPr/>
        <w:t>OPERACIONALIDAD DE LAS VARIABLES</w:t>
      </w:r>
    </w:p>
    <w:p>
      <w:pPr>
        <w:pStyle w:val="BodyText"/>
        <w:spacing w:before="3"/>
        <w:rPr>
          <w:b/>
          <w:sz w:val="12"/>
        </w:rPr>
      </w:pP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10"/>
        <w:gridCol w:w="3173"/>
        <w:gridCol w:w="1565"/>
        <w:gridCol w:w="494"/>
        <w:gridCol w:w="1490"/>
        <w:gridCol w:w="1484"/>
      </w:tblGrid>
      <w:tr>
        <w:trPr>
          <w:trHeight w:val="1251" w:hRule="exact"/>
        </w:trPr>
        <w:tc>
          <w:tcPr>
            <w:tcW w:w="2110" w:type="dxa"/>
          </w:tcPr>
          <w:p>
            <w:pPr>
              <w:pStyle w:val="TableParagraph"/>
              <w:spacing w:line="360" w:lineRule="auto" w:before="205"/>
              <w:ind w:left="196" w:right="177" w:firstLine="240"/>
              <w:rPr>
                <w:b/>
                <w:sz w:val="24"/>
              </w:rPr>
            </w:pPr>
            <w:r>
              <w:rPr>
                <w:b/>
                <w:sz w:val="24"/>
              </w:rPr>
              <w:t>VARIABLE DEPENDIENTE</w:t>
            </w:r>
          </w:p>
        </w:tc>
        <w:tc>
          <w:tcPr>
            <w:tcW w:w="3173" w:type="dxa"/>
          </w:tcPr>
          <w:p>
            <w:pPr>
              <w:pStyle w:val="TableParagraph"/>
              <w:spacing w:line="360" w:lineRule="auto" w:before="205"/>
              <w:ind w:left="748" w:firstLine="139"/>
              <w:rPr>
                <w:b/>
                <w:sz w:val="24"/>
              </w:rPr>
            </w:pPr>
            <w:r>
              <w:rPr>
                <w:b/>
                <w:sz w:val="24"/>
              </w:rPr>
              <w:t>DEFINICIÓN CONCEPTUAL</w:t>
            </w:r>
          </w:p>
        </w:tc>
        <w:tc>
          <w:tcPr>
            <w:tcW w:w="2060" w:type="dxa"/>
            <w:gridSpan w:val="2"/>
          </w:tcPr>
          <w:p>
            <w:pPr>
              <w:pStyle w:val="TableParagraph"/>
              <w:spacing w:line="360" w:lineRule="auto" w:before="205"/>
              <w:ind w:left="136" w:right="120" w:firstLine="194"/>
              <w:rPr>
                <w:b/>
                <w:sz w:val="24"/>
              </w:rPr>
            </w:pPr>
            <w:r>
              <w:rPr>
                <w:b/>
                <w:sz w:val="24"/>
              </w:rPr>
              <w:t>DEFINICIÓN OPERACIONAL</w:t>
            </w:r>
          </w:p>
        </w:tc>
        <w:tc>
          <w:tcPr>
            <w:tcW w:w="1490" w:type="dxa"/>
          </w:tcPr>
          <w:p>
            <w:pPr>
              <w:pStyle w:val="TableParagraph"/>
              <w:spacing w:line="360" w:lineRule="auto" w:before="205"/>
              <w:ind w:left="124" w:right="110" w:firstLine="132"/>
              <w:rPr>
                <w:b/>
                <w:sz w:val="24"/>
              </w:rPr>
            </w:pPr>
            <w:r>
              <w:rPr>
                <w:b/>
                <w:sz w:val="24"/>
              </w:rPr>
              <w:t>TIPO DE VARIABLE</w:t>
            </w:r>
          </w:p>
        </w:tc>
        <w:tc>
          <w:tcPr>
            <w:tcW w:w="1484" w:type="dxa"/>
          </w:tcPr>
          <w:p>
            <w:pPr>
              <w:pStyle w:val="TableParagraph"/>
              <w:spacing w:line="360" w:lineRule="auto"/>
              <w:ind w:left="137" w:right="135" w:firstLine="4"/>
              <w:jc w:val="center"/>
              <w:rPr>
                <w:b/>
                <w:sz w:val="24"/>
              </w:rPr>
            </w:pPr>
            <w:r>
              <w:rPr>
                <w:b/>
                <w:sz w:val="24"/>
              </w:rPr>
              <w:t>ESCALA DE  </w:t>
            </w:r>
            <w:r>
              <w:rPr>
                <w:b/>
                <w:w w:val="95"/>
                <w:sz w:val="24"/>
              </w:rPr>
              <w:t>MEDICIÓN</w:t>
            </w:r>
          </w:p>
        </w:tc>
      </w:tr>
      <w:tr>
        <w:trPr>
          <w:trHeight w:val="1673" w:hRule="exact"/>
        </w:trPr>
        <w:tc>
          <w:tcPr>
            <w:tcW w:w="2110" w:type="dxa"/>
            <w:vMerge w:val="restart"/>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line="360" w:lineRule="auto"/>
              <w:ind w:left="249" w:right="248"/>
              <w:jc w:val="center"/>
              <w:rPr>
                <w:b/>
                <w:sz w:val="24"/>
              </w:rPr>
            </w:pPr>
            <w:r>
              <w:rPr>
                <w:b/>
                <w:sz w:val="24"/>
              </w:rPr>
              <w:t>Conocimiento</w:t>
            </w:r>
            <w:r>
              <w:rPr>
                <w:b/>
                <w:w w:val="99"/>
                <w:sz w:val="24"/>
              </w:rPr>
              <w:t> </w:t>
            </w:r>
            <w:r>
              <w:rPr>
                <w:b/>
                <w:sz w:val="24"/>
              </w:rPr>
              <w:t>sobre salud bucal de las gestantes</w:t>
            </w:r>
          </w:p>
        </w:tc>
        <w:tc>
          <w:tcPr>
            <w:tcW w:w="3173" w:type="dxa"/>
            <w:vMerge w:val="restart"/>
          </w:tcPr>
          <w:p>
            <w:pPr>
              <w:pStyle w:val="TableParagraph"/>
              <w:spacing w:line="360" w:lineRule="auto"/>
              <w:ind w:left="9" w:right="122"/>
              <w:jc w:val="center"/>
              <w:rPr>
                <w:sz w:val="24"/>
              </w:rPr>
            </w:pPr>
            <w:r>
              <w:rPr>
                <w:sz w:val="24"/>
              </w:rPr>
              <w:t>Aprendizaje o</w:t>
            </w:r>
            <w:r>
              <w:rPr>
                <w:spacing w:val="-11"/>
                <w:sz w:val="24"/>
              </w:rPr>
              <w:t> </w:t>
            </w:r>
            <w:r>
              <w:rPr>
                <w:sz w:val="24"/>
              </w:rPr>
              <w:t>entendimiento de los conocimientos básicos sobre anatomía, fisiología de la boca, enfermedades de mayor prevalencia o incidencia como caries dental, enfermedad periodontal y maloclusiones; además de los aspectos preventivos que son los más importantes.</w:t>
            </w:r>
          </w:p>
        </w:tc>
        <w:tc>
          <w:tcPr>
            <w:tcW w:w="1565" w:type="dxa"/>
          </w:tcPr>
          <w:p>
            <w:pPr>
              <w:pStyle w:val="TableParagraph"/>
              <w:rPr>
                <w:b/>
                <w:sz w:val="24"/>
              </w:rPr>
            </w:pPr>
          </w:p>
          <w:p>
            <w:pPr>
              <w:pStyle w:val="TableParagraph"/>
              <w:spacing w:before="3"/>
              <w:rPr>
                <w:b/>
                <w:sz w:val="30"/>
              </w:rPr>
            </w:pPr>
          </w:p>
          <w:p>
            <w:pPr>
              <w:pStyle w:val="TableParagraph"/>
              <w:ind w:left="227" w:right="226"/>
              <w:jc w:val="center"/>
              <w:rPr>
                <w:sz w:val="24"/>
              </w:rPr>
            </w:pPr>
            <w:r>
              <w:rPr>
                <w:sz w:val="24"/>
              </w:rPr>
              <w:t>&lt;6 puntos</w:t>
            </w:r>
          </w:p>
        </w:tc>
        <w:tc>
          <w:tcPr>
            <w:tcW w:w="494" w:type="dxa"/>
          </w:tcPr>
          <w:p>
            <w:pPr>
              <w:pStyle w:val="TableParagraph"/>
              <w:rPr>
                <w:b/>
                <w:sz w:val="24"/>
              </w:rPr>
            </w:pPr>
          </w:p>
          <w:p>
            <w:pPr>
              <w:pStyle w:val="TableParagraph"/>
              <w:rPr>
                <w:b/>
                <w:sz w:val="24"/>
              </w:rPr>
            </w:pPr>
          </w:p>
          <w:p>
            <w:pPr>
              <w:pStyle w:val="TableParagraph"/>
              <w:spacing w:before="2"/>
              <w:rPr>
                <w:b/>
                <w:sz w:val="24"/>
              </w:rPr>
            </w:pPr>
          </w:p>
          <w:p>
            <w:pPr>
              <w:pStyle w:val="TableParagraph"/>
              <w:spacing w:before="1"/>
              <w:ind w:right="3"/>
              <w:jc w:val="center"/>
              <w:rPr>
                <w:sz w:val="24"/>
              </w:rPr>
            </w:pPr>
            <w:r>
              <w:rPr>
                <w:w w:val="99"/>
                <w:sz w:val="24"/>
              </w:rPr>
              <w:t>0</w:t>
            </w:r>
          </w:p>
        </w:tc>
        <w:tc>
          <w:tcPr>
            <w:tcW w:w="1490" w:type="dxa"/>
            <w:vMerge w:val="restart"/>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11"/>
              <w:rPr>
                <w:b/>
                <w:sz w:val="35"/>
              </w:rPr>
            </w:pPr>
          </w:p>
          <w:p>
            <w:pPr>
              <w:pStyle w:val="TableParagraph"/>
              <w:spacing w:line="360" w:lineRule="auto"/>
              <w:ind w:left="376" w:right="145" w:hanging="221"/>
              <w:rPr>
                <w:sz w:val="24"/>
              </w:rPr>
            </w:pPr>
            <w:r>
              <w:rPr>
                <w:sz w:val="24"/>
              </w:rPr>
              <w:t>Categórica ordinal</w:t>
            </w:r>
          </w:p>
        </w:tc>
        <w:tc>
          <w:tcPr>
            <w:tcW w:w="1484" w:type="dxa"/>
            <w:vMerge w:val="restart"/>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10"/>
              <w:rPr>
                <w:b/>
                <w:sz w:val="29"/>
              </w:rPr>
            </w:pPr>
          </w:p>
          <w:p>
            <w:pPr>
              <w:pStyle w:val="TableParagraph"/>
              <w:ind w:left="470"/>
              <w:rPr>
                <w:sz w:val="24"/>
              </w:rPr>
            </w:pPr>
            <w:r>
              <w:rPr>
                <w:sz w:val="24"/>
              </w:rPr>
              <w:t>0 a 1</w:t>
            </w:r>
          </w:p>
        </w:tc>
      </w:tr>
      <w:tr>
        <w:trPr>
          <w:trHeight w:val="3308" w:hRule="exact"/>
        </w:trPr>
        <w:tc>
          <w:tcPr>
            <w:tcW w:w="2110" w:type="dxa"/>
            <w:vMerge/>
          </w:tcPr>
          <w:p>
            <w:pPr/>
          </w:p>
        </w:tc>
        <w:tc>
          <w:tcPr>
            <w:tcW w:w="3173" w:type="dxa"/>
            <w:vMerge/>
          </w:tcPr>
          <w:p>
            <w:pPr/>
          </w:p>
        </w:tc>
        <w:tc>
          <w:tcPr>
            <w:tcW w:w="1565" w:type="dxa"/>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3"/>
              <w:rPr>
                <w:b/>
                <w:sz w:val="29"/>
              </w:rPr>
            </w:pPr>
          </w:p>
          <w:p>
            <w:pPr>
              <w:pStyle w:val="TableParagraph"/>
              <w:ind w:left="225" w:right="226"/>
              <w:jc w:val="center"/>
              <w:rPr>
                <w:sz w:val="24"/>
              </w:rPr>
            </w:pPr>
            <w:r>
              <w:rPr>
                <w:sz w:val="24"/>
              </w:rPr>
              <w:t>≥6 puntos</w:t>
            </w:r>
          </w:p>
        </w:tc>
        <w:tc>
          <w:tcPr>
            <w:tcW w:w="494" w:type="dxa"/>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3"/>
              <w:rPr>
                <w:b/>
                <w:sz w:val="29"/>
              </w:rPr>
            </w:pPr>
          </w:p>
          <w:p>
            <w:pPr>
              <w:pStyle w:val="TableParagraph"/>
              <w:ind w:right="3"/>
              <w:jc w:val="center"/>
              <w:rPr>
                <w:sz w:val="24"/>
              </w:rPr>
            </w:pPr>
            <w:r>
              <w:rPr>
                <w:w w:val="99"/>
                <w:sz w:val="24"/>
              </w:rPr>
              <w:t>1</w:t>
            </w:r>
          </w:p>
        </w:tc>
        <w:tc>
          <w:tcPr>
            <w:tcW w:w="1490" w:type="dxa"/>
            <w:vMerge/>
          </w:tcPr>
          <w:p>
            <w:pPr/>
          </w:p>
        </w:tc>
        <w:tc>
          <w:tcPr>
            <w:tcW w:w="1484" w:type="dxa"/>
            <w:vMerge/>
          </w:tcPr>
          <w:p>
            <w:pPr/>
          </w:p>
        </w:tc>
      </w:tr>
    </w:tbl>
    <w:p>
      <w:pPr>
        <w:spacing w:after="0"/>
        <w:sectPr>
          <w:pgSz w:w="12240" w:h="15840"/>
          <w:pgMar w:header="0" w:footer="943" w:top="1360" w:bottom="1200" w:left="600" w:right="1100"/>
        </w:sectPr>
      </w:pP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43"/>
        <w:gridCol w:w="3176"/>
        <w:gridCol w:w="1676"/>
        <w:gridCol w:w="382"/>
        <w:gridCol w:w="1399"/>
        <w:gridCol w:w="1642"/>
      </w:tblGrid>
      <w:tr>
        <w:trPr>
          <w:trHeight w:val="735" w:hRule="exact"/>
        </w:trPr>
        <w:tc>
          <w:tcPr>
            <w:tcW w:w="2043" w:type="dxa"/>
          </w:tcPr>
          <w:p>
            <w:pPr>
              <w:pStyle w:val="TableParagraph"/>
              <w:spacing w:line="360" w:lineRule="auto"/>
              <w:ind w:left="163" w:right="146" w:firstLine="314"/>
              <w:rPr>
                <w:b/>
                <w:sz w:val="21"/>
              </w:rPr>
            </w:pPr>
            <w:r>
              <w:rPr>
                <w:b/>
                <w:sz w:val="21"/>
              </w:rPr>
              <w:t>VARIABLE INDEPENDIENTE</w:t>
            </w:r>
          </w:p>
        </w:tc>
        <w:tc>
          <w:tcPr>
            <w:tcW w:w="3176" w:type="dxa"/>
          </w:tcPr>
          <w:p>
            <w:pPr>
              <w:pStyle w:val="TableParagraph"/>
              <w:spacing w:before="174"/>
              <w:ind w:left="213" w:right="134"/>
              <w:rPr>
                <w:b/>
                <w:sz w:val="21"/>
              </w:rPr>
            </w:pPr>
            <w:r>
              <w:rPr>
                <w:b/>
                <w:sz w:val="21"/>
              </w:rPr>
              <w:t>DEFINICIÓN CONCEPTUAL</w:t>
            </w:r>
          </w:p>
        </w:tc>
        <w:tc>
          <w:tcPr>
            <w:tcW w:w="2057" w:type="dxa"/>
            <w:gridSpan w:val="2"/>
          </w:tcPr>
          <w:p>
            <w:pPr>
              <w:pStyle w:val="TableParagraph"/>
              <w:spacing w:line="360" w:lineRule="auto"/>
              <w:ind w:left="244" w:right="231" w:firstLine="168"/>
              <w:rPr>
                <w:b/>
                <w:sz w:val="21"/>
              </w:rPr>
            </w:pPr>
            <w:r>
              <w:rPr>
                <w:b/>
                <w:sz w:val="21"/>
              </w:rPr>
              <w:t>DEFINICIÓN OPERACIONAL</w:t>
            </w:r>
          </w:p>
        </w:tc>
        <w:tc>
          <w:tcPr>
            <w:tcW w:w="1399" w:type="dxa"/>
          </w:tcPr>
          <w:p>
            <w:pPr>
              <w:pStyle w:val="TableParagraph"/>
              <w:spacing w:line="360" w:lineRule="auto"/>
              <w:ind w:left="155" w:right="141" w:firstLine="115"/>
              <w:rPr>
                <w:b/>
                <w:sz w:val="21"/>
              </w:rPr>
            </w:pPr>
            <w:r>
              <w:rPr>
                <w:b/>
                <w:sz w:val="21"/>
              </w:rPr>
              <w:t>TIPO DE VARIABLE</w:t>
            </w:r>
          </w:p>
        </w:tc>
        <w:tc>
          <w:tcPr>
            <w:tcW w:w="1642" w:type="dxa"/>
          </w:tcPr>
          <w:p>
            <w:pPr>
              <w:pStyle w:val="TableParagraph"/>
              <w:spacing w:line="360" w:lineRule="auto"/>
              <w:ind w:left="288" w:right="194" w:hanging="83"/>
              <w:rPr>
                <w:b/>
                <w:sz w:val="21"/>
              </w:rPr>
            </w:pPr>
            <w:r>
              <w:rPr>
                <w:b/>
                <w:sz w:val="21"/>
              </w:rPr>
              <w:t>ESCALA DE MEDICIÓN</w:t>
            </w:r>
          </w:p>
        </w:tc>
      </w:tr>
      <w:tr>
        <w:trPr>
          <w:trHeight w:val="1097" w:hRule="exact"/>
        </w:trPr>
        <w:tc>
          <w:tcPr>
            <w:tcW w:w="2043" w:type="dxa"/>
          </w:tcPr>
          <w:p>
            <w:pPr>
              <w:pStyle w:val="TableParagraph"/>
              <w:spacing w:line="360" w:lineRule="auto" w:before="173"/>
              <w:ind w:left="465" w:right="451"/>
              <w:rPr>
                <w:b/>
                <w:sz w:val="21"/>
              </w:rPr>
            </w:pPr>
            <w:r>
              <w:rPr>
                <w:b/>
                <w:sz w:val="21"/>
              </w:rPr>
              <w:t>Número de embarazos</w:t>
            </w:r>
          </w:p>
        </w:tc>
        <w:tc>
          <w:tcPr>
            <w:tcW w:w="3176" w:type="dxa"/>
          </w:tcPr>
          <w:p>
            <w:pPr>
              <w:pStyle w:val="TableParagraph"/>
              <w:spacing w:line="360" w:lineRule="auto"/>
              <w:ind w:left="163" w:right="279" w:firstLine="1"/>
              <w:jc w:val="center"/>
              <w:rPr>
                <w:sz w:val="21"/>
              </w:rPr>
            </w:pPr>
            <w:r>
              <w:rPr>
                <w:sz w:val="21"/>
              </w:rPr>
              <w:t>Número de embarazos al momento de la aplicación del instrumento</w:t>
            </w:r>
          </w:p>
        </w:tc>
        <w:tc>
          <w:tcPr>
            <w:tcW w:w="2057" w:type="dxa"/>
            <w:gridSpan w:val="2"/>
          </w:tcPr>
          <w:p>
            <w:pPr>
              <w:pStyle w:val="TableParagraph"/>
              <w:spacing w:line="360" w:lineRule="auto"/>
              <w:ind w:left="208" w:right="211" w:hanging="4"/>
              <w:jc w:val="center"/>
              <w:rPr>
                <w:sz w:val="21"/>
              </w:rPr>
            </w:pPr>
            <w:r>
              <w:rPr>
                <w:sz w:val="21"/>
              </w:rPr>
              <w:t>Se tomará en cuenta el número de embarazos</w:t>
            </w:r>
          </w:p>
        </w:tc>
        <w:tc>
          <w:tcPr>
            <w:tcW w:w="1399" w:type="dxa"/>
          </w:tcPr>
          <w:p>
            <w:pPr>
              <w:pStyle w:val="TableParagraph"/>
              <w:rPr>
                <w:b/>
                <w:sz w:val="20"/>
              </w:rPr>
            </w:pPr>
          </w:p>
          <w:p>
            <w:pPr>
              <w:pStyle w:val="TableParagraph"/>
              <w:spacing w:line="357" w:lineRule="auto" w:before="126"/>
              <w:ind w:left="307" w:right="124" w:hanging="171"/>
              <w:rPr>
                <w:sz w:val="21"/>
              </w:rPr>
            </w:pPr>
            <w:r>
              <w:rPr>
                <w:sz w:val="21"/>
              </w:rPr>
              <w:t>Cuantitativa Discreta</w:t>
            </w:r>
          </w:p>
        </w:tc>
        <w:tc>
          <w:tcPr>
            <w:tcW w:w="1642" w:type="dxa"/>
          </w:tcPr>
          <w:p>
            <w:pPr>
              <w:pStyle w:val="TableParagraph"/>
              <w:rPr>
                <w:b/>
                <w:sz w:val="20"/>
              </w:rPr>
            </w:pPr>
          </w:p>
          <w:p>
            <w:pPr>
              <w:pStyle w:val="TableParagraph"/>
              <w:spacing w:line="357" w:lineRule="auto" w:before="126"/>
              <w:ind w:left="295" w:right="278" w:hanging="3"/>
              <w:rPr>
                <w:sz w:val="21"/>
              </w:rPr>
            </w:pPr>
            <w:r>
              <w:rPr>
                <w:sz w:val="21"/>
              </w:rPr>
              <w:t>Número de embarazos</w:t>
            </w:r>
          </w:p>
        </w:tc>
      </w:tr>
      <w:tr>
        <w:trPr>
          <w:trHeight w:val="1097" w:hRule="exact"/>
        </w:trPr>
        <w:tc>
          <w:tcPr>
            <w:tcW w:w="2043" w:type="dxa"/>
          </w:tcPr>
          <w:p>
            <w:pPr>
              <w:pStyle w:val="TableParagraph"/>
              <w:spacing w:line="360" w:lineRule="auto" w:before="173"/>
              <w:ind w:left="319" w:right="178" w:hanging="130"/>
              <w:rPr>
                <w:b/>
                <w:sz w:val="21"/>
              </w:rPr>
            </w:pPr>
            <w:r>
              <w:rPr>
                <w:b/>
                <w:sz w:val="21"/>
              </w:rPr>
              <w:t>Número de hijos nacidos vivos</w:t>
            </w:r>
          </w:p>
        </w:tc>
        <w:tc>
          <w:tcPr>
            <w:tcW w:w="3176" w:type="dxa"/>
          </w:tcPr>
          <w:p>
            <w:pPr>
              <w:pStyle w:val="TableParagraph"/>
              <w:spacing w:line="360" w:lineRule="auto" w:before="173"/>
              <w:ind w:left="199" w:right="134" w:hanging="164"/>
              <w:rPr>
                <w:sz w:val="21"/>
              </w:rPr>
            </w:pPr>
            <w:r>
              <w:rPr>
                <w:sz w:val="21"/>
              </w:rPr>
              <w:t>Número de hijos al momento de la aplicación del instrumento</w:t>
            </w:r>
          </w:p>
        </w:tc>
        <w:tc>
          <w:tcPr>
            <w:tcW w:w="2057" w:type="dxa"/>
            <w:gridSpan w:val="2"/>
          </w:tcPr>
          <w:p>
            <w:pPr>
              <w:pStyle w:val="TableParagraph"/>
              <w:spacing w:line="360" w:lineRule="auto"/>
              <w:ind w:left="208" w:right="211" w:hanging="4"/>
              <w:jc w:val="center"/>
              <w:rPr>
                <w:sz w:val="21"/>
              </w:rPr>
            </w:pPr>
            <w:r>
              <w:rPr>
                <w:sz w:val="21"/>
              </w:rPr>
              <w:t>Se tomará en cuenta el número de hijos</w:t>
            </w:r>
          </w:p>
        </w:tc>
        <w:tc>
          <w:tcPr>
            <w:tcW w:w="1399" w:type="dxa"/>
          </w:tcPr>
          <w:p>
            <w:pPr>
              <w:pStyle w:val="TableParagraph"/>
              <w:spacing w:line="360" w:lineRule="auto" w:before="173"/>
              <w:ind w:left="307" w:right="124" w:hanging="171"/>
              <w:rPr>
                <w:sz w:val="21"/>
              </w:rPr>
            </w:pPr>
            <w:r>
              <w:rPr>
                <w:sz w:val="21"/>
              </w:rPr>
              <w:t>Cuantitativa Discreta</w:t>
            </w:r>
          </w:p>
        </w:tc>
        <w:tc>
          <w:tcPr>
            <w:tcW w:w="1642" w:type="dxa"/>
          </w:tcPr>
          <w:p>
            <w:pPr>
              <w:pStyle w:val="TableParagraph"/>
              <w:spacing w:line="360" w:lineRule="auto" w:before="173"/>
              <w:ind w:left="598" w:right="280" w:hanging="305"/>
              <w:rPr>
                <w:sz w:val="21"/>
              </w:rPr>
            </w:pPr>
            <w:r>
              <w:rPr>
                <w:sz w:val="21"/>
              </w:rPr>
              <w:t>Número de hijos</w:t>
            </w:r>
          </w:p>
        </w:tc>
      </w:tr>
      <w:tr>
        <w:trPr>
          <w:trHeight w:val="461" w:hRule="exact"/>
        </w:trPr>
        <w:tc>
          <w:tcPr>
            <w:tcW w:w="2043" w:type="dxa"/>
            <w:vMerge w:val="restart"/>
          </w:tcPr>
          <w:p>
            <w:pPr>
              <w:pStyle w:val="TableParagraph"/>
              <w:rPr>
                <w:b/>
                <w:sz w:val="20"/>
              </w:rPr>
            </w:pPr>
          </w:p>
          <w:p>
            <w:pPr>
              <w:pStyle w:val="TableParagraph"/>
              <w:rPr>
                <w:b/>
                <w:sz w:val="20"/>
              </w:rPr>
            </w:pPr>
          </w:p>
          <w:p>
            <w:pPr>
              <w:pStyle w:val="TableParagraph"/>
              <w:rPr>
                <w:b/>
                <w:sz w:val="20"/>
              </w:rPr>
            </w:pPr>
          </w:p>
          <w:p>
            <w:pPr>
              <w:pStyle w:val="TableParagraph"/>
              <w:spacing w:before="7"/>
              <w:rPr>
                <w:b/>
                <w:sz w:val="24"/>
              </w:rPr>
            </w:pPr>
          </w:p>
          <w:p>
            <w:pPr>
              <w:pStyle w:val="TableParagraph"/>
              <w:ind w:left="432" w:right="146"/>
              <w:rPr>
                <w:b/>
                <w:sz w:val="21"/>
              </w:rPr>
            </w:pPr>
            <w:r>
              <w:rPr>
                <w:b/>
                <w:sz w:val="21"/>
              </w:rPr>
              <w:t>Estado civil</w:t>
            </w:r>
          </w:p>
        </w:tc>
        <w:tc>
          <w:tcPr>
            <w:tcW w:w="3176" w:type="dxa"/>
            <w:vMerge w:val="restart"/>
          </w:tcPr>
          <w:p>
            <w:pPr>
              <w:pStyle w:val="TableParagraph"/>
              <w:rPr>
                <w:b/>
                <w:sz w:val="20"/>
              </w:rPr>
            </w:pPr>
          </w:p>
          <w:p>
            <w:pPr>
              <w:pStyle w:val="TableParagraph"/>
              <w:spacing w:before="2"/>
              <w:rPr>
                <w:b/>
                <w:sz w:val="17"/>
              </w:rPr>
            </w:pPr>
          </w:p>
          <w:p>
            <w:pPr>
              <w:pStyle w:val="TableParagraph"/>
              <w:spacing w:line="360" w:lineRule="auto"/>
              <w:ind w:left="-5" w:right="110"/>
              <w:jc w:val="center"/>
              <w:rPr>
                <w:sz w:val="21"/>
              </w:rPr>
            </w:pPr>
            <w:r>
              <w:rPr>
                <w:sz w:val="21"/>
              </w:rPr>
              <w:t>Situación de las </w:t>
            </w:r>
            <w:hyperlink r:id="rId12">
              <w:r>
                <w:rPr>
                  <w:sz w:val="21"/>
                </w:rPr>
                <w:t>personas</w:t>
              </w:r>
              <w:r>
                <w:rPr>
                  <w:spacing w:val="-9"/>
                  <w:sz w:val="21"/>
                </w:rPr>
                <w:t> </w:t>
              </w:r>
              <w:r>
                <w:rPr>
                  <w:sz w:val="21"/>
                </w:rPr>
                <w:t>físicas</w:t>
              </w:r>
            </w:hyperlink>
            <w:r>
              <w:rPr>
                <w:sz w:val="21"/>
              </w:rPr>
              <w:t> determinada por sus relaciones de </w:t>
            </w:r>
            <w:hyperlink r:id="rId13">
              <w:r>
                <w:rPr>
                  <w:sz w:val="21"/>
                </w:rPr>
                <w:t>familia</w:t>
              </w:r>
            </w:hyperlink>
            <w:r>
              <w:rPr>
                <w:sz w:val="21"/>
              </w:rPr>
              <w:t>, provenientes del </w:t>
            </w:r>
            <w:hyperlink r:id="rId14">
              <w:r>
                <w:rPr>
                  <w:sz w:val="21"/>
                </w:rPr>
                <w:t>matrimonio</w:t>
              </w:r>
            </w:hyperlink>
            <w:r>
              <w:rPr>
                <w:sz w:val="21"/>
              </w:rPr>
              <w:t> o del</w:t>
            </w:r>
            <w:r>
              <w:rPr>
                <w:spacing w:val="-4"/>
                <w:sz w:val="21"/>
              </w:rPr>
              <w:t> </w:t>
            </w:r>
            <w:hyperlink r:id="rId15">
              <w:r>
                <w:rPr>
                  <w:sz w:val="21"/>
                </w:rPr>
                <w:t>parentesco.</w:t>
              </w:r>
            </w:hyperlink>
          </w:p>
        </w:tc>
        <w:tc>
          <w:tcPr>
            <w:tcW w:w="1676" w:type="dxa"/>
          </w:tcPr>
          <w:p>
            <w:pPr>
              <w:pStyle w:val="TableParagraph"/>
              <w:spacing w:before="36"/>
              <w:ind w:left="118" w:right="118"/>
              <w:jc w:val="center"/>
              <w:rPr>
                <w:sz w:val="21"/>
              </w:rPr>
            </w:pPr>
            <w:r>
              <w:rPr>
                <w:sz w:val="21"/>
              </w:rPr>
              <w:t>Soltera</w:t>
            </w:r>
          </w:p>
        </w:tc>
        <w:tc>
          <w:tcPr>
            <w:tcW w:w="382" w:type="dxa"/>
          </w:tcPr>
          <w:p>
            <w:pPr>
              <w:pStyle w:val="TableParagraph"/>
              <w:spacing w:before="36"/>
              <w:ind w:right="2"/>
              <w:jc w:val="center"/>
              <w:rPr>
                <w:sz w:val="21"/>
              </w:rPr>
            </w:pPr>
            <w:r>
              <w:rPr>
                <w:w w:val="100"/>
                <w:sz w:val="21"/>
              </w:rPr>
              <w:t>0</w:t>
            </w:r>
          </w:p>
        </w:tc>
        <w:tc>
          <w:tcPr>
            <w:tcW w:w="1399" w:type="dxa"/>
            <w:vMerge w:val="restart"/>
          </w:tcPr>
          <w:p>
            <w:pPr>
              <w:pStyle w:val="TableParagraph"/>
              <w:rPr>
                <w:b/>
                <w:sz w:val="20"/>
              </w:rPr>
            </w:pPr>
          </w:p>
          <w:p>
            <w:pPr>
              <w:pStyle w:val="TableParagraph"/>
              <w:rPr>
                <w:b/>
                <w:sz w:val="20"/>
              </w:rPr>
            </w:pPr>
          </w:p>
          <w:p>
            <w:pPr>
              <w:pStyle w:val="TableParagraph"/>
              <w:spacing w:before="8"/>
              <w:rPr>
                <w:b/>
                <w:sz w:val="28"/>
              </w:rPr>
            </w:pPr>
          </w:p>
          <w:p>
            <w:pPr>
              <w:pStyle w:val="TableParagraph"/>
              <w:spacing w:line="360" w:lineRule="auto" w:before="1"/>
              <w:ind w:left="323" w:right="173" w:hanging="142"/>
              <w:rPr>
                <w:sz w:val="21"/>
              </w:rPr>
            </w:pPr>
            <w:r>
              <w:rPr>
                <w:sz w:val="21"/>
              </w:rPr>
              <w:t>Categórica nominal</w:t>
            </w:r>
          </w:p>
        </w:tc>
        <w:tc>
          <w:tcPr>
            <w:tcW w:w="1642" w:type="dxa"/>
            <w:vMerge w:val="restart"/>
          </w:tcPr>
          <w:p>
            <w:pPr>
              <w:pStyle w:val="TableParagraph"/>
              <w:rPr>
                <w:b/>
                <w:sz w:val="20"/>
              </w:rPr>
            </w:pPr>
          </w:p>
          <w:p>
            <w:pPr>
              <w:pStyle w:val="TableParagraph"/>
              <w:rPr>
                <w:b/>
                <w:sz w:val="20"/>
              </w:rPr>
            </w:pPr>
          </w:p>
          <w:p>
            <w:pPr>
              <w:pStyle w:val="TableParagraph"/>
              <w:rPr>
                <w:b/>
                <w:sz w:val="20"/>
              </w:rPr>
            </w:pPr>
          </w:p>
          <w:p>
            <w:pPr>
              <w:pStyle w:val="TableParagraph"/>
              <w:spacing w:before="7"/>
              <w:rPr>
                <w:b/>
                <w:sz w:val="24"/>
              </w:rPr>
            </w:pPr>
          </w:p>
          <w:p>
            <w:pPr>
              <w:pStyle w:val="TableParagraph"/>
              <w:ind w:left="562" w:right="563"/>
              <w:jc w:val="center"/>
              <w:rPr>
                <w:sz w:val="21"/>
              </w:rPr>
            </w:pPr>
            <w:r>
              <w:rPr>
                <w:sz w:val="21"/>
              </w:rPr>
              <w:t>0 a 4</w:t>
            </w:r>
          </w:p>
        </w:tc>
      </w:tr>
      <w:tr>
        <w:trPr>
          <w:trHeight w:val="469" w:hRule="exact"/>
        </w:trPr>
        <w:tc>
          <w:tcPr>
            <w:tcW w:w="2043" w:type="dxa"/>
            <w:vMerge/>
          </w:tcPr>
          <w:p>
            <w:pPr/>
          </w:p>
        </w:tc>
        <w:tc>
          <w:tcPr>
            <w:tcW w:w="3176" w:type="dxa"/>
            <w:vMerge/>
          </w:tcPr>
          <w:p>
            <w:pPr/>
          </w:p>
        </w:tc>
        <w:tc>
          <w:tcPr>
            <w:tcW w:w="1676" w:type="dxa"/>
          </w:tcPr>
          <w:p>
            <w:pPr>
              <w:pStyle w:val="TableParagraph"/>
              <w:spacing w:before="39"/>
              <w:ind w:left="117" w:right="118"/>
              <w:jc w:val="center"/>
              <w:rPr>
                <w:sz w:val="21"/>
              </w:rPr>
            </w:pPr>
            <w:r>
              <w:rPr>
                <w:sz w:val="21"/>
              </w:rPr>
              <w:t>Casada</w:t>
            </w:r>
          </w:p>
        </w:tc>
        <w:tc>
          <w:tcPr>
            <w:tcW w:w="382" w:type="dxa"/>
          </w:tcPr>
          <w:p>
            <w:pPr>
              <w:pStyle w:val="TableParagraph"/>
              <w:spacing w:before="39"/>
              <w:ind w:right="2"/>
              <w:jc w:val="center"/>
              <w:rPr>
                <w:sz w:val="21"/>
              </w:rPr>
            </w:pPr>
            <w:r>
              <w:rPr>
                <w:w w:val="100"/>
                <w:sz w:val="21"/>
              </w:rPr>
              <w:t>1</w:t>
            </w:r>
          </w:p>
        </w:tc>
        <w:tc>
          <w:tcPr>
            <w:tcW w:w="1399" w:type="dxa"/>
            <w:vMerge/>
          </w:tcPr>
          <w:p>
            <w:pPr/>
          </w:p>
        </w:tc>
        <w:tc>
          <w:tcPr>
            <w:tcW w:w="1642" w:type="dxa"/>
            <w:vMerge/>
          </w:tcPr>
          <w:p>
            <w:pPr/>
          </w:p>
        </w:tc>
      </w:tr>
      <w:tr>
        <w:trPr>
          <w:trHeight w:val="468" w:hRule="exact"/>
        </w:trPr>
        <w:tc>
          <w:tcPr>
            <w:tcW w:w="2043" w:type="dxa"/>
            <w:vMerge/>
          </w:tcPr>
          <w:p>
            <w:pPr/>
          </w:p>
        </w:tc>
        <w:tc>
          <w:tcPr>
            <w:tcW w:w="3176" w:type="dxa"/>
            <w:vMerge/>
          </w:tcPr>
          <w:p>
            <w:pPr/>
          </w:p>
        </w:tc>
        <w:tc>
          <w:tcPr>
            <w:tcW w:w="1676" w:type="dxa"/>
          </w:tcPr>
          <w:p>
            <w:pPr>
              <w:pStyle w:val="TableParagraph"/>
              <w:spacing w:before="39"/>
              <w:ind w:left="117" w:right="118"/>
              <w:jc w:val="center"/>
              <w:rPr>
                <w:sz w:val="21"/>
              </w:rPr>
            </w:pPr>
            <w:r>
              <w:rPr>
                <w:sz w:val="21"/>
              </w:rPr>
              <w:t>Unión libre</w:t>
            </w:r>
          </w:p>
        </w:tc>
        <w:tc>
          <w:tcPr>
            <w:tcW w:w="382" w:type="dxa"/>
          </w:tcPr>
          <w:p>
            <w:pPr>
              <w:pStyle w:val="TableParagraph"/>
              <w:spacing w:before="39"/>
              <w:ind w:right="2"/>
              <w:jc w:val="center"/>
              <w:rPr>
                <w:sz w:val="21"/>
              </w:rPr>
            </w:pPr>
            <w:r>
              <w:rPr>
                <w:w w:val="100"/>
                <w:sz w:val="21"/>
              </w:rPr>
              <w:t>2</w:t>
            </w:r>
          </w:p>
        </w:tc>
        <w:tc>
          <w:tcPr>
            <w:tcW w:w="1399" w:type="dxa"/>
            <w:vMerge/>
          </w:tcPr>
          <w:p>
            <w:pPr/>
          </w:p>
        </w:tc>
        <w:tc>
          <w:tcPr>
            <w:tcW w:w="1642" w:type="dxa"/>
            <w:vMerge/>
          </w:tcPr>
          <w:p>
            <w:pPr/>
          </w:p>
        </w:tc>
      </w:tr>
      <w:tr>
        <w:trPr>
          <w:trHeight w:val="468" w:hRule="exact"/>
        </w:trPr>
        <w:tc>
          <w:tcPr>
            <w:tcW w:w="2043" w:type="dxa"/>
            <w:vMerge/>
          </w:tcPr>
          <w:p>
            <w:pPr/>
          </w:p>
        </w:tc>
        <w:tc>
          <w:tcPr>
            <w:tcW w:w="3176" w:type="dxa"/>
            <w:vMerge/>
          </w:tcPr>
          <w:p>
            <w:pPr/>
          </w:p>
        </w:tc>
        <w:tc>
          <w:tcPr>
            <w:tcW w:w="1676" w:type="dxa"/>
          </w:tcPr>
          <w:p>
            <w:pPr>
              <w:pStyle w:val="TableParagraph"/>
              <w:spacing w:before="39"/>
              <w:ind w:left="117" w:right="118"/>
              <w:jc w:val="center"/>
              <w:rPr>
                <w:sz w:val="21"/>
              </w:rPr>
            </w:pPr>
            <w:r>
              <w:rPr>
                <w:sz w:val="21"/>
              </w:rPr>
              <w:t>Divorciada</w:t>
            </w:r>
          </w:p>
        </w:tc>
        <w:tc>
          <w:tcPr>
            <w:tcW w:w="382" w:type="dxa"/>
          </w:tcPr>
          <w:p>
            <w:pPr>
              <w:pStyle w:val="TableParagraph"/>
              <w:spacing w:before="39"/>
              <w:ind w:right="2"/>
              <w:jc w:val="center"/>
              <w:rPr>
                <w:sz w:val="21"/>
              </w:rPr>
            </w:pPr>
            <w:r>
              <w:rPr>
                <w:w w:val="100"/>
                <w:sz w:val="21"/>
              </w:rPr>
              <w:t>3</w:t>
            </w:r>
          </w:p>
        </w:tc>
        <w:tc>
          <w:tcPr>
            <w:tcW w:w="1399" w:type="dxa"/>
            <w:vMerge/>
          </w:tcPr>
          <w:p>
            <w:pPr/>
          </w:p>
        </w:tc>
        <w:tc>
          <w:tcPr>
            <w:tcW w:w="1642" w:type="dxa"/>
            <w:vMerge/>
          </w:tcPr>
          <w:p>
            <w:pPr/>
          </w:p>
        </w:tc>
      </w:tr>
      <w:tr>
        <w:trPr>
          <w:trHeight w:val="468" w:hRule="exact"/>
        </w:trPr>
        <w:tc>
          <w:tcPr>
            <w:tcW w:w="2043" w:type="dxa"/>
            <w:vMerge/>
          </w:tcPr>
          <w:p>
            <w:pPr/>
          </w:p>
        </w:tc>
        <w:tc>
          <w:tcPr>
            <w:tcW w:w="3176" w:type="dxa"/>
            <w:vMerge/>
          </w:tcPr>
          <w:p>
            <w:pPr/>
          </w:p>
        </w:tc>
        <w:tc>
          <w:tcPr>
            <w:tcW w:w="1676" w:type="dxa"/>
          </w:tcPr>
          <w:p>
            <w:pPr>
              <w:pStyle w:val="TableParagraph"/>
              <w:spacing w:before="39"/>
              <w:ind w:left="117" w:right="118"/>
              <w:jc w:val="center"/>
              <w:rPr>
                <w:sz w:val="21"/>
              </w:rPr>
            </w:pPr>
            <w:r>
              <w:rPr>
                <w:sz w:val="21"/>
              </w:rPr>
              <w:t>Viuda</w:t>
            </w:r>
          </w:p>
        </w:tc>
        <w:tc>
          <w:tcPr>
            <w:tcW w:w="382" w:type="dxa"/>
          </w:tcPr>
          <w:p>
            <w:pPr>
              <w:pStyle w:val="TableParagraph"/>
              <w:spacing w:before="39"/>
              <w:ind w:right="2"/>
              <w:jc w:val="center"/>
              <w:rPr>
                <w:sz w:val="21"/>
              </w:rPr>
            </w:pPr>
            <w:r>
              <w:rPr>
                <w:w w:val="100"/>
                <w:sz w:val="21"/>
              </w:rPr>
              <w:t>4</w:t>
            </w:r>
          </w:p>
        </w:tc>
        <w:tc>
          <w:tcPr>
            <w:tcW w:w="1399" w:type="dxa"/>
            <w:vMerge/>
          </w:tcPr>
          <w:p>
            <w:pPr/>
          </w:p>
        </w:tc>
        <w:tc>
          <w:tcPr>
            <w:tcW w:w="1642" w:type="dxa"/>
            <w:vMerge/>
          </w:tcPr>
          <w:p>
            <w:pPr/>
          </w:p>
        </w:tc>
      </w:tr>
      <w:tr>
        <w:trPr>
          <w:trHeight w:val="372" w:hRule="exact"/>
        </w:trPr>
        <w:tc>
          <w:tcPr>
            <w:tcW w:w="2043" w:type="dxa"/>
            <w:vMerge w:val="restart"/>
          </w:tcPr>
          <w:p>
            <w:pPr>
              <w:pStyle w:val="TableParagraph"/>
              <w:rPr>
                <w:b/>
                <w:sz w:val="20"/>
              </w:rPr>
            </w:pPr>
          </w:p>
          <w:p>
            <w:pPr>
              <w:pStyle w:val="TableParagraph"/>
              <w:rPr>
                <w:b/>
                <w:sz w:val="20"/>
              </w:rPr>
            </w:pPr>
          </w:p>
          <w:p>
            <w:pPr>
              <w:pStyle w:val="TableParagraph"/>
              <w:rPr>
                <w:b/>
                <w:sz w:val="20"/>
              </w:rPr>
            </w:pPr>
          </w:p>
          <w:p>
            <w:pPr>
              <w:pStyle w:val="TableParagraph"/>
              <w:spacing w:before="7"/>
              <w:rPr>
                <w:b/>
                <w:sz w:val="20"/>
              </w:rPr>
            </w:pPr>
          </w:p>
          <w:p>
            <w:pPr>
              <w:pStyle w:val="TableParagraph"/>
              <w:spacing w:line="360" w:lineRule="auto"/>
              <w:ind w:left="583" w:right="138" w:hanging="435"/>
              <w:rPr>
                <w:b/>
                <w:sz w:val="21"/>
              </w:rPr>
            </w:pPr>
            <w:r>
              <w:rPr>
                <w:b/>
                <w:sz w:val="21"/>
              </w:rPr>
              <w:t>Máximo grado de estudios</w:t>
            </w:r>
          </w:p>
        </w:tc>
        <w:tc>
          <w:tcPr>
            <w:tcW w:w="3176" w:type="dxa"/>
            <w:vMerge w:val="restart"/>
          </w:tcPr>
          <w:p>
            <w:pPr>
              <w:pStyle w:val="TableParagraph"/>
              <w:rPr>
                <w:b/>
                <w:sz w:val="20"/>
              </w:rPr>
            </w:pPr>
          </w:p>
          <w:p>
            <w:pPr>
              <w:pStyle w:val="TableParagraph"/>
              <w:spacing w:line="360" w:lineRule="auto" w:before="154"/>
              <w:ind w:left="187" w:right="302"/>
              <w:jc w:val="center"/>
              <w:rPr>
                <w:sz w:val="21"/>
              </w:rPr>
            </w:pPr>
            <w:r>
              <w:rPr>
                <w:sz w:val="21"/>
              </w:rPr>
              <w:t>Distinción dada por alguna institución educativa, generalmente después de la terminación exitosa de algún programa de estudios</w:t>
            </w:r>
          </w:p>
        </w:tc>
        <w:tc>
          <w:tcPr>
            <w:tcW w:w="1676" w:type="dxa"/>
          </w:tcPr>
          <w:p>
            <w:pPr>
              <w:pStyle w:val="TableParagraph"/>
              <w:spacing w:line="233" w:lineRule="exact"/>
              <w:ind w:left="117" w:right="118"/>
              <w:jc w:val="center"/>
              <w:rPr>
                <w:sz w:val="21"/>
              </w:rPr>
            </w:pPr>
            <w:r>
              <w:rPr>
                <w:sz w:val="21"/>
              </w:rPr>
              <w:t>No estudió</w:t>
            </w:r>
          </w:p>
        </w:tc>
        <w:tc>
          <w:tcPr>
            <w:tcW w:w="382" w:type="dxa"/>
          </w:tcPr>
          <w:p>
            <w:pPr>
              <w:pStyle w:val="TableParagraph"/>
              <w:spacing w:line="233" w:lineRule="exact"/>
              <w:ind w:right="2"/>
              <w:jc w:val="center"/>
              <w:rPr>
                <w:sz w:val="21"/>
              </w:rPr>
            </w:pPr>
            <w:r>
              <w:rPr>
                <w:w w:val="100"/>
                <w:sz w:val="21"/>
              </w:rPr>
              <w:t>0</w:t>
            </w:r>
          </w:p>
        </w:tc>
        <w:tc>
          <w:tcPr>
            <w:tcW w:w="1399" w:type="dxa"/>
            <w:vMerge w:val="restart"/>
          </w:tcPr>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spacing w:before="127"/>
              <w:ind w:left="374" w:right="172" w:hanging="192"/>
              <w:rPr>
                <w:sz w:val="21"/>
              </w:rPr>
            </w:pPr>
            <w:r>
              <w:rPr>
                <w:sz w:val="21"/>
              </w:rPr>
              <w:t>Categórica ordinal</w:t>
            </w:r>
          </w:p>
        </w:tc>
        <w:tc>
          <w:tcPr>
            <w:tcW w:w="1642" w:type="dxa"/>
            <w:vMerge w:val="restart"/>
          </w:tcPr>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spacing w:before="3"/>
              <w:rPr>
                <w:b/>
                <w:sz w:val="16"/>
              </w:rPr>
            </w:pPr>
          </w:p>
          <w:p>
            <w:pPr>
              <w:pStyle w:val="TableParagraph"/>
              <w:ind w:left="562" w:right="563"/>
              <w:jc w:val="center"/>
              <w:rPr>
                <w:sz w:val="21"/>
              </w:rPr>
            </w:pPr>
            <w:r>
              <w:rPr>
                <w:sz w:val="21"/>
              </w:rPr>
              <w:t>0 a 6</w:t>
            </w:r>
          </w:p>
        </w:tc>
      </w:tr>
      <w:tr>
        <w:trPr>
          <w:trHeight w:val="372" w:hRule="exact"/>
        </w:trPr>
        <w:tc>
          <w:tcPr>
            <w:tcW w:w="2043" w:type="dxa"/>
            <w:vMerge/>
          </w:tcPr>
          <w:p>
            <w:pPr/>
          </w:p>
        </w:tc>
        <w:tc>
          <w:tcPr>
            <w:tcW w:w="3176" w:type="dxa"/>
            <w:vMerge/>
          </w:tcPr>
          <w:p>
            <w:pPr/>
          </w:p>
        </w:tc>
        <w:tc>
          <w:tcPr>
            <w:tcW w:w="1676" w:type="dxa"/>
          </w:tcPr>
          <w:p>
            <w:pPr>
              <w:pStyle w:val="TableParagraph"/>
              <w:spacing w:line="233" w:lineRule="exact"/>
              <w:ind w:left="118" w:right="118"/>
              <w:jc w:val="center"/>
              <w:rPr>
                <w:sz w:val="21"/>
              </w:rPr>
            </w:pPr>
            <w:r>
              <w:rPr>
                <w:sz w:val="21"/>
              </w:rPr>
              <w:t>Preescolar</w:t>
            </w:r>
          </w:p>
        </w:tc>
        <w:tc>
          <w:tcPr>
            <w:tcW w:w="382" w:type="dxa"/>
          </w:tcPr>
          <w:p>
            <w:pPr>
              <w:pStyle w:val="TableParagraph"/>
              <w:spacing w:line="233" w:lineRule="exact"/>
              <w:ind w:right="2"/>
              <w:jc w:val="center"/>
              <w:rPr>
                <w:sz w:val="21"/>
              </w:rPr>
            </w:pPr>
            <w:r>
              <w:rPr>
                <w:w w:val="100"/>
                <w:sz w:val="21"/>
              </w:rPr>
              <w:t>1</w:t>
            </w:r>
          </w:p>
        </w:tc>
        <w:tc>
          <w:tcPr>
            <w:tcW w:w="1399" w:type="dxa"/>
            <w:vMerge/>
          </w:tcPr>
          <w:p>
            <w:pPr/>
          </w:p>
        </w:tc>
        <w:tc>
          <w:tcPr>
            <w:tcW w:w="1642" w:type="dxa"/>
            <w:vMerge/>
          </w:tcPr>
          <w:p>
            <w:pPr/>
          </w:p>
        </w:tc>
      </w:tr>
      <w:tr>
        <w:trPr>
          <w:trHeight w:val="372" w:hRule="exact"/>
        </w:trPr>
        <w:tc>
          <w:tcPr>
            <w:tcW w:w="2043" w:type="dxa"/>
            <w:vMerge/>
          </w:tcPr>
          <w:p>
            <w:pPr/>
          </w:p>
        </w:tc>
        <w:tc>
          <w:tcPr>
            <w:tcW w:w="3176" w:type="dxa"/>
            <w:vMerge/>
          </w:tcPr>
          <w:p>
            <w:pPr/>
          </w:p>
        </w:tc>
        <w:tc>
          <w:tcPr>
            <w:tcW w:w="1676" w:type="dxa"/>
          </w:tcPr>
          <w:p>
            <w:pPr>
              <w:pStyle w:val="TableParagraph"/>
              <w:spacing w:line="233" w:lineRule="exact"/>
              <w:ind w:left="117" w:right="118"/>
              <w:jc w:val="center"/>
              <w:rPr>
                <w:sz w:val="21"/>
              </w:rPr>
            </w:pPr>
            <w:r>
              <w:rPr>
                <w:sz w:val="21"/>
              </w:rPr>
              <w:t>Primaria</w:t>
            </w:r>
          </w:p>
        </w:tc>
        <w:tc>
          <w:tcPr>
            <w:tcW w:w="382" w:type="dxa"/>
          </w:tcPr>
          <w:p>
            <w:pPr>
              <w:pStyle w:val="TableParagraph"/>
              <w:spacing w:line="233" w:lineRule="exact"/>
              <w:ind w:right="2"/>
              <w:jc w:val="center"/>
              <w:rPr>
                <w:sz w:val="21"/>
              </w:rPr>
            </w:pPr>
            <w:r>
              <w:rPr>
                <w:w w:val="100"/>
                <w:sz w:val="21"/>
              </w:rPr>
              <w:t>2</w:t>
            </w:r>
          </w:p>
        </w:tc>
        <w:tc>
          <w:tcPr>
            <w:tcW w:w="1399" w:type="dxa"/>
            <w:vMerge/>
          </w:tcPr>
          <w:p>
            <w:pPr/>
          </w:p>
        </w:tc>
        <w:tc>
          <w:tcPr>
            <w:tcW w:w="1642" w:type="dxa"/>
            <w:vMerge/>
          </w:tcPr>
          <w:p>
            <w:pPr/>
          </w:p>
        </w:tc>
      </w:tr>
      <w:tr>
        <w:trPr>
          <w:trHeight w:val="372" w:hRule="exact"/>
        </w:trPr>
        <w:tc>
          <w:tcPr>
            <w:tcW w:w="2043" w:type="dxa"/>
            <w:vMerge/>
          </w:tcPr>
          <w:p>
            <w:pPr/>
          </w:p>
        </w:tc>
        <w:tc>
          <w:tcPr>
            <w:tcW w:w="3176" w:type="dxa"/>
            <w:vMerge/>
          </w:tcPr>
          <w:p>
            <w:pPr/>
          </w:p>
        </w:tc>
        <w:tc>
          <w:tcPr>
            <w:tcW w:w="1676" w:type="dxa"/>
          </w:tcPr>
          <w:p>
            <w:pPr>
              <w:pStyle w:val="TableParagraph"/>
              <w:spacing w:line="233" w:lineRule="exact"/>
              <w:ind w:left="117" w:right="118"/>
              <w:jc w:val="center"/>
              <w:rPr>
                <w:sz w:val="21"/>
              </w:rPr>
            </w:pPr>
            <w:r>
              <w:rPr>
                <w:sz w:val="21"/>
              </w:rPr>
              <w:t>Secundaria</w:t>
            </w:r>
          </w:p>
        </w:tc>
        <w:tc>
          <w:tcPr>
            <w:tcW w:w="382" w:type="dxa"/>
          </w:tcPr>
          <w:p>
            <w:pPr>
              <w:pStyle w:val="TableParagraph"/>
              <w:spacing w:line="233" w:lineRule="exact"/>
              <w:ind w:right="2"/>
              <w:jc w:val="center"/>
              <w:rPr>
                <w:sz w:val="21"/>
              </w:rPr>
            </w:pPr>
            <w:r>
              <w:rPr>
                <w:w w:val="100"/>
                <w:sz w:val="21"/>
              </w:rPr>
              <w:t>3</w:t>
            </w:r>
          </w:p>
        </w:tc>
        <w:tc>
          <w:tcPr>
            <w:tcW w:w="1399" w:type="dxa"/>
            <w:vMerge/>
          </w:tcPr>
          <w:p>
            <w:pPr/>
          </w:p>
        </w:tc>
        <w:tc>
          <w:tcPr>
            <w:tcW w:w="1642" w:type="dxa"/>
            <w:vMerge/>
          </w:tcPr>
          <w:p>
            <w:pPr/>
          </w:p>
        </w:tc>
      </w:tr>
      <w:tr>
        <w:trPr>
          <w:trHeight w:val="372" w:hRule="exact"/>
        </w:trPr>
        <w:tc>
          <w:tcPr>
            <w:tcW w:w="2043" w:type="dxa"/>
            <w:vMerge/>
          </w:tcPr>
          <w:p>
            <w:pPr/>
          </w:p>
        </w:tc>
        <w:tc>
          <w:tcPr>
            <w:tcW w:w="3176" w:type="dxa"/>
            <w:vMerge/>
          </w:tcPr>
          <w:p>
            <w:pPr/>
          </w:p>
        </w:tc>
        <w:tc>
          <w:tcPr>
            <w:tcW w:w="1676" w:type="dxa"/>
          </w:tcPr>
          <w:p>
            <w:pPr>
              <w:pStyle w:val="TableParagraph"/>
              <w:spacing w:line="235" w:lineRule="exact"/>
              <w:ind w:left="118" w:right="118"/>
              <w:jc w:val="center"/>
              <w:rPr>
                <w:sz w:val="21"/>
              </w:rPr>
            </w:pPr>
            <w:r>
              <w:rPr>
                <w:sz w:val="21"/>
              </w:rPr>
              <w:t>Medio superior</w:t>
            </w:r>
          </w:p>
        </w:tc>
        <w:tc>
          <w:tcPr>
            <w:tcW w:w="382" w:type="dxa"/>
          </w:tcPr>
          <w:p>
            <w:pPr>
              <w:pStyle w:val="TableParagraph"/>
              <w:spacing w:line="235" w:lineRule="exact"/>
              <w:ind w:right="2"/>
              <w:jc w:val="center"/>
              <w:rPr>
                <w:sz w:val="21"/>
              </w:rPr>
            </w:pPr>
            <w:r>
              <w:rPr>
                <w:w w:val="100"/>
                <w:sz w:val="21"/>
              </w:rPr>
              <w:t>4</w:t>
            </w:r>
          </w:p>
        </w:tc>
        <w:tc>
          <w:tcPr>
            <w:tcW w:w="1399" w:type="dxa"/>
            <w:vMerge/>
          </w:tcPr>
          <w:p>
            <w:pPr/>
          </w:p>
        </w:tc>
        <w:tc>
          <w:tcPr>
            <w:tcW w:w="1642" w:type="dxa"/>
            <w:vMerge/>
          </w:tcPr>
          <w:p>
            <w:pPr/>
          </w:p>
        </w:tc>
      </w:tr>
      <w:tr>
        <w:trPr>
          <w:trHeight w:val="375" w:hRule="exact"/>
        </w:trPr>
        <w:tc>
          <w:tcPr>
            <w:tcW w:w="2043" w:type="dxa"/>
            <w:vMerge/>
          </w:tcPr>
          <w:p>
            <w:pPr/>
          </w:p>
        </w:tc>
        <w:tc>
          <w:tcPr>
            <w:tcW w:w="3176" w:type="dxa"/>
            <w:vMerge/>
          </w:tcPr>
          <w:p>
            <w:pPr/>
          </w:p>
        </w:tc>
        <w:tc>
          <w:tcPr>
            <w:tcW w:w="1676" w:type="dxa"/>
          </w:tcPr>
          <w:p>
            <w:pPr>
              <w:pStyle w:val="TableParagraph"/>
              <w:spacing w:line="235" w:lineRule="exact"/>
              <w:ind w:left="118" w:right="118"/>
              <w:jc w:val="center"/>
              <w:rPr>
                <w:sz w:val="21"/>
              </w:rPr>
            </w:pPr>
            <w:r>
              <w:rPr>
                <w:sz w:val="21"/>
              </w:rPr>
              <w:t>Superior</w:t>
            </w:r>
          </w:p>
        </w:tc>
        <w:tc>
          <w:tcPr>
            <w:tcW w:w="382" w:type="dxa"/>
          </w:tcPr>
          <w:p>
            <w:pPr>
              <w:pStyle w:val="TableParagraph"/>
              <w:spacing w:line="235" w:lineRule="exact"/>
              <w:ind w:right="2"/>
              <w:jc w:val="center"/>
              <w:rPr>
                <w:sz w:val="21"/>
              </w:rPr>
            </w:pPr>
            <w:r>
              <w:rPr>
                <w:w w:val="100"/>
                <w:sz w:val="21"/>
              </w:rPr>
              <w:t>5</w:t>
            </w:r>
          </w:p>
        </w:tc>
        <w:tc>
          <w:tcPr>
            <w:tcW w:w="1399" w:type="dxa"/>
            <w:vMerge/>
          </w:tcPr>
          <w:p>
            <w:pPr/>
          </w:p>
        </w:tc>
        <w:tc>
          <w:tcPr>
            <w:tcW w:w="1642" w:type="dxa"/>
            <w:vMerge/>
          </w:tcPr>
          <w:p>
            <w:pPr/>
          </w:p>
        </w:tc>
      </w:tr>
      <w:tr>
        <w:trPr>
          <w:trHeight w:val="372" w:hRule="exact"/>
        </w:trPr>
        <w:tc>
          <w:tcPr>
            <w:tcW w:w="2043" w:type="dxa"/>
            <w:vMerge/>
          </w:tcPr>
          <w:p>
            <w:pPr/>
          </w:p>
        </w:tc>
        <w:tc>
          <w:tcPr>
            <w:tcW w:w="3176" w:type="dxa"/>
            <w:vMerge/>
          </w:tcPr>
          <w:p>
            <w:pPr/>
          </w:p>
        </w:tc>
        <w:tc>
          <w:tcPr>
            <w:tcW w:w="1676" w:type="dxa"/>
          </w:tcPr>
          <w:p>
            <w:pPr>
              <w:pStyle w:val="TableParagraph"/>
              <w:spacing w:line="233" w:lineRule="exact"/>
              <w:ind w:left="118" w:right="118"/>
              <w:jc w:val="center"/>
              <w:rPr>
                <w:sz w:val="21"/>
              </w:rPr>
            </w:pPr>
            <w:r>
              <w:rPr>
                <w:sz w:val="21"/>
              </w:rPr>
              <w:t>Posgrado</w:t>
            </w:r>
          </w:p>
        </w:tc>
        <w:tc>
          <w:tcPr>
            <w:tcW w:w="382" w:type="dxa"/>
          </w:tcPr>
          <w:p>
            <w:pPr>
              <w:pStyle w:val="TableParagraph"/>
              <w:spacing w:line="233" w:lineRule="exact"/>
              <w:ind w:right="2"/>
              <w:jc w:val="center"/>
              <w:rPr>
                <w:sz w:val="21"/>
              </w:rPr>
            </w:pPr>
            <w:r>
              <w:rPr>
                <w:w w:val="100"/>
                <w:sz w:val="21"/>
              </w:rPr>
              <w:t>6</w:t>
            </w:r>
          </w:p>
        </w:tc>
        <w:tc>
          <w:tcPr>
            <w:tcW w:w="1399" w:type="dxa"/>
            <w:vMerge/>
          </w:tcPr>
          <w:p>
            <w:pPr/>
          </w:p>
        </w:tc>
        <w:tc>
          <w:tcPr>
            <w:tcW w:w="1642" w:type="dxa"/>
            <w:vMerge/>
          </w:tcPr>
          <w:p>
            <w:pPr/>
          </w:p>
        </w:tc>
      </w:tr>
      <w:tr>
        <w:trPr>
          <w:trHeight w:val="2182" w:hRule="exact"/>
        </w:trPr>
        <w:tc>
          <w:tcPr>
            <w:tcW w:w="2043" w:type="dxa"/>
          </w:tcPr>
          <w:p>
            <w:pPr>
              <w:pStyle w:val="TableParagraph"/>
              <w:rPr>
                <w:b/>
                <w:sz w:val="20"/>
              </w:rPr>
            </w:pPr>
          </w:p>
          <w:p>
            <w:pPr>
              <w:pStyle w:val="TableParagraph"/>
              <w:rPr>
                <w:b/>
                <w:sz w:val="20"/>
              </w:rPr>
            </w:pPr>
          </w:p>
          <w:p>
            <w:pPr>
              <w:pStyle w:val="TableParagraph"/>
              <w:rPr>
                <w:b/>
                <w:sz w:val="20"/>
              </w:rPr>
            </w:pPr>
          </w:p>
          <w:p>
            <w:pPr>
              <w:pStyle w:val="TableParagraph"/>
              <w:spacing w:before="10"/>
              <w:rPr>
                <w:b/>
                <w:sz w:val="17"/>
              </w:rPr>
            </w:pPr>
          </w:p>
          <w:p>
            <w:pPr>
              <w:pStyle w:val="TableParagraph"/>
              <w:ind w:left="472" w:right="146"/>
              <w:rPr>
                <w:b/>
                <w:sz w:val="21"/>
              </w:rPr>
            </w:pPr>
            <w:r>
              <w:rPr>
                <w:b/>
                <w:sz w:val="21"/>
              </w:rPr>
              <w:t>Ocupación</w:t>
            </w:r>
          </w:p>
        </w:tc>
        <w:tc>
          <w:tcPr>
            <w:tcW w:w="3176" w:type="dxa"/>
          </w:tcPr>
          <w:p>
            <w:pPr>
              <w:pStyle w:val="TableParagraph"/>
              <w:spacing w:line="360" w:lineRule="auto"/>
              <w:ind w:left="189" w:right="193" w:hanging="2"/>
              <w:jc w:val="center"/>
              <w:rPr>
                <w:sz w:val="21"/>
              </w:rPr>
            </w:pPr>
            <w:r>
              <w:rPr>
                <w:sz w:val="21"/>
              </w:rPr>
              <w:t>Tipo o clase de trabajo principal que efectúa una persona, independientemente de rama de actividad económica o de su categoría ocupacional.</w:t>
            </w:r>
          </w:p>
        </w:tc>
        <w:tc>
          <w:tcPr>
            <w:tcW w:w="2057" w:type="dxa"/>
            <w:gridSpan w:val="2"/>
          </w:tcPr>
          <w:p>
            <w:pPr>
              <w:pStyle w:val="TableParagraph"/>
              <w:rPr>
                <w:b/>
                <w:sz w:val="20"/>
              </w:rPr>
            </w:pPr>
          </w:p>
          <w:p>
            <w:pPr>
              <w:pStyle w:val="TableParagraph"/>
              <w:spacing w:before="4"/>
              <w:rPr>
                <w:b/>
                <w:sz w:val="26"/>
              </w:rPr>
            </w:pPr>
          </w:p>
          <w:p>
            <w:pPr>
              <w:pStyle w:val="TableParagraph"/>
              <w:spacing w:line="360" w:lineRule="auto"/>
              <w:ind w:left="163" w:right="163" w:hanging="7"/>
              <w:jc w:val="center"/>
              <w:rPr>
                <w:sz w:val="21"/>
              </w:rPr>
            </w:pPr>
            <w:r>
              <w:rPr>
                <w:sz w:val="21"/>
              </w:rPr>
              <w:t>Dependerá de la actividad que ejerza la gestante.</w:t>
            </w:r>
          </w:p>
        </w:tc>
        <w:tc>
          <w:tcPr>
            <w:tcW w:w="1399" w:type="dxa"/>
          </w:tcPr>
          <w:p>
            <w:pPr>
              <w:pStyle w:val="TableParagraph"/>
              <w:rPr>
                <w:b/>
                <w:sz w:val="20"/>
              </w:rPr>
            </w:pPr>
          </w:p>
          <w:p>
            <w:pPr>
              <w:pStyle w:val="TableParagraph"/>
              <w:rPr>
                <w:b/>
                <w:sz w:val="20"/>
              </w:rPr>
            </w:pPr>
          </w:p>
          <w:p>
            <w:pPr>
              <w:pStyle w:val="TableParagraph"/>
              <w:spacing w:before="2"/>
              <w:rPr>
                <w:b/>
                <w:sz w:val="22"/>
              </w:rPr>
            </w:pPr>
          </w:p>
          <w:p>
            <w:pPr>
              <w:pStyle w:val="TableParagraph"/>
              <w:spacing w:line="360" w:lineRule="auto" w:before="1"/>
              <w:ind w:left="307" w:right="172" w:hanging="125"/>
              <w:rPr>
                <w:sz w:val="21"/>
              </w:rPr>
            </w:pPr>
            <w:r>
              <w:rPr>
                <w:sz w:val="21"/>
              </w:rPr>
              <w:t>Categórica Nominal</w:t>
            </w:r>
          </w:p>
        </w:tc>
        <w:tc>
          <w:tcPr>
            <w:tcW w:w="1642" w:type="dxa"/>
          </w:tcPr>
          <w:p>
            <w:pPr>
              <w:pStyle w:val="TableParagraph"/>
              <w:rPr>
                <w:b/>
                <w:sz w:val="20"/>
              </w:rPr>
            </w:pPr>
          </w:p>
          <w:p>
            <w:pPr>
              <w:pStyle w:val="TableParagraph"/>
              <w:spacing w:line="360" w:lineRule="auto" w:before="123"/>
              <w:ind w:left="124" w:right="126" w:hanging="3"/>
              <w:jc w:val="center"/>
              <w:rPr>
                <w:sz w:val="21"/>
              </w:rPr>
            </w:pPr>
            <w:r>
              <w:rPr>
                <w:sz w:val="21"/>
              </w:rPr>
              <w:t>Dependerá de las actividades que refieran las gestantes.</w:t>
            </w:r>
          </w:p>
        </w:tc>
      </w:tr>
      <w:tr>
        <w:trPr>
          <w:trHeight w:val="2185" w:hRule="exact"/>
        </w:trPr>
        <w:tc>
          <w:tcPr>
            <w:tcW w:w="2043" w:type="dxa"/>
          </w:tcPr>
          <w:p>
            <w:pPr>
              <w:pStyle w:val="TableParagraph"/>
              <w:rPr>
                <w:b/>
                <w:sz w:val="20"/>
              </w:rPr>
            </w:pPr>
          </w:p>
          <w:p>
            <w:pPr>
              <w:pStyle w:val="TableParagraph"/>
              <w:rPr>
                <w:b/>
                <w:sz w:val="20"/>
              </w:rPr>
            </w:pPr>
          </w:p>
          <w:p>
            <w:pPr>
              <w:pStyle w:val="TableParagraph"/>
              <w:spacing w:before="3"/>
              <w:rPr>
                <w:b/>
                <w:sz w:val="22"/>
              </w:rPr>
            </w:pPr>
          </w:p>
          <w:p>
            <w:pPr>
              <w:pStyle w:val="TableParagraph"/>
              <w:spacing w:line="360" w:lineRule="auto"/>
              <w:ind w:left="494" w:right="480" w:firstLine="74"/>
              <w:rPr>
                <w:b/>
                <w:sz w:val="21"/>
              </w:rPr>
            </w:pPr>
            <w:r>
              <w:rPr>
                <w:b/>
                <w:sz w:val="21"/>
              </w:rPr>
              <w:t>Lugar de residencia</w:t>
            </w:r>
          </w:p>
        </w:tc>
        <w:tc>
          <w:tcPr>
            <w:tcW w:w="3176" w:type="dxa"/>
          </w:tcPr>
          <w:p>
            <w:pPr>
              <w:pStyle w:val="TableParagraph"/>
              <w:spacing w:line="360" w:lineRule="auto"/>
              <w:ind w:left="160" w:right="164" w:firstLine="2"/>
              <w:jc w:val="center"/>
              <w:rPr>
                <w:sz w:val="21"/>
              </w:rPr>
            </w:pPr>
            <w:r>
              <w:rPr>
                <w:sz w:val="21"/>
              </w:rPr>
              <w:t>Lugar geográfico donde la persona, además de residir en forma permanente, desarrolla generalmente sus actividades familiares sociales y económicas.</w:t>
            </w:r>
          </w:p>
        </w:tc>
        <w:tc>
          <w:tcPr>
            <w:tcW w:w="2057" w:type="dxa"/>
            <w:gridSpan w:val="2"/>
          </w:tcPr>
          <w:p>
            <w:pPr>
              <w:pStyle w:val="TableParagraph"/>
              <w:rPr>
                <w:b/>
                <w:sz w:val="20"/>
              </w:rPr>
            </w:pPr>
          </w:p>
          <w:p>
            <w:pPr>
              <w:pStyle w:val="TableParagraph"/>
              <w:spacing w:before="7"/>
              <w:rPr>
                <w:b/>
                <w:sz w:val="26"/>
              </w:rPr>
            </w:pPr>
          </w:p>
          <w:p>
            <w:pPr>
              <w:pStyle w:val="TableParagraph"/>
              <w:spacing w:line="360" w:lineRule="auto"/>
              <w:ind w:left="132" w:right="138" w:firstLine="1"/>
              <w:jc w:val="center"/>
              <w:rPr>
                <w:sz w:val="21"/>
              </w:rPr>
            </w:pPr>
            <w:r>
              <w:rPr>
                <w:sz w:val="21"/>
              </w:rPr>
              <w:t>Dependerá del lugar de residencia de las gestantes.</w:t>
            </w:r>
          </w:p>
        </w:tc>
        <w:tc>
          <w:tcPr>
            <w:tcW w:w="1399" w:type="dxa"/>
          </w:tcPr>
          <w:p>
            <w:pPr>
              <w:pStyle w:val="TableParagraph"/>
              <w:rPr>
                <w:b/>
                <w:sz w:val="20"/>
              </w:rPr>
            </w:pPr>
          </w:p>
          <w:p>
            <w:pPr>
              <w:pStyle w:val="TableParagraph"/>
              <w:rPr>
                <w:b/>
                <w:sz w:val="20"/>
              </w:rPr>
            </w:pPr>
          </w:p>
          <w:p>
            <w:pPr>
              <w:pStyle w:val="TableParagraph"/>
              <w:spacing w:before="3"/>
              <w:rPr>
                <w:b/>
                <w:sz w:val="22"/>
              </w:rPr>
            </w:pPr>
          </w:p>
          <w:p>
            <w:pPr>
              <w:pStyle w:val="TableParagraph"/>
              <w:spacing w:line="360" w:lineRule="auto"/>
              <w:ind w:left="307" w:right="172" w:hanging="125"/>
              <w:rPr>
                <w:sz w:val="21"/>
              </w:rPr>
            </w:pPr>
            <w:r>
              <w:rPr>
                <w:sz w:val="21"/>
              </w:rPr>
              <w:t>Categórica Nominal</w:t>
            </w:r>
          </w:p>
        </w:tc>
        <w:tc>
          <w:tcPr>
            <w:tcW w:w="1642" w:type="dxa"/>
          </w:tcPr>
          <w:p>
            <w:pPr>
              <w:pStyle w:val="TableParagraph"/>
              <w:rPr>
                <w:b/>
                <w:sz w:val="20"/>
              </w:rPr>
            </w:pPr>
          </w:p>
          <w:p>
            <w:pPr>
              <w:pStyle w:val="TableParagraph"/>
              <w:spacing w:line="360" w:lineRule="auto" w:before="123"/>
              <w:ind w:left="158" w:right="150" w:hanging="12"/>
              <w:jc w:val="both"/>
              <w:rPr>
                <w:sz w:val="21"/>
              </w:rPr>
            </w:pPr>
            <w:r>
              <w:rPr>
                <w:sz w:val="21"/>
              </w:rPr>
              <w:t>Dependerá de los lugares de residencia de las gestantes.</w:t>
            </w:r>
          </w:p>
        </w:tc>
      </w:tr>
    </w:tbl>
    <w:p>
      <w:pPr>
        <w:spacing w:after="0" w:line="360" w:lineRule="auto"/>
        <w:jc w:val="both"/>
        <w:rPr>
          <w:sz w:val="21"/>
        </w:rPr>
        <w:sectPr>
          <w:pgSz w:w="12240" w:h="15840"/>
          <w:pgMar w:header="0" w:footer="943" w:top="1420" w:bottom="1140" w:left="600" w:right="1100"/>
        </w:sectPr>
      </w:pPr>
    </w:p>
    <w:p>
      <w:pPr>
        <w:spacing w:before="54"/>
        <w:ind w:left="2041" w:right="1840" w:firstLine="0"/>
        <w:jc w:val="left"/>
        <w:rPr>
          <w:b/>
          <w:sz w:val="24"/>
        </w:rPr>
      </w:pPr>
      <w:r>
        <w:rPr>
          <w:b/>
          <w:sz w:val="24"/>
        </w:rPr>
        <w:t>PROCEDIMIENTO (RECOLECCIÓN DE DATOS)</w:t>
      </w:r>
    </w:p>
    <w:p>
      <w:pPr>
        <w:pStyle w:val="BodyText"/>
        <w:rPr>
          <w:b/>
        </w:rPr>
      </w:pPr>
    </w:p>
    <w:p>
      <w:pPr>
        <w:pStyle w:val="BodyText"/>
        <w:rPr>
          <w:b/>
        </w:rPr>
      </w:pPr>
    </w:p>
    <w:p>
      <w:pPr>
        <w:pStyle w:val="BodyText"/>
        <w:spacing w:line="360" w:lineRule="auto"/>
        <w:ind w:left="102" w:right="99"/>
        <w:jc w:val="both"/>
      </w:pPr>
      <w:r>
        <w:rPr/>
        <w:t>Se solicitó un permiso a las autoridades correspondientes del Instituto Materno Infantil del Estado de México “IMIEM” Hospital de Ginecología y Obstetricia, para realizar la aplicación del cuestionario sobre conocimientos básicos sobre salud bucal. Los  sujetos de estudio fueron las gestantes que acudieron a consulta  ginecológica,  siendo éste un cuestionario de 20 reactivos, el cual contiene los fines planteados en los objetivos de esta investigación, parte de dicho cuestionario fue tomado de una  tesis para obtener el título de Cirujano Dentista de José M. Noriega </w:t>
      </w:r>
      <w:r>
        <w:rPr>
          <w:spacing w:val="4"/>
        </w:rPr>
        <w:t>P, </w:t>
      </w:r>
      <w:r>
        <w:rPr/>
        <w:t>de la Facultad de Ciencias de la Salud Escuela Profesional de Odontología  Departamento Académico  de  Metodología  de  la  Investigación  de  la  Universidad  Católica  de</w:t>
      </w:r>
      <w:r>
        <w:rPr>
          <w:spacing w:val="-6"/>
        </w:rPr>
        <w:t> </w:t>
      </w:r>
      <w:r>
        <w:rPr/>
        <w:t>los</w:t>
      </w:r>
    </w:p>
    <w:p>
      <w:pPr>
        <w:pStyle w:val="BodyText"/>
        <w:spacing w:line="328" w:lineRule="auto" w:before="5"/>
        <w:ind w:left="102" w:right="107"/>
        <w:jc w:val="both"/>
        <w:rPr>
          <w:sz w:val="16"/>
        </w:rPr>
      </w:pPr>
      <w:r>
        <w:rPr/>
        <w:t>Ángeles Perú titulada: “ Nivel de conocimiento sobre salud bucal en docentes de nivel inicial en el distrito de Jesús, provincia y región Cajamarca 2011“ </w:t>
      </w:r>
      <w:r>
        <w:rPr>
          <w:position w:val="11"/>
          <w:sz w:val="16"/>
        </w:rPr>
        <w:t>31</w:t>
      </w:r>
    </w:p>
    <w:p>
      <w:pPr>
        <w:pStyle w:val="BodyText"/>
        <w:spacing w:before="1"/>
        <w:rPr>
          <w:sz w:val="38"/>
        </w:rPr>
      </w:pPr>
    </w:p>
    <w:p>
      <w:pPr>
        <w:pStyle w:val="BodyText"/>
        <w:spacing w:line="360" w:lineRule="auto" w:before="1"/>
        <w:ind w:left="102" w:right="99"/>
        <w:jc w:val="both"/>
      </w:pPr>
      <w:r>
        <w:rPr/>
        <w:t>Se encuestaron a 253 gestantes que acudieron a consulta ginecológica al IMIEM y se les invito a participar en el estudio, se les explicó y se les entregó el cuestionario cerrado validado por expertos para ser contestado. El cuestionario incluía su contexto personal así como su contexto social y preguntas para evaluar el conocimiento que tenían sobre la salud bucal de sus hijos. Se calificaron los cuestionarios, se obtuvieron los promedios (escala 0 a 10) y se categorizaron como &lt;6 y ≥6</w:t>
      </w:r>
    </w:p>
    <w:p>
      <w:pPr>
        <w:pStyle w:val="BodyText"/>
      </w:pPr>
    </w:p>
    <w:p>
      <w:pPr>
        <w:pStyle w:val="BodyText"/>
        <w:spacing w:line="360" w:lineRule="auto" w:before="142"/>
        <w:ind w:left="102" w:right="1840"/>
      </w:pPr>
      <w:r>
        <w:rPr/>
        <w:t>Conocimiento sobre medidas preventivas (10 preguntas) Conocimiento sobre principales enfermedades bucales (5 preguntas). Conocimiento sobre desarrollo y crecimiento dental (5 preguntas).</w:t>
      </w:r>
    </w:p>
    <w:p>
      <w:pPr>
        <w:spacing w:after="0" w:line="360" w:lineRule="auto"/>
        <w:sectPr>
          <w:pgSz w:w="12240" w:h="15840"/>
          <w:pgMar w:header="0" w:footer="943" w:top="1360" w:bottom="1140" w:left="1600" w:right="1220"/>
        </w:sectPr>
      </w:pPr>
    </w:p>
    <w:p>
      <w:pPr>
        <w:pStyle w:val="Heading1"/>
        <w:spacing w:before="54"/>
        <w:ind w:left="3969" w:right="1840"/>
      </w:pPr>
      <w:r>
        <w:rPr/>
        <w:t>IMPLICACIONES BIOÉTICAS</w:t>
      </w:r>
    </w:p>
    <w:p>
      <w:pPr>
        <w:pStyle w:val="BodyText"/>
        <w:rPr>
          <w:b/>
        </w:rPr>
      </w:pPr>
    </w:p>
    <w:p>
      <w:pPr>
        <w:pStyle w:val="BodyText"/>
        <w:rPr>
          <w:b/>
        </w:rPr>
      </w:pPr>
    </w:p>
    <w:p>
      <w:pPr>
        <w:pStyle w:val="BodyText"/>
        <w:spacing w:before="139"/>
        <w:ind w:left="102" w:right="1840"/>
      </w:pPr>
      <w:r>
        <w:rPr/>
        <w:t>Se realizaron  las siguientes acciones:</w:t>
      </w:r>
    </w:p>
    <w:p>
      <w:pPr>
        <w:pStyle w:val="BodyText"/>
      </w:pPr>
    </w:p>
    <w:p>
      <w:pPr>
        <w:pStyle w:val="BodyText"/>
      </w:pPr>
    </w:p>
    <w:p>
      <w:pPr>
        <w:pStyle w:val="ListParagraph"/>
        <w:numPr>
          <w:ilvl w:val="1"/>
          <w:numId w:val="10"/>
        </w:numPr>
        <w:tabs>
          <w:tab w:pos="822" w:val="left" w:leader="none"/>
        </w:tabs>
        <w:spacing w:line="357" w:lineRule="auto" w:before="0" w:after="0"/>
        <w:ind w:left="822" w:right="99" w:hanging="360"/>
        <w:jc w:val="both"/>
        <w:rPr>
          <w:sz w:val="24"/>
        </w:rPr>
      </w:pPr>
      <w:r>
        <w:rPr>
          <w:sz w:val="24"/>
        </w:rPr>
        <w:t>Carta de presentación emitida por el Centro de Investigación y Estudios Avanzados en Odontología de la Facultad de Odontología de la UAEM, dirigida al Director del Instituto Materno Infantil del Estado de México “IMIEM” Hospital de Ginecología y Obstetricia solicitando su autorización para desarrollar el trabajo de</w:t>
      </w:r>
      <w:r>
        <w:rPr>
          <w:spacing w:val="-7"/>
          <w:sz w:val="24"/>
        </w:rPr>
        <w:t> </w:t>
      </w:r>
      <w:r>
        <w:rPr>
          <w:sz w:val="24"/>
        </w:rPr>
        <w:t>investigación.</w:t>
      </w:r>
    </w:p>
    <w:p>
      <w:pPr>
        <w:pStyle w:val="BodyText"/>
      </w:pPr>
    </w:p>
    <w:p>
      <w:pPr>
        <w:pStyle w:val="ListParagraph"/>
        <w:numPr>
          <w:ilvl w:val="1"/>
          <w:numId w:val="10"/>
        </w:numPr>
        <w:tabs>
          <w:tab w:pos="821" w:val="left" w:leader="none"/>
          <w:tab w:pos="822" w:val="left" w:leader="none"/>
        </w:tabs>
        <w:spacing w:line="240" w:lineRule="auto" w:before="146" w:after="0"/>
        <w:ind w:left="822" w:right="0" w:hanging="360"/>
        <w:jc w:val="left"/>
        <w:rPr>
          <w:sz w:val="24"/>
        </w:rPr>
      </w:pPr>
      <w:r>
        <w:rPr>
          <w:sz w:val="24"/>
        </w:rPr>
        <w:t>El estudio no comprometió la integridad física o mental de los</w:t>
      </w:r>
      <w:r>
        <w:rPr>
          <w:spacing w:val="-24"/>
          <w:sz w:val="24"/>
        </w:rPr>
        <w:t> </w:t>
      </w:r>
      <w:r>
        <w:rPr>
          <w:sz w:val="24"/>
        </w:rPr>
        <w:t>participantes</w:t>
      </w:r>
    </w:p>
    <w:p>
      <w:pPr>
        <w:pStyle w:val="BodyText"/>
      </w:pPr>
    </w:p>
    <w:p>
      <w:pPr>
        <w:pStyle w:val="BodyText"/>
        <w:spacing w:before="7"/>
        <w:rPr>
          <w:sz w:val="23"/>
        </w:rPr>
      </w:pPr>
    </w:p>
    <w:p>
      <w:pPr>
        <w:pStyle w:val="ListParagraph"/>
        <w:numPr>
          <w:ilvl w:val="1"/>
          <w:numId w:val="10"/>
        </w:numPr>
        <w:tabs>
          <w:tab w:pos="821" w:val="left" w:leader="none"/>
          <w:tab w:pos="822" w:val="left" w:leader="none"/>
        </w:tabs>
        <w:spacing w:line="240" w:lineRule="auto" w:before="1" w:after="0"/>
        <w:ind w:left="822" w:right="0" w:hanging="360"/>
        <w:jc w:val="left"/>
        <w:rPr>
          <w:sz w:val="24"/>
        </w:rPr>
      </w:pPr>
      <w:r>
        <w:rPr>
          <w:sz w:val="24"/>
        </w:rPr>
        <w:t>La información obtenida fue de carácter</w:t>
      </w:r>
      <w:r>
        <w:rPr>
          <w:spacing w:val="-12"/>
          <w:sz w:val="24"/>
        </w:rPr>
        <w:t> </w:t>
      </w:r>
      <w:r>
        <w:rPr>
          <w:sz w:val="24"/>
        </w:rPr>
        <w:t>confidencial.</w:t>
      </w:r>
    </w:p>
    <w:p>
      <w:pPr>
        <w:pStyle w:val="BodyText"/>
      </w:pPr>
    </w:p>
    <w:p>
      <w:pPr>
        <w:pStyle w:val="BodyText"/>
        <w:spacing w:before="9"/>
        <w:rPr>
          <w:sz w:val="23"/>
        </w:rPr>
      </w:pPr>
    </w:p>
    <w:p>
      <w:pPr>
        <w:pStyle w:val="Heading1"/>
        <w:ind w:right="1840"/>
      </w:pPr>
      <w:r>
        <w:rPr/>
        <w:t>Implicaciones bioéticas</w:t>
      </w:r>
    </w:p>
    <w:p>
      <w:pPr>
        <w:pStyle w:val="BodyText"/>
        <w:rPr>
          <w:b/>
        </w:rPr>
      </w:pPr>
    </w:p>
    <w:p>
      <w:pPr>
        <w:pStyle w:val="BodyText"/>
        <w:rPr>
          <w:b/>
        </w:rPr>
      </w:pPr>
    </w:p>
    <w:p>
      <w:pPr>
        <w:pStyle w:val="BodyText"/>
        <w:ind w:left="102" w:right="1840"/>
      </w:pPr>
      <w:r>
        <w:rPr/>
        <w:t>Reglamento de la Ley General de Salud. Titulo 2do. Cap. I:</w:t>
      </w:r>
    </w:p>
    <w:p>
      <w:pPr>
        <w:pStyle w:val="ListParagraph"/>
        <w:numPr>
          <w:ilvl w:val="0"/>
          <w:numId w:val="11"/>
        </w:numPr>
        <w:tabs>
          <w:tab w:pos="821" w:val="left" w:leader="none"/>
          <w:tab w:pos="822" w:val="left" w:leader="none"/>
        </w:tabs>
        <w:spacing w:line="240" w:lineRule="auto" w:before="137" w:after="0"/>
        <w:ind w:left="822" w:right="0" w:hanging="360"/>
        <w:jc w:val="left"/>
        <w:rPr>
          <w:sz w:val="24"/>
        </w:rPr>
      </w:pPr>
      <w:r>
        <w:rPr>
          <w:sz w:val="24"/>
        </w:rPr>
        <w:t>Art. 16: Se protegerá la privacidad del</w:t>
      </w:r>
      <w:r>
        <w:rPr>
          <w:spacing w:val="-12"/>
          <w:sz w:val="24"/>
        </w:rPr>
        <w:t> </w:t>
      </w:r>
      <w:r>
        <w:rPr>
          <w:sz w:val="24"/>
        </w:rPr>
        <w:t>individuo.</w:t>
      </w:r>
    </w:p>
    <w:p>
      <w:pPr>
        <w:pStyle w:val="ListParagraph"/>
        <w:numPr>
          <w:ilvl w:val="0"/>
          <w:numId w:val="11"/>
        </w:numPr>
        <w:tabs>
          <w:tab w:pos="821" w:val="left" w:leader="none"/>
          <w:tab w:pos="822" w:val="left" w:leader="none"/>
        </w:tabs>
        <w:spacing w:line="357" w:lineRule="auto" w:before="138" w:after="0"/>
        <w:ind w:left="822" w:right="101" w:hanging="360"/>
        <w:jc w:val="left"/>
        <w:rPr>
          <w:sz w:val="24"/>
        </w:rPr>
      </w:pPr>
      <w:r>
        <w:rPr>
          <w:sz w:val="24"/>
        </w:rPr>
        <w:t>Art. 21, Inciso VIII: No se identifico al sujeto y se mantuvo la confidencialidad  de la</w:t>
      </w:r>
      <w:r>
        <w:rPr>
          <w:spacing w:val="-7"/>
          <w:sz w:val="24"/>
        </w:rPr>
        <w:t> </w:t>
      </w:r>
      <w:r>
        <w:rPr>
          <w:sz w:val="24"/>
        </w:rPr>
        <w:t>información.</w:t>
      </w:r>
    </w:p>
    <w:p>
      <w:pPr>
        <w:pStyle w:val="ListParagraph"/>
        <w:numPr>
          <w:ilvl w:val="0"/>
          <w:numId w:val="11"/>
        </w:numPr>
        <w:tabs>
          <w:tab w:pos="821" w:val="left" w:leader="none"/>
          <w:tab w:pos="822" w:val="left" w:leader="none"/>
        </w:tabs>
        <w:spacing w:line="240" w:lineRule="auto" w:before="8" w:after="0"/>
        <w:ind w:left="822" w:right="0" w:hanging="360"/>
        <w:jc w:val="left"/>
        <w:rPr>
          <w:sz w:val="24"/>
        </w:rPr>
      </w:pPr>
      <w:r>
        <w:rPr>
          <w:sz w:val="24"/>
        </w:rPr>
        <w:t>Se respetaron las disposiciones de la declaración de</w:t>
      </w:r>
      <w:r>
        <w:rPr>
          <w:spacing w:val="-20"/>
          <w:sz w:val="24"/>
        </w:rPr>
        <w:t> </w:t>
      </w:r>
      <w:r>
        <w:rPr>
          <w:sz w:val="24"/>
        </w:rPr>
        <w:t>Helsinki.</w:t>
      </w:r>
    </w:p>
    <w:p>
      <w:pPr>
        <w:pStyle w:val="ListParagraph"/>
        <w:numPr>
          <w:ilvl w:val="0"/>
          <w:numId w:val="11"/>
        </w:numPr>
        <w:tabs>
          <w:tab w:pos="821" w:val="left" w:leader="none"/>
          <w:tab w:pos="822" w:val="left" w:leader="none"/>
        </w:tabs>
        <w:spacing w:line="240" w:lineRule="auto" w:before="135" w:after="0"/>
        <w:ind w:left="822" w:right="0" w:hanging="360"/>
        <w:jc w:val="left"/>
        <w:rPr>
          <w:sz w:val="24"/>
        </w:rPr>
      </w:pPr>
      <w:r>
        <w:rPr>
          <w:sz w:val="24"/>
        </w:rPr>
        <w:t>El protocolo fue aprobado por los comités de bioética</w:t>
      </w:r>
      <w:r>
        <w:rPr>
          <w:spacing w:val="-23"/>
          <w:sz w:val="24"/>
        </w:rPr>
        <w:t> </w:t>
      </w:r>
      <w:r>
        <w:rPr>
          <w:sz w:val="24"/>
        </w:rPr>
        <w:t>correspondientes.</w:t>
      </w:r>
    </w:p>
    <w:p>
      <w:pPr>
        <w:spacing w:after="0" w:line="240" w:lineRule="auto"/>
        <w:jc w:val="left"/>
        <w:rPr>
          <w:sz w:val="24"/>
        </w:rPr>
        <w:sectPr>
          <w:pgSz w:w="12240" w:h="15840"/>
          <w:pgMar w:header="0" w:footer="943" w:top="1360" w:bottom="1200" w:left="1600" w:right="1220"/>
        </w:sectPr>
      </w:pPr>
    </w:p>
    <w:p>
      <w:pPr>
        <w:pStyle w:val="Heading1"/>
        <w:spacing w:before="54"/>
        <w:ind w:left="1751" w:right="1753"/>
        <w:jc w:val="center"/>
      </w:pPr>
      <w:r>
        <w:rPr/>
        <w:t>ANÁLISIS ESTADÍSTICO:</w:t>
      </w:r>
    </w:p>
    <w:p>
      <w:pPr>
        <w:pStyle w:val="BodyText"/>
        <w:rPr>
          <w:b/>
        </w:rPr>
      </w:pPr>
    </w:p>
    <w:p>
      <w:pPr>
        <w:pStyle w:val="BodyText"/>
        <w:rPr>
          <w:b/>
        </w:rPr>
      </w:pPr>
    </w:p>
    <w:p>
      <w:pPr>
        <w:pStyle w:val="BodyText"/>
        <w:spacing w:line="360" w:lineRule="auto"/>
        <w:ind w:left="102" w:right="102"/>
        <w:jc w:val="both"/>
      </w:pPr>
      <w:r>
        <w:rPr/>
        <w:t>Se uso el paquete estadístico SPSS Vs 20 (IBM. Chicago, USA). Para determinar las variables del contexto personal y social de las gestantes que se correlacionan con el conocimiento sobre la salud bucal de sus hijos, se realizó una correlación de Spearman, considerando un nivel de significancia de p≤0.05.</w:t>
      </w:r>
    </w:p>
    <w:p>
      <w:pPr>
        <w:spacing w:after="0" w:line="360" w:lineRule="auto"/>
        <w:jc w:val="both"/>
        <w:sectPr>
          <w:pgSz w:w="12240" w:h="15840"/>
          <w:pgMar w:header="0" w:footer="943" w:top="1360" w:bottom="1200" w:left="1600" w:right="1220"/>
        </w:sectPr>
      </w:pPr>
    </w:p>
    <w:p>
      <w:pPr>
        <w:pStyle w:val="Heading1"/>
        <w:numPr>
          <w:ilvl w:val="0"/>
          <w:numId w:val="9"/>
        </w:numPr>
        <w:tabs>
          <w:tab w:pos="4802" w:val="left" w:leader="none"/>
          <w:tab w:pos="4803" w:val="left" w:leader="none"/>
        </w:tabs>
        <w:spacing w:line="240" w:lineRule="auto" w:before="54" w:after="0"/>
        <w:ind w:left="4802" w:right="0" w:hanging="720"/>
        <w:jc w:val="left"/>
      </w:pPr>
      <w:r>
        <w:rPr/>
        <w:t>RESULTADOS</w:t>
      </w:r>
    </w:p>
    <w:p>
      <w:pPr>
        <w:pStyle w:val="BodyText"/>
        <w:rPr>
          <w:b/>
        </w:rPr>
      </w:pPr>
    </w:p>
    <w:p>
      <w:pPr>
        <w:pStyle w:val="BodyText"/>
        <w:rPr>
          <w:b/>
        </w:rPr>
      </w:pPr>
    </w:p>
    <w:p>
      <w:pPr>
        <w:pStyle w:val="BodyText"/>
        <w:tabs>
          <w:tab w:pos="8629" w:val="left" w:leader="none"/>
        </w:tabs>
        <w:spacing w:line="360" w:lineRule="auto"/>
        <w:ind w:left="122" w:right="111"/>
      </w:pPr>
      <w:r>
        <w:rPr/>
        <w:t>De  las  253  gestantes que  participaron  en el  estudio  el  rango</w:t>
      </w:r>
      <w:r>
        <w:rPr>
          <w:spacing w:val="60"/>
        </w:rPr>
        <w:t> </w:t>
      </w:r>
      <w:r>
        <w:rPr/>
        <w:t>de</w:t>
      </w:r>
      <w:r>
        <w:rPr>
          <w:spacing w:val="54"/>
        </w:rPr>
        <w:t> </w:t>
      </w:r>
      <w:r>
        <w:rPr/>
        <w:t>edades</w:t>
        <w:tab/>
        <w:t>de</w:t>
      </w:r>
      <w:r>
        <w:rPr>
          <w:spacing w:val="55"/>
        </w:rPr>
        <w:t> </w:t>
      </w:r>
      <w:r>
        <w:rPr/>
        <w:t>las</w:t>
      </w:r>
      <w:r>
        <w:rPr>
          <w:w w:val="99"/>
        </w:rPr>
        <w:t> </w:t>
      </w:r>
      <w:r>
        <w:rPr/>
        <w:t>gestantes está entre los 20 y 25 años edad con 111 gestantes representando</w:t>
      </w:r>
      <w:r>
        <w:rPr>
          <w:spacing w:val="-29"/>
        </w:rPr>
        <w:t> </w:t>
      </w:r>
      <w:r>
        <w:rPr/>
        <w:t>un</w:t>
      </w:r>
    </w:p>
    <w:p>
      <w:pPr>
        <w:pStyle w:val="BodyText"/>
        <w:spacing w:before="2"/>
        <w:ind w:left="122" w:right="52"/>
      </w:pPr>
      <w:r>
        <w:rPr/>
        <w:t>44 % (Ver gráfica 1)</w:t>
      </w:r>
    </w:p>
    <w:p>
      <w:pPr>
        <w:pStyle w:val="BodyText"/>
      </w:pPr>
    </w:p>
    <w:p>
      <w:pPr>
        <w:pStyle w:val="BodyText"/>
      </w:pPr>
    </w:p>
    <w:p>
      <w:pPr>
        <w:pStyle w:val="BodyText"/>
        <w:spacing w:line="360" w:lineRule="auto"/>
        <w:ind w:left="122" w:right="52"/>
      </w:pPr>
      <w:r>
        <w:rPr/>
        <w:t>De las 253 gestantes encuestadas, 96 son primogestantes, siento este el valor más alto  con un 38%. (Ver gráfica 2)</w:t>
      </w:r>
    </w:p>
    <w:p>
      <w:pPr>
        <w:pStyle w:val="BodyText"/>
        <w:spacing w:before="1"/>
        <w:rPr>
          <w:sz w:val="17"/>
        </w:rPr>
      </w:pPr>
    </w:p>
    <w:p>
      <w:pPr>
        <w:pStyle w:val="Heading1"/>
        <w:spacing w:before="69"/>
        <w:ind w:left="3766" w:right="1336" w:hanging="1630"/>
      </w:pPr>
      <w:r>
        <w:rPr/>
        <w:t>GRÁFICA 2. NÚMERO DE HIJOS NACIDOS VIVOS DE LAS GESTANTES</w:t>
      </w:r>
    </w:p>
    <w:p>
      <w:pPr>
        <w:pStyle w:val="BodyText"/>
        <w:tabs>
          <w:tab w:pos="2509" w:val="left" w:leader="none"/>
        </w:tabs>
        <w:spacing w:line="274" w:lineRule="exact"/>
        <w:ind w:left="1855" w:right="52"/>
      </w:pPr>
      <w:r>
        <w:rPr/>
        <w:pict>
          <v:group style="position:absolute;margin-left:116.055908pt;margin-top:10.972054pt;width:175.3pt;height:185.1pt;mso-position-horizontal-relative:page;mso-position-vertical-relative:paragraph;z-index:-58768" coordorigin="2321,219" coordsize="3506,3702">
            <v:shape style="position:absolute;left:4193;top:454;width:1635;height:2824" coordorigin="4193,454" coordsize="1635,2824" path="m4193,454l4193,2089,5316,3277,5369,3224,5420,3170,5467,3114,5511,3056,5553,2997,5592,2936,5627,2874,5660,2810,5690,2746,5717,2681,5741,2615,5762,2547,5780,2480,5795,2411,5808,2343,5817,2273,5823,2204,5827,2134,5827,2064,5825,1995,5819,1925,5811,1856,5799,1787,5785,1718,5768,1650,5747,1582,5724,1516,5698,1450,5668,1385,5636,1321,5601,1258,5563,1197,5522,1136,5477,1078,5430,1020,5380,965,5324,909,5266,856,5206,806,5143,759,5079,715,5012,674,4944,637,4875,603,4803,572,4731,545,4657,521,4581,500,4505,484,4428,471,4350,461,4272,455,4193,454xe" filled="true" fillcolor="#4571a7" stroked="false">
              <v:path arrowok="t"/>
              <v:fill type="solid"/>
            </v:shape>
            <v:shape style="position:absolute;left:2421;top:2287;width:2754;height:1635" coordorigin="2421,2287" coordsize="2754,1635" path="m4051,2287l2421,2399,2427,2473,2437,2547,2451,2619,2467,2690,2486,2760,2508,2828,2534,2895,2562,2961,2592,3025,2625,3087,2661,3148,2700,3206,2740,3263,2783,3319,2829,3372,2876,3423,2926,3472,2977,3519,3031,3564,3086,3606,3143,3646,3202,3684,3262,3719,3325,3751,3388,3781,3453,3809,3519,3833,3587,3855,3656,3873,3725,3889,3796,3902,3868,3912,3941,3918,4014,3921,4088,3921,4163,3918,4244,3910,4323,3899,4402,3883,4480,3864,4557,3841,4633,3815,4707,3784,4780,3750,4850,3713,4919,3672,4986,3628,5051,3580,5114,3529,5174,3475,4051,2287xe" filled="true" fillcolor="#aa4643" stroked="false">
              <v:path arrowok="t"/>
              <v:fill type="solid"/>
            </v:shape>
            <v:shape style="position:absolute;left:2321;top:687;width:1635;height:1465" coordorigin="2321,687" coordsize="1635,1465" path="m3038,687l2973,733,2912,782,2853,833,2797,887,2743,943,2693,1002,2645,1062,2601,1125,2559,1190,2521,1256,2486,1324,2454,1394,2425,1465,2400,1538,2378,1611,2360,1686,2345,1762,2333,1839,2325,1916,2321,1994,2321,2073,2325,2152,3955,2040,3038,687xe" filled="true" fillcolor="#88a44e" stroked="false">
              <v:path arrowok="t"/>
              <v:fill type="solid"/>
            </v:shape>
            <v:shape style="position:absolute;left:3127;top:320;width:918;height:1617" coordorigin="3127,320" coordsize="918,1617" path="m3803,320l3722,334,3643,352,3565,374,3488,400,3413,430,3339,463,3266,500,3196,540,3127,584,4045,1937,3803,320xe" filled="true" fillcolor="#70578f" stroked="false">
              <v:path arrowok="t"/>
              <v:fill type="solid"/>
            </v:shape>
            <v:shape style="position:absolute;left:3853;top:241;width:243;height:1634" coordorigin="3853,241" coordsize="243,1634" path="m4055,241l4004,243,3954,246,3903,251,3853,258,4096,1874,4055,241xe" filled="true" fillcolor="#4197ae" stroked="false">
              <v:path arrowok="t"/>
              <v:fill type="solid"/>
            </v:shape>
            <v:line style="position:absolute" from="4093,240" to="4093,1874" stroked="true" strokeweight="2.030000pt" strokecolor="#d19292"/>
            <v:shape style="position:absolute;left:3381;top:554;width:349;height:240" type="#_x0000_t202" filled="false" stroked="false">
              <v:textbox inset="0,0,0,0">
                <w:txbxContent>
                  <w:p>
                    <w:pPr>
                      <w:spacing w:line="240" w:lineRule="exact" w:before="0"/>
                      <w:ind w:left="0" w:right="-18" w:firstLine="0"/>
                      <w:jc w:val="left"/>
                      <w:rPr>
                        <w:sz w:val="24"/>
                      </w:rPr>
                    </w:pPr>
                    <w:r>
                      <w:rPr>
                        <w:sz w:val="24"/>
                      </w:rPr>
                      <w:t>7%</w:t>
                    </w:r>
                  </w:p>
                </w:txbxContent>
              </v:textbox>
              <w10:wrap type="none"/>
            </v:shape>
            <v:shape style="position:absolute;left:2525;top:1439;width:484;height:240" type="#_x0000_t202" filled="false" stroked="false">
              <v:textbox inset="0,0,0,0">
                <w:txbxContent>
                  <w:p>
                    <w:pPr>
                      <w:spacing w:line="240" w:lineRule="exact" w:before="0"/>
                      <w:ind w:left="0" w:right="-17" w:firstLine="0"/>
                      <w:jc w:val="left"/>
                      <w:rPr>
                        <w:sz w:val="24"/>
                      </w:rPr>
                    </w:pPr>
                    <w:r>
                      <w:rPr>
                        <w:sz w:val="24"/>
                      </w:rPr>
                      <w:t>17%</w:t>
                    </w:r>
                  </w:p>
                </w:txbxContent>
              </v:textbox>
              <w10:wrap type="none"/>
            </v:shape>
            <v:shape style="position:absolute;left:5121;top:1469;width:484;height:240" type="#_x0000_t202" filled="false" stroked="false">
              <v:textbox inset="0,0,0,0">
                <w:txbxContent>
                  <w:p>
                    <w:pPr>
                      <w:spacing w:line="240" w:lineRule="exact" w:before="0"/>
                      <w:ind w:left="0" w:right="-17" w:firstLine="0"/>
                      <w:jc w:val="left"/>
                      <w:rPr>
                        <w:sz w:val="24"/>
                      </w:rPr>
                    </w:pPr>
                    <w:r>
                      <w:rPr>
                        <w:sz w:val="24"/>
                      </w:rPr>
                      <w:t>38%</w:t>
                    </w:r>
                  </w:p>
                </w:txbxContent>
              </v:textbox>
              <w10:wrap type="none"/>
            </v:shape>
            <v:shape style="position:absolute;left:3216;top:3299;width:484;height:240" type="#_x0000_t202" filled="false" stroked="false">
              <v:textbox inset="0,0,0,0">
                <w:txbxContent>
                  <w:p>
                    <w:pPr>
                      <w:spacing w:line="240" w:lineRule="exact" w:before="0"/>
                      <w:ind w:left="0" w:right="-17" w:firstLine="0"/>
                      <w:jc w:val="left"/>
                      <w:rPr>
                        <w:sz w:val="24"/>
                      </w:rPr>
                    </w:pPr>
                    <w:r>
                      <w:rPr>
                        <w:sz w:val="24"/>
                      </w:rPr>
                      <w:t>36%</w:t>
                    </w:r>
                  </w:p>
                </w:txbxContent>
              </v:textbox>
              <w10:wrap type="none"/>
            </v:shape>
            <w10:wrap type="none"/>
          </v:group>
        </w:pict>
      </w:r>
      <w:r>
        <w:rPr>
          <w:position w:val="-8"/>
        </w:rPr>
        <w:t>2%</w:t>
        <w:tab/>
      </w:r>
      <w:r>
        <w:rPr/>
        <w:t>0%</w:t>
      </w:r>
    </w:p>
    <w:p>
      <w:pPr>
        <w:pStyle w:val="BodyText"/>
        <w:rPr>
          <w:sz w:val="20"/>
        </w:rPr>
      </w:pPr>
    </w:p>
    <w:p>
      <w:pPr>
        <w:pStyle w:val="BodyText"/>
        <w:rPr>
          <w:sz w:val="20"/>
        </w:rPr>
      </w:pPr>
    </w:p>
    <w:p>
      <w:pPr>
        <w:pStyle w:val="BodyText"/>
        <w:rPr>
          <w:sz w:val="20"/>
        </w:rPr>
      </w:pPr>
    </w:p>
    <w:p>
      <w:pPr>
        <w:pStyle w:val="BodyText"/>
        <w:spacing w:before="1"/>
        <w:rPr>
          <w:sz w:val="19"/>
        </w:rPr>
      </w:pPr>
    </w:p>
    <w:p>
      <w:pPr>
        <w:tabs>
          <w:tab w:pos="6564" w:val="left" w:leader="none"/>
          <w:tab w:pos="7157" w:val="left" w:leader="none"/>
          <w:tab w:pos="7749" w:val="left" w:leader="none"/>
        </w:tabs>
        <w:spacing w:before="73"/>
        <w:ind w:left="5972" w:right="52" w:firstLine="0"/>
        <w:jc w:val="left"/>
        <w:rPr>
          <w:sz w:val="22"/>
        </w:rPr>
      </w:pPr>
      <w:r>
        <w:rPr/>
        <w:pict>
          <v:rect style="position:absolute;margin-left:369.720001pt;margin-top:7.29786pt;width:5.52pt;height:5.52pt;mso-position-horizontal-relative:page;mso-position-vertical-relative:paragraph;z-index:1216" filled="true" fillcolor="#4571a7" stroked="false">
            <v:fill type="solid"/>
            <w10:wrap type="none"/>
          </v:rect>
        </w:pict>
      </w:r>
      <w:r>
        <w:rPr/>
        <w:pict>
          <v:rect style="position:absolute;margin-left:399.23999pt;margin-top:7.29786pt;width:5.52pt;height:5.52pt;mso-position-horizontal-relative:page;mso-position-vertical-relative:paragraph;z-index:-58720" filled="true" fillcolor="#aa4643" stroked="false">
            <v:fill type="solid"/>
            <w10:wrap type="none"/>
          </v:rect>
        </w:pict>
      </w:r>
      <w:r>
        <w:rPr/>
        <w:pict>
          <v:rect style="position:absolute;margin-left:428.880005pt;margin-top:7.29786pt;width:5.52pt;height:5.52pt;mso-position-horizontal-relative:page;mso-position-vertical-relative:paragraph;z-index:-58696" filled="true" fillcolor="#88a44e" stroked="false">
            <v:fill type="solid"/>
            <w10:wrap type="none"/>
          </v:rect>
        </w:pict>
      </w:r>
      <w:r>
        <w:rPr/>
        <w:pict>
          <v:rect style="position:absolute;margin-left:458.519989pt;margin-top:7.29786pt;width:5.52pt;height:5.52pt;mso-position-horizontal-relative:page;mso-position-vertical-relative:paragraph;z-index:-58672" filled="true" fillcolor="#70578f" stroked="false">
            <v:fill type="solid"/>
            <w10:wrap type="none"/>
          </v:rect>
        </w:pict>
      </w:r>
      <w:r>
        <w:rPr>
          <w:sz w:val="22"/>
        </w:rPr>
        <w:t>1</w:t>
        <w:tab/>
        <w:t>2</w:t>
        <w:tab/>
        <w:t>3</w:t>
        <w:tab/>
        <w:t>4</w:t>
      </w:r>
    </w:p>
    <w:p>
      <w:pPr>
        <w:pStyle w:val="BodyText"/>
        <w:rPr>
          <w:sz w:val="20"/>
        </w:rPr>
      </w:pPr>
    </w:p>
    <w:p>
      <w:pPr>
        <w:pStyle w:val="BodyText"/>
        <w:rPr>
          <w:sz w:val="20"/>
        </w:rPr>
      </w:pPr>
    </w:p>
    <w:p>
      <w:pPr>
        <w:pStyle w:val="BodyText"/>
        <w:spacing w:before="4"/>
        <w:rPr>
          <w:sz w:val="21"/>
        </w:rPr>
      </w:pPr>
    </w:p>
    <w:p>
      <w:pPr>
        <w:tabs>
          <w:tab w:pos="6564" w:val="left" w:leader="none"/>
          <w:tab w:pos="7157" w:val="left" w:leader="none"/>
          <w:tab w:pos="7749" w:val="left" w:leader="none"/>
        </w:tabs>
        <w:spacing w:before="73"/>
        <w:ind w:left="5972" w:right="52" w:firstLine="0"/>
        <w:jc w:val="left"/>
        <w:rPr>
          <w:sz w:val="22"/>
        </w:rPr>
      </w:pPr>
      <w:r>
        <w:rPr/>
        <w:pict>
          <v:rect style="position:absolute;margin-left:369.720001pt;margin-top:7.317873pt;width:5.52pt;height:5.52pt;mso-position-horizontal-relative:page;mso-position-vertical-relative:paragraph;z-index:1312" filled="true" fillcolor="#4197ae" stroked="false">
            <v:fill type="solid"/>
            <w10:wrap type="none"/>
          </v:rect>
        </w:pict>
      </w:r>
      <w:r>
        <w:rPr/>
        <w:pict>
          <v:rect style="position:absolute;margin-left:399.23999pt;margin-top:7.317873pt;width:5.52pt;height:5.52pt;mso-position-horizontal-relative:page;mso-position-vertical-relative:paragraph;z-index:-58624" filled="true" fillcolor="#db843c" stroked="false">
            <v:fill type="solid"/>
            <w10:wrap type="none"/>
          </v:rect>
        </w:pict>
      </w:r>
      <w:r>
        <w:rPr/>
        <w:pict>
          <v:rect style="position:absolute;margin-left:428.880005pt;margin-top:7.317873pt;width:5.52pt;height:5.52pt;mso-position-horizontal-relative:page;mso-position-vertical-relative:paragraph;z-index:-58600" filled="true" fillcolor="#92a9cf" stroked="false">
            <v:fill type="solid"/>
            <w10:wrap type="none"/>
          </v:rect>
        </w:pict>
      </w:r>
      <w:r>
        <w:rPr/>
        <w:pict>
          <v:rect style="position:absolute;margin-left:458.519989pt;margin-top:7.317873pt;width:5.52pt;height:5.52pt;mso-position-horizontal-relative:page;mso-position-vertical-relative:paragraph;z-index:-58576" filled="true" fillcolor="#d19292" stroked="false">
            <v:fill type="solid"/>
            <w10:wrap type="none"/>
          </v:rect>
        </w:pict>
      </w:r>
      <w:r>
        <w:rPr>
          <w:sz w:val="22"/>
        </w:rPr>
        <w:t>5</w:t>
        <w:tab/>
        <w:t>6</w:t>
        <w:tab/>
        <w:t>7</w:t>
        <w:tab/>
        <w:t>8</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9"/>
        </w:rPr>
      </w:pPr>
    </w:p>
    <w:p>
      <w:pPr>
        <w:spacing w:before="0"/>
        <w:ind w:left="114" w:right="52" w:firstLine="0"/>
        <w:jc w:val="left"/>
        <w:rPr>
          <w:sz w:val="18"/>
        </w:rPr>
      </w:pPr>
      <w:r>
        <w:rPr>
          <w:sz w:val="18"/>
        </w:rPr>
        <w:t>Fuente Directa</w:t>
      </w:r>
    </w:p>
    <w:p>
      <w:pPr>
        <w:pStyle w:val="BodyText"/>
        <w:rPr>
          <w:sz w:val="20"/>
        </w:rPr>
      </w:pPr>
    </w:p>
    <w:p>
      <w:pPr>
        <w:pStyle w:val="BodyText"/>
        <w:rPr>
          <w:sz w:val="20"/>
        </w:rPr>
      </w:pPr>
    </w:p>
    <w:p>
      <w:pPr>
        <w:pStyle w:val="BodyText"/>
        <w:spacing w:before="10"/>
        <w:rPr>
          <w:sz w:val="18"/>
        </w:rPr>
      </w:pPr>
    </w:p>
    <w:p>
      <w:pPr>
        <w:pStyle w:val="BodyText"/>
        <w:spacing w:line="360" w:lineRule="auto"/>
        <w:ind w:left="122" w:right="98"/>
        <w:jc w:val="both"/>
      </w:pPr>
      <w:r>
        <w:rPr/>
        <w:t>El 57% de las gestantes viven bajo unión libre. El 33 % representa a las gestantes casadas, siento estos los dos valores más altos en cuando a su estado civil. (Ver gráfica 3)</w:t>
      </w:r>
    </w:p>
    <w:p>
      <w:pPr>
        <w:spacing w:after="0" w:line="360" w:lineRule="auto"/>
        <w:jc w:val="both"/>
        <w:sectPr>
          <w:footerReference w:type="default" r:id="rId16"/>
          <w:pgSz w:w="12240" w:h="15840"/>
          <w:pgMar w:footer="1003" w:header="0" w:top="1360" w:bottom="1200" w:left="1580" w:right="1220"/>
        </w:sectPr>
      </w:pPr>
    </w:p>
    <w:p>
      <w:pPr>
        <w:pStyle w:val="BodyText"/>
        <w:spacing w:before="8"/>
        <w:rPr>
          <w:sz w:val="9"/>
        </w:rPr>
      </w:pPr>
    </w:p>
    <w:p>
      <w:pPr>
        <w:pStyle w:val="Heading1"/>
        <w:spacing w:before="69"/>
        <w:ind w:left="2096"/>
      </w:pPr>
      <w:r>
        <w:rPr/>
        <w:t>GRÁFICA 3. ESTADO CIVIL DE LAS GESTANTES</w:t>
      </w:r>
    </w:p>
    <w:p>
      <w:pPr>
        <w:pStyle w:val="BodyText"/>
        <w:spacing w:before="5"/>
        <w:rPr>
          <w:b/>
          <w:sz w:val="20"/>
        </w:rPr>
      </w:pPr>
    </w:p>
    <w:p>
      <w:pPr>
        <w:tabs>
          <w:tab w:pos="2550" w:val="left" w:leader="none"/>
        </w:tabs>
        <w:spacing w:before="74"/>
        <w:ind w:left="1641" w:right="0" w:firstLine="0"/>
        <w:jc w:val="left"/>
        <w:rPr>
          <w:sz w:val="21"/>
        </w:rPr>
      </w:pPr>
      <w:r>
        <w:rPr>
          <w:position w:val="-10"/>
          <w:sz w:val="21"/>
        </w:rPr>
        <w:t>1%</w:t>
        <w:tab/>
      </w:r>
      <w:r>
        <w:rPr>
          <w:sz w:val="21"/>
        </w:rPr>
        <w:t>0%</w:t>
      </w:r>
    </w:p>
    <w:p>
      <w:pPr>
        <w:pStyle w:val="BodyText"/>
        <w:rPr>
          <w:sz w:val="20"/>
        </w:rPr>
      </w:pPr>
    </w:p>
    <w:p>
      <w:pPr>
        <w:pStyle w:val="BodyText"/>
        <w:spacing w:before="6"/>
        <w:rPr>
          <w:sz w:val="16"/>
        </w:rPr>
      </w:pPr>
    </w:p>
    <w:p>
      <w:pPr>
        <w:pStyle w:val="BodyText"/>
        <w:spacing w:before="70"/>
        <w:ind w:right="1580"/>
        <w:jc w:val="right"/>
      </w:pPr>
      <w:r>
        <w:rPr/>
        <w:pict>
          <v:group style="position:absolute;margin-left:86.049644pt;margin-top:-17.484114pt;width:178.35pt;height:172.8pt;mso-position-horizontal-relative:page;mso-position-vertical-relative:paragraph;z-index:1480" coordorigin="1721,-350" coordsize="3567,3456">
            <v:shape style="position:absolute;left:3557;top:-321;width:896;height:1596" coordorigin="3557,-321" coordsize="896,1596" path="m3557,-321l3557,1275,4453,-46,4386,-89,4317,-129,4246,-165,4174,-197,4100,-226,4025,-251,3949,-272,3872,-290,3794,-304,3716,-313,3636,-319,3557,-321xe" filled="true" fillcolor="#4f81bc" stroked="false">
              <v:path arrowok="t"/>
              <v:fill type="solid"/>
            </v:shape>
            <v:shape style="position:absolute;left:3691;top:148;width:1597;height:2734" coordorigin="3691,148" coordsize="1597,2734" path="m4587,148l3691,1469,4434,2882,4500,2845,4563,2806,4624,2764,4683,2720,4738,2674,4792,2625,4843,2575,4891,2522,4937,2468,4980,2411,5020,2353,5058,2294,5093,2233,5125,2170,5154,2107,5181,2042,5205,1976,5225,1909,5243,1841,5258,1773,5270,1704,5279,1634,5285,1564,5287,1493,5287,1423,5283,1352,5276,1281,5266,1210,5253,1140,5237,1070,5217,1000,5194,930,5167,862,5137,793,5104,726,5065,657,5024,591,4979,527,4932,465,4881,405,4828,348,4771,294,4713,243,4651,194,4587,148xe" filled="true" fillcolor="#c0504d" stroked="false">
              <v:path arrowok="t"/>
              <v:fill type="solid"/>
            </v:shape>
            <v:shape style="position:absolute;left:1721;top:-82;width:2338;height:3188" coordorigin="1721,-82" coordsize="2338,3188" path="m3197,-82l3122,-74,3048,-64,2976,-50,2905,-33,2835,-12,2767,11,2700,37,2635,66,2571,98,2509,132,2449,169,2391,209,2335,251,2280,296,2228,342,2178,391,2130,442,2084,495,2041,550,2000,607,1962,666,1926,726,1893,788,1862,852,1835,917,1810,983,1788,1051,1769,1120,1753,1190,1740,1261,1730,1333,1724,1406,1721,1479,1721,1554,1725,1629,1733,1704,1743,1777,1757,1850,1774,1921,1794,1991,1818,2059,1844,2126,1873,2191,1905,2255,1939,2317,1976,2377,2016,2435,2058,2491,2102,2546,2149,2598,2198,2648,2249,2696,2302,2742,2357,2785,2414,2826,2472,2865,2533,2900,2594,2934,2658,2964,2723,2992,2789,3017,2857,3039,2926,3058,2996,3074,3067,3087,3139,3096,3211,3103,3285,3106,3359,3105,3434,3102,3516,3093,3597,3081,3677,3064,3756,3044,3834,3019,3910,2991,3985,2958,4059,2922,3316,1510,3197,-82xe" filled="true" fillcolor="#9bba58" stroked="false">
              <v:path arrowok="t"/>
              <v:fill type="solid"/>
            </v:shape>
            <v:shape style="position:absolute;left:3371;top:-328;width:119;height:1596" coordorigin="3371,-328" coordsize="119,1596" path="m3450,-328l3371,-324,3490,1268,3450,-328xe" filled="true" fillcolor="#8063a1" stroked="false">
              <v:path arrowok="t"/>
              <v:fill type="solid"/>
            </v:shape>
            <v:line style="position:absolute" from="3477,-330" to="3477,1266" stroked="true" strokeweight="1.98pt" strokecolor="#4aacc5"/>
            <v:shape style="position:absolute;left:3771;top:-125;width:306;height:212" type="#_x0000_t202" filled="false" stroked="false">
              <v:textbox inset="0,0,0,0">
                <w:txbxContent>
                  <w:p>
                    <w:pPr>
                      <w:spacing w:line="211" w:lineRule="exact" w:before="0"/>
                      <w:ind w:left="0" w:right="-18" w:firstLine="0"/>
                      <w:jc w:val="left"/>
                      <w:rPr>
                        <w:sz w:val="21"/>
                      </w:rPr>
                    </w:pPr>
                    <w:r>
                      <w:rPr>
                        <w:sz w:val="21"/>
                      </w:rPr>
                      <w:t>9%</w:t>
                    </w:r>
                  </w:p>
                </w:txbxContent>
              </v:textbox>
              <w10:wrap type="none"/>
            </v:shape>
            <v:shape style="position:absolute;left:4759;top:1450;width:424;height:212" type="#_x0000_t202" filled="false" stroked="false">
              <v:textbox inset="0,0,0,0">
                <w:txbxContent>
                  <w:p>
                    <w:pPr>
                      <w:spacing w:line="211" w:lineRule="exact" w:before="0"/>
                      <w:ind w:left="0" w:right="-17" w:firstLine="0"/>
                      <w:jc w:val="left"/>
                      <w:rPr>
                        <w:sz w:val="21"/>
                      </w:rPr>
                    </w:pPr>
                    <w:r>
                      <w:rPr>
                        <w:sz w:val="21"/>
                      </w:rPr>
                      <w:t>33%</w:t>
                    </w:r>
                  </w:p>
                </w:txbxContent>
              </v:textbox>
              <w10:wrap type="none"/>
            </v:shape>
            <v:shape style="position:absolute;left:1894;top:1826;width:424;height:212" type="#_x0000_t202" filled="false" stroked="false">
              <v:textbox inset="0,0,0,0">
                <w:txbxContent>
                  <w:p>
                    <w:pPr>
                      <w:spacing w:line="211" w:lineRule="exact" w:before="0"/>
                      <w:ind w:left="0" w:right="-17" w:firstLine="0"/>
                      <w:jc w:val="left"/>
                      <w:rPr>
                        <w:sz w:val="21"/>
                      </w:rPr>
                    </w:pPr>
                    <w:r>
                      <w:rPr>
                        <w:sz w:val="21"/>
                      </w:rPr>
                      <w:t>57%</w:t>
                    </w:r>
                  </w:p>
                </w:txbxContent>
              </v:textbox>
              <w10:wrap type="none"/>
            </v:shape>
            <w10:wrap type="none"/>
          </v:group>
        </w:pict>
      </w:r>
      <w:r>
        <w:rPr/>
        <w:pict>
          <v:rect style="position:absolute;margin-left:427.079987pt;margin-top:7.455886pt;width:6pt;height:6pt;mso-position-horizontal-relative:page;mso-position-vertical-relative:paragraph;z-index:1504" filled="true" fillcolor="#4f81bc" stroked="false">
            <v:fill type="solid"/>
            <w10:wrap type="none"/>
          </v:rect>
        </w:pict>
      </w:r>
      <w:r>
        <w:rPr>
          <w:w w:val="95"/>
        </w:rPr>
        <w:t>soltera</w:t>
      </w:r>
    </w:p>
    <w:p>
      <w:pPr>
        <w:pStyle w:val="BodyText"/>
        <w:rPr>
          <w:sz w:val="20"/>
        </w:rPr>
      </w:pPr>
    </w:p>
    <w:p>
      <w:pPr>
        <w:pStyle w:val="BodyText"/>
        <w:spacing w:before="3"/>
        <w:rPr>
          <w:sz w:val="17"/>
        </w:rPr>
      </w:pPr>
    </w:p>
    <w:p>
      <w:pPr>
        <w:pStyle w:val="BodyText"/>
        <w:spacing w:before="69"/>
        <w:ind w:right="1526"/>
        <w:jc w:val="right"/>
      </w:pPr>
      <w:r>
        <w:rPr/>
        <w:pict>
          <v:rect style="position:absolute;margin-left:427.079987pt;margin-top:7.335864pt;width:6pt;height:6.12pt;mso-position-horizontal-relative:page;mso-position-vertical-relative:paragraph;z-index:1528" filled="true" fillcolor="#c0504d" stroked="false">
            <v:fill type="solid"/>
            <w10:wrap type="none"/>
          </v:rect>
        </w:pict>
      </w:r>
      <w:r>
        <w:rPr>
          <w:w w:val="95"/>
        </w:rPr>
        <w:t>casada</w:t>
      </w:r>
    </w:p>
    <w:p>
      <w:pPr>
        <w:pStyle w:val="BodyText"/>
        <w:rPr>
          <w:sz w:val="20"/>
        </w:rPr>
      </w:pPr>
    </w:p>
    <w:p>
      <w:pPr>
        <w:pStyle w:val="BodyText"/>
        <w:spacing w:before="3"/>
        <w:rPr>
          <w:sz w:val="17"/>
        </w:rPr>
      </w:pPr>
    </w:p>
    <w:p>
      <w:pPr>
        <w:pStyle w:val="BodyText"/>
        <w:spacing w:before="69"/>
        <w:ind w:right="1199"/>
        <w:jc w:val="right"/>
      </w:pPr>
      <w:r>
        <w:rPr/>
        <w:pict>
          <v:rect style="position:absolute;margin-left:427.079987pt;margin-top:7.385842pt;width:6pt;height:6pt;mso-position-horizontal-relative:page;mso-position-vertical-relative:paragraph;z-index:1552" filled="true" fillcolor="#9bba58" stroked="false">
            <v:fill type="solid"/>
            <w10:wrap type="none"/>
          </v:rect>
        </w:pict>
      </w:r>
      <w:r>
        <w:rPr/>
        <w:t>unión libre</w:t>
      </w:r>
    </w:p>
    <w:p>
      <w:pPr>
        <w:pStyle w:val="BodyText"/>
        <w:rPr>
          <w:sz w:val="20"/>
        </w:rPr>
      </w:pPr>
    </w:p>
    <w:p>
      <w:pPr>
        <w:pStyle w:val="BodyText"/>
        <w:spacing w:before="3"/>
        <w:rPr>
          <w:sz w:val="17"/>
        </w:rPr>
      </w:pPr>
    </w:p>
    <w:p>
      <w:pPr>
        <w:pStyle w:val="BodyText"/>
        <w:spacing w:before="69"/>
        <w:ind w:right="1210"/>
        <w:jc w:val="right"/>
      </w:pPr>
      <w:r>
        <w:rPr/>
        <w:pict>
          <v:rect style="position:absolute;margin-left:427.079987pt;margin-top:7.33587pt;width:6pt;height:6.12pt;mso-position-horizontal-relative:page;mso-position-vertical-relative:paragraph;z-index:1576" filled="true" fillcolor="#8063a1" stroked="false">
            <v:fill type="solid"/>
            <w10:wrap type="none"/>
          </v:rect>
        </w:pict>
      </w:r>
      <w:r>
        <w:rPr/>
        <w:t>divorciada</w:t>
      </w:r>
    </w:p>
    <w:p>
      <w:pPr>
        <w:pStyle w:val="BodyText"/>
        <w:rPr>
          <w:sz w:val="20"/>
        </w:rPr>
      </w:pPr>
    </w:p>
    <w:p>
      <w:pPr>
        <w:pStyle w:val="BodyText"/>
        <w:spacing w:before="3"/>
        <w:rPr>
          <w:sz w:val="17"/>
        </w:rPr>
      </w:pPr>
    </w:p>
    <w:p>
      <w:pPr>
        <w:pStyle w:val="BodyText"/>
        <w:spacing w:before="69"/>
        <w:ind w:right="1730"/>
        <w:jc w:val="right"/>
      </w:pPr>
      <w:r>
        <w:rPr/>
        <w:pict>
          <v:rect style="position:absolute;margin-left:427.079987pt;margin-top:7.385849pt;width:6pt;height:6pt;mso-position-horizontal-relative:page;mso-position-vertical-relative:paragraph;z-index:1600" filled="true" fillcolor="#4aacc5" stroked="false">
            <v:fill type="solid"/>
            <w10:wrap type="none"/>
          </v:rect>
        </w:pict>
      </w:r>
      <w:r>
        <w:rPr/>
        <w:t>viuda</w:t>
      </w:r>
    </w:p>
    <w:p>
      <w:pPr>
        <w:pStyle w:val="BodyText"/>
        <w:spacing w:before="9"/>
        <w:rPr>
          <w:sz w:val="25"/>
        </w:rPr>
      </w:pPr>
    </w:p>
    <w:p>
      <w:pPr>
        <w:spacing w:before="77"/>
        <w:ind w:left="118" w:right="0" w:firstLine="0"/>
        <w:jc w:val="left"/>
        <w:rPr>
          <w:sz w:val="18"/>
        </w:rPr>
      </w:pPr>
      <w:r>
        <w:rPr>
          <w:sz w:val="18"/>
        </w:rPr>
        <w:t>Fuente Directa</w:t>
      </w:r>
    </w:p>
    <w:p>
      <w:pPr>
        <w:pStyle w:val="BodyText"/>
        <w:rPr>
          <w:sz w:val="20"/>
        </w:rPr>
      </w:pPr>
    </w:p>
    <w:p>
      <w:pPr>
        <w:pStyle w:val="BodyText"/>
        <w:spacing w:before="8"/>
        <w:rPr>
          <w:sz w:val="29"/>
        </w:rPr>
      </w:pPr>
    </w:p>
    <w:p>
      <w:pPr>
        <w:pStyle w:val="BodyText"/>
        <w:spacing w:line="360" w:lineRule="auto" w:before="70"/>
        <w:ind w:left="222"/>
      </w:pPr>
      <w:r>
        <w:rPr/>
        <w:t>El 33% de las 253 gestantes encuestadas su máximo grado de estudio es secundaria. Seguido de nivel medio superior con  un 31 %. (Ver Gráfica 4)</w:t>
      </w:r>
    </w:p>
    <w:p>
      <w:pPr>
        <w:pStyle w:val="BodyText"/>
        <w:spacing w:before="4"/>
        <w:rPr>
          <w:sz w:val="16"/>
        </w:rPr>
      </w:pPr>
    </w:p>
    <w:p>
      <w:pPr>
        <w:pStyle w:val="Heading1"/>
        <w:spacing w:before="69"/>
        <w:ind w:left="1095"/>
      </w:pPr>
      <w:r>
        <w:rPr/>
        <w:t>GRÁFICA 4. MÁXIMO GRADO DE ESTUDIOS DE LAS GESTANTES</w:t>
      </w:r>
    </w:p>
    <w:p>
      <w:pPr>
        <w:pStyle w:val="BodyText"/>
        <w:rPr>
          <w:b/>
          <w:sz w:val="20"/>
        </w:rPr>
      </w:pPr>
    </w:p>
    <w:p>
      <w:pPr>
        <w:pStyle w:val="BodyText"/>
        <w:spacing w:before="11"/>
        <w:rPr>
          <w:b/>
          <w:sz w:val="18"/>
        </w:rPr>
      </w:pPr>
    </w:p>
    <w:p>
      <w:pPr>
        <w:spacing w:before="54"/>
        <w:ind w:left="2094" w:right="0" w:firstLine="0"/>
        <w:jc w:val="left"/>
        <w:rPr>
          <w:rFonts w:ascii="Calibri"/>
          <w:sz w:val="20"/>
        </w:rPr>
      </w:pPr>
      <w:r>
        <w:rPr>
          <w:rFonts w:ascii="Calibri"/>
          <w:sz w:val="20"/>
        </w:rPr>
        <w:t>2%  </w:t>
      </w:r>
      <w:r>
        <w:rPr>
          <w:rFonts w:ascii="Calibri"/>
          <w:position w:val="2"/>
          <w:sz w:val="20"/>
        </w:rPr>
        <w:t>0%</w:t>
      </w:r>
    </w:p>
    <w:p>
      <w:pPr>
        <w:pStyle w:val="BodyText"/>
        <w:rPr>
          <w:rFonts w:ascii="Calibri"/>
          <w:sz w:val="20"/>
        </w:rPr>
      </w:pPr>
    </w:p>
    <w:p>
      <w:pPr>
        <w:pStyle w:val="BodyText"/>
        <w:spacing w:before="194"/>
        <w:ind w:right="1139"/>
        <w:jc w:val="right"/>
      </w:pPr>
      <w:r>
        <w:rPr/>
        <w:pict>
          <v:group style="position:absolute;margin-left:108.477852pt;margin-top:-11.77914pt;width:185.45pt;height:189.4pt;mso-position-horizontal-relative:page;mso-position-vertical-relative:paragraph;z-index:1696" coordorigin="2170,-236" coordsize="3709,3788">
            <v:line style="position:absolute" from="4075,-214" to="4075,1500" stroked="true" strokeweight="2.13pt" strokecolor="#4f81bc"/>
            <v:shape style="position:absolute;left:4123;top:-199;width:1193;height:1713" coordorigin="4123,-199" coordsize="1193,1713" path="m4166,-199l4123,1514,5316,284,5257,229,5195,177,5132,129,5066,83,4999,41,4930,2,4859,-34,4786,-66,4712,-95,4637,-121,4561,-143,4484,-161,4405,-176,4326,-188,4246,-195,4166,-199xe" filled="true" fillcolor="#c0504d" stroked="false">
              <v:path arrowok="t"/>
              <v:fill type="solid"/>
            </v:shape>
            <v:shape style="position:absolute;left:2652;top:608;width:3226;height:2945" coordorigin="2652,608" coordsize="3226,2945" path="m5357,608l4164,1838,2652,2645,2690,2712,2730,2776,2772,2838,2817,2897,2864,2954,2913,3009,2964,3062,3017,3111,3071,3159,3128,3203,3186,3246,3246,3285,3307,3322,3370,3357,3434,3388,3499,3417,3565,3443,3632,3467,3700,3488,3769,3505,3838,3520,3909,3532,3979,3542,4050,3548,4122,3551,4194,3552,4265,3549,4337,3543,4409,3534,4481,3522,4552,3507,4624,3489,4694,3468,4765,3443,4834,3415,4903,3384,4971,3350,5038,3312,5102,3272,5164,3230,5223,3185,5281,3138,5335,3089,5388,3038,5437,2985,5485,2931,5529,2874,5572,2816,5611,2756,5648,2695,5683,2632,5714,2568,5743,2503,5769,2437,5793,2370,5814,2302,5831,2233,5846,2163,5859,2093,5868,2023,5874,1951,5877,1880,5878,1808,5875,1736,5869,1665,5860,1593,5849,1521,5833,1449,5815,1378,5794,1308,5769,1237,5741,1168,5710,1099,5676,1031,5638,964,5598,900,5555,837,5509,777,5461,718,5410,662,5357,608xe" filled="true" fillcolor="#9bba58" stroked="false">
              <v:path arrowok="t"/>
              <v:fill type="solid"/>
            </v:shape>
            <v:shape style="position:absolute;left:2170;top:-107;width:1715;height:2513" coordorigin="2170,-107" coordsize="1715,2513" path="m3714,-107l3639,-98,3564,-86,3490,-70,3418,-52,3348,-30,3278,-6,3210,22,3144,52,3079,84,3016,119,2955,157,2896,197,2838,240,2783,285,2729,332,2677,381,2628,432,2580,485,2535,540,2493,597,2452,655,2414,716,2379,777,2346,841,2315,906,2288,972,2263,1039,2241,1108,2221,1178,2205,1249,2192,1320,2181,1393,2174,1467,2170,1541,2170,1616,2172,1692,2178,1768,2188,1851,2203,1934,2221,2015,2244,2096,2270,2176,2300,2254,2334,2330,2372,2406,3884,1598,3714,-107xe" filled="true" fillcolor="#8063a1" stroked="false">
              <v:path arrowok="t"/>
              <v:fill type="solid"/>
            </v:shape>
            <v:shape style="position:absolute;left:3872;top:-214;width:170;height:1714" coordorigin="3872,-214" coordsize="170,1714" path="m4042,-214l3999,-214,3957,-212,3914,-209,3872,-206,4042,1500,4042,-214xe" filled="true" fillcolor="#4aacc5" stroked="false">
              <v:path arrowok="t"/>
              <v:fill type="solid"/>
            </v:shape>
            <v:shape style="position:absolute;left:4496;top:7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12%</w:t>
                    </w:r>
                  </w:p>
                </w:txbxContent>
              </v:textbox>
              <w10:wrap type="none"/>
            </v:shape>
            <v:shape style="position:absolute;left:2456;top:84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31%</w:t>
                    </w:r>
                  </w:p>
                </w:txbxContent>
              </v:textbox>
              <w10:wrap type="none"/>
            </v:shape>
            <v:shape style="position:absolute;left:4886;top:2852;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55%</w:t>
                    </w:r>
                  </w:p>
                </w:txbxContent>
              </v:textbox>
              <w10:wrap type="none"/>
            </v:shape>
            <w10:wrap type="none"/>
          </v:group>
        </w:pict>
      </w:r>
      <w:r>
        <w:rPr/>
        <w:pict>
          <v:rect style="position:absolute;margin-left:427.799988pt;margin-top:13.655859pt;width:6pt;height:6.12pt;mso-position-horizontal-relative:page;mso-position-vertical-relative:paragraph;z-index:1720" filled="true" fillcolor="#4f81bc" stroked="false">
            <v:fill type="solid"/>
            <w10:wrap type="none"/>
          </v:rect>
        </w:pict>
      </w:r>
      <w:r>
        <w:rPr/>
        <w:t>No estudió</w:t>
      </w:r>
    </w:p>
    <w:p>
      <w:pPr>
        <w:pStyle w:val="BodyText"/>
        <w:spacing w:before="5"/>
        <w:rPr>
          <w:sz w:val="25"/>
        </w:rPr>
      </w:pPr>
    </w:p>
    <w:p>
      <w:pPr>
        <w:pStyle w:val="BodyText"/>
        <w:spacing w:before="70"/>
        <w:ind w:right="1394"/>
        <w:jc w:val="right"/>
      </w:pPr>
      <w:r>
        <w:rPr/>
        <w:pict>
          <v:rect style="position:absolute;margin-left:427.799988pt;margin-top:7.455861pt;width:6pt;height:6.12pt;mso-position-horizontal-relative:page;mso-position-vertical-relative:paragraph;z-index:1744" filled="true" fillcolor="#c0504d" stroked="false">
            <v:fill type="solid"/>
            <w10:wrap type="none"/>
          </v:rect>
        </w:pict>
      </w:r>
      <w:r>
        <w:rPr/>
        <w:t>Primaria</w:t>
      </w:r>
    </w:p>
    <w:p>
      <w:pPr>
        <w:pStyle w:val="BodyText"/>
        <w:spacing w:before="5"/>
        <w:rPr>
          <w:sz w:val="25"/>
        </w:rPr>
      </w:pPr>
    </w:p>
    <w:p>
      <w:pPr>
        <w:pStyle w:val="BodyText"/>
        <w:spacing w:before="70"/>
        <w:ind w:right="1071"/>
        <w:jc w:val="right"/>
      </w:pPr>
      <w:r>
        <w:rPr/>
        <w:pict>
          <v:rect style="position:absolute;margin-left:427.799988pt;margin-top:7.455863pt;width:6pt;height:6.12pt;mso-position-horizontal-relative:page;mso-position-vertical-relative:paragraph;z-index:1768" filled="true" fillcolor="#9bba58" stroked="false">
            <v:fill type="solid"/>
            <w10:wrap type="none"/>
          </v:rect>
        </w:pict>
      </w:r>
      <w:r>
        <w:rPr/>
        <w:t>Secundaria</w:t>
      </w:r>
    </w:p>
    <w:p>
      <w:pPr>
        <w:pStyle w:val="BodyText"/>
        <w:spacing w:before="5"/>
        <w:rPr>
          <w:sz w:val="25"/>
        </w:rPr>
      </w:pPr>
    </w:p>
    <w:p>
      <w:pPr>
        <w:pStyle w:val="BodyText"/>
        <w:spacing w:before="70"/>
        <w:ind w:right="1098"/>
        <w:jc w:val="right"/>
      </w:pPr>
      <w:r>
        <w:rPr/>
        <w:pict>
          <v:rect style="position:absolute;margin-left:427.799988pt;margin-top:7.455865pt;width:6pt;height:6.12pt;mso-position-horizontal-relative:page;mso-position-vertical-relative:paragraph;z-index:1792" filled="true" fillcolor="#8063a1" stroked="false">
            <v:fill type="solid"/>
            <w10:wrap type="none"/>
          </v:rect>
        </w:pict>
      </w:r>
      <w:r>
        <w:rPr>
          <w:w w:val="95"/>
        </w:rPr>
        <w:t>Prepartoria</w:t>
      </w:r>
    </w:p>
    <w:p>
      <w:pPr>
        <w:pStyle w:val="BodyText"/>
        <w:spacing w:before="5"/>
        <w:rPr>
          <w:sz w:val="25"/>
        </w:rPr>
      </w:pPr>
    </w:p>
    <w:p>
      <w:pPr>
        <w:pStyle w:val="BodyText"/>
        <w:spacing w:before="70"/>
        <w:ind w:right="992"/>
        <w:jc w:val="right"/>
      </w:pPr>
      <w:r>
        <w:rPr/>
        <w:pict>
          <v:rect style="position:absolute;margin-left:427.799988pt;margin-top:7.455867pt;width:6pt;height:6.12pt;mso-position-horizontal-relative:page;mso-position-vertical-relative:paragraph;z-index:1816" filled="true" fillcolor="#4aacc5" stroked="false">
            <v:fill type="solid"/>
            <w10:wrap type="none"/>
          </v:rect>
        </w:pict>
      </w:r>
      <w:r>
        <w:rPr/>
        <w:t>Licenciatura</w:t>
      </w:r>
    </w:p>
    <w:p>
      <w:pPr>
        <w:pStyle w:val="BodyText"/>
        <w:rPr>
          <w:sz w:val="20"/>
        </w:rPr>
      </w:pPr>
    </w:p>
    <w:p>
      <w:pPr>
        <w:pStyle w:val="BodyText"/>
        <w:rPr>
          <w:sz w:val="20"/>
        </w:rPr>
      </w:pPr>
    </w:p>
    <w:p>
      <w:pPr>
        <w:pStyle w:val="BodyText"/>
        <w:spacing w:before="1"/>
        <w:rPr>
          <w:sz w:val="29"/>
        </w:rPr>
      </w:pPr>
    </w:p>
    <w:p>
      <w:pPr>
        <w:spacing w:before="77"/>
        <w:ind w:left="646" w:right="0" w:firstLine="0"/>
        <w:jc w:val="left"/>
        <w:rPr>
          <w:sz w:val="18"/>
        </w:rPr>
      </w:pPr>
      <w:r>
        <w:rPr>
          <w:sz w:val="18"/>
        </w:rPr>
        <w:t>Fuente Directa</w:t>
      </w:r>
    </w:p>
    <w:p>
      <w:pPr>
        <w:spacing w:after="0"/>
        <w:jc w:val="left"/>
        <w:rPr>
          <w:sz w:val="18"/>
        </w:rPr>
        <w:sectPr>
          <w:footerReference w:type="default" r:id="rId17"/>
          <w:pgSz w:w="12240" w:h="15840"/>
          <w:pgMar w:footer="1003" w:header="0" w:top="1500" w:bottom="1200" w:left="1480" w:right="1220"/>
        </w:sectPr>
      </w:pPr>
    </w:p>
    <w:p>
      <w:pPr>
        <w:pStyle w:val="BodyText"/>
        <w:spacing w:before="54"/>
        <w:ind w:left="102"/>
      </w:pPr>
      <w:r>
        <w:rPr/>
        <w:t>Se muestran a continuación los resultados obtenidos de la encuesta realizada</w:t>
      </w:r>
    </w:p>
    <w:p>
      <w:pPr>
        <w:pStyle w:val="BodyText"/>
        <w:spacing w:line="360" w:lineRule="auto" w:before="139"/>
        <w:ind w:left="102"/>
      </w:pPr>
      <w:r>
        <w:rPr/>
        <w:t>El 90% de las madres que se entrevistaron saben que el cepillado dental de sus hijos debe de realizarse después de las comidas. (Ver gráfica 5)</w:t>
      </w:r>
    </w:p>
    <w:p>
      <w:pPr>
        <w:pStyle w:val="BodyText"/>
        <w:spacing w:before="4"/>
        <w:rPr>
          <w:sz w:val="9"/>
        </w:rPr>
      </w:pPr>
    </w:p>
    <w:p>
      <w:pPr>
        <w:pStyle w:val="Heading1"/>
        <w:spacing w:before="69"/>
        <w:ind w:left="1999" w:right="1753"/>
        <w:jc w:val="center"/>
      </w:pPr>
      <w:r>
        <w:rPr/>
        <w:t>GRÁFICA 5. PRINCIPALMENTE. ¿CUÁNDO DEBE</w:t>
      </w:r>
    </w:p>
    <w:p>
      <w:pPr>
        <w:spacing w:before="0"/>
        <w:ind w:left="1999" w:right="1749" w:firstLine="0"/>
        <w:jc w:val="center"/>
        <w:rPr>
          <w:b/>
          <w:sz w:val="24"/>
        </w:rPr>
      </w:pPr>
      <w:r>
        <w:rPr>
          <w:b/>
          <w:sz w:val="24"/>
        </w:rPr>
        <w:t>CEPILLAR LOS DIENTES DE SU HIJO?</w:t>
      </w:r>
    </w:p>
    <w:p>
      <w:pPr>
        <w:pStyle w:val="BodyText"/>
        <w:rPr>
          <w:b/>
          <w:sz w:val="20"/>
        </w:rPr>
      </w:pPr>
    </w:p>
    <w:p>
      <w:pPr>
        <w:pStyle w:val="BodyText"/>
        <w:rPr>
          <w:b/>
          <w:sz w:val="20"/>
        </w:rPr>
      </w:pPr>
    </w:p>
    <w:p>
      <w:pPr>
        <w:pStyle w:val="BodyText"/>
        <w:rPr>
          <w:b/>
          <w:sz w:val="20"/>
        </w:rPr>
      </w:pPr>
    </w:p>
    <w:p>
      <w:pPr>
        <w:pStyle w:val="BodyText"/>
        <w:spacing w:before="199"/>
        <w:ind w:left="5408" w:right="1840"/>
      </w:pPr>
      <w:r>
        <w:rPr/>
        <w:pict>
          <v:group style="position:absolute;margin-left:126.480003pt;margin-top:-29.337934pt;width:142.6pt;height:172.05pt;mso-position-horizontal-relative:page;mso-position-vertical-relative:paragraph;z-index:1888" coordorigin="2530,-587" coordsize="2852,3441">
            <v:shape style="position:absolute;left:4034;top:-328;width:419;height:1426" coordorigin="4034,-328" coordsize="419,1426" path="m4034,-328l4034,1097,4453,-266,4371,-288,4288,-306,4204,-318,4119,-326,4034,-328xe" filled="true" fillcolor="#4f81bc" stroked="false">
              <v:path arrowok="t"/>
              <v:fill type="solid"/>
            </v:shape>
            <v:shape style="position:absolute;left:4087;top:-249;width:858;height:1363" coordorigin="4087,-249" coordsize="858,1363" path="m4506,-249l4087,1114,4945,-25,4878,-72,4808,-116,4735,-156,4661,-191,4584,-222,4506,-249xe" filled="true" fillcolor="#c0504d" stroked="false">
              <v:path arrowok="t"/>
              <v:fill type="solid"/>
            </v:shape>
            <v:shape style="position:absolute;left:2530;top:3;width:2852;height:2852" coordorigin="2530,3" coordsize="2852,2852" path="m3955,3l3879,5,3805,11,3731,20,3659,34,3588,50,3518,71,3450,95,3384,122,3319,152,3256,186,3195,222,3136,261,3079,303,3025,348,2972,396,2922,446,2875,498,2830,552,2788,609,2749,668,2712,729,2679,792,2649,857,2622,923,2598,991,2577,1061,2560,1132,2547,1204,2537,1278,2532,1353,2530,1428,2532,1504,2537,1579,2547,1652,2560,1725,2577,1796,2598,1865,2622,1933,2649,2000,2679,2064,2712,2127,2749,2188,2788,2247,2830,2304,2875,2359,2922,2411,2972,2461,3025,2508,3079,2553,3136,2595,3195,2635,3256,2671,3319,2705,3384,2735,3450,2762,3518,2786,3588,2806,3659,2823,3731,2836,3805,2846,3879,2852,3955,2854,4031,2852,4106,2846,4179,2836,4251,2823,4323,2806,4392,2786,4460,2762,4527,2735,4591,2705,4654,2671,4715,2635,4774,2595,4831,2553,4886,2508,4938,2461,4988,2411,5035,2359,5080,2304,5122,2247,5162,2188,5198,2127,5231,2064,5262,2000,5289,1933,5313,1865,5333,1796,5350,1725,5363,1652,5373,1579,5379,1504,5381,1428,3955,1428,3955,3xm4813,290l3955,1428,5381,1428,5379,1350,5372,1272,5362,1194,5347,1118,5328,1043,5305,970,5278,897,5248,827,5213,758,5175,691,5134,626,5089,564,5040,504,4988,446,4933,391,4875,339,4813,290xe" filled="true" fillcolor="#9bba58" stroked="false">
              <v:path arrowok="t"/>
              <v:fill type="solid"/>
            </v:shape>
            <v:shape style="position:absolute;left:4367;top:-587;width:739;height:390" type="#_x0000_t202" filled="false" stroked="false">
              <v:textbox inset="0,0,0,0">
                <w:txbxContent>
                  <w:p>
                    <w:pPr>
                      <w:spacing w:line="390" w:lineRule="exact" w:before="0"/>
                      <w:ind w:left="0" w:right="-16" w:firstLine="0"/>
                      <w:jc w:val="left"/>
                      <w:rPr>
                        <w:sz w:val="24"/>
                      </w:rPr>
                    </w:pPr>
                    <w:r>
                      <w:rPr>
                        <w:sz w:val="24"/>
                      </w:rPr>
                      <w:t>5%</w:t>
                    </w:r>
                    <w:r>
                      <w:rPr>
                        <w:spacing w:val="-26"/>
                        <w:sz w:val="24"/>
                      </w:rPr>
                      <w:t> </w:t>
                    </w:r>
                    <w:r>
                      <w:rPr>
                        <w:position w:val="-14"/>
                        <w:sz w:val="24"/>
                      </w:rPr>
                      <w:t>5%</w:t>
                    </w:r>
                  </w:p>
                </w:txbxContent>
              </v:textbox>
              <w10:wrap type="none"/>
            </v:shape>
            <v:shape style="position:absolute;left:3211;top:2218;width:484;height:240" type="#_x0000_t202" filled="false" stroked="false">
              <v:textbox inset="0,0,0,0">
                <w:txbxContent>
                  <w:p>
                    <w:pPr>
                      <w:spacing w:line="240" w:lineRule="exact" w:before="0"/>
                      <w:ind w:left="0" w:right="-17" w:firstLine="0"/>
                      <w:jc w:val="left"/>
                      <w:rPr>
                        <w:sz w:val="24"/>
                      </w:rPr>
                    </w:pPr>
                    <w:r>
                      <w:rPr>
                        <w:sz w:val="24"/>
                      </w:rPr>
                      <w:t>90%</w:t>
                    </w:r>
                  </w:p>
                </w:txbxContent>
              </v:textbox>
              <w10:wrap type="none"/>
            </v:shape>
            <w10:wrap type="none"/>
          </v:group>
        </w:pict>
      </w:r>
      <w:r>
        <w:rPr/>
        <w:pict>
          <v:rect style="position:absolute;margin-left:341.76001pt;margin-top:13.935843pt;width:6pt;height:6pt;mso-position-horizontal-relative:page;mso-position-vertical-relative:paragraph;z-index:1912" filled="true" fillcolor="#4f81bc" stroked="false">
            <v:fill type="solid"/>
            <w10:wrap type="none"/>
          </v:rect>
        </w:pict>
      </w:r>
      <w:r>
        <w:rPr/>
        <w:t>Antes del desayuno</w:t>
      </w:r>
    </w:p>
    <w:p>
      <w:pPr>
        <w:pStyle w:val="BodyText"/>
        <w:spacing w:before="6"/>
        <w:rPr>
          <w:sz w:val="26"/>
        </w:rPr>
      </w:pPr>
    </w:p>
    <w:p>
      <w:pPr>
        <w:pStyle w:val="BodyText"/>
        <w:spacing w:before="70"/>
        <w:ind w:left="5408"/>
      </w:pPr>
      <w:r>
        <w:rPr/>
        <w:pict>
          <v:rect style="position:absolute;margin-left:341.76001pt;margin-top:7.455854pt;width:6pt;height:6.12pt;mso-position-horizontal-relative:page;mso-position-vertical-relative:paragraph;z-index:1936" filled="true" fillcolor="#c0504d" stroked="false">
            <v:fill type="solid"/>
            <w10:wrap type="none"/>
          </v:rect>
        </w:pict>
      </w:r>
      <w:r>
        <w:rPr/>
        <w:t>Antes del salir de casa</w:t>
      </w:r>
    </w:p>
    <w:p>
      <w:pPr>
        <w:pStyle w:val="BodyText"/>
        <w:spacing w:before="6"/>
        <w:rPr>
          <w:sz w:val="26"/>
        </w:rPr>
      </w:pPr>
    </w:p>
    <w:p>
      <w:pPr>
        <w:pStyle w:val="BodyText"/>
        <w:spacing w:before="70"/>
        <w:ind w:left="5408"/>
      </w:pPr>
      <w:r>
        <w:rPr/>
        <w:pict>
          <v:rect style="position:absolute;margin-left:341.76001pt;margin-top:7.535857pt;width:6pt;height:6pt;mso-position-horizontal-relative:page;mso-position-vertical-relative:paragraph;z-index:1960" filled="true" fillcolor="#9bba58" stroked="false">
            <v:fill type="solid"/>
            <w10:wrap type="none"/>
          </v:rect>
        </w:pict>
      </w:r>
      <w:r>
        <w:rPr/>
        <w:t>Despues de las comidas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9"/>
        </w:rPr>
      </w:pPr>
    </w:p>
    <w:p>
      <w:pPr>
        <w:spacing w:before="77"/>
        <w:ind w:left="135" w:right="1840" w:firstLine="0"/>
        <w:jc w:val="left"/>
        <w:rPr>
          <w:sz w:val="18"/>
        </w:rPr>
      </w:pPr>
      <w:r>
        <w:rPr>
          <w:sz w:val="18"/>
        </w:rPr>
        <w:t>Fuente Directa</w:t>
      </w:r>
    </w:p>
    <w:p>
      <w:pPr>
        <w:pStyle w:val="BodyText"/>
        <w:rPr>
          <w:sz w:val="20"/>
        </w:rPr>
      </w:pPr>
    </w:p>
    <w:p>
      <w:pPr>
        <w:pStyle w:val="BodyText"/>
        <w:rPr>
          <w:sz w:val="22"/>
        </w:rPr>
      </w:pPr>
    </w:p>
    <w:p>
      <w:pPr>
        <w:pStyle w:val="BodyText"/>
        <w:spacing w:line="360" w:lineRule="auto" w:before="69"/>
        <w:ind w:left="102"/>
      </w:pPr>
      <w:r>
        <w:rPr/>
        <w:t>Como podemos ver en la gráfica número 6 las gestantes saben cuáles son las características ideales del cepillo dental de un niño (Ver gráfica 6)</w:t>
      </w:r>
    </w:p>
    <w:p>
      <w:pPr>
        <w:pStyle w:val="BodyText"/>
        <w:rPr>
          <w:sz w:val="20"/>
        </w:rPr>
      </w:pPr>
    </w:p>
    <w:p>
      <w:pPr>
        <w:pStyle w:val="BodyText"/>
        <w:spacing w:before="1"/>
        <w:rPr>
          <w:sz w:val="19"/>
        </w:rPr>
      </w:pPr>
    </w:p>
    <w:p>
      <w:pPr>
        <w:pStyle w:val="Heading1"/>
        <w:ind w:left="2855" w:right="575" w:hanging="1397"/>
      </w:pPr>
      <w:r>
        <w:rPr/>
        <w:t>GRÁFICA 6. ¿QUÉ CARACTERISTICAS DEBE TENER EL CEPILLO DENTAL DE SU HIJO?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rPr>
          <w:b/>
          <w:sz w:val="23"/>
        </w:rPr>
      </w:pPr>
    </w:p>
    <w:p>
      <w:pPr>
        <w:pStyle w:val="BodyText"/>
        <w:spacing w:before="69"/>
        <w:ind w:left="5476" w:right="575"/>
      </w:pPr>
      <w:r>
        <w:rPr/>
        <w:pict>
          <v:group style="position:absolute;margin-left:129.58577pt;margin-top:-61.424137pt;width:190.5pt;height:212.9pt;mso-position-horizontal-relative:page;mso-position-vertical-relative:paragraph;z-index:2056" coordorigin="2592,-1228" coordsize="3810,4258">
            <v:shape style="position:absolute;left:2592;top:-780;width:3810;height:3810" coordorigin="2592,-780" coordsize="3810,3810" path="m3589,-550l3523,-512,3458,-472,3396,-430,3336,-385,3277,-339,3222,-291,3168,-240,3116,-188,3067,-135,3020,-79,2976,-22,2933,36,2893,96,2856,157,2821,220,2788,283,2758,348,2730,414,2704,480,2681,548,2661,616,2643,685,2628,755,2616,825,2606,896,2598,967,2594,1039,2592,1111,2592,1183,2596,1255,2602,1327,2611,1399,2623,1471,2638,1542,2655,1614,2676,1685,2699,1755,2725,1825,2755,1895,2787,1964,2822,2032,2860,2098,2900,2163,2942,2225,2986,2286,3033,2344,3081,2400,3131,2453,3183,2505,3237,2554,3292,2601,3349,2645,3408,2688,3468,2728,3529,2765,3591,2800,3655,2833,3720,2864,3785,2891,3852,2917,3920,2940,3988,2960,4057,2978,4127,2993,4197,3006,4268,3015,4339,3023,4411,3027,4482,3029,4554,3029,4626,3025,4698,3019,4770,3010,4842,2998,4914,2983,4985,2966,5056,2945,5127,2922,5197,2896,5267,2867,5335,2834,5403,2799,5470,2761,5535,2721,5597,2679,5657,2635,5715,2588,5771,2540,5825,2490,5876,2438,5926,2384,5973,2329,6017,2272,6059,2213,6099,2153,6137,2092,6172,2030,6205,1966,6235,1902,6263,1836,6288,1769,6311,1702,6332,1633,6349,1564,6365,1494,6377,1424,6387,1353,6394,1282,6399,1211,6401,1139,6401,1125,4496,1125,3589,-550xm4496,-780l4496,1125,6401,1125,6400,1067,6397,995,6391,923,6382,851,6370,779,6355,707,6337,636,6317,565,6294,494,6267,424,6238,355,6206,286,6171,218,6133,150,6092,85,6049,22,6004,-40,5956,-99,5906,-156,5854,-211,5800,-264,5744,-314,5687,-362,5627,-408,5566,-451,5503,-492,5439,-530,5373,-566,5306,-599,5237,-630,5167,-658,5096,-683,5024,-705,4951,-725,4877,-741,4803,-755,4727,-766,4651,-773,4574,-778,4496,-780xe" filled="true" fillcolor="#4f81bc" stroked="false">
              <v:path arrowok="t"/>
              <v:fill type="solid"/>
            </v:shape>
            <v:shape style="position:absolute;left:3448;top:-1143;width:907;height:1836" coordorigin="3448,-1143" coordsize="907,1836" path="m3847,-1143l3764,-1118,3683,-1089,3603,-1057,3525,-1021,3448,-982,4355,693,3847,-1143xe" filled="true" fillcolor="#c0504d" stroked="false">
              <v:path arrowok="t"/>
              <v:fill type="solid"/>
            </v:shape>
            <v:shape style="position:absolute;left:3901;top:-1228;width:509;height:1906" coordorigin="3901,-1228" coordsize="509,1906" path="m4410,-1228l4324,-1227,4239,-1221,4153,-1211,4069,-1198,3985,-1180,3901,-1159,4410,677,4410,-1228xe" filled="true" fillcolor="#9bba58" stroked="false">
              <v:path arrowok="t"/>
              <v:fill type="solid"/>
            </v:shape>
            <v:shape style="position:absolute;left:3607;top:-945;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w:t>
                    </w:r>
                  </w:p>
                </w:txbxContent>
              </v:textbox>
              <w10:wrap type="none"/>
            </v:shape>
            <v:shape style="position:absolute;left:4072;top:-1080;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w:t>
                    </w:r>
                  </w:p>
                </w:txbxContent>
              </v:textbox>
              <w10:wrap type="none"/>
            </v:shape>
            <v:shape style="position:absolute;left:4837;top:252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92%</w:t>
                    </w:r>
                  </w:p>
                </w:txbxContent>
              </v:textbox>
              <w10:wrap type="none"/>
            </v:shape>
            <w10:wrap type="none"/>
          </v:group>
        </w:pict>
      </w:r>
      <w:r>
        <w:rPr/>
        <w:pict>
          <v:rect style="position:absolute;margin-left:345.119995pt;margin-top:7.455864pt;width:6pt;height:6pt;mso-position-horizontal-relative:page;mso-position-vertical-relative:paragraph;z-index:2080" filled="true" fillcolor="#4f81bc" stroked="false">
            <v:fill type="solid"/>
            <w10:wrap type="none"/>
          </v:rect>
        </w:pict>
      </w:r>
      <w:r>
        <w:rPr/>
        <w:t>Cerdas suaves y mango fácilde tomar</w:t>
      </w:r>
    </w:p>
    <w:p>
      <w:pPr>
        <w:pStyle w:val="BodyText"/>
        <w:spacing w:before="25"/>
        <w:ind w:left="5476" w:right="1840"/>
      </w:pPr>
      <w:r>
        <w:rPr/>
        <w:pict>
          <v:rect style="position:absolute;margin-left:345.119995pt;margin-top:5.185854pt;width:6pt;height:6.12pt;mso-position-horizontal-relative:page;mso-position-vertical-relative:paragraph;z-index:2104" filled="true" fillcolor="#c0504d" stroked="false">
            <v:fill type="solid"/>
            <w10:wrap type="none"/>
          </v:rect>
        </w:pict>
      </w:r>
      <w:r>
        <w:rPr/>
        <w:t>Cerdas duras</w:t>
      </w:r>
    </w:p>
    <w:p>
      <w:pPr>
        <w:pStyle w:val="BodyText"/>
        <w:spacing w:before="2"/>
        <w:rPr>
          <w:sz w:val="20"/>
        </w:rPr>
      </w:pPr>
    </w:p>
    <w:p>
      <w:pPr>
        <w:pStyle w:val="BodyText"/>
        <w:spacing w:before="70"/>
        <w:ind w:left="5476"/>
      </w:pPr>
      <w:r>
        <w:rPr/>
        <w:pict>
          <v:rect style="position:absolute;margin-left:345.119995pt;margin-top:7.45586pt;width:6pt;height:6pt;mso-position-horizontal-relative:page;mso-position-vertical-relative:paragraph;z-index:2128" filled="true" fillcolor="#9bba58" stroked="false">
            <v:fill type="solid"/>
            <w10:wrap type="none"/>
          </v:rect>
        </w:pict>
      </w:r>
      <w:r>
        <w:rPr/>
        <w:t>Decoraciones en el mango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tabs>
          <w:tab w:pos="9319" w:val="right" w:leader="none"/>
        </w:tabs>
        <w:spacing w:before="234"/>
        <w:ind w:left="135" w:right="0" w:firstLine="0"/>
        <w:jc w:val="left"/>
        <w:rPr>
          <w:rFonts w:ascii="Calibri"/>
          <w:sz w:val="22"/>
        </w:rPr>
      </w:pPr>
      <w:r>
        <w:rPr>
          <w:sz w:val="18"/>
        </w:rPr>
        <w:t>Fuente</w:t>
      </w:r>
      <w:r>
        <w:rPr>
          <w:spacing w:val="-2"/>
          <w:sz w:val="18"/>
        </w:rPr>
        <w:t> </w:t>
      </w:r>
      <w:r>
        <w:rPr>
          <w:sz w:val="18"/>
        </w:rPr>
        <w:t>Directa</w:t>
      </w:r>
      <w:r>
        <w:rPr>
          <w:rFonts w:ascii="Calibri"/>
          <w:position w:val="-9"/>
          <w:sz w:val="22"/>
        </w:rPr>
        <w:tab/>
        <w:t>32</w:t>
      </w:r>
    </w:p>
    <w:p>
      <w:pPr>
        <w:spacing w:after="0"/>
        <w:jc w:val="left"/>
        <w:rPr>
          <w:rFonts w:ascii="Calibri"/>
          <w:sz w:val="22"/>
        </w:rPr>
        <w:sectPr>
          <w:footerReference w:type="default" r:id="rId18"/>
          <w:pgSz w:w="12240" w:h="15840"/>
          <w:pgMar w:footer="0" w:header="0" w:top="1360" w:bottom="280" w:left="1600" w:right="1220"/>
        </w:sectPr>
      </w:pPr>
    </w:p>
    <w:p>
      <w:pPr>
        <w:pStyle w:val="BodyText"/>
        <w:spacing w:line="362" w:lineRule="auto" w:before="54"/>
        <w:ind w:left="142" w:right="111"/>
      </w:pPr>
      <w:r>
        <w:rPr/>
        <w:t>E 56 % de las madres que participaron en el estudio consideran que si es importante la alimentación durante el periodo de gestación (Gráfica 7)</w:t>
      </w:r>
    </w:p>
    <w:p>
      <w:pPr>
        <w:pStyle w:val="BodyText"/>
        <w:spacing w:before="6"/>
        <w:rPr>
          <w:sz w:val="17"/>
        </w:rPr>
      </w:pPr>
    </w:p>
    <w:p>
      <w:pPr>
        <w:pStyle w:val="Heading1"/>
        <w:spacing w:line="280" w:lineRule="auto" w:before="69"/>
        <w:ind w:left="1271" w:right="994" w:firstLine="1348"/>
      </w:pPr>
      <w:r>
        <w:rPr/>
        <w:t>GRÁFICA 7 ¿CONSIDERA QUE LA ALIMENTACIÓN DURANTE EL EMBARAZO, AFECTA LOS DIENTES DEL NIÑO?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rPr>
          <w:b/>
          <w:sz w:val="19"/>
        </w:rPr>
      </w:pPr>
    </w:p>
    <w:p>
      <w:pPr>
        <w:pStyle w:val="BodyText"/>
        <w:tabs>
          <w:tab w:pos="887" w:val="left" w:leader="none"/>
        </w:tabs>
        <w:spacing w:before="1"/>
        <w:ind w:right="1272"/>
        <w:jc w:val="right"/>
      </w:pPr>
      <w:r>
        <w:rPr/>
        <w:pict>
          <v:group style="position:absolute;margin-left:194.039993pt;margin-top:-68.754143pt;width:180.05pt;height:175.95pt;mso-position-horizontal-relative:page;mso-position-vertical-relative:paragraph;z-index:2200" coordorigin="3881,-1375" coordsize="3601,3519">
            <v:shape style="position:absolute;left:5038;top:-1353;width:2444;height:3498" coordorigin="5038,-1353" coordsize="2444,3498" path="m5732,-1353l5732,395,5038,2000,5108,2028,5179,2054,5250,2076,5322,2095,5393,2110,5465,2123,5537,2133,5609,2139,5681,2143,5753,2144,5824,2141,5896,2136,5966,2128,6036,2117,6106,2103,6175,2087,6243,2067,6310,2045,6376,2021,6441,1993,6505,1963,6568,1931,6630,1896,6690,1858,6748,1818,6805,1776,6861,1731,6914,1684,6966,1634,7016,1582,7064,1528,7110,1472,7154,1414,7195,1353,7235,1290,7271,1225,7305,1158,7337,1089,7366,1019,7391,948,7413,877,7432,806,7448,734,7461,662,7470,590,7477,518,7480,446,7481,374,7479,303,7473,232,7465,161,7454,91,7441,21,7424,-47,7405,-115,7383,-183,7358,-249,7331,-314,7301,-378,7268,-441,7233,-502,7196,-562,7156,-621,7113,-678,7068,-733,7021,-787,6972,-839,6920,-889,6866,-937,6810,-983,6751,-1027,6690,-1068,6628,-1107,6563,-1144,6496,-1178,6427,-1210,6353,-1240,6278,-1266,6202,-1289,6126,-1309,6048,-1325,5970,-1337,5891,-1346,5812,-1352,5732,-1353xe" filled="true" fillcolor="#4f81bc" stroked="false">
              <v:path arrowok="t"/>
              <v:fill type="solid"/>
            </v:shape>
            <v:shape style="position:absolute;left:3881;top:-1375;width:1749;height:3353" coordorigin="3881,-1375" coordsize="1749,3353" path="m5629,-1375l5553,-1373,5478,-1369,5404,-1361,5331,-1350,5259,-1336,5188,-1319,5118,-1299,5049,-1277,4982,-1251,4916,-1223,4851,-1193,4788,-1160,4726,-1124,4666,-1086,4608,-1046,4552,-1004,4497,-959,4444,-912,4393,-863,4344,-812,4297,-759,4252,-704,4210,-648,4170,-589,4132,-529,4096,-468,4063,-405,4032,-340,4005,-274,3979,-207,3957,-138,3937,-68,3920,3,3906,75,3895,148,3887,222,3882,297,3881,373,3882,450,3888,527,3896,603,3907,678,3922,752,3940,825,3961,897,3985,968,4012,1038,4042,1106,4074,1173,4110,1238,4148,1302,4189,1364,4232,1424,4278,1483,4326,1539,4377,1594,4430,1646,4486,1696,4544,1744,4604,1790,4666,1833,4730,1873,4796,1911,4865,1946,4935,1978,5629,373,5629,-1375xe" filled="true" fillcolor="#c0504d" stroked="false">
              <v:path arrowok="t"/>
              <v:fill type="solid"/>
            </v:shape>
            <v:shape style="position:absolute;left:4058;top:-7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44%</w:t>
                    </w:r>
                  </w:p>
                </w:txbxContent>
              </v:textbox>
              <w10:wrap type="none"/>
            </v:shape>
            <v:shape style="position:absolute;left:6954;top:703;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56%</w:t>
                    </w:r>
                  </w:p>
                </w:txbxContent>
              </v:textbox>
              <w10:wrap type="none"/>
            </v:shape>
            <w10:wrap type="none"/>
          </v:group>
        </w:pict>
      </w:r>
      <w:r>
        <w:rPr/>
        <w:pict>
          <v:rect style="position:absolute;margin-left:425.519989pt;margin-top:3.965857pt;width:6pt;height:6pt;mso-position-horizontal-relative:page;mso-position-vertical-relative:paragraph;z-index:2224" filled="true" fillcolor="#4f81bc" stroked="false">
            <v:fill type="solid"/>
            <w10:wrap type="none"/>
          </v:rect>
        </w:pict>
      </w:r>
      <w:r>
        <w:rPr/>
        <w:pict>
          <v:rect style="position:absolute;margin-left:469.920013pt;margin-top:3.965857pt;width:6pt;height:6pt;mso-position-horizontal-relative:page;mso-position-vertical-relative:paragraph;z-index:-57712" filled="true" fillcolor="#c0504d" stroked="false">
            <v:fill type="solid"/>
            <w10:wrap type="none"/>
          </v:rect>
        </w:pict>
      </w:r>
      <w:r>
        <w:rPr/>
        <w:t>no</w:t>
        <w:tab/>
      </w:r>
      <w:r>
        <w:rPr>
          <w:spacing w:val="-1"/>
        </w:rPr>
        <w:t>si</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0"/>
        </w:rPr>
      </w:pPr>
    </w:p>
    <w:p>
      <w:pPr>
        <w:spacing w:before="1"/>
        <w:ind w:left="110" w:right="111" w:firstLine="0"/>
        <w:jc w:val="left"/>
        <w:rPr>
          <w:sz w:val="18"/>
        </w:rPr>
      </w:pPr>
      <w:r>
        <w:rPr>
          <w:sz w:val="18"/>
        </w:rPr>
        <w:t>Fuente Directa</w:t>
      </w:r>
    </w:p>
    <w:p>
      <w:pPr>
        <w:pStyle w:val="BodyText"/>
        <w:rPr>
          <w:sz w:val="20"/>
        </w:rPr>
      </w:pPr>
    </w:p>
    <w:p>
      <w:pPr>
        <w:pStyle w:val="BodyText"/>
        <w:spacing w:before="3"/>
        <w:rPr>
          <w:sz w:val="28"/>
        </w:rPr>
      </w:pPr>
    </w:p>
    <w:p>
      <w:pPr>
        <w:pStyle w:val="BodyText"/>
        <w:spacing w:line="360" w:lineRule="auto" w:before="69"/>
        <w:ind w:left="142"/>
      </w:pPr>
      <w:r>
        <w:rPr/>
        <w:t>La mayoría de las gestantes participantes en el presente estudio reportaron enseñar a sus hijos cepillar su lengua así como encías. (Ver gráfica 8)</w:t>
      </w:r>
    </w:p>
    <w:p>
      <w:pPr>
        <w:pStyle w:val="BodyText"/>
        <w:spacing w:before="9"/>
        <w:rPr>
          <w:sz w:val="12"/>
        </w:rPr>
      </w:pPr>
    </w:p>
    <w:p>
      <w:pPr>
        <w:pStyle w:val="Heading1"/>
        <w:spacing w:before="69"/>
        <w:ind w:left="4315" w:right="111" w:hanging="2982"/>
      </w:pPr>
      <w:r>
        <w:rPr/>
        <w:t>GRÁFICA 8. ENSEÑA A SUS HIJOS A </w:t>
      </w:r>
      <w:r>
        <w:rPr>
          <w:spacing w:val="-7"/>
        </w:rPr>
        <w:t>LAVARSE </w:t>
      </w:r>
      <w:r>
        <w:rPr>
          <w:spacing w:val="-3"/>
        </w:rPr>
        <w:t>LAS </w:t>
      </w:r>
      <w:r>
        <w:rPr/>
        <w:t>ENCIAS Y LENGUA?</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5"/>
        <w:rPr>
          <w:b/>
          <w:sz w:val="16"/>
        </w:rPr>
      </w:pPr>
    </w:p>
    <w:p>
      <w:pPr>
        <w:pStyle w:val="BodyText"/>
        <w:tabs>
          <w:tab w:pos="6803" w:val="left" w:leader="none"/>
        </w:tabs>
        <w:spacing w:before="69"/>
        <w:ind w:left="6228" w:right="111"/>
      </w:pPr>
      <w:r>
        <w:rPr/>
        <w:pict>
          <v:group style="position:absolute;margin-left:146.039993pt;margin-top:-62.31414pt;width:181.9pt;height:196pt;mso-position-horizontal-relative:page;mso-position-vertical-relative:paragraph;z-index:2320" coordorigin="2921,-1246" coordsize="3638,3920">
            <v:shape style="position:absolute;left:4927;top:-1246;width:1631;height:1793" coordorigin="4927,-1246" coordsize="1631,1793" path="m4927,-1246l4927,547,6558,-198,6524,-268,6488,-336,6448,-402,6407,-466,6362,-528,6315,-588,6266,-646,6215,-701,6162,-754,6106,-804,6048,-852,5989,-898,5928,-941,5865,-982,5800,-1019,5734,-1055,5666,-1087,5597,-1116,5527,-1143,5455,-1167,5382,-1188,5309,-1205,5234,-1220,5158,-1231,5082,-1240,5005,-1245,4927,-1246xe" filled="true" fillcolor="#4f81bc" stroked="false">
              <v:path arrowok="t"/>
              <v:fill type="solid"/>
            </v:shape>
            <v:shape style="position:absolute;left:2921;top:-913;width:3586;height:3586" coordorigin="2921,-913" coordsize="3586,3586" path="m4714,-913l4638,-911,4563,-906,4489,-899,4416,-888,4343,-874,4272,-858,4202,-839,4133,-817,4066,-792,3999,-765,3934,-735,3871,-703,3809,-668,3748,-631,3689,-591,3632,-550,3577,-506,3523,-460,3471,-412,3421,-362,3373,-311,3327,-257,3284,-201,3242,-144,3203,-85,3166,-25,3131,37,3099,101,3069,166,3041,232,3017,300,2995,369,2976,439,2959,510,2945,582,2935,655,2927,729,2922,804,2921,880,2922,956,2927,1031,2935,1105,2945,1178,2959,1250,2976,1322,2995,1392,3017,1460,3041,1528,3069,1594,3099,1659,3131,1723,3166,1785,3203,1846,3242,1904,3284,1962,3327,2017,3373,2071,3421,2123,3471,2173,3523,2220,3577,2266,3632,2310,3689,2352,3748,2391,3809,2428,3871,2463,3934,2495,3999,2525,4066,2552,4133,2577,4202,2599,4272,2618,4343,2635,4416,2648,4489,2659,4563,2667,4638,2671,4714,2673,4789,2671,4864,2667,4938,2659,5012,2648,5084,2635,5155,2618,5225,2599,5294,2577,5362,2552,5428,2525,5493,2495,5556,2463,5618,2428,5679,2391,5738,2352,5795,2310,5851,2266,5904,2220,5956,2173,6006,2123,6054,2071,6100,2017,6144,1962,6185,1904,6225,1846,6262,1785,6296,1723,6329,1659,6358,1594,6386,1528,6410,1460,6432,1392,6452,1322,6468,1250,6482,1178,6492,1105,6500,1031,6505,956,6506,880,4714,880,4714,-913xm6344,135l4714,880,6506,880,6505,803,6500,726,6492,650,6480,574,6465,499,6448,424,6426,351,6402,278,6375,206,6344,135xe" filled="true" fillcolor="#c0504d" stroked="false">
              <v:path arrowok="t"/>
              <v:fill type="solid"/>
            </v:shape>
            <v:shape style="position:absolute;left:5466;top:-776;width:484;height:240" type="#_x0000_t202" filled="false" stroked="false">
              <v:textbox inset="0,0,0,0">
                <w:txbxContent>
                  <w:p>
                    <w:pPr>
                      <w:spacing w:line="240" w:lineRule="exact" w:before="0"/>
                      <w:ind w:left="0" w:right="-17" w:firstLine="0"/>
                      <w:jc w:val="left"/>
                      <w:rPr>
                        <w:sz w:val="24"/>
                      </w:rPr>
                    </w:pPr>
                    <w:r>
                      <w:rPr>
                        <w:sz w:val="24"/>
                      </w:rPr>
                      <w:t>18%</w:t>
                    </w:r>
                  </w:p>
                </w:txbxContent>
              </v:textbox>
              <w10:wrap type="none"/>
            </v:shape>
            <v:shape style="position:absolute;left:3591;top:1895;width:484;height:240" type="#_x0000_t202" filled="false" stroked="false">
              <v:textbox inset="0,0,0,0">
                <w:txbxContent>
                  <w:p>
                    <w:pPr>
                      <w:spacing w:line="240" w:lineRule="exact" w:before="0"/>
                      <w:ind w:left="0" w:right="-17" w:firstLine="0"/>
                      <w:jc w:val="left"/>
                      <w:rPr>
                        <w:sz w:val="24"/>
                      </w:rPr>
                    </w:pPr>
                    <w:r>
                      <w:rPr>
                        <w:sz w:val="24"/>
                      </w:rPr>
                      <w:t>82%</w:t>
                    </w:r>
                  </w:p>
                </w:txbxContent>
              </v:textbox>
              <w10:wrap type="none"/>
            </v:shape>
            <w10:wrap type="none"/>
          </v:group>
        </w:pict>
      </w:r>
      <w:r>
        <w:rPr/>
        <w:pict>
          <v:rect style="position:absolute;margin-left:380.76001pt;margin-top:7.28586pt;width:6pt;height:6.12pt;mso-position-horizontal-relative:page;mso-position-vertical-relative:paragraph;z-index:2344" filled="true" fillcolor="#4f81bc" stroked="false">
            <v:fill type="solid"/>
            <w10:wrap type="none"/>
          </v:rect>
        </w:pict>
      </w:r>
      <w:r>
        <w:rPr/>
        <w:pict>
          <v:rect style="position:absolute;margin-left:409.559998pt;margin-top:7.28586pt;width:6pt;height:6.12pt;mso-position-horizontal-relative:page;mso-position-vertical-relative:paragraph;z-index:-57592" filled="true" fillcolor="#c0504d" stroked="false">
            <v:fill type="solid"/>
            <w10:wrap type="none"/>
          </v:rect>
        </w:pict>
      </w:r>
      <w:r>
        <w:rPr/>
        <w:t>si</w:t>
        <w:tab/>
        <w:t>no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8"/>
        </w:rPr>
      </w:pPr>
    </w:p>
    <w:p>
      <w:pPr>
        <w:spacing w:before="77"/>
        <w:ind w:left="283" w:right="111" w:firstLine="0"/>
        <w:jc w:val="left"/>
        <w:rPr>
          <w:sz w:val="18"/>
        </w:rPr>
      </w:pPr>
      <w:r>
        <w:rPr>
          <w:sz w:val="18"/>
        </w:rPr>
        <w:t>Fuente Directa</w:t>
      </w:r>
    </w:p>
    <w:p>
      <w:pPr>
        <w:spacing w:after="0"/>
        <w:jc w:val="left"/>
        <w:rPr>
          <w:sz w:val="18"/>
        </w:rPr>
        <w:sectPr>
          <w:footerReference w:type="default" r:id="rId19"/>
          <w:pgSz w:w="12240" w:h="15840"/>
          <w:pgMar w:footer="963" w:header="0" w:top="1360" w:bottom="1160" w:left="1560" w:right="1220"/>
          <w:pgNumType w:start="33"/>
        </w:sectPr>
      </w:pPr>
    </w:p>
    <w:p>
      <w:pPr>
        <w:pStyle w:val="BodyText"/>
        <w:spacing w:line="360" w:lineRule="auto" w:before="54"/>
        <w:ind w:left="202" w:right="104"/>
        <w:jc w:val="both"/>
      </w:pPr>
      <w:r>
        <w:rPr/>
        <w:t>El 74 % de las gestantes consideran que la visita al odontólogo debe ser desde el nacimiento o cuando erupcionar el primer diente. Mientras que solo el 9% cuando su hijo presente dolor.(Ver gráfica 9 )</w:t>
      </w:r>
    </w:p>
    <w:p>
      <w:pPr>
        <w:pStyle w:val="BodyText"/>
        <w:spacing w:before="4"/>
        <w:rPr>
          <w:sz w:val="13"/>
        </w:rPr>
      </w:pPr>
    </w:p>
    <w:p>
      <w:pPr>
        <w:pStyle w:val="Heading1"/>
        <w:spacing w:before="70"/>
        <w:ind w:left="4007" w:hanging="2842"/>
      </w:pPr>
      <w:r>
        <w:rPr/>
        <w:t>GRÁFICA 9. A PARTIR DE QUÉ EDAD DEBE VISITAR SU HIJO AL ODONTÓLOGO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05"/>
        <w:ind w:left="1094"/>
      </w:pPr>
      <w:r>
        <w:rPr/>
        <w:pict>
          <v:group style="position:absolute;margin-left:354.249847pt;margin-top:-38.474167pt;width:170.3pt;height:170.4pt;mso-position-horizontal-relative:page;mso-position-vertical-relative:paragraph;z-index:2464" coordorigin="7085,-769" coordsize="3406,3408">
            <v:shape style="position:absolute;left:7345;top:-510;width:3145;height:3149" coordorigin="7345,-510" coordsize="3145,3149" path="m8916,-510l8916,1064,7345,1172,7352,1248,7363,1322,7377,1396,7394,1468,7414,1539,7438,1608,7465,1676,7495,1742,7527,1806,7563,1869,7601,1930,7641,1989,7685,2045,7730,2100,7778,2153,7829,2203,7881,2251,7936,2296,7993,2339,8051,2380,8112,2418,8174,2453,8237,2485,8303,2515,8370,2541,8438,2565,8507,2585,8578,2602,8650,2616,8723,2627,8797,2634,8872,2638,8947,2638,9023,2635,9099,2628,9174,2617,9248,2603,9320,2586,9391,2566,9460,2542,9528,2515,9594,2486,9658,2453,9721,2418,9782,2379,9841,2339,9897,2295,9952,2250,10004,2202,10055,2151,10103,2099,10148,2044,10191,1988,10232,1929,10270,1869,10305,1806,10337,1743,10366,1677,10393,1610,10417,1542,10437,1473,10454,1402,10468,1330,10479,1257,10486,1183,10490,1108,10490,1033,10487,957,10480,880,10469,804,10455,730,10437,657,10416,585,10392,515,10364,446,10334,379,10300,314,10264,250,10225,189,10183,130,10139,72,10092,17,10042,-36,9991,-87,9937,-135,9880,-180,9822,-223,9762,-264,9700,-302,9636,-336,9570,-368,9503,-397,9434,-423,9364,-446,9292,-465,9219,-481,9145,-494,9069,-503,8993,-508,8916,-510xe" filled="true" fillcolor="#4f81bc" stroked="false">
              <v:path arrowok="t"/>
              <v:fill type="solid"/>
            </v:shape>
            <v:shape style="position:absolute;left:7085;top:-440;width:1575;height:1432" coordorigin="7085,-440" coordsize="1575,1432" path="m7808,-440l7743,-396,7681,-350,7622,-301,7566,-249,7512,-194,7461,-138,7413,-79,7368,-17,7327,46,7288,111,7252,177,7220,246,7191,315,7165,387,7143,459,7124,533,7109,607,7098,683,7090,759,7085,836,7085,914,7088,992,8659,884,7808,-440xe" filled="true" fillcolor="#c0504d" stroked="false">
              <v:path arrowok="t"/>
              <v:fill type="solid"/>
            </v:shape>
            <v:shape style="position:absolute;left:7904;top:-769;width:852;height:1575" coordorigin="7904,-769" coordsize="852,1575" path="m8755,-769l8673,-767,8591,-761,8510,-750,8430,-736,8351,-717,8273,-694,8196,-667,8120,-636,8046,-601,7974,-562,7904,-519,8755,805,8755,-769xe" filled="true" fillcolor="#9bba58" stroked="false">
              <v:path arrowok="t"/>
              <v:fill type="solid"/>
            </v:shape>
            <v:shape style="position:absolute;left:8234;top:-582;width:319;height:222" type="#_x0000_t202" filled="false" stroked="false">
              <v:textbox inset="0,0,0,0">
                <w:txbxContent>
                  <w:p>
                    <w:pPr>
                      <w:spacing w:line="221" w:lineRule="exact" w:before="0"/>
                      <w:ind w:left="0" w:right="-19" w:firstLine="0"/>
                      <w:jc w:val="left"/>
                      <w:rPr>
                        <w:sz w:val="22"/>
                      </w:rPr>
                    </w:pPr>
                    <w:r>
                      <w:rPr>
                        <w:sz w:val="22"/>
                      </w:rPr>
                      <w:t>9%</w:t>
                    </w:r>
                  </w:p>
                </w:txbxContent>
              </v:textbox>
              <w10:wrap type="none"/>
            </v:shape>
            <v:shape style="position:absolute;left:7288;top:289;width:441;height:221" type="#_x0000_t202" filled="false" stroked="false">
              <v:textbox inset="0,0,0,0">
                <w:txbxContent>
                  <w:p>
                    <w:pPr>
                      <w:spacing w:line="221" w:lineRule="exact" w:before="0"/>
                      <w:ind w:left="0" w:right="-20" w:firstLine="0"/>
                      <w:jc w:val="left"/>
                      <w:rPr>
                        <w:sz w:val="22"/>
                      </w:rPr>
                    </w:pPr>
                    <w:r>
                      <w:rPr>
                        <w:sz w:val="22"/>
                      </w:rPr>
                      <w:t>17%</w:t>
                    </w:r>
                  </w:p>
                </w:txbxContent>
              </v:textbox>
              <w10:wrap type="none"/>
            </v:shape>
            <v:shape style="position:absolute;left:9629;top:1759;width:441;height:221" type="#_x0000_t202" filled="false" stroked="false">
              <v:textbox inset="0,0,0,0">
                <w:txbxContent>
                  <w:p>
                    <w:pPr>
                      <w:spacing w:line="221" w:lineRule="exact" w:before="0"/>
                      <w:ind w:left="0" w:right="-20" w:firstLine="0"/>
                      <w:jc w:val="left"/>
                      <w:rPr>
                        <w:sz w:val="22"/>
                      </w:rPr>
                    </w:pPr>
                    <w:r>
                      <w:rPr>
                        <w:sz w:val="22"/>
                      </w:rPr>
                      <w:t>74%</w:t>
                    </w:r>
                  </w:p>
                </w:txbxContent>
              </v:textbox>
              <w10:wrap type="none"/>
            </v:shape>
            <w10:wrap type="none"/>
          </v:group>
        </w:pict>
      </w:r>
      <w:r>
        <w:rPr/>
        <w:pict>
          <v:rect style="position:absolute;margin-left:120.959999pt;margin-top:14.205835pt;width:6.12pt;height:6.12pt;mso-position-horizontal-relative:page;mso-position-vertical-relative:paragraph;z-index:2488" filled="true" fillcolor="#4f81bc" stroked="false">
            <v:fill type="solid"/>
            <w10:wrap type="none"/>
          </v:rect>
        </w:pict>
      </w:r>
      <w:r>
        <w:rPr/>
        <w:t>Desde el nacimiento/ primer diente</w:t>
      </w:r>
    </w:p>
    <w:p>
      <w:pPr>
        <w:pStyle w:val="BodyText"/>
        <w:rPr>
          <w:sz w:val="20"/>
        </w:rPr>
      </w:pPr>
    </w:p>
    <w:p>
      <w:pPr>
        <w:pStyle w:val="BodyText"/>
        <w:spacing w:before="6"/>
        <w:rPr>
          <w:sz w:val="27"/>
        </w:rPr>
      </w:pPr>
    </w:p>
    <w:p>
      <w:pPr>
        <w:pStyle w:val="BodyText"/>
        <w:spacing w:before="69"/>
        <w:ind w:left="1094"/>
      </w:pPr>
      <w:r>
        <w:rPr/>
        <w:pict>
          <v:rect style="position:absolute;margin-left:120.959999pt;margin-top:7.43585pt;width:6.12pt;height:6pt;mso-position-horizontal-relative:page;mso-position-vertical-relative:paragraph;z-index:2512" filled="true" fillcolor="#c0504d" stroked="false">
            <v:fill type="solid"/>
            <w10:wrap type="none"/>
          </v:rect>
        </w:pict>
      </w:r>
      <w:r>
        <w:rPr/>
        <w:t>Cuando se le caigan los dientes de leche</w:t>
      </w:r>
    </w:p>
    <w:p>
      <w:pPr>
        <w:pStyle w:val="BodyText"/>
        <w:rPr>
          <w:sz w:val="20"/>
        </w:rPr>
      </w:pPr>
    </w:p>
    <w:p>
      <w:pPr>
        <w:pStyle w:val="BodyText"/>
        <w:spacing w:before="6"/>
        <w:rPr>
          <w:sz w:val="27"/>
        </w:rPr>
      </w:pPr>
    </w:p>
    <w:p>
      <w:pPr>
        <w:pStyle w:val="BodyText"/>
        <w:spacing w:before="69"/>
        <w:ind w:left="1094"/>
      </w:pPr>
      <w:r>
        <w:rPr/>
        <w:pict>
          <v:rect style="position:absolute;margin-left:120.959999pt;margin-top:7.485853pt;width:6.12pt;height:6pt;mso-position-horizontal-relative:page;mso-position-vertical-relative:paragraph;z-index:2536" filled="true" fillcolor="#9bba58" stroked="false">
            <v:fill type="solid"/>
            <w10:wrap type="none"/>
          </v:rect>
        </w:pict>
      </w:r>
      <w:r>
        <w:rPr/>
        <w:t>Cuando presente dolor</w:t>
      </w:r>
    </w:p>
    <w:p>
      <w:pPr>
        <w:pStyle w:val="BodyText"/>
        <w:rPr>
          <w:sz w:val="20"/>
        </w:rPr>
      </w:pPr>
    </w:p>
    <w:p>
      <w:pPr>
        <w:pStyle w:val="BodyText"/>
        <w:spacing w:before="10"/>
        <w:rPr>
          <w:sz w:val="21"/>
        </w:rPr>
      </w:pPr>
    </w:p>
    <w:p>
      <w:pPr>
        <w:spacing w:before="0"/>
        <w:ind w:left="319" w:right="0" w:firstLine="0"/>
        <w:jc w:val="left"/>
        <w:rPr>
          <w:sz w:val="18"/>
        </w:rPr>
      </w:pPr>
      <w:r>
        <w:rPr>
          <w:sz w:val="18"/>
        </w:rPr>
        <w:t>Fuente Directa</w:t>
      </w:r>
    </w:p>
    <w:p>
      <w:pPr>
        <w:pStyle w:val="BodyText"/>
        <w:spacing w:before="7"/>
        <w:rPr>
          <w:sz w:val="18"/>
        </w:rPr>
      </w:pPr>
    </w:p>
    <w:p>
      <w:pPr>
        <w:pStyle w:val="BodyText"/>
        <w:spacing w:line="360" w:lineRule="auto" w:before="70"/>
        <w:ind w:left="202"/>
      </w:pPr>
      <w:r>
        <w:rPr/>
        <w:t>La mayoría de las gestantes saben a partir de cuándo limpiar la boca de sus hijos representado con un 64 % como podemos verlo en la grafica número 10</w:t>
      </w:r>
    </w:p>
    <w:p>
      <w:pPr>
        <w:pStyle w:val="Heading1"/>
        <w:spacing w:before="155"/>
        <w:ind w:left="3317" w:right="1466" w:hanging="2084"/>
      </w:pPr>
      <w:r>
        <w:rPr/>
        <w:t>GRÁFICA 10 . SABE A PARTIR DE CUÁNDO DEBE LIMPIAR LA BOCA DE SU HIJO?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rPr>
          <w:b/>
          <w:sz w:val="17"/>
        </w:rPr>
      </w:pPr>
    </w:p>
    <w:p>
      <w:pPr>
        <w:pStyle w:val="BodyText"/>
        <w:tabs>
          <w:tab w:pos="552" w:val="left" w:leader="none"/>
        </w:tabs>
        <w:spacing w:before="70"/>
        <w:ind w:right="1504"/>
        <w:jc w:val="right"/>
      </w:pPr>
      <w:r>
        <w:rPr/>
        <w:pict>
          <v:group style="position:absolute;margin-left:158.520004pt;margin-top:-72.194145pt;width:189.6pt;height:183.6pt;mso-position-horizontal-relative:page;mso-position-vertical-relative:paragraph;z-index:2608" coordorigin="3170,-1444" coordsize="3792,3672">
            <v:shape style="position:absolute;left:3813;top:-1338;width:3150;height:3567" coordorigin="3813,-1338" coordsize="3150,3567" path="m5179,-1338l5179,445,3813,1591,3863,1648,3914,1702,3968,1754,4023,1802,4079,1849,4137,1892,4197,1933,4257,1972,4319,2008,4383,2041,4447,2071,4512,2099,4578,2124,4645,2146,4713,2166,4781,2183,4850,2197,4919,2209,4989,2218,5059,2224,5129,2227,5199,2228,5269,2226,5340,2221,5410,2213,5479,2203,5549,2190,5618,2174,5687,2155,5755,2133,5822,2109,5888,2082,5954,2051,6019,2018,6083,1983,6145,1944,6207,1903,6267,1858,6325,1811,6382,1761,6436,1710,6488,1657,6537,1602,6583,1545,6627,1487,6668,1428,6706,1367,6742,1305,6775,1242,6805,1177,6833,1112,6858,1046,6881,979,6900,911,6917,843,6932,774,6943,705,6952,635,6958,565,6962,495,6962,425,6960,355,6955,285,6948,214,6937,145,6924,75,6908,6,6889,-62,6868,-130,6843,-198,6816,-264,6786,-330,6753,-395,6717,-458,6678,-521,6637,-582,6592,-643,6545,-701,6493,-761,6439,-817,6382,-871,6324,-923,6263,-971,6200,-1017,6136,-1060,6070,-1100,6002,-1137,5933,-1171,5862,-1202,5790,-1230,5717,-1255,5643,-1277,5567,-1296,5491,-1311,5414,-1323,5336,-1331,5258,-1337,5179,-1338xe" filled="true" fillcolor="#4f81bc" stroked="false">
              <v:path arrowok="t"/>
              <v:fill type="solid"/>
            </v:shape>
            <v:shape style="position:absolute;left:3170;top:-1444;width:1784;height:2930" coordorigin="3170,-1444" coordsize="1784,2930" path="m4954,-1444l4878,-1442,4804,-1438,4730,-1430,4657,-1419,4585,-1406,4515,-1389,4445,-1370,4376,-1348,4309,-1324,4243,-1297,4179,-1267,4115,-1235,4054,-1200,3993,-1164,3935,-1124,3878,-1083,3823,-1039,3769,-994,3718,-946,3668,-897,3620,-845,3575,-792,3531,-736,3490,-679,3451,-621,3414,-561,3379,-499,3347,-436,3318,-371,3290,-305,3266,-238,3244,-169,3225,-100,3208,-29,3195,43,3184,116,3177,189,3172,264,3170,339,3172,418,3177,496,3186,573,3198,650,3213,726,3231,802,3253,876,3278,949,3306,1021,3337,1092,3371,1162,3409,1230,3449,1296,3492,1361,3539,1424,3588,1486,4954,339,4954,-1444xe" filled="true" fillcolor="#c0504d" stroked="false">
              <v:path arrowok="t"/>
              <v:fill type="solid"/>
            </v:shape>
            <v:shape style="position:absolute;left:3410;top:-395;width:484;height:241" type="#_x0000_t202" filled="false" stroked="false">
              <v:textbox inset="0,0,0,0">
                <w:txbxContent>
                  <w:p>
                    <w:pPr>
                      <w:spacing w:line="240" w:lineRule="exact" w:before="0"/>
                      <w:ind w:left="0" w:right="-17" w:firstLine="0"/>
                      <w:jc w:val="left"/>
                      <w:rPr>
                        <w:sz w:val="24"/>
                      </w:rPr>
                    </w:pPr>
                    <w:r>
                      <w:rPr>
                        <w:sz w:val="24"/>
                      </w:rPr>
                      <w:t>36%</w:t>
                    </w:r>
                  </w:p>
                </w:txbxContent>
              </v:textbox>
              <w10:wrap type="none"/>
            </v:shape>
            <v:shape style="position:absolute;left:6216;top:971;width:484;height:240" type="#_x0000_t202" filled="false" stroked="false">
              <v:textbox inset="0,0,0,0">
                <w:txbxContent>
                  <w:p>
                    <w:pPr>
                      <w:spacing w:line="240" w:lineRule="exact" w:before="0"/>
                      <w:ind w:left="0" w:right="-17" w:firstLine="0"/>
                      <w:jc w:val="left"/>
                      <w:rPr>
                        <w:sz w:val="24"/>
                      </w:rPr>
                    </w:pPr>
                    <w:r>
                      <w:rPr>
                        <w:sz w:val="24"/>
                      </w:rPr>
                      <w:t>64%</w:t>
                    </w:r>
                  </w:p>
                </w:txbxContent>
              </v:textbox>
              <w10:wrap type="none"/>
            </v:shape>
            <w10:wrap type="none"/>
          </v:group>
        </w:pict>
      </w:r>
      <w:r>
        <w:rPr/>
        <w:pict>
          <v:rect style="position:absolute;margin-left:425.880005pt;margin-top:7.365753pt;width:6.12pt;height:6.1201pt;mso-position-horizontal-relative:page;mso-position-vertical-relative:paragraph;z-index:2632" filled="true" fillcolor="#4f81bc" stroked="false">
            <v:fill type="solid"/>
            <w10:wrap type="none"/>
          </v:rect>
        </w:pict>
      </w:r>
      <w:r>
        <w:rPr/>
        <w:pict>
          <v:rect style="position:absolute;margin-left:453.600006pt;margin-top:7.365753pt;width:6pt;height:6.1201pt;mso-position-horizontal-relative:page;mso-position-vertical-relative:paragraph;z-index:-57304" filled="true" fillcolor="#c0504d" stroked="false">
            <v:fill type="solid"/>
            <w10:wrap type="none"/>
          </v:rect>
        </w:pict>
      </w:r>
      <w:r>
        <w:rPr/>
        <w:t>si</w:t>
        <w:tab/>
      </w:r>
      <w:r>
        <w:rPr>
          <w:w w:val="95"/>
        </w:rPr>
        <w:t>no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7"/>
        </w:rPr>
      </w:pPr>
    </w:p>
    <w:p>
      <w:pPr>
        <w:spacing w:before="0"/>
        <w:ind w:left="103" w:right="0" w:firstLine="0"/>
        <w:jc w:val="left"/>
        <w:rPr>
          <w:sz w:val="18"/>
        </w:rPr>
      </w:pPr>
      <w:r>
        <w:rPr>
          <w:sz w:val="18"/>
        </w:rPr>
        <w:t>Fuente Directa</w:t>
      </w:r>
    </w:p>
    <w:p>
      <w:pPr>
        <w:spacing w:after="0"/>
        <w:jc w:val="left"/>
        <w:rPr>
          <w:sz w:val="18"/>
        </w:rPr>
        <w:sectPr>
          <w:pgSz w:w="12240" w:h="15840"/>
          <w:pgMar w:header="0" w:footer="963" w:top="1360" w:bottom="1200" w:left="1500" w:right="1220"/>
        </w:sectPr>
      </w:pPr>
    </w:p>
    <w:p>
      <w:pPr>
        <w:pStyle w:val="BodyText"/>
        <w:spacing w:line="360" w:lineRule="auto" w:before="54"/>
        <w:ind w:left="182" w:right="106"/>
        <w:jc w:val="both"/>
      </w:pPr>
      <w:r>
        <w:rPr/>
        <w:t>El 90 % de las 253 gestantes encuestadas sabe que el cepillado dental de sus hijos debe ser después de las comidas, el 5% de ellas dijo que antes del desayuno como lo podemos ver en la siguiente gráfica (Ver gráfica 11)</w:t>
      </w:r>
    </w:p>
    <w:p>
      <w:pPr>
        <w:pStyle w:val="Heading1"/>
        <w:spacing w:before="157"/>
        <w:ind w:left="4188" w:right="1021" w:hanging="2850"/>
      </w:pPr>
      <w:r>
        <w:rPr/>
        <w:t>GRÁFICA 11. ¿CUÁNDO DEBE CEPILLAR LOS DIENTES DE SU HIJO?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5"/>
        <w:rPr>
          <w:b/>
          <w:sz w:val="22"/>
        </w:rPr>
      </w:pPr>
    </w:p>
    <w:p>
      <w:pPr>
        <w:pStyle w:val="BodyText"/>
        <w:spacing w:before="69"/>
        <w:ind w:left="5399" w:right="1021"/>
      </w:pPr>
      <w:r>
        <w:rPr/>
        <w:pict>
          <v:group style="position:absolute;margin-left:128.639999pt;margin-top:-67.634109pt;width:157.2pt;height:195.25pt;mso-position-horizontal-relative:page;mso-position-vertical-relative:paragraph;z-index:2752" coordorigin="2573,-1353" coordsize="3144,3905">
            <v:shape style="position:absolute;left:4327;top:-1353;width:462;height:1571" coordorigin="4327,-1353" coordsize="462,1571" path="m4327,-1353l4327,218,4788,-1283,4713,-1305,4637,-1322,4560,-1335,4483,-1345,4405,-1351,4327,-1353xe" filled="true" fillcolor="#4f81bc" stroked="false">
              <v:path arrowok="t"/>
              <v:fill type="solid"/>
            </v:shape>
            <v:shape style="position:absolute;left:4447;top:-1245;width:946;height:1503" coordorigin="4447,-1245" coordsize="946,1503" path="m4909,-1245l4447,258,5393,-998,5330,-1043,5264,-1085,5196,-1124,5127,-1160,5056,-1192,4983,-1220,4909,-1245xe" filled="true" fillcolor="#c0504d" stroked="false">
              <v:path arrowok="t"/>
              <v:fill type="solid"/>
            </v:shape>
            <v:shape style="position:absolute;left:2573;top:-592;width:3144;height:3144" coordorigin="2573,-592" coordsize="3144,3144" path="m4145,-592l4069,-590,3993,-585,3919,-576,3846,-564,3774,-548,3703,-529,3634,-507,3566,-482,3500,-454,3435,-423,3372,-389,3311,-353,3251,-313,3194,-272,3138,-227,3085,-181,3033,-131,2984,-80,2937,-27,2893,29,2851,86,2812,146,2776,207,2742,270,2711,335,2683,402,2658,469,2636,539,2617,609,2601,681,2589,755,2580,829,2575,904,2573,980,2575,1056,2580,1132,2589,1206,2601,1279,2617,1351,2636,1421,2658,1491,2683,1559,2711,1625,2742,1690,2776,1753,2812,1814,2851,1874,2893,1931,2937,1987,2984,2040,3033,2092,3085,2141,3138,2187,3194,2232,3251,2274,3311,2313,3372,2349,3435,2383,3500,2414,3566,2442,3634,2467,3703,2489,3774,2508,3846,2524,3919,2536,3993,2545,4069,2550,4145,2552,4221,2550,4296,2545,4370,2536,4444,2524,4515,2508,4586,2489,4655,2467,4723,2442,4790,2414,4854,2383,4918,2349,4979,2313,5038,2274,5096,2232,5152,2187,5205,2141,5256,2092,5305,2040,5352,1987,5396,1931,5438,1874,5478,1814,5514,1753,5548,1690,5579,1625,5607,1559,5632,1491,5654,1421,5673,1351,5688,1279,5701,1206,5710,1132,5715,1056,5717,980,4145,980,4145,-592xm5091,-275l4145,980,5717,980,5715,902,5709,825,5700,749,5687,673,5670,599,5650,525,5626,453,5599,382,5568,313,5534,245,5497,179,5457,114,5413,52,5367,-9,5318,-67,5265,-123,5210,-176,5152,-227,5091,-275xe" filled="true" fillcolor="#9bba58" stroked="false">
              <v:path arrowok="t"/>
              <v:fill type="solid"/>
            </v:shape>
            <v:shape style="position:absolute;left:4325;top:-1195;width:349;height:240" type="#_x0000_t202" filled="false" stroked="false">
              <v:textbox inset="0,0,0,0">
                <w:txbxContent>
                  <w:p>
                    <w:pPr>
                      <w:spacing w:line="240" w:lineRule="exact" w:before="0"/>
                      <w:ind w:left="0" w:right="-18" w:firstLine="0"/>
                      <w:jc w:val="left"/>
                      <w:rPr>
                        <w:sz w:val="24"/>
                      </w:rPr>
                    </w:pPr>
                    <w:r>
                      <w:rPr>
                        <w:sz w:val="24"/>
                      </w:rPr>
                      <w:t>5%</w:t>
                    </w:r>
                  </w:p>
                </w:txbxContent>
              </v:textbox>
              <w10:wrap type="none"/>
            </v:shape>
            <v:shape style="position:absolute;left:4850;top:-1000;width:349;height:241" type="#_x0000_t202" filled="false" stroked="false">
              <v:textbox inset="0,0,0,0">
                <w:txbxContent>
                  <w:p>
                    <w:pPr>
                      <w:spacing w:line="240" w:lineRule="exact" w:before="0"/>
                      <w:ind w:left="0" w:right="-18" w:firstLine="0"/>
                      <w:jc w:val="left"/>
                      <w:rPr>
                        <w:sz w:val="24"/>
                      </w:rPr>
                    </w:pPr>
                    <w:r>
                      <w:rPr>
                        <w:sz w:val="24"/>
                      </w:rPr>
                      <w:t>5%</w:t>
                    </w:r>
                  </w:p>
                </w:txbxContent>
              </v:textbox>
              <w10:wrap type="none"/>
            </v:shape>
            <v:shape style="position:absolute;left:3349;top:1911;width:484;height:240" type="#_x0000_t202" filled="false" stroked="false">
              <v:textbox inset="0,0,0,0">
                <w:txbxContent>
                  <w:p>
                    <w:pPr>
                      <w:spacing w:line="240" w:lineRule="exact" w:before="0"/>
                      <w:ind w:left="0" w:right="-17" w:firstLine="0"/>
                      <w:jc w:val="left"/>
                      <w:rPr>
                        <w:sz w:val="24"/>
                      </w:rPr>
                    </w:pPr>
                    <w:r>
                      <w:rPr>
                        <w:sz w:val="24"/>
                      </w:rPr>
                      <w:t>90%</w:t>
                    </w:r>
                  </w:p>
                </w:txbxContent>
              </v:textbox>
              <w10:wrap type="none"/>
            </v:shape>
            <w10:wrap type="none"/>
          </v:group>
        </w:pict>
      </w:r>
      <w:r>
        <w:rPr/>
        <w:pict>
          <v:rect style="position:absolute;margin-left:337.320007pt;margin-top:7.485888pt;width:6pt;height:6pt;mso-position-horizontal-relative:page;mso-position-vertical-relative:paragraph;z-index:2776" filled="true" fillcolor="#4f81bc" stroked="false">
            <v:fill type="solid"/>
            <w10:wrap type="none"/>
          </v:rect>
        </w:pict>
      </w:r>
      <w:r>
        <w:rPr/>
        <w:t>antes del desayuno</w:t>
      </w:r>
    </w:p>
    <w:p>
      <w:pPr>
        <w:pStyle w:val="BodyText"/>
        <w:rPr>
          <w:sz w:val="20"/>
        </w:rPr>
      </w:pPr>
    </w:p>
    <w:p>
      <w:pPr>
        <w:pStyle w:val="BodyText"/>
        <w:rPr>
          <w:sz w:val="20"/>
        </w:rPr>
      </w:pPr>
    </w:p>
    <w:p>
      <w:pPr>
        <w:pStyle w:val="BodyText"/>
        <w:spacing w:before="1"/>
        <w:rPr>
          <w:sz w:val="20"/>
        </w:rPr>
      </w:pPr>
    </w:p>
    <w:p>
      <w:pPr>
        <w:pStyle w:val="BodyText"/>
        <w:spacing w:before="1"/>
        <w:ind w:left="5399" w:right="1021"/>
      </w:pPr>
      <w:r>
        <w:rPr/>
        <w:pict>
          <v:rect style="position:absolute;margin-left:337.320007pt;margin-top:4.055874pt;width:6pt;height:6pt;mso-position-horizontal-relative:page;mso-position-vertical-relative:paragraph;z-index:2800" filled="true" fillcolor="#c0504d" stroked="false">
            <v:fill type="solid"/>
            <w10:wrap type="none"/>
          </v:rect>
        </w:pict>
      </w:r>
      <w:r>
        <w:rPr/>
        <w:t>antes del salir de casa</w:t>
      </w:r>
    </w:p>
    <w:p>
      <w:pPr>
        <w:pStyle w:val="BodyText"/>
        <w:rPr>
          <w:sz w:val="20"/>
        </w:rPr>
      </w:pPr>
    </w:p>
    <w:p>
      <w:pPr>
        <w:pStyle w:val="BodyText"/>
        <w:rPr>
          <w:sz w:val="20"/>
        </w:rPr>
      </w:pPr>
    </w:p>
    <w:p>
      <w:pPr>
        <w:pStyle w:val="BodyText"/>
        <w:spacing w:before="1"/>
        <w:rPr>
          <w:sz w:val="20"/>
        </w:rPr>
      </w:pPr>
    </w:p>
    <w:p>
      <w:pPr>
        <w:pStyle w:val="BodyText"/>
        <w:ind w:left="5399" w:right="1021"/>
      </w:pPr>
      <w:r>
        <w:rPr/>
        <w:pict>
          <v:rect style="position:absolute;margin-left:337.320007pt;margin-top:3.985869pt;width:6pt;height:6pt;mso-position-horizontal-relative:page;mso-position-vertical-relative:paragraph;z-index:2824" filled="true" fillcolor="#9bba58" stroked="false">
            <v:fill type="solid"/>
            <w10:wrap type="none"/>
          </v:rect>
        </w:pict>
      </w:r>
      <w:r>
        <w:rPr/>
        <w:t>despues de las comidas</w:t>
      </w:r>
    </w:p>
    <w:p>
      <w:pPr>
        <w:pStyle w:val="BodyText"/>
        <w:rPr>
          <w:sz w:val="20"/>
        </w:rPr>
      </w:pPr>
    </w:p>
    <w:p>
      <w:pPr>
        <w:pStyle w:val="BodyText"/>
        <w:rPr>
          <w:sz w:val="20"/>
        </w:rPr>
      </w:pPr>
    </w:p>
    <w:p>
      <w:pPr>
        <w:pStyle w:val="BodyText"/>
        <w:rPr>
          <w:sz w:val="20"/>
        </w:rPr>
      </w:pPr>
    </w:p>
    <w:p>
      <w:pPr>
        <w:pStyle w:val="BodyText"/>
        <w:spacing w:before="8"/>
        <w:rPr>
          <w:sz w:val="19"/>
        </w:rPr>
      </w:pPr>
    </w:p>
    <w:p>
      <w:pPr>
        <w:pStyle w:val="BodyText"/>
        <w:ind w:left="107" w:right="1021"/>
      </w:pPr>
      <w:r>
        <w:rPr/>
        <w:t>Fuente Directa</w:t>
      </w:r>
    </w:p>
    <w:p>
      <w:pPr>
        <w:pStyle w:val="BodyText"/>
        <w:spacing w:before="9"/>
        <w:rPr>
          <w:sz w:val="17"/>
        </w:rPr>
      </w:pPr>
    </w:p>
    <w:p>
      <w:pPr>
        <w:pStyle w:val="BodyText"/>
        <w:spacing w:line="360" w:lineRule="auto" w:before="69"/>
        <w:ind w:left="182"/>
      </w:pPr>
      <w:r>
        <w:rPr/>
        <w:t>El 75 % de las gestantes encuestadas dicen cepilla 3 veces al día los dientes de sus hijos, pero el 2 % dice que solo lo realiza una vez. (Ver gráfica 12)</w:t>
      </w:r>
    </w:p>
    <w:p>
      <w:pPr>
        <w:pStyle w:val="Heading1"/>
        <w:spacing w:before="157"/>
        <w:ind w:left="3202" w:right="1021" w:hanging="1731"/>
      </w:pPr>
      <w:r>
        <w:rPr/>
        <w:t>GRÁFICA 12. ¿CUÁNTAS VECES DEBE CEPILLAR AL DIA LOS DIENTES DE SU HIJO?</w:t>
      </w:r>
    </w:p>
    <w:p>
      <w:pPr>
        <w:pStyle w:val="BodyText"/>
        <w:rPr>
          <w:b/>
          <w:sz w:val="20"/>
        </w:rPr>
      </w:pPr>
    </w:p>
    <w:p>
      <w:pPr>
        <w:pStyle w:val="BodyText"/>
        <w:spacing w:line="250" w:lineRule="exact" w:before="193"/>
        <w:ind w:left="2732" w:right="1021"/>
      </w:pPr>
      <w:r>
        <w:rPr/>
        <w:t>2%</w:t>
      </w:r>
    </w:p>
    <w:p>
      <w:pPr>
        <w:pStyle w:val="BodyText"/>
        <w:spacing w:line="250" w:lineRule="exact"/>
        <w:ind w:right="1755"/>
        <w:jc w:val="right"/>
      </w:pPr>
      <w:r>
        <w:rPr/>
        <w:pict>
          <v:group style="position:absolute;margin-left:130.080002pt;margin-top:3.096447pt;width:170.3pt;height:172.2pt;mso-position-horizontal-relative:page;mso-position-vertical-relative:paragraph;z-index:2896" coordorigin="2602,62" coordsize="3406,3444">
            <v:shape style="position:absolute;left:4314;top:62;width:234;height:1576" coordorigin="4314,62" coordsize="234,1576" path="m4314,62l4314,1638,4548,79,4490,72,4431,66,4373,63,4314,62xe" filled="true" fillcolor="#4f81bc" stroked="false">
              <v:path arrowok="t"/>
              <v:fill type="solid"/>
            </v:shape>
            <v:shape style="position:absolute;left:4433;top:142;width:1575;height:1587" coordorigin="4433,142" coordsize="1575,1587" path="m4667,142l4433,1699,6007,1728,6007,1652,6003,1577,5995,1502,5984,1429,5970,1356,5952,1285,5931,1215,5907,1146,5880,1079,5850,1013,5817,949,5782,887,5743,826,5702,767,5658,710,5612,655,5563,603,5512,552,5459,504,5403,459,5345,415,5285,375,5224,337,5160,302,5094,270,5027,240,4958,214,4887,191,4815,171,4742,155,4667,142xe" filled="true" fillcolor="#c0504d" stroked="false">
              <v:path arrowok="t"/>
              <v:fill type="solid"/>
            </v:shape>
            <v:shape style="position:absolute;left:2602;top:357;width:3151;height:3149" coordorigin="2602,357" coordsize="3151,3149" path="m4177,357l4101,359,4025,364,3951,373,3878,386,3806,401,3735,420,3665,442,3597,467,3531,495,3466,526,3403,560,3341,597,3282,636,3224,678,3168,722,3115,769,3063,818,3014,870,2967,923,2923,979,2881,1037,2841,1096,2805,1158,2771,1221,2740,1286,2712,1352,2687,1420,2665,1490,2646,1560,2630,1632,2618,1706,2609,1780,2603,1855,2602,1932,2603,2008,2609,2083,2618,2157,2630,2231,2646,2303,2665,2374,2687,2443,2712,2511,2740,2577,2771,2642,2805,2706,2841,2767,2881,2827,2923,2884,2967,2940,3014,2993,3063,3045,3115,3094,3168,3141,3224,3185,3282,3227,3341,3266,3403,3303,3466,3337,3531,3368,3597,3396,3665,3421,3735,3443,3806,3462,3878,3478,3951,3490,4025,3499,4101,3504,4177,3506,4253,3504,4327,3499,4400,3490,4473,3478,4544,3463,4614,3445,4683,3423,4750,3399,4816,3371,4881,3341,4943,3308,5004,3272,5063,3233,5121,3192,5176,3149,5230,3103,5281,3055,5330,3005,5377,2952,5421,2898,5463,2841,5503,2783,5540,2722,5574,2660,5606,2597,5634,2531,5660,2465,5683,2396,5703,2327,5719,2256,5733,2184,5743,2110,5749,2036,5753,1961,4177,1932,4177,357xe" filled="true" fillcolor="#9bba58" stroked="false">
              <v:path arrowok="t"/>
              <v:fill type="solid"/>
            </v:shape>
            <v:shape style="position:absolute;left:5168;top:861;width:484;height:241" type="#_x0000_t202" filled="false" stroked="false">
              <v:textbox inset="0,0,0,0">
                <w:txbxContent>
                  <w:p>
                    <w:pPr>
                      <w:spacing w:line="240" w:lineRule="exact" w:before="0"/>
                      <w:ind w:left="0" w:right="-17" w:firstLine="0"/>
                      <w:jc w:val="left"/>
                      <w:rPr>
                        <w:sz w:val="24"/>
                      </w:rPr>
                    </w:pPr>
                    <w:r>
                      <w:rPr>
                        <w:sz w:val="24"/>
                      </w:rPr>
                      <w:t>23%</w:t>
                    </w:r>
                  </w:p>
                </w:txbxContent>
              </v:textbox>
              <w10:wrap type="none"/>
            </v:shape>
            <v:shape style="position:absolute;left:3007;top:2631;width:484;height:241" type="#_x0000_t202" filled="false" stroked="false">
              <v:textbox inset="0,0,0,0">
                <w:txbxContent>
                  <w:p>
                    <w:pPr>
                      <w:spacing w:line="240" w:lineRule="exact" w:before="0"/>
                      <w:ind w:left="0" w:right="-17" w:firstLine="0"/>
                      <w:jc w:val="left"/>
                      <w:rPr>
                        <w:sz w:val="24"/>
                      </w:rPr>
                    </w:pPr>
                    <w:r>
                      <w:rPr>
                        <w:sz w:val="24"/>
                      </w:rPr>
                      <w:t>75%</w:t>
                    </w:r>
                  </w:p>
                </w:txbxContent>
              </v:textbox>
              <w10:wrap type="none"/>
            </v:shape>
            <w10:wrap type="none"/>
          </v:group>
        </w:pict>
      </w:r>
      <w:r>
        <w:rPr/>
        <w:pict>
          <v:rect style="position:absolute;margin-left:412.559998pt;margin-top:2.616447pt;width:6pt;height:6.12pt;mso-position-horizontal-relative:page;mso-position-vertical-relative:paragraph;z-index:2920" filled="true" fillcolor="#4f81bc" stroked="false">
            <v:fill type="solid"/>
            <w10:wrap type="none"/>
          </v:rect>
        </w:pict>
      </w:r>
      <w:r>
        <w:rPr/>
        <w:t>una vez</w:t>
      </w:r>
    </w:p>
    <w:p>
      <w:pPr>
        <w:pStyle w:val="BodyText"/>
        <w:rPr>
          <w:sz w:val="20"/>
        </w:rPr>
      </w:pPr>
    </w:p>
    <w:p>
      <w:pPr>
        <w:pStyle w:val="BodyText"/>
        <w:rPr>
          <w:sz w:val="20"/>
        </w:rPr>
      </w:pPr>
    </w:p>
    <w:p>
      <w:pPr>
        <w:pStyle w:val="BodyText"/>
        <w:rPr>
          <w:sz w:val="20"/>
        </w:rPr>
      </w:pPr>
    </w:p>
    <w:p>
      <w:pPr>
        <w:pStyle w:val="BodyText"/>
        <w:spacing w:before="10"/>
        <w:rPr>
          <w:sz w:val="17"/>
        </w:rPr>
      </w:pPr>
    </w:p>
    <w:p>
      <w:pPr>
        <w:pStyle w:val="BodyText"/>
        <w:spacing w:before="69"/>
        <w:ind w:right="1515"/>
        <w:jc w:val="right"/>
      </w:pPr>
      <w:r>
        <w:rPr/>
        <w:pict>
          <v:rect style="position:absolute;margin-left:412.559998pt;margin-top:7.385866pt;width:6pt;height:6.12pt;mso-position-horizontal-relative:page;mso-position-vertical-relative:paragraph;z-index:2944" filled="true" fillcolor="#c0504d" stroked="false">
            <v:fill type="solid"/>
            <w10:wrap type="none"/>
          </v:rect>
        </w:pict>
      </w:r>
      <w:r>
        <w:rPr/>
        <w:t>dos veces</w:t>
      </w:r>
    </w:p>
    <w:p>
      <w:pPr>
        <w:pStyle w:val="BodyText"/>
        <w:rPr>
          <w:sz w:val="20"/>
        </w:rPr>
      </w:pPr>
    </w:p>
    <w:p>
      <w:pPr>
        <w:pStyle w:val="BodyText"/>
        <w:rPr>
          <w:sz w:val="20"/>
        </w:rPr>
      </w:pPr>
    </w:p>
    <w:p>
      <w:pPr>
        <w:pStyle w:val="BodyText"/>
        <w:rPr>
          <w:sz w:val="20"/>
        </w:rPr>
      </w:pPr>
    </w:p>
    <w:p>
      <w:pPr>
        <w:pStyle w:val="BodyText"/>
        <w:spacing w:before="9"/>
        <w:rPr>
          <w:sz w:val="17"/>
        </w:rPr>
      </w:pPr>
    </w:p>
    <w:p>
      <w:pPr>
        <w:pStyle w:val="BodyText"/>
        <w:spacing w:before="70"/>
        <w:ind w:right="1502"/>
        <w:jc w:val="right"/>
      </w:pPr>
      <w:r>
        <w:rPr/>
        <w:pict>
          <v:rect style="position:absolute;margin-left:412.559998pt;margin-top:7.455862pt;width:6pt;height:6.0pt;mso-position-horizontal-relative:page;mso-position-vertical-relative:paragraph;z-index:2968" filled="true" fillcolor="#9bba58" stroked="false">
            <v:fill type="solid"/>
            <w10:wrap type="none"/>
          </v:rect>
        </w:pict>
      </w:r>
      <w:r>
        <w:rPr/>
        <w:t>tres veces</w:t>
      </w:r>
    </w:p>
    <w:p>
      <w:pPr>
        <w:pStyle w:val="BodyText"/>
        <w:rPr>
          <w:sz w:val="20"/>
        </w:rPr>
      </w:pPr>
    </w:p>
    <w:p>
      <w:pPr>
        <w:pStyle w:val="BodyText"/>
        <w:rPr>
          <w:sz w:val="20"/>
        </w:rPr>
      </w:pPr>
    </w:p>
    <w:p>
      <w:pPr>
        <w:pStyle w:val="BodyText"/>
        <w:rPr>
          <w:sz w:val="20"/>
        </w:rPr>
      </w:pPr>
    </w:p>
    <w:p>
      <w:pPr>
        <w:pStyle w:val="BodyText"/>
        <w:spacing w:before="7"/>
        <w:rPr>
          <w:sz w:val="18"/>
        </w:rPr>
      </w:pPr>
    </w:p>
    <w:p>
      <w:pPr>
        <w:spacing w:before="80"/>
        <w:ind w:left="275" w:right="1021" w:firstLine="0"/>
        <w:jc w:val="left"/>
        <w:rPr>
          <w:sz w:val="16"/>
        </w:rPr>
      </w:pPr>
      <w:r>
        <w:rPr>
          <w:sz w:val="16"/>
        </w:rPr>
        <w:t>Fuente Directa</w:t>
      </w:r>
    </w:p>
    <w:p>
      <w:pPr>
        <w:spacing w:after="0"/>
        <w:jc w:val="left"/>
        <w:rPr>
          <w:sz w:val="16"/>
        </w:rPr>
        <w:sectPr>
          <w:pgSz w:w="12240" w:h="15840"/>
          <w:pgMar w:header="0" w:footer="963" w:top="1360" w:bottom="1160" w:left="1520" w:right="1220"/>
        </w:sectPr>
      </w:pPr>
    </w:p>
    <w:p>
      <w:pPr>
        <w:pStyle w:val="BodyText"/>
        <w:spacing w:line="360" w:lineRule="auto" w:before="54"/>
        <w:ind w:left="242" w:right="102"/>
        <w:jc w:val="both"/>
      </w:pPr>
      <w:r>
        <w:rPr/>
        <w:t>La mayoría de las encuestadas reporto que si ha recibido en algún momento asesoramiento de cómo realizar el cepillado de sus hijos representado con un 70%. (Ver gráfica 13)</w:t>
      </w:r>
    </w:p>
    <w:p>
      <w:pPr>
        <w:pStyle w:val="Heading1"/>
        <w:spacing w:before="157"/>
        <w:ind w:left="2645" w:right="1197" w:hanging="958"/>
      </w:pPr>
      <w:r>
        <w:rPr/>
        <w:t>GRAFICA 13. LE HAN ENSEÑADO ALGUNA VEZ COMÓ CEPILLAR LOS DIENTES DE SU HIJO?</w:t>
      </w:r>
    </w:p>
    <w:p>
      <w:pPr>
        <w:pStyle w:val="BodyText"/>
        <w:rPr>
          <w:b/>
          <w:sz w:val="20"/>
        </w:rPr>
      </w:pPr>
    </w:p>
    <w:p>
      <w:pPr>
        <w:pStyle w:val="BodyText"/>
        <w:rPr>
          <w:b/>
          <w:sz w:val="20"/>
        </w:rPr>
      </w:pPr>
    </w:p>
    <w:p>
      <w:pPr>
        <w:pStyle w:val="BodyText"/>
        <w:spacing w:before="2"/>
        <w:rPr>
          <w:b/>
          <w:sz w:val="25"/>
        </w:rPr>
      </w:pPr>
    </w:p>
    <w:p>
      <w:pPr>
        <w:pStyle w:val="BodyText"/>
        <w:tabs>
          <w:tab w:pos="672" w:val="left" w:leader="none"/>
        </w:tabs>
        <w:spacing w:before="70"/>
        <w:ind w:right="1943"/>
        <w:jc w:val="right"/>
      </w:pPr>
      <w:r>
        <w:rPr/>
        <w:pict>
          <v:group style="position:absolute;margin-left:109.559998pt;margin-top:-34.80415pt;width:165.4pt;height:162.15pt;mso-position-horizontal-relative:page;mso-position-vertical-relative:paragraph;z-index:3040" coordorigin="2191,-696" coordsize="3308,3243">
            <v:shape style="position:absolute;left:2506;top:-538;width:2994;height:3085" coordorigin="2506,-538" coordsize="2994,3085" path="m3958,-538l3958,1004,2506,1520,2533,1592,2564,1662,2598,1729,2634,1795,2674,1858,2716,1918,2761,1976,2808,2032,2858,2085,2910,2135,2964,2183,3020,2228,3078,2271,3138,2310,3200,2347,3263,2381,3328,2412,3394,2440,3462,2464,3530,2486,3600,2504,3670,2519,3741,2531,3813,2540,3886,2545,3959,2547,4032,2545,4106,2539,4179,2530,4253,2518,4327,2501,4400,2481,4473,2457,4545,2430,4615,2399,4682,2365,4747,2329,4810,2289,4871,2247,4929,2202,4984,2154,5037,2105,5088,2053,5136,1998,5181,1942,5223,1884,5263,1824,5299,1762,5333,1699,5364,1634,5392,1568,5416,1501,5438,1432,5456,1363,5472,1292,5484,1221,5492,1149,5497,1076,5499,1003,5497,930,5492,856,5483,782,5470,709,5454,635,5434,561,5410,488,5382,416,5350,345,5316,276,5278,210,5237,145,5194,84,5147,24,5098,-33,5046,-87,4992,-139,4935,-187,4877,-233,4816,-276,4753,-317,4688,-354,4621,-388,4552,-418,4482,-446,4411,-470,4338,-490,4264,-507,4189,-520,4113,-530,4036,-536,3958,-538xe" filled="true" fillcolor="#4f81bc" stroked="false">
              <v:path arrowok="t"/>
              <v:fill type="solid"/>
            </v:shape>
            <v:shape style="position:absolute;left:2191;top:-696;width:1541;height:2057" coordorigin="2191,-696" coordsize="1541,2057" path="m3732,-696l3655,-694,3579,-689,3504,-679,3431,-667,3358,-650,3287,-631,3217,-608,3149,-582,3082,-553,3017,-521,2954,-486,2893,-448,2834,-407,2776,-364,2721,-318,2668,-270,2617,-219,2569,-166,2523,-111,2480,-54,2439,6,2402,67,2367,130,2334,195,2305,262,2279,330,2256,400,2237,471,2221,543,2208,617,2199,692,2193,768,2191,845,2193,920,2199,995,2208,1069,2220,1143,2237,1217,2257,1289,2280,1361,3732,845,3732,-696xe" filled="true" fillcolor="#c0504d" stroked="false">
              <v:path arrowok="t"/>
              <v:fill type="solid"/>
            </v:shape>
            <v:shape style="position:absolute;left:2528;top:44;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30%</w:t>
                    </w:r>
                  </w:p>
                </w:txbxContent>
              </v:textbox>
              <w10:wrap type="none"/>
            </v:shape>
            <v:shape style="position:absolute;left:4809;top:1649;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70%</w:t>
                    </w:r>
                  </w:p>
                </w:txbxContent>
              </v:textbox>
              <w10:wrap type="none"/>
            </v:shape>
            <w10:wrap type="none"/>
          </v:group>
        </w:pict>
      </w:r>
      <w:r>
        <w:rPr/>
        <w:pict>
          <v:rect style="position:absolute;margin-left:397.920013pt;margin-top:7.555852pt;width:6.12pt;height:6pt;mso-position-horizontal-relative:page;mso-position-vertical-relative:paragraph;z-index:3064" filled="true" fillcolor="#4f81bc" stroked="false">
            <v:fill type="solid"/>
            <w10:wrap type="none"/>
          </v:rect>
        </w:pict>
      </w:r>
      <w:r>
        <w:rPr/>
        <w:pict>
          <v:rect style="position:absolute;margin-left:431.519989pt;margin-top:7.555852pt;width:6.12pt;height:6pt;mso-position-horizontal-relative:page;mso-position-vertical-relative:paragraph;z-index:-56872" filled="true" fillcolor="#c0504d" stroked="false">
            <v:fill type="solid"/>
            <w10:wrap type="none"/>
          </v:rect>
        </w:pict>
      </w:r>
      <w:r>
        <w:rPr/>
        <w:t>si</w:t>
        <w:tab/>
      </w:r>
      <w:r>
        <w:rPr>
          <w:w w:val="95"/>
        </w:rPr>
        <w:t>no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7"/>
        </w:rPr>
      </w:pPr>
    </w:p>
    <w:p>
      <w:pPr>
        <w:pStyle w:val="BodyText"/>
        <w:spacing w:before="70"/>
        <w:ind w:left="407" w:right="1197"/>
      </w:pPr>
      <w:r>
        <w:rPr/>
        <w:t>Fuente Directa</w:t>
      </w:r>
    </w:p>
    <w:p>
      <w:pPr>
        <w:pStyle w:val="BodyText"/>
        <w:spacing w:line="360" w:lineRule="auto" w:before="199"/>
        <w:ind w:left="242" w:right="99"/>
        <w:jc w:val="both"/>
      </w:pPr>
      <w:r>
        <w:rPr/>
        <w:t>Representado con un 69 % las gestantes respondieron que el cambio del cepillo debe ser cada 6 meses. Solo un 3 del total de las encuestadas no supieron cada cuando debe ser dicho cambio  (Ver gráfica14)</w:t>
      </w:r>
    </w:p>
    <w:p>
      <w:pPr>
        <w:pStyle w:val="BodyText"/>
        <w:rPr>
          <w:sz w:val="20"/>
        </w:rPr>
      </w:pPr>
    </w:p>
    <w:p>
      <w:pPr>
        <w:pStyle w:val="Heading1"/>
        <w:spacing w:before="192"/>
        <w:ind w:left="2554" w:right="1197" w:hanging="865"/>
      </w:pPr>
      <w:r>
        <w:rPr/>
        <w:t>GRÁFICA 14. ¿CADA CUÁNTO TIEMPO DEBERÁ CAMBIAR SU CEPILLO DENTAL?</w:t>
      </w:r>
    </w:p>
    <w:p>
      <w:pPr>
        <w:pStyle w:val="BodyText"/>
        <w:rPr>
          <w:b/>
          <w:sz w:val="20"/>
        </w:rPr>
      </w:pPr>
    </w:p>
    <w:p>
      <w:pPr>
        <w:pStyle w:val="BodyText"/>
        <w:rPr>
          <w:b/>
          <w:sz w:val="20"/>
        </w:rPr>
      </w:pPr>
    </w:p>
    <w:p>
      <w:pPr>
        <w:pStyle w:val="BodyText"/>
        <w:rPr>
          <w:b/>
          <w:sz w:val="20"/>
        </w:rPr>
      </w:pPr>
    </w:p>
    <w:p>
      <w:pPr>
        <w:pStyle w:val="BodyText"/>
        <w:spacing w:before="11"/>
        <w:rPr>
          <w:b/>
          <w:sz w:val="17"/>
        </w:rPr>
      </w:pPr>
    </w:p>
    <w:p>
      <w:pPr>
        <w:pStyle w:val="BodyText"/>
        <w:spacing w:before="69"/>
        <w:ind w:left="6221" w:right="1197"/>
      </w:pPr>
      <w:r>
        <w:rPr/>
        <w:pict>
          <v:group style="position:absolute;margin-left:139.207809pt;margin-top:-19.134155pt;width:179.8pt;height:181.6pt;mso-position-horizontal-relative:page;mso-position-vertical-relative:paragraph;z-index:3184" coordorigin="2784,-383" coordsize="3596,3632">
            <v:shape style="position:absolute;left:4621;top:-383;width:320;height:1622" coordorigin="4621,-383" coordsize="320,1622" path="m4621,-383l4621,1239,4941,-351,4862,-365,4782,-375,4702,-381,4621,-383xe" filled="true" fillcolor="#4f81bc" stroked="false">
              <v:path arrowok="t"/>
              <v:fill type="solid"/>
            </v:shape>
            <v:shape style="position:absolute;left:3157;top:38;width:3222;height:3211" coordorigin="3157,38" coordsize="3222,3211" path="m5077,38l4757,1627,3157,1898,3172,1973,3189,2046,3210,2118,3234,2189,3262,2257,3292,2324,3324,2389,3360,2453,3398,2514,3439,2573,3482,2631,3528,2686,3576,2739,3626,2790,3678,2838,3732,2884,3788,2928,3846,2969,3906,3008,3968,3044,4031,3077,4095,3108,4161,3136,4228,3160,4297,3182,4366,3201,4437,3217,4508,3230,4581,3239,4654,3246,4727,3249,4802,3248,4877,3244,4952,3237,5028,3226,5103,3211,5176,3193,5248,3173,5319,3149,5387,3121,5454,3092,5519,3059,5583,3023,5644,2985,5704,2944,5761,2901,5816,2855,5869,2808,5920,2758,5969,2705,6015,2651,6059,2595,6100,2537,6138,2477,6174,2416,6208,2353,6238,2289,6266,2223,6291,2156,6313,2087,6332,2018,6348,1947,6360,1876,6370,1803,6376,1730,6379,1657,6379,1582,6375,1507,6367,1432,6356,1357,6342,1281,6324,1207,6302,1133,6277,1062,6249,992,6218,924,6184,857,6147,792,6108,729,6065,668,6020,610,5972,553,5921,499,5869,447,5814,397,5756,350,5697,306,5635,264,5571,225,5506,189,5438,156,5369,126,5298,99,5226,75,5152,55,5077,38xe" filled="true" fillcolor="#c0504d" stroked="false">
              <v:path arrowok="t"/>
              <v:fill type="solid"/>
            </v:shape>
            <v:shape style="position:absolute;left:2784;top:-219;width:1623;height:1833" coordorigin="2784,-219" coordsize="1623,1833" path="m3969,-219l3895,-197,3822,-171,3752,-142,3684,-110,3617,-75,3553,-37,3491,3,3430,46,3373,92,3317,140,3264,191,3213,243,3165,298,3119,355,3076,414,3036,474,2999,537,2964,601,2932,666,2903,733,2877,801,2854,871,2834,942,2817,1013,2804,1086,2794,1160,2787,1234,2784,1309,2784,1385,2788,1461,2796,1537,2807,1614,4406,1343,3969,-219xe" filled="true" fillcolor="#9bba58" stroked="false">
              <v:path arrowok="t"/>
              <v:fill type="solid"/>
            </v:shape>
            <v:shape style="position:absolute;left:4131;top:-383;width:438;height:1623" coordorigin="4131,-383" coordsize="438,1623" path="m4568,-383l4494,-381,4421,-376,4347,-368,4275,-356,4202,-341,4131,-322,4568,1240,4568,-383xe" filled="true" fillcolor="#8063a1" stroked="false">
              <v:path arrowok="t"/>
              <v:fill type="solid"/>
            </v:shape>
            <v:shape style="position:absolute;left:4265;top:-249;width:604;height:214" type="#_x0000_t202" filled="false" stroked="false">
              <v:textbox inset="0,0,0,0">
                <w:txbxContent>
                  <w:p>
                    <w:pPr>
                      <w:spacing w:line="214" w:lineRule="exact" w:before="0"/>
                      <w:ind w:left="0" w:right="0" w:firstLine="0"/>
                      <w:jc w:val="left"/>
                      <w:rPr>
                        <w:rFonts w:ascii="Calibri"/>
                        <w:sz w:val="20"/>
                      </w:rPr>
                    </w:pPr>
                    <w:r>
                      <w:rPr>
                        <w:rFonts w:ascii="Calibri"/>
                        <w:sz w:val="20"/>
                      </w:rPr>
                      <w:t>5%  </w:t>
                    </w:r>
                    <w:r>
                      <w:rPr>
                        <w:rFonts w:ascii="Calibri"/>
                        <w:position w:val="1"/>
                        <w:sz w:val="20"/>
                      </w:rPr>
                      <w:t>3%</w:t>
                    </w:r>
                  </w:p>
                </w:txbxContent>
              </v:textbox>
              <w10:wrap type="none"/>
            </v:shape>
            <v:shape style="position:absolute;left:3081;top:576;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23%</w:t>
                    </w:r>
                  </w:p>
                </w:txbxContent>
              </v:textbox>
              <w10:wrap type="none"/>
            </v:shape>
            <v:shape style="position:absolute;left:5541;top:2481;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69%</w:t>
                    </w:r>
                  </w:p>
                </w:txbxContent>
              </v:textbox>
              <w10:wrap type="none"/>
            </v:shape>
            <w10:wrap type="none"/>
          </v:group>
        </w:pict>
      </w:r>
      <w:r>
        <w:rPr/>
        <w:pict>
          <v:rect style="position:absolute;margin-left:375.359985pt;margin-top:7.385845pt;width:6pt;height:6pt;mso-position-horizontal-relative:page;mso-position-vertical-relative:paragraph;z-index:3208" filled="true" fillcolor="#4f81bc" stroked="false">
            <v:fill type="solid"/>
            <w10:wrap type="none"/>
          </v:rect>
        </w:pict>
      </w:r>
      <w:r>
        <w:rPr/>
        <w:t>No sé</w:t>
      </w:r>
    </w:p>
    <w:p>
      <w:pPr>
        <w:pStyle w:val="BodyText"/>
        <w:rPr>
          <w:sz w:val="20"/>
        </w:rPr>
      </w:pPr>
    </w:p>
    <w:p>
      <w:pPr>
        <w:pStyle w:val="BodyText"/>
        <w:rPr>
          <w:sz w:val="20"/>
        </w:rPr>
      </w:pPr>
    </w:p>
    <w:p>
      <w:pPr>
        <w:pStyle w:val="BodyText"/>
        <w:spacing w:before="201"/>
        <w:ind w:left="6221" w:right="1197"/>
      </w:pPr>
      <w:r>
        <w:rPr/>
        <w:pict>
          <v:rect style="position:absolute;margin-left:375.359985pt;margin-top:13.935854pt;width:6pt;height:6.12pt;mso-position-horizontal-relative:page;mso-position-vertical-relative:paragraph;z-index:3232" filled="true" fillcolor="#c0504d" stroked="false">
            <v:fill type="solid"/>
            <w10:wrap type="none"/>
          </v:rect>
        </w:pict>
      </w:r>
      <w:r>
        <w:rPr/>
        <w:t>Cada tres meses</w:t>
      </w:r>
    </w:p>
    <w:p>
      <w:pPr>
        <w:pStyle w:val="BodyText"/>
        <w:rPr>
          <w:sz w:val="20"/>
        </w:rPr>
      </w:pPr>
    </w:p>
    <w:p>
      <w:pPr>
        <w:pStyle w:val="BodyText"/>
        <w:rPr>
          <w:sz w:val="20"/>
        </w:rPr>
      </w:pPr>
    </w:p>
    <w:p>
      <w:pPr>
        <w:pStyle w:val="BodyText"/>
        <w:spacing w:before="201"/>
        <w:ind w:left="6221" w:right="1197"/>
      </w:pPr>
      <w:r>
        <w:rPr/>
        <w:pict>
          <v:rect style="position:absolute;margin-left:375.359985pt;margin-top:14.005863pt;width:6pt;height:6pt;mso-position-horizontal-relative:page;mso-position-vertical-relative:paragraph;z-index:3256" filled="true" fillcolor="#9bba58" stroked="false">
            <v:fill type="solid"/>
            <w10:wrap type="none"/>
          </v:rect>
        </w:pict>
      </w:r>
      <w:r>
        <w:rPr/>
        <w:t>Cada seis meses</w:t>
      </w:r>
    </w:p>
    <w:p>
      <w:pPr>
        <w:pStyle w:val="BodyText"/>
        <w:rPr>
          <w:sz w:val="20"/>
        </w:rPr>
      </w:pPr>
    </w:p>
    <w:p>
      <w:pPr>
        <w:pStyle w:val="BodyText"/>
        <w:rPr>
          <w:sz w:val="20"/>
        </w:rPr>
      </w:pPr>
    </w:p>
    <w:p>
      <w:pPr>
        <w:pStyle w:val="BodyText"/>
        <w:spacing w:before="200"/>
        <w:ind w:left="6221" w:right="1197"/>
      </w:pPr>
      <w:r>
        <w:rPr/>
        <w:pict>
          <v:rect style="position:absolute;margin-left:375.359985pt;margin-top:13.935856pt;width:6pt;height:6pt;mso-position-horizontal-relative:page;mso-position-vertical-relative:paragraph;z-index:3280" filled="true" fillcolor="#8063a1" stroked="false">
            <v:fill type="solid"/>
            <w10:wrap type="none"/>
          </v:rect>
        </w:pict>
      </w:r>
      <w:r>
        <w:rPr/>
        <w:t>Una vez al año</w:t>
      </w:r>
    </w:p>
    <w:p>
      <w:pPr>
        <w:spacing w:after="0"/>
        <w:sectPr>
          <w:footerReference w:type="default" r:id="rId20"/>
          <w:pgSz w:w="12240" w:h="15840"/>
          <w:pgMar w:footer="1514" w:header="0" w:top="1360" w:bottom="1700" w:left="1460" w:right="1220"/>
          <w:pgNumType w:start="36"/>
        </w:sectPr>
      </w:pPr>
    </w:p>
    <w:p>
      <w:pPr>
        <w:pStyle w:val="BodyText"/>
        <w:spacing w:before="7"/>
        <w:rPr>
          <w:sz w:val="22"/>
        </w:rPr>
      </w:pPr>
    </w:p>
    <w:p>
      <w:pPr>
        <w:pStyle w:val="BodyText"/>
        <w:spacing w:line="360" w:lineRule="auto" w:before="69"/>
        <w:ind w:left="282" w:right="105"/>
        <w:jc w:val="both"/>
      </w:pPr>
      <w:r>
        <w:rPr/>
        <w:t>Del total de gestantes que participaron en el estudio un poco más de la mitad sabe que la placa dentobacteriana con restos de alimentos y microorganismos, representado con un 56%, solo un 8% reporto no saberlo (Ver gráfica</w:t>
      </w:r>
      <w:r>
        <w:rPr>
          <w:spacing w:val="-18"/>
        </w:rPr>
        <w:t> </w:t>
      </w:r>
      <w:r>
        <w:rPr/>
        <w:t>15)</w:t>
      </w:r>
    </w:p>
    <w:p>
      <w:pPr>
        <w:spacing w:before="141"/>
        <w:ind w:left="2367" w:right="12" w:firstLine="0"/>
        <w:jc w:val="left"/>
        <w:rPr>
          <w:b/>
          <w:sz w:val="22"/>
        </w:rPr>
      </w:pPr>
      <w:r>
        <w:rPr>
          <w:b/>
          <w:sz w:val="22"/>
        </w:rPr>
        <w:t>GRAFICA 15. </w:t>
      </w:r>
      <w:r>
        <w:rPr>
          <w:b/>
          <w:sz w:val="24"/>
        </w:rPr>
        <w:t>CONSIDERA </w:t>
      </w:r>
      <w:r>
        <w:rPr>
          <w:b/>
          <w:sz w:val="22"/>
        </w:rPr>
        <w:t>QUE LA PLACA BACTERIANA ES:</w:t>
      </w:r>
    </w:p>
    <w:p>
      <w:pPr>
        <w:pStyle w:val="BodyText"/>
        <w:rPr>
          <w:b/>
          <w:sz w:val="20"/>
        </w:rPr>
      </w:pPr>
    </w:p>
    <w:p>
      <w:pPr>
        <w:pStyle w:val="BodyText"/>
        <w:rPr>
          <w:b/>
          <w:sz w:val="20"/>
        </w:rPr>
      </w:pPr>
    </w:p>
    <w:p>
      <w:pPr>
        <w:pStyle w:val="BodyText"/>
        <w:spacing w:before="1"/>
        <w:rPr>
          <w:b/>
          <w:sz w:val="22"/>
        </w:rPr>
      </w:pPr>
    </w:p>
    <w:p>
      <w:pPr>
        <w:pStyle w:val="BodyText"/>
        <w:spacing w:before="70"/>
        <w:ind w:left="4160" w:right="3365"/>
        <w:jc w:val="center"/>
      </w:pPr>
      <w:r>
        <w:rPr/>
        <w:pict>
          <v:group style="position:absolute;margin-left:102.360001pt;margin-top:-22.994164pt;width:192.25pt;height:191.2pt;mso-position-horizontal-relative:page;mso-position-vertical-relative:paragraph;z-index:3400" coordorigin="2047,-460" coordsize="3845,3824">
            <v:shape style="position:absolute;left:3913;top:-460;width:893;height:1792" coordorigin="3913,-460" coordsize="893,1792" path="m3913,-460l3913,1332,4806,-222,4737,-259,4667,-293,4596,-325,4523,-353,4450,-378,4375,-399,4300,-418,4223,-433,4147,-445,4069,-453,3991,-458,3913,-460xe" filled="true" fillcolor="#4f81bc" stroked="false">
              <v:path arrowok="t"/>
              <v:fill type="solid"/>
            </v:shape>
            <v:shape style="position:absolute;left:2748;top:19;width:3144;height:3345" coordorigin="2748,19" coordsize="3144,3345" path="m4994,19l4102,1572,2748,2745,2799,2801,2851,2854,2906,2905,2962,2954,3019,2999,3078,3042,3138,3082,3200,3120,3263,3155,3327,3187,3392,3217,3458,3244,3524,3268,3592,3289,3660,3308,3729,3324,3798,3338,3868,3348,3938,3356,4009,3361,4079,3363,4149,3363,4220,3360,4290,3354,4361,3345,4431,3333,4500,3319,4569,3302,4638,3282,4706,3259,4773,3233,4839,3205,4905,3174,4969,3139,5032,3102,5095,3063,5156,3020,5215,2975,5274,2926,5330,2875,5383,2823,5434,2768,5483,2712,5528,2655,5571,2596,5611,2536,5649,2474,5684,2411,5716,2347,5746,2282,5773,2216,5797,2149,5818,2082,5837,2013,5853,1945,5866,1875,5877,1805,5885,1735,5890,1665,5892,1594,5891,1524,5888,1453,5882,1383,5873,1313,5862,1243,5847,1173,5830,1104,5810,1035,5788,967,5762,900,5734,834,5702,768,5668,704,5631,640,5591,578,5549,517,5503,457,5455,399,5405,343,5352,290,5297,238,5241,189,5182,143,5121,99,5058,57,4994,19xe" filled="true" fillcolor="#c0504d" stroked="false">
              <v:path arrowok="t"/>
              <v:fill type="solid"/>
            </v:shape>
            <v:shape style="position:absolute;left:2073;top:1433;width:1758;height:1173" coordorigin="2073,1433" coordsize="1758,1173" path="m3830,1433l2073,1775,2090,1851,2109,1927,2133,2001,2159,2074,2188,2146,2221,2217,2256,2286,2294,2353,2336,2419,2380,2483,2427,2545,2477,2605,3830,1433xe" filled="true" fillcolor="#9bba58" stroked="false">
              <v:path arrowok="t"/>
              <v:fill type="solid"/>
            </v:shape>
            <v:shape style="position:absolute;left:2047;top:-436;width:1792;height:2135" coordorigin="2047,-436" coordsize="1792,2135" path="m3839,-436l3763,-434,3688,-430,3614,-422,3541,-411,3469,-398,3398,-381,3328,-362,3259,-340,3191,-315,3125,-288,3060,-258,2997,-226,2935,-191,2874,-154,2815,-115,2758,-73,2703,-30,2649,16,2597,64,2547,114,2499,166,2454,220,2410,275,2368,332,2329,391,2292,451,2257,514,2225,577,2195,642,2168,708,2143,776,2121,845,2102,915,2085,986,2072,1058,2061,1131,2053,1205,2049,1280,2047,1356,2049,1442,2055,1528,2066,1613,2080,1699,3839,1356,3839,-436xe" filled="true" fillcolor="#8063a1" stroked="false">
              <v:path arrowok="t"/>
              <v:fill type="solid"/>
            </v:shape>
            <v:shape style="position:absolute;left:4104;top:-269;width:349;height:240" type="#_x0000_t202" filled="false" stroked="false">
              <v:textbox inset="0,0,0,0">
                <w:txbxContent>
                  <w:p>
                    <w:pPr>
                      <w:spacing w:line="240" w:lineRule="exact" w:before="0"/>
                      <w:ind w:left="0" w:right="-18" w:firstLine="0"/>
                      <w:jc w:val="left"/>
                      <w:rPr>
                        <w:sz w:val="24"/>
                      </w:rPr>
                    </w:pPr>
                    <w:r>
                      <w:rPr>
                        <w:sz w:val="24"/>
                      </w:rPr>
                      <w:t>8%</w:t>
                    </w:r>
                  </w:p>
                </w:txbxContent>
              </v:textbox>
              <w10:wrap type="none"/>
            </v:shape>
            <v:shape style="position:absolute;left:2453;top:376;width:484;height:240" type="#_x0000_t202" filled="false" stroked="false">
              <v:textbox inset="0,0,0,0">
                <w:txbxContent>
                  <w:p>
                    <w:pPr>
                      <w:spacing w:line="240" w:lineRule="exact" w:before="0"/>
                      <w:ind w:left="0" w:right="-17" w:firstLine="0"/>
                      <w:jc w:val="left"/>
                      <w:rPr>
                        <w:sz w:val="24"/>
                      </w:rPr>
                    </w:pPr>
                    <w:r>
                      <w:rPr>
                        <w:sz w:val="24"/>
                      </w:rPr>
                      <w:t>28%</w:t>
                    </w:r>
                  </w:p>
                </w:txbxContent>
              </v:textbox>
              <w10:wrap type="none"/>
            </v:shape>
            <v:shape style="position:absolute;left:2289;top:1966;width:349;height:240" type="#_x0000_t202" filled="false" stroked="false">
              <v:textbox inset="0,0,0,0">
                <w:txbxContent>
                  <w:p>
                    <w:pPr>
                      <w:spacing w:line="240" w:lineRule="exact" w:before="0"/>
                      <w:ind w:left="0" w:right="-18" w:firstLine="0"/>
                      <w:jc w:val="left"/>
                      <w:rPr>
                        <w:sz w:val="24"/>
                      </w:rPr>
                    </w:pPr>
                    <w:r>
                      <w:rPr>
                        <w:sz w:val="24"/>
                      </w:rPr>
                      <w:t>8%</w:t>
                    </w:r>
                  </w:p>
                </w:txbxContent>
              </v:textbox>
              <w10:wrap type="none"/>
            </v:shape>
            <v:shape style="position:absolute;left:4989;top:2341;width:484;height:240" type="#_x0000_t202" filled="false" stroked="false">
              <v:textbox inset="0,0,0,0">
                <w:txbxContent>
                  <w:p>
                    <w:pPr>
                      <w:spacing w:line="240" w:lineRule="exact" w:before="0"/>
                      <w:ind w:left="0" w:right="-17" w:firstLine="0"/>
                      <w:jc w:val="left"/>
                      <w:rPr>
                        <w:sz w:val="24"/>
                      </w:rPr>
                    </w:pPr>
                    <w:r>
                      <w:rPr>
                        <w:sz w:val="24"/>
                      </w:rPr>
                      <w:t>56%</w:t>
                    </w:r>
                  </w:p>
                </w:txbxContent>
              </v:textbox>
              <w10:wrap type="none"/>
            </v:shape>
            <w10:wrap type="none"/>
          </v:group>
        </w:pict>
      </w:r>
      <w:r>
        <w:rPr/>
        <w:pict>
          <v:rect style="position:absolute;margin-left:306.480011pt;margin-top:7.485837pt;width:6.12pt;height:6pt;mso-position-horizontal-relative:page;mso-position-vertical-relative:paragraph;z-index:3424" filled="true" fillcolor="#4f81bc" stroked="false">
            <v:fill type="solid"/>
            <w10:wrap type="none"/>
          </v:rect>
        </w:pict>
      </w:r>
      <w:r>
        <w:rPr/>
        <w:t>No se</w:t>
      </w:r>
    </w:p>
    <w:p>
      <w:pPr>
        <w:pStyle w:val="BodyText"/>
        <w:rPr>
          <w:sz w:val="20"/>
        </w:rPr>
      </w:pPr>
    </w:p>
    <w:p>
      <w:pPr>
        <w:pStyle w:val="BodyText"/>
        <w:spacing w:before="3"/>
        <w:rPr>
          <w:sz w:val="26"/>
        </w:rPr>
      </w:pPr>
    </w:p>
    <w:p>
      <w:pPr>
        <w:pStyle w:val="BodyText"/>
        <w:spacing w:before="69"/>
        <w:ind w:left="4885" w:right="12"/>
      </w:pPr>
      <w:r>
        <w:rPr/>
        <w:pict>
          <v:rect style="position:absolute;margin-left:306.480011pt;margin-top:7.365842pt;width:6.12pt;height:6pt;mso-position-horizontal-relative:page;mso-position-vertical-relative:paragraph;z-index:3448" filled="true" fillcolor="#c0504d" stroked="false">
            <v:fill type="solid"/>
            <w10:wrap type="none"/>
          </v:rect>
        </w:pict>
      </w:r>
      <w:r>
        <w:rPr/>
        <w:t>Restos de alimentos y microorganismos</w:t>
      </w:r>
    </w:p>
    <w:p>
      <w:pPr>
        <w:pStyle w:val="BodyText"/>
        <w:rPr>
          <w:sz w:val="20"/>
        </w:rPr>
      </w:pPr>
    </w:p>
    <w:p>
      <w:pPr>
        <w:pStyle w:val="BodyText"/>
        <w:spacing w:before="2"/>
        <w:rPr>
          <w:sz w:val="26"/>
        </w:rPr>
      </w:pPr>
    </w:p>
    <w:p>
      <w:pPr>
        <w:pStyle w:val="BodyText"/>
        <w:spacing w:before="70"/>
        <w:ind w:left="4885" w:right="12"/>
      </w:pPr>
      <w:r>
        <w:rPr/>
        <w:pict>
          <v:rect style="position:absolute;margin-left:306.480011pt;margin-top:7.455868pt;width:6.12pt;height:6pt;mso-position-horizontal-relative:page;mso-position-vertical-relative:paragraph;z-index:3472" filled="true" fillcolor="#9bba58" stroked="false">
            <v:fill type="solid"/>
            <w10:wrap type="none"/>
          </v:rect>
        </w:pict>
      </w:r>
      <w:r>
        <w:rPr/>
        <w:t>Manchas blancas</w:t>
      </w:r>
    </w:p>
    <w:p>
      <w:pPr>
        <w:pStyle w:val="BodyText"/>
        <w:rPr>
          <w:sz w:val="20"/>
        </w:rPr>
      </w:pPr>
    </w:p>
    <w:p>
      <w:pPr>
        <w:pStyle w:val="BodyText"/>
        <w:spacing w:before="2"/>
        <w:rPr>
          <w:sz w:val="26"/>
        </w:rPr>
      </w:pPr>
    </w:p>
    <w:p>
      <w:pPr>
        <w:pStyle w:val="BodyText"/>
        <w:spacing w:before="70"/>
        <w:ind w:left="4885" w:right="12"/>
      </w:pPr>
      <w:r>
        <w:rPr/>
        <w:pict>
          <v:rect style="position:absolute;margin-left:306.480011pt;margin-top:7.415872pt;width:6.12pt;height:6pt;mso-position-horizontal-relative:page;mso-position-vertical-relative:paragraph;z-index:3496" filled="true" fillcolor="#8063a1" stroked="false">
            <v:fill type="solid"/>
            <w10:wrap type="none"/>
          </v:rect>
        </w:pict>
      </w:r>
      <w:r>
        <w:rPr/>
        <w:t>Caries en los dientes</w:t>
      </w:r>
    </w:p>
    <w:p>
      <w:pPr>
        <w:pStyle w:val="BodyText"/>
        <w:rPr>
          <w:sz w:val="20"/>
        </w:rPr>
      </w:pPr>
    </w:p>
    <w:p>
      <w:pPr>
        <w:pStyle w:val="BodyText"/>
        <w:spacing w:before="9"/>
        <w:rPr>
          <w:sz w:val="29"/>
        </w:rPr>
      </w:pPr>
    </w:p>
    <w:p>
      <w:pPr>
        <w:spacing w:before="77"/>
        <w:ind w:left="327" w:right="12" w:firstLine="0"/>
        <w:jc w:val="left"/>
        <w:rPr>
          <w:sz w:val="18"/>
        </w:rPr>
      </w:pPr>
      <w:r>
        <w:rPr>
          <w:sz w:val="18"/>
        </w:rPr>
        <w:t>Fuente Directa</w:t>
      </w:r>
    </w:p>
    <w:p>
      <w:pPr>
        <w:pStyle w:val="BodyText"/>
        <w:spacing w:line="360" w:lineRule="auto" w:before="130"/>
        <w:ind w:left="282" w:right="12"/>
      </w:pPr>
      <w:r>
        <w:rPr/>
        <w:t>La mitad de las gestantes respondieron correctamente que es la caries solo un 4% no lo supo, sin embargo el 45% piensa que es una picadura en el diente.(Ver gráfica 16)</w:t>
      </w:r>
    </w:p>
    <w:p>
      <w:pPr>
        <w:pStyle w:val="BodyText"/>
        <w:rPr>
          <w:sz w:val="20"/>
        </w:rPr>
      </w:pPr>
    </w:p>
    <w:p>
      <w:pPr>
        <w:pStyle w:val="Heading1"/>
        <w:spacing w:before="214"/>
        <w:ind w:left="3300" w:right="12"/>
      </w:pPr>
      <w:r>
        <w:rPr/>
        <w:t>GRÁFICA 16. QUÉ ES LA CARIES?</w:t>
      </w:r>
    </w:p>
    <w:p>
      <w:pPr>
        <w:pStyle w:val="BodyText"/>
        <w:rPr>
          <w:b/>
          <w:sz w:val="20"/>
        </w:rPr>
      </w:pPr>
    </w:p>
    <w:p>
      <w:pPr>
        <w:pStyle w:val="BodyText"/>
        <w:spacing w:before="2"/>
        <w:rPr>
          <w:b/>
          <w:sz w:val="21"/>
        </w:rPr>
      </w:pPr>
    </w:p>
    <w:p>
      <w:pPr>
        <w:pStyle w:val="BodyText"/>
        <w:spacing w:before="70"/>
        <w:ind w:left="4864" w:right="2662"/>
        <w:jc w:val="center"/>
      </w:pPr>
      <w:r>
        <w:rPr/>
        <w:pict>
          <v:group style="position:absolute;margin-left:222.300003pt;margin-top:-11.764129pt;width:88.5pt;height:191pt;mso-position-horizontal-relative:page;mso-position-vertical-relative:paragraph;z-index:3568" coordorigin="4446,-235" coordsize="1770,3820">
            <v:shape style="position:absolute;left:4446;top:-235;width:457;height:1694" coordorigin="4446,-235" coordsize="457,1694" path="m4446,-235l4446,1458,4903,-172,4828,-192,4753,-207,4677,-219,4600,-228,4523,-234,4446,-235xe" filled="true" fillcolor="#4f81bc" stroked="false">
              <v:path arrowok="t"/>
              <v:fill type="solid"/>
            </v:shape>
            <v:shape style="position:absolute;left:4523;top:262;width:1694;height:3323" coordorigin="4523,262" coordsize="1694,3323" path="m4980,262l4523,1892,4586,3584,4661,3580,4735,3572,4809,3561,4881,3547,4952,3531,5022,3511,5090,3488,5158,3463,5223,3434,5288,3403,5350,3370,5411,3334,5471,3296,5528,3255,5584,3212,5638,3167,5690,3119,5740,3070,5787,3018,5833,2965,5877,2909,5918,2852,5956,2794,5993,2733,6027,2671,6058,2607,6087,2542,6113,2476,6136,2408,6156,2340,6174,2270,6188,2199,6200,2126,6208,2053,6214,1979,6216,1905,6215,1829,6210,1751,6202,1673,6190,1597,6175,1521,6156,1447,6135,1374,6110,1302,6082,1232,6051,1163,6017,1096,5980,1030,5940,966,5898,904,5853,844,5805,786,5755,731,5702,677,5647,626,5589,577,5530,531,5468,487,5404,446,5338,408,5270,373,5200,340,5128,311,5055,285,4980,262xe" filled="true" fillcolor="#c0504d" stroked="false">
              <v:path arrowok="t"/>
              <v:fill type="solid"/>
            </v:shape>
            <v:shape style="position:absolute;left:4448;top:-76;width:349;height:240" type="#_x0000_t202" filled="false" stroked="false">
              <v:textbox inset="0,0,0,0">
                <w:txbxContent>
                  <w:p>
                    <w:pPr>
                      <w:spacing w:line="240" w:lineRule="exact" w:before="0"/>
                      <w:ind w:left="0" w:right="-18" w:firstLine="0"/>
                      <w:jc w:val="left"/>
                      <w:rPr>
                        <w:sz w:val="24"/>
                      </w:rPr>
                    </w:pPr>
                    <w:r>
                      <w:rPr>
                        <w:sz w:val="24"/>
                      </w:rPr>
                      <w:t>4%</w:t>
                    </w:r>
                  </w:p>
                </w:txbxContent>
              </v:textbox>
              <w10:wrap type="none"/>
            </v:shape>
            <v:shape style="position:absolute;left:5588;top:2024;width:484;height:240" type="#_x0000_t202" filled="false" stroked="false">
              <v:textbox inset="0,0,0,0">
                <w:txbxContent>
                  <w:p>
                    <w:pPr>
                      <w:spacing w:line="240" w:lineRule="exact" w:before="0"/>
                      <w:ind w:left="0" w:right="-17" w:firstLine="0"/>
                      <w:jc w:val="left"/>
                      <w:rPr>
                        <w:sz w:val="24"/>
                      </w:rPr>
                    </w:pPr>
                    <w:r>
                      <w:rPr>
                        <w:sz w:val="24"/>
                      </w:rPr>
                      <w:t>45%</w:t>
                    </w:r>
                  </w:p>
                </w:txbxContent>
              </v:textbox>
              <w10:wrap type="none"/>
            </v:shape>
            <w10:wrap type="none"/>
          </v:group>
        </w:pict>
      </w:r>
      <w:r>
        <w:rPr/>
        <w:pict>
          <v:group style="position:absolute;margin-left:128.880005pt;margin-top:9.235871pt;width:87.75pt;height:169.35pt;mso-position-horizontal-relative:page;mso-position-vertical-relative:paragraph;z-index:3616" coordorigin="2578,185" coordsize="1755,3387">
            <v:shape style="position:absolute;left:2578;top:185;width:1755;height:3387" coordorigin="2578,185" coordsize="1755,3387" path="m4270,185l4194,186,4120,191,4046,199,3973,211,3902,225,3831,242,3762,262,3694,285,3627,311,3562,339,3498,370,3436,404,3375,440,3316,479,3259,520,3204,563,3150,608,3098,656,3049,706,3001,757,2956,811,2912,867,2872,924,2833,983,2797,1044,2763,1106,2732,1170,2704,1235,2678,1302,2655,1370,2635,1439,2618,1510,2603,1582,2592,1654,2584,1728,2579,1802,2578,1878,2579,1953,2584,2028,2592,2102,2603,2174,2618,2246,2635,2316,2655,2386,2678,2454,2704,2521,2732,2586,2763,2650,2797,2712,2833,2773,2872,2832,2912,2889,2956,2945,3001,2998,3049,3050,3098,3100,3150,3147,3204,3193,3259,3236,3316,3277,3375,3316,3436,3352,3498,3385,3562,3416,3627,3445,3694,3471,3762,3494,3831,3514,3902,3531,3973,3545,4046,3556,4120,3565,4194,3569,4270,3571,4301,3571,4333,3570,4270,1878,4270,185xe" filled="true" fillcolor="#9bba58" stroked="false">
              <v:path arrowok="t"/>
              <v:fill type="solid"/>
            </v:shape>
            <v:shape style="position:absolute;left:2723;top:1935;width:484;height:240" type="#_x0000_t202" filled="false" stroked="false">
              <v:textbox inset="0,0,0,0">
                <w:txbxContent>
                  <w:p>
                    <w:pPr>
                      <w:spacing w:line="240" w:lineRule="exact" w:before="0"/>
                      <w:ind w:left="0" w:right="-17" w:firstLine="0"/>
                      <w:jc w:val="left"/>
                      <w:rPr>
                        <w:sz w:val="24"/>
                      </w:rPr>
                    </w:pPr>
                    <w:r>
                      <w:rPr>
                        <w:sz w:val="24"/>
                      </w:rPr>
                      <w:t>51%</w:t>
                    </w:r>
                  </w:p>
                </w:txbxContent>
              </v:textbox>
              <w10:wrap type="none"/>
            </v:shape>
            <w10:wrap type="none"/>
          </v:group>
        </w:pict>
      </w:r>
      <w:r>
        <w:rPr/>
        <w:pict>
          <v:rect style="position:absolute;margin-left:341.640015pt;margin-top:7.435872pt;width:6pt;height:6pt;mso-position-horizontal-relative:page;mso-position-vertical-relative:paragraph;z-index:3640" filled="true" fillcolor="#4f81bc" stroked="false">
            <v:fill type="solid"/>
            <w10:wrap type="none"/>
          </v:rect>
        </w:pict>
      </w:r>
      <w:r>
        <w:rPr/>
        <w:t>No sé</w:t>
      </w:r>
    </w:p>
    <w:p>
      <w:pPr>
        <w:pStyle w:val="BodyText"/>
        <w:rPr>
          <w:sz w:val="20"/>
        </w:rPr>
      </w:pPr>
    </w:p>
    <w:p>
      <w:pPr>
        <w:pStyle w:val="BodyText"/>
        <w:rPr>
          <w:sz w:val="20"/>
        </w:rPr>
      </w:pPr>
    </w:p>
    <w:p>
      <w:pPr>
        <w:pStyle w:val="BodyText"/>
        <w:rPr>
          <w:sz w:val="20"/>
        </w:rPr>
      </w:pPr>
    </w:p>
    <w:p>
      <w:pPr>
        <w:pStyle w:val="BodyText"/>
        <w:spacing w:before="7"/>
        <w:rPr>
          <w:sz w:val="20"/>
        </w:rPr>
      </w:pPr>
    </w:p>
    <w:p>
      <w:pPr>
        <w:pStyle w:val="BodyText"/>
        <w:spacing w:before="70"/>
        <w:ind w:left="5588" w:right="12"/>
      </w:pPr>
      <w:r>
        <w:rPr/>
        <w:pict>
          <v:rect style="position:absolute;margin-left:341.640015pt;margin-top:7.385862pt;width:6pt;height:6.12pt;mso-position-horizontal-relative:page;mso-position-vertical-relative:paragraph;z-index:3664" filled="true" fillcolor="#c0504d" stroked="false">
            <v:fill type="solid"/>
            <w10:wrap type="none"/>
          </v:rect>
        </w:pict>
      </w:r>
      <w:r>
        <w:rPr/>
        <w:t>Picadura de los dientes</w:t>
      </w:r>
    </w:p>
    <w:p>
      <w:pPr>
        <w:pStyle w:val="BodyText"/>
        <w:rPr>
          <w:sz w:val="20"/>
        </w:rPr>
      </w:pPr>
    </w:p>
    <w:p>
      <w:pPr>
        <w:pStyle w:val="BodyText"/>
        <w:rPr>
          <w:sz w:val="20"/>
        </w:rPr>
      </w:pPr>
    </w:p>
    <w:p>
      <w:pPr>
        <w:pStyle w:val="BodyText"/>
        <w:rPr>
          <w:sz w:val="20"/>
        </w:rPr>
      </w:pPr>
    </w:p>
    <w:p>
      <w:pPr>
        <w:pStyle w:val="BodyText"/>
        <w:spacing w:before="7"/>
        <w:rPr>
          <w:sz w:val="20"/>
        </w:rPr>
      </w:pPr>
    </w:p>
    <w:p>
      <w:pPr>
        <w:pStyle w:val="BodyText"/>
        <w:spacing w:before="70"/>
        <w:ind w:left="5588" w:right="843"/>
      </w:pPr>
      <w:r>
        <w:rPr/>
        <w:pict>
          <v:rect style="position:absolute;margin-left:341.640015pt;margin-top:7.455853pt;width:6pt;height:6pt;mso-position-horizontal-relative:page;mso-position-vertical-relative:paragraph;z-index:3688" filled="true" fillcolor="#9bba58" stroked="false">
            <v:fill type="solid"/>
            <w10:wrap type="none"/>
          </v:rect>
        </w:pict>
      </w:r>
      <w:r>
        <w:rPr/>
        <w:t>Enfermedades de multiples factores que afectan al diente</w:t>
      </w:r>
    </w:p>
    <w:p>
      <w:pPr>
        <w:spacing w:after="0"/>
        <w:sectPr>
          <w:pgSz w:w="12240" w:h="15840"/>
          <w:pgMar w:header="0" w:footer="1514" w:top="1500" w:bottom="1700" w:left="1420" w:right="1220"/>
        </w:sectPr>
      </w:pPr>
    </w:p>
    <w:p>
      <w:pPr>
        <w:pStyle w:val="BodyText"/>
        <w:spacing w:line="362" w:lineRule="auto" w:before="54"/>
        <w:ind w:left="102" w:right="92"/>
      </w:pPr>
      <w:r>
        <w:rPr/>
        <w:t>El 63% de las 253 gestantes contestaron que caries de biberón es la caries que afecta los dientes temporales por falta de aseo y diversos factores. (Ver gráfica 17)</w:t>
      </w:r>
    </w:p>
    <w:p>
      <w:pPr>
        <w:pStyle w:val="Heading1"/>
        <w:spacing w:before="136"/>
        <w:ind w:left="1111" w:right="1840"/>
      </w:pPr>
      <w:r>
        <w:rPr/>
        <w:t>GRÁFICA 17 ¿QUÉ ES LA CARIES DE BIBERÓN?</w:t>
      </w:r>
    </w:p>
    <w:p>
      <w:pPr>
        <w:pStyle w:val="BodyText"/>
        <w:rPr>
          <w:b/>
          <w:sz w:val="20"/>
        </w:rPr>
      </w:pPr>
    </w:p>
    <w:p>
      <w:pPr>
        <w:pStyle w:val="BodyText"/>
        <w:spacing w:before="215"/>
        <w:ind w:left="687" w:right="1840"/>
      </w:pPr>
      <w:r>
        <w:rPr/>
        <w:pict>
          <v:group style="position:absolute;margin-left:322.679993pt;margin-top:-10.58416pt;width:190.7pt;height:186.15pt;mso-position-horizontal-relative:page;mso-position-vertical-relative:paragraph;z-index:-56152" coordorigin="6454,-212" coordsize="3814,3723">
            <v:shape style="position:absolute;left:8504;top:-212;width:1763;height:1841" coordorigin="8504,-212" coordsize="1763,1841" path="m8504,-212l8504,1552,10266,1629,10267,1552,10266,1477,10261,1401,10253,1327,10242,1254,10228,1182,10211,1110,10192,1040,10169,971,10144,903,10116,837,10086,772,10052,708,10017,646,9979,585,9938,526,9896,469,9851,414,9804,360,9755,309,9703,259,9650,212,9595,166,9538,123,9479,82,9419,44,9357,8,9293,-26,9228,-57,9161,-85,9093,-111,9023,-134,8952,-154,8880,-171,8807,-186,8733,-197,8657,-205,8581,-210,8504,-212xe" filled="true" fillcolor="#4f81bc" stroked="false">
              <v:path arrowok="t"/>
              <v:fill type="solid"/>
            </v:shape>
            <v:shape style="position:absolute;left:8464;top:1690;width:1762;height:591" coordorigin="8464,1690" coordsize="1762,591" path="m8464,1690l10125,2281,10148,2209,10169,2137,10186,2064,10201,1991,10212,1916,10220,1842,10225,1767,8464,1690xe" filled="true" fillcolor="#c0504d" stroked="false">
              <v:path arrowok="t"/>
              <v:fill type="solid"/>
            </v:shape>
            <v:shape style="position:absolute;left:8468;top:1728;width:1662;height:1155" coordorigin="8468,1728" coordsize="1662,1155" path="m8468,1728l9801,2882,9853,2819,9903,2753,9949,2685,9992,2615,10031,2544,10067,2470,10100,2395,10130,2318,8468,1728xe" filled="true" fillcolor="#9bba58" stroked="false">
              <v:path arrowok="t"/>
              <v:fill type="solid"/>
            </v:shape>
            <v:shape style="position:absolute;left:6454;top:-15;width:3095;height:3526" coordorigin="6454,-15" coordsize="3095,3526" path="m8216,-15l8140,-13,8064,-8,7990,0,7916,11,7843,25,7771,42,7701,62,7632,84,7564,110,7497,138,7432,169,7368,202,7306,238,7246,276,7187,317,7130,360,7075,405,7021,452,6970,501,6921,553,6873,606,6828,661,6785,718,6745,777,6706,838,6671,900,6637,963,6607,1029,6578,1095,6553,1163,6530,1232,6510,1303,6493,1375,6479,1447,6468,1521,6460,1596,6455,1671,6454,1748,6455,1824,6460,1900,6468,1975,6479,2049,6493,2121,6510,2193,6530,2263,6553,2333,6578,2401,6607,2467,6637,2532,6671,2596,6706,2658,6745,2719,6785,2777,6828,2835,6873,2890,6921,2943,6970,2994,7021,3044,7075,3091,7130,3136,7187,3179,7246,3220,7306,3258,7368,3294,7432,3327,7497,3358,7564,3386,7632,3411,7701,3434,7771,3454,7843,3471,7916,3485,7990,3496,8064,3504,8140,3509,8216,3511,8297,3509,8377,3503,8456,3494,8535,3482,8612,3466,8689,3446,8765,3423,8839,3397,8913,3367,8984,3335,9055,3299,9123,3260,9190,3217,9255,3172,9318,3124,9379,3073,9438,3019,9494,2962,9549,2902,8216,1748,8216,-15xe" filled="true" fillcolor="#8063a1" stroked="false">
              <v:path arrowok="t"/>
              <v:fill type="solid"/>
            </v:shape>
            <v:shape style="position:absolute;left:9312;top:531;width:484;height:240" type="#_x0000_t202" filled="false" stroked="false">
              <v:textbox inset="0,0,0,0">
                <w:txbxContent>
                  <w:p>
                    <w:pPr>
                      <w:spacing w:line="240" w:lineRule="exact" w:before="0"/>
                      <w:ind w:left="0" w:right="-17" w:firstLine="0"/>
                      <w:jc w:val="left"/>
                      <w:rPr>
                        <w:sz w:val="24"/>
                      </w:rPr>
                    </w:pPr>
                    <w:r>
                      <w:rPr>
                        <w:sz w:val="24"/>
                      </w:rPr>
                      <w:t>26%</w:t>
                    </w:r>
                  </w:p>
                </w:txbxContent>
              </v:textbox>
              <w10:wrap type="none"/>
            </v:shape>
            <v:shape style="position:absolute;left:9747;top:1851;width:349;height:240" type="#_x0000_t202" filled="false" stroked="false">
              <v:textbox inset="0,0,0,0">
                <w:txbxContent>
                  <w:p>
                    <w:pPr>
                      <w:spacing w:line="240" w:lineRule="exact" w:before="0"/>
                      <w:ind w:left="0" w:right="-18" w:firstLine="0"/>
                      <w:jc w:val="left"/>
                      <w:rPr>
                        <w:sz w:val="24"/>
                      </w:rPr>
                    </w:pPr>
                    <w:r>
                      <w:rPr>
                        <w:sz w:val="24"/>
                      </w:rPr>
                      <w:t>5%</w:t>
                    </w:r>
                  </w:p>
                </w:txbxContent>
              </v:textbox>
              <w10:wrap type="none"/>
            </v:shape>
            <v:shape style="position:absolute;left:6701;top:2256;width:484;height:240" type="#_x0000_t202" filled="false" stroked="false">
              <v:textbox inset="0,0,0,0">
                <w:txbxContent>
                  <w:p>
                    <w:pPr>
                      <w:spacing w:line="240" w:lineRule="exact" w:before="0"/>
                      <w:ind w:left="0" w:right="-17" w:firstLine="0"/>
                      <w:jc w:val="left"/>
                      <w:rPr>
                        <w:sz w:val="24"/>
                      </w:rPr>
                    </w:pPr>
                    <w:r>
                      <w:rPr>
                        <w:sz w:val="24"/>
                      </w:rPr>
                      <w:t>63%</w:t>
                    </w:r>
                  </w:p>
                </w:txbxContent>
              </v:textbox>
              <w10:wrap type="none"/>
            </v:shape>
            <v:shape style="position:absolute;left:9567;top:2347;width:349;height:240" type="#_x0000_t202" filled="false" stroked="false">
              <v:textbox inset="0,0,0,0">
                <w:txbxContent>
                  <w:p>
                    <w:pPr>
                      <w:spacing w:line="240" w:lineRule="exact" w:before="0"/>
                      <w:ind w:left="0" w:right="-18" w:firstLine="0"/>
                      <w:jc w:val="left"/>
                      <w:rPr>
                        <w:sz w:val="24"/>
                      </w:rPr>
                    </w:pPr>
                    <w:r>
                      <w:rPr>
                        <w:sz w:val="24"/>
                      </w:rPr>
                      <w:t>6%</w:t>
                    </w:r>
                  </w:p>
                </w:txbxContent>
              </v:textbox>
              <w10:wrap type="none"/>
            </v:shape>
            <w10:wrap type="none"/>
          </v:group>
        </w:pict>
      </w:r>
      <w:r>
        <w:rPr/>
        <w:pict>
          <v:rect style="position:absolute;margin-left:105.720001pt;margin-top:14.73584pt;width:6pt;height:6pt;mso-position-horizontal-relative:page;mso-position-vertical-relative:paragraph;z-index:3832" filled="true" fillcolor="#4f81bc" stroked="false">
            <v:fill type="solid"/>
            <w10:wrap type="none"/>
          </v:rect>
        </w:pict>
      </w:r>
      <w:r>
        <w:rPr/>
        <w:t>No sé</w:t>
      </w:r>
    </w:p>
    <w:p>
      <w:pPr>
        <w:pStyle w:val="BodyText"/>
        <w:rPr>
          <w:sz w:val="20"/>
        </w:rPr>
      </w:pPr>
    </w:p>
    <w:p>
      <w:pPr>
        <w:pStyle w:val="BodyText"/>
        <w:rPr>
          <w:sz w:val="20"/>
        </w:rPr>
      </w:pPr>
    </w:p>
    <w:p>
      <w:pPr>
        <w:pStyle w:val="BodyText"/>
        <w:spacing w:before="1"/>
        <w:rPr>
          <w:sz w:val="22"/>
        </w:rPr>
      </w:pPr>
    </w:p>
    <w:p>
      <w:pPr>
        <w:pStyle w:val="BodyText"/>
        <w:spacing w:before="69"/>
        <w:ind w:left="687" w:right="1840"/>
      </w:pPr>
      <w:r>
        <w:rPr/>
        <w:pict>
          <v:rect style="position:absolute;margin-left:105.720001pt;margin-top:7.385869pt;width:6pt;height:6pt;mso-position-horizontal-relative:page;mso-position-vertical-relative:paragraph;z-index:3856" filled="true" fillcolor="#c0504d" stroked="false">
            <v:fill type="solid"/>
            <w10:wrap type="none"/>
          </v:rect>
        </w:pict>
      </w:r>
      <w:r>
        <w:rPr/>
        <w:t>Cuando el niño se chupa el dedo</w:t>
      </w:r>
    </w:p>
    <w:p>
      <w:pPr>
        <w:pStyle w:val="BodyText"/>
        <w:rPr>
          <w:sz w:val="20"/>
        </w:rPr>
      </w:pPr>
    </w:p>
    <w:p>
      <w:pPr>
        <w:pStyle w:val="BodyText"/>
        <w:rPr>
          <w:sz w:val="20"/>
        </w:rPr>
      </w:pPr>
    </w:p>
    <w:p>
      <w:pPr>
        <w:pStyle w:val="BodyText"/>
        <w:spacing w:before="1"/>
        <w:rPr>
          <w:sz w:val="22"/>
        </w:rPr>
      </w:pPr>
    </w:p>
    <w:p>
      <w:pPr>
        <w:pStyle w:val="BodyText"/>
        <w:spacing w:before="70"/>
        <w:ind w:left="687" w:right="1840"/>
      </w:pPr>
      <w:r>
        <w:rPr/>
        <w:pict>
          <v:rect style="position:absolute;margin-left:105.720001pt;margin-top:7.365879pt;width:6pt;height:6.12pt;mso-position-horizontal-relative:page;mso-position-vertical-relative:paragraph;z-index:3880" filled="true" fillcolor="#9bba58" stroked="false">
            <v:fill type="solid"/>
            <w10:wrap type="none"/>
          </v:rect>
        </w:pict>
      </w:r>
      <w:r>
        <w:rPr/>
        <w:t>La caries de los dientes permanentes</w:t>
      </w:r>
    </w:p>
    <w:p>
      <w:pPr>
        <w:pStyle w:val="BodyText"/>
        <w:rPr>
          <w:sz w:val="20"/>
        </w:rPr>
      </w:pPr>
    </w:p>
    <w:p>
      <w:pPr>
        <w:pStyle w:val="BodyText"/>
        <w:rPr>
          <w:sz w:val="20"/>
        </w:rPr>
      </w:pPr>
    </w:p>
    <w:p>
      <w:pPr>
        <w:pStyle w:val="BodyText"/>
        <w:spacing w:before="1"/>
        <w:rPr>
          <w:sz w:val="22"/>
        </w:rPr>
      </w:pPr>
    </w:p>
    <w:p>
      <w:pPr>
        <w:pStyle w:val="BodyText"/>
        <w:spacing w:before="69"/>
        <w:ind w:left="687" w:right="3256"/>
      </w:pPr>
      <w:r>
        <w:rPr/>
        <w:pict>
          <v:rect style="position:absolute;margin-left:105.720001pt;margin-top:7.385847pt;width:6pt;height:6pt;mso-position-horizontal-relative:page;mso-position-vertical-relative:paragraph;z-index:3904" filled="true" fillcolor="#8063a1" stroked="false">
            <v:fill type="solid"/>
            <w10:wrap type="none"/>
          </v:rect>
        </w:pict>
      </w:r>
      <w:r>
        <w:rPr/>
        <w:t>La caries que afecta los dientes temporales por falta de aseo y diversos factores</w:t>
      </w:r>
    </w:p>
    <w:p>
      <w:pPr>
        <w:spacing w:before="160"/>
        <w:ind w:left="0" w:right="1128" w:firstLine="0"/>
        <w:jc w:val="right"/>
        <w:rPr>
          <w:sz w:val="18"/>
        </w:rPr>
      </w:pPr>
      <w:r>
        <w:rPr>
          <w:sz w:val="18"/>
        </w:rPr>
        <w:t>Fuente Directa</w:t>
      </w:r>
    </w:p>
    <w:p>
      <w:pPr>
        <w:pStyle w:val="BodyText"/>
        <w:rPr>
          <w:sz w:val="20"/>
        </w:rPr>
      </w:pPr>
    </w:p>
    <w:p>
      <w:pPr>
        <w:pStyle w:val="BodyText"/>
        <w:spacing w:line="360" w:lineRule="auto" w:before="202"/>
        <w:ind w:left="102" w:right="99"/>
        <w:jc w:val="both"/>
      </w:pPr>
      <w:r>
        <w:rPr/>
        <w:t>Podemos ver en la grafica, que el 69% de las gestantes que participaron en el estudio saben que la gingivitis consiste en las enfermedades que ataca las encías. Sin embargo el 21% representa a gestantes que lo no saben. (Ver gráfica 18)</w:t>
      </w:r>
    </w:p>
    <w:p>
      <w:pPr>
        <w:pStyle w:val="Heading1"/>
        <w:spacing w:before="157"/>
        <w:ind w:left="2213" w:right="1840"/>
      </w:pPr>
      <w:r>
        <w:rPr/>
        <w:pict>
          <v:group style="position:absolute;margin-left:87.120003pt;margin-top:37.005875pt;width:297.3pt;height:210.75pt;mso-position-horizontal-relative:page;mso-position-vertical-relative:paragraph;z-index:-56032" coordorigin="1742,740" coordsize="5946,4215">
            <v:shape style="position:absolute;left:3970;top:740;width:1935;height:1998" coordorigin="3970,740" coordsize="1935,1998" path="m3970,740l3970,2738,5904,2235,5883,2160,5860,2086,5833,2014,5804,1944,5773,1875,5739,1807,5702,1741,5664,1677,5623,1614,5580,1553,5534,1494,5487,1437,5438,1382,5386,1328,5333,1277,5278,1228,5221,1180,5163,1135,5103,1092,5041,1051,4978,1013,4913,977,4847,943,4780,911,4711,882,4641,856,4570,832,4498,811,4425,793,4351,777,4276,764,4201,753,4124,746,4047,742,3970,740xe" filled="true" fillcolor="#4f81bc" stroked="false">
              <v:path arrowok="t"/>
              <v:fill type="solid"/>
            </v:shape>
            <v:shape style="position:absolute;left:4031;top:2353;width:1998;height:788" coordorigin="4031,2353" coordsize="1998,788" path="m5964,2353l4031,2856,6008,3140,6018,3061,6025,2982,6028,2903,6028,2823,6026,2744,6020,2665,6011,2586,5998,2508,5983,2430,5964,2353xe" filled="true" fillcolor="#c0504d" stroked="false">
              <v:path arrowok="t"/>
              <v:fill type="solid"/>
            </v:shape>
            <v:shape style="position:absolute;left:4026;top:2905;width:1978;height:716" coordorigin="4026,2905" coordsize="1978,716" path="m4026,2905l5892,3621,5917,3551,5940,3480,5960,3408,5977,3336,5992,3263,6004,3189,4026,2905xe" filled="true" fillcolor="#9bba58" stroked="false">
              <v:path arrowok="t"/>
              <v:fill type="solid"/>
            </v:shape>
            <v:shape style="position:absolute;left:1742;top:956;width:3864;height:3999" coordorigin="1742,956" coordsize="3864,3999" path="m3740,956l3664,958,3588,962,3513,969,3438,979,3365,991,3293,1007,3221,1024,3151,1045,3081,1067,3013,1093,2946,1120,2880,1150,2816,1183,2753,1217,2691,1254,2631,1293,2572,1333,2515,1376,2459,1421,2405,1468,2353,1517,2303,1567,2254,1619,2207,1673,2162,1729,2120,1786,2079,1845,2040,1905,2003,1967,1969,2030,1937,2095,1907,2160,1879,2228,1854,2296,1831,2365,1811,2436,1793,2507,1778,2580,1765,2653,1755,2727,1748,2803,1744,2879,1742,2955,1744,3032,1748,3108,1755,3183,1765,3257,1778,3331,1793,3403,1811,3475,1831,3545,1854,3615,1879,3683,1907,3750,1937,3816,1969,3880,2003,3944,2040,4005,2079,4066,2120,4124,2162,4182,2207,4237,2254,4291,2303,4344,2353,4394,2405,4443,2459,4489,2515,4534,2572,4577,2631,4618,2691,4657,2753,4694,2816,4728,2880,4760,2946,4790,3013,4818,3081,4843,3151,4866,3221,4886,3293,4904,3365,4919,3438,4932,3513,4942,3588,4949,3664,4953,3740,4955,3818,4953,3894,4949,3971,4941,4046,4931,4121,4918,4194,4902,4267,4884,4339,4863,4410,4839,4480,4813,4549,4784,4616,4752,4682,4718,4747,4682,4811,4644,4872,4603,4933,4559,4991,4514,5048,4467,5104,4417,5157,4365,5209,4311,5258,4255,5306,4198,5351,4138,5395,4076,5436,4013,5475,3948,5511,3881,5545,3813,5577,3743,5606,3671,3740,2955,3740,956xe" filled="true" fillcolor="#8063a1" stroked="false">
              <v:path arrowok="t"/>
              <v:fill type="solid"/>
            </v:shape>
            <v:rect style="position:absolute;left:5351;top:4499;width:2329;height:416" filled="true" fillcolor="#ffffff" stroked="false">
              <v:fill type="solid"/>
            </v:rect>
            <v:rect style="position:absolute;left:5351;top:4499;width:2329;height:416" filled="false" stroked="true" strokeweight=".75pt" strokecolor="#ffffff"/>
            <w10:wrap type="none"/>
          </v:group>
        </w:pict>
      </w:r>
      <w:r>
        <w:rPr/>
        <w:t>GRÁFICA 18. ¿QUÉ ES LA GINGIVITIS?</w:t>
      </w:r>
    </w:p>
    <w:p>
      <w:pPr>
        <w:pStyle w:val="BodyText"/>
        <w:rPr>
          <w:b/>
          <w:sz w:val="20"/>
        </w:rPr>
      </w:pPr>
    </w:p>
    <w:p>
      <w:pPr>
        <w:pStyle w:val="BodyText"/>
        <w:rPr>
          <w:b/>
          <w:sz w:val="20"/>
        </w:rPr>
      </w:pPr>
    </w:p>
    <w:p>
      <w:pPr>
        <w:pStyle w:val="BodyText"/>
        <w:spacing w:before="6"/>
        <w:rPr>
          <w:b/>
          <w:sz w:val="19"/>
        </w:rPr>
      </w:pPr>
    </w:p>
    <w:p>
      <w:pPr>
        <w:spacing w:after="0"/>
        <w:rPr>
          <w:sz w:val="19"/>
        </w:rPr>
        <w:sectPr>
          <w:footerReference w:type="default" r:id="rId21"/>
          <w:pgSz w:w="12240" w:h="15840"/>
          <w:pgMar w:footer="1003" w:header="0" w:top="1360" w:bottom="1200" w:left="1600" w:right="1220"/>
          <w:pgNumType w:start="38"/>
        </w:sectPr>
      </w:pPr>
    </w:p>
    <w:p>
      <w:pPr>
        <w:spacing w:before="179"/>
        <w:ind w:left="0" w:right="0" w:firstLine="0"/>
        <w:jc w:val="right"/>
        <w:rPr>
          <w:sz w:val="22"/>
        </w:rPr>
      </w:pPr>
      <w:r>
        <w:rPr>
          <w:sz w:val="22"/>
        </w:rPr>
        <w:t>21%</w:t>
      </w:r>
    </w:p>
    <w:p>
      <w:pPr>
        <w:pStyle w:val="BodyText"/>
        <w:spacing w:before="70"/>
        <w:ind w:left="1511"/>
      </w:pPr>
      <w:r>
        <w:rPr/>
        <w:br w:type="column"/>
      </w:r>
      <w:r>
        <w:rPr/>
        <w:t>No sé</w:t>
      </w:r>
    </w:p>
    <w:p>
      <w:pPr>
        <w:spacing w:after="0"/>
        <w:sectPr>
          <w:type w:val="continuous"/>
          <w:pgSz w:w="12240" w:h="15840"/>
          <w:pgMar w:top="1280" w:bottom="280" w:left="1600" w:right="1220"/>
          <w:cols w:num="2" w:equalWidth="0">
            <w:col w:w="3631" w:space="40"/>
            <w:col w:w="5749"/>
          </w:cols>
        </w:sectPr>
      </w:pPr>
    </w:p>
    <w:p>
      <w:pPr>
        <w:pStyle w:val="BodyText"/>
        <w:rPr>
          <w:sz w:val="20"/>
        </w:rPr>
      </w:pPr>
    </w:p>
    <w:p>
      <w:pPr>
        <w:pStyle w:val="BodyText"/>
        <w:spacing w:before="9"/>
        <w:rPr>
          <w:sz w:val="22"/>
        </w:rPr>
      </w:pPr>
    </w:p>
    <w:p>
      <w:pPr>
        <w:pStyle w:val="BodyText"/>
        <w:spacing w:before="70"/>
        <w:ind w:left="5182" w:right="1840"/>
      </w:pPr>
      <w:r>
        <w:rPr/>
        <w:pict>
          <v:rect style="position:absolute;margin-left:330.359985pt;margin-top:-38.814144pt;width:6.12pt;height:6.12pt;mso-position-horizontal-relative:page;mso-position-vertical-relative:paragraph;z-index:3952" filled="true" fillcolor="#4f81bc" stroked="false">
            <v:fill type="solid"/>
            <w10:wrap type="none"/>
          </v:rect>
        </w:pict>
      </w:r>
      <w:r>
        <w:rPr/>
        <w:pict>
          <v:rect style="position:absolute;margin-left:330.359985pt;margin-top:7.505857pt;width:6.12pt;height:6pt;mso-position-horizontal-relative:page;mso-position-vertical-relative:paragraph;z-index:3976" filled="true" fillcolor="#c0504d" stroked="false">
            <v:fill type="solid"/>
            <w10:wrap type="none"/>
          </v:rect>
        </w:pict>
      </w:r>
      <w:r>
        <w:rPr/>
        <w:t>El dolor en el diente</w:t>
      </w:r>
    </w:p>
    <w:p>
      <w:pPr>
        <w:pStyle w:val="BodyText"/>
        <w:spacing w:before="10"/>
        <w:rPr>
          <w:sz w:val="14"/>
        </w:rPr>
      </w:pPr>
    </w:p>
    <w:p>
      <w:pPr>
        <w:spacing w:before="72"/>
        <w:ind w:left="687" w:right="1753" w:firstLine="0"/>
        <w:jc w:val="center"/>
        <w:rPr>
          <w:sz w:val="22"/>
        </w:rPr>
      </w:pPr>
      <w:r>
        <w:rPr>
          <w:sz w:val="22"/>
        </w:rPr>
        <w:t>6%</w:t>
      </w:r>
    </w:p>
    <w:p>
      <w:pPr>
        <w:pStyle w:val="BodyText"/>
        <w:spacing w:line="221" w:lineRule="exact" w:before="151"/>
        <w:ind w:left="5182" w:right="1840"/>
      </w:pPr>
      <w:r>
        <w:rPr/>
        <w:pict>
          <v:rect style="position:absolute;margin-left:330.359985pt;margin-top:11.535856pt;width:6.12pt;height:6pt;mso-position-horizontal-relative:page;mso-position-vertical-relative:paragraph;z-index:4000" filled="true" fillcolor="#9bba58" stroked="false">
            <v:fill type="solid"/>
            <w10:wrap type="none"/>
          </v:rect>
        </w:pict>
      </w:r>
      <w:r>
        <w:rPr/>
        <w:t>Inflamación del labio</w:t>
      </w:r>
    </w:p>
    <w:p>
      <w:pPr>
        <w:spacing w:line="198" w:lineRule="exact" w:before="0"/>
        <w:ind w:left="536" w:right="1753" w:firstLine="0"/>
        <w:jc w:val="center"/>
        <w:rPr>
          <w:sz w:val="22"/>
        </w:rPr>
      </w:pPr>
      <w:r>
        <w:rPr>
          <w:sz w:val="22"/>
        </w:rPr>
        <w:t>4%</w:t>
      </w:r>
    </w:p>
    <w:p>
      <w:pPr>
        <w:pStyle w:val="BodyText"/>
        <w:spacing w:before="10"/>
        <w:rPr>
          <w:sz w:val="19"/>
        </w:rPr>
      </w:pPr>
    </w:p>
    <w:p>
      <w:pPr>
        <w:spacing w:after="0"/>
        <w:rPr>
          <w:sz w:val="19"/>
        </w:rPr>
        <w:sectPr>
          <w:type w:val="continuous"/>
          <w:pgSz w:w="12240" w:h="15840"/>
          <w:pgMar w:top="1280" w:bottom="280" w:left="1600" w:right="1220"/>
        </w:sectPr>
      </w:pPr>
    </w:p>
    <w:p>
      <w:pPr>
        <w:spacing w:before="73"/>
        <w:ind w:left="519" w:right="-19" w:firstLine="0"/>
        <w:jc w:val="left"/>
        <w:rPr>
          <w:sz w:val="22"/>
        </w:rPr>
      </w:pPr>
      <w:r>
        <w:rPr>
          <w:sz w:val="22"/>
        </w:rPr>
        <w:t>69%</w:t>
      </w:r>
    </w:p>
    <w:p>
      <w:pPr>
        <w:pStyle w:val="BodyText"/>
        <w:spacing w:before="1"/>
      </w:pPr>
      <w:r>
        <w:rPr/>
        <w:br w:type="column"/>
      </w:r>
      <w:r>
        <w:rPr/>
      </w:r>
    </w:p>
    <w:p>
      <w:pPr>
        <w:pStyle w:val="BodyText"/>
        <w:ind w:left="519"/>
      </w:pPr>
      <w:r>
        <w:rPr/>
        <w:pict>
          <v:rect style="position:absolute;margin-left:330.359985pt;margin-top:3.955861pt;width:6.12pt;height:6pt;mso-position-horizontal-relative:page;mso-position-vertical-relative:paragraph;z-index:4024" filled="true" fillcolor="#8063a1" stroked="false">
            <v:fill type="solid"/>
            <w10:wrap type="none"/>
          </v:rect>
        </w:pict>
      </w:r>
      <w:r>
        <w:rPr/>
        <w:t>enfermedad de las enciás</w:t>
      </w:r>
    </w:p>
    <w:p>
      <w:pPr>
        <w:spacing w:after="0"/>
        <w:sectPr>
          <w:type w:val="continuous"/>
          <w:pgSz w:w="12240" w:h="15840"/>
          <w:pgMar w:top="1280" w:bottom="280" w:left="1600" w:right="1220"/>
          <w:cols w:num="2" w:equalWidth="0">
            <w:col w:w="961" w:space="3702"/>
            <w:col w:w="4757"/>
          </w:cols>
        </w:sectPr>
      </w:pPr>
    </w:p>
    <w:p>
      <w:pPr>
        <w:pStyle w:val="BodyText"/>
        <w:spacing w:before="8"/>
        <w:rPr>
          <w:sz w:val="25"/>
        </w:rPr>
      </w:pPr>
    </w:p>
    <w:p>
      <w:pPr>
        <w:spacing w:before="77"/>
        <w:ind w:left="1325" w:right="1753" w:firstLine="0"/>
        <w:jc w:val="center"/>
        <w:rPr>
          <w:sz w:val="18"/>
        </w:rPr>
      </w:pPr>
      <w:r>
        <w:rPr>
          <w:sz w:val="18"/>
        </w:rPr>
        <w:t>Fuente Directa</w:t>
      </w:r>
    </w:p>
    <w:p>
      <w:pPr>
        <w:spacing w:after="0"/>
        <w:jc w:val="center"/>
        <w:rPr>
          <w:sz w:val="18"/>
        </w:rPr>
        <w:sectPr>
          <w:type w:val="continuous"/>
          <w:pgSz w:w="12240" w:h="15840"/>
          <w:pgMar w:top="1280" w:bottom="280" w:left="1600" w:right="1220"/>
        </w:sectPr>
      </w:pPr>
    </w:p>
    <w:p>
      <w:pPr>
        <w:pStyle w:val="BodyText"/>
        <w:spacing w:line="360" w:lineRule="auto" w:before="54"/>
        <w:ind w:left="102" w:right="99"/>
        <w:jc w:val="both"/>
      </w:pPr>
      <w:r>
        <w:rPr/>
        <w:t>El 61% de las encuestadas, no tiene conocimientos acerca de lo que es la enfermedades periodontal solo un 25% de las 253 supo que es una enfermedad que afecta a los tejidos de soporte del diente (Ver gráfica 19)</w:t>
      </w:r>
    </w:p>
    <w:p>
      <w:pPr>
        <w:pStyle w:val="Heading1"/>
        <w:spacing w:before="157"/>
        <w:ind w:left="1766"/>
      </w:pPr>
      <w:r>
        <w:rPr/>
        <w:t>GRÁFICA 19. LA ENFERMEDAD PERIODONTAL ES:</w:t>
      </w:r>
    </w:p>
    <w:p>
      <w:pPr>
        <w:pStyle w:val="BodyText"/>
        <w:rPr>
          <w:b/>
          <w:sz w:val="20"/>
        </w:rPr>
      </w:pPr>
    </w:p>
    <w:p>
      <w:pPr>
        <w:pStyle w:val="BodyText"/>
        <w:spacing w:before="1"/>
        <w:rPr>
          <w:b/>
          <w:sz w:val="26"/>
        </w:rPr>
      </w:pPr>
    </w:p>
    <w:p>
      <w:pPr>
        <w:pStyle w:val="BodyText"/>
        <w:spacing w:before="70"/>
        <w:ind w:left="1999" w:right="652"/>
        <w:jc w:val="center"/>
      </w:pPr>
      <w:r>
        <w:rPr/>
        <w:pict>
          <v:group style="position:absolute;margin-left:109.330002pt;margin-top:-12.074128pt;width:174.25pt;height:168.85pt;mso-position-horizontal-relative:page;mso-position-vertical-relative:paragraph;z-index:4144" coordorigin="2187,-241" coordsize="3485,3377">
            <v:shape style="position:absolute;left:3138;top:30;width:2533;height:3106" coordorigin="3138,30" coordsize="2533,3106" path="m4118,30l4118,1583,3138,2787,3198,2833,3259,2876,3321,2915,3385,2952,3450,2984,3516,3014,3583,3040,3650,3064,3719,3083,3787,3100,3857,3113,3927,3124,3997,3131,4067,3135,4137,3135,4207,3133,4277,3127,4347,3118,4416,3107,4485,3092,4552,3074,4620,3052,4686,3028,4751,3001,4815,2971,4878,2937,4940,2901,5000,2862,5058,2819,5115,2774,5170,2725,5223,2674,5274,2620,5323,2563,5369,2503,5412,2442,5451,2380,5487,2316,5520,2251,5550,2185,5576,2118,5599,2051,5619,1982,5636,1913,5649,1844,5660,1774,5667,1704,5670,1634,5671,1564,5669,1494,5663,1424,5654,1354,5643,1285,5628,1216,5609,1148,5588,1081,5564,1015,5537,950,5507,886,5473,823,5437,761,5397,701,5355,643,5310,586,5261,531,5210,478,5156,427,5098,378,5038,331,4976,288,4911,247,4845,210,4778,177,4709,146,4638,119,4567,96,4494,76,4420,59,4346,46,4271,37,4195,32,4118,30xe" filled="true" fillcolor="#4f81bc" stroked="false">
              <v:path arrowok="t"/>
              <v:fill type="solid"/>
            </v:shape>
            <v:shape style="position:absolute;left:2391;top:1818;width:1420;height:1205" coordorigin="2391,1818" coordsize="1420,1205" path="m3810,1818l2391,2445,2425,2519,2464,2590,2506,2660,2552,2727,2601,2791,2654,2853,2710,2912,2768,2969,2830,3022,3810,1818xe" filled="true" fillcolor="#c0504d" stroked="false">
              <v:path arrowok="t"/>
              <v:fill type="solid"/>
            </v:shape>
            <v:shape style="position:absolute;left:2187;top:1667;width:1553;height:628" coordorigin="2187,1667" coordsize="1553,628" path="m3739,1667l2187,1696,2190,1773,2197,1849,2208,1926,2223,2001,2241,2076,2264,2150,2289,2223,2319,2294,3739,1667xe" filled="true" fillcolor="#9bba58" stroked="false">
              <v:path arrowok="t"/>
              <v:fill type="solid"/>
            </v:shape>
            <v:shape style="position:absolute;left:2290;top:-241;width:1553;height:1582" coordorigin="2290,-241" coordsize="1553,1582" path="m3842,-241l3767,-240,3693,-234,3620,-226,3547,-213,3476,-198,3406,-179,3338,-158,3271,-133,3205,-105,3141,-75,3079,-41,3018,-5,2960,34,2903,75,2848,119,2795,165,2744,213,2696,264,2650,317,2606,372,2565,429,2526,487,2490,548,2456,610,2426,674,2398,740,2373,807,2352,875,2333,945,2318,1016,2305,1088,2297,1162,2291,1236,2290,1311,2290,1340,3842,1311,3842,-241xe" filled="true" fillcolor="#8063a1" stroked="false">
              <v:path arrowok="t"/>
              <v:fill type="solid"/>
            </v:shape>
            <v:shape style="position:absolute;left:2740;top:374;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25%</w:t>
                    </w:r>
                  </w:p>
                </w:txbxContent>
              </v:textbox>
              <w10:wrap type="none"/>
            </v:shape>
            <v:shape style="position:absolute;left:2304;top:1844;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w:t>
                    </w:r>
                  </w:p>
                </w:txbxContent>
              </v:textbox>
              <w10:wrap type="none"/>
            </v:shape>
            <v:shape style="position:absolute;left:5110;top:1979;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61%</w:t>
                    </w:r>
                  </w:p>
                </w:txbxContent>
              </v:textbox>
              <w10:wrap type="none"/>
            </v:shape>
            <v:shape style="position:absolute;left:2634;top:2519;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w:t>
                    </w:r>
                  </w:p>
                </w:txbxContent>
              </v:textbox>
              <w10:wrap type="none"/>
            </v:shape>
            <w10:wrap type="none"/>
          </v:group>
        </w:pict>
      </w:r>
      <w:r>
        <w:rPr/>
        <w:pict>
          <v:rect style="position:absolute;margin-left:324.839996pt;margin-top:7.485872pt;width:6pt;height:6pt;mso-position-horizontal-relative:page;mso-position-vertical-relative:paragraph;z-index:4168" filled="true" fillcolor="#4f81bc" stroked="false">
            <v:fill type="solid"/>
            <w10:wrap type="none"/>
          </v:rect>
        </w:pict>
      </w:r>
      <w:r>
        <w:rPr/>
        <w:t>No sé</w:t>
      </w:r>
    </w:p>
    <w:p>
      <w:pPr>
        <w:pStyle w:val="BodyText"/>
        <w:rPr>
          <w:sz w:val="20"/>
        </w:rPr>
      </w:pPr>
    </w:p>
    <w:p>
      <w:pPr>
        <w:pStyle w:val="BodyText"/>
        <w:spacing w:before="10"/>
        <w:rPr>
          <w:sz w:val="17"/>
        </w:rPr>
      </w:pPr>
    </w:p>
    <w:p>
      <w:pPr>
        <w:pStyle w:val="BodyText"/>
        <w:spacing w:before="69"/>
        <w:ind w:left="5071"/>
      </w:pPr>
      <w:r>
        <w:rPr/>
        <w:pict>
          <v:rect style="position:absolute;margin-left:324.839996pt;margin-top:7.385884pt;width:6pt;height:6.12pt;mso-position-horizontal-relative:page;mso-position-vertical-relative:paragraph;z-index:4192" filled="true" fillcolor="#c0504d" stroked="false">
            <v:fill type="solid"/>
            <w10:wrap type="none"/>
          </v:rect>
        </w:pict>
      </w:r>
      <w:r>
        <w:rPr/>
        <w:t>Pigmentación en los dientes</w:t>
      </w:r>
    </w:p>
    <w:p>
      <w:pPr>
        <w:pStyle w:val="BodyText"/>
        <w:rPr>
          <w:sz w:val="20"/>
        </w:rPr>
      </w:pPr>
    </w:p>
    <w:p>
      <w:pPr>
        <w:pStyle w:val="BodyText"/>
        <w:spacing w:before="10"/>
        <w:rPr>
          <w:sz w:val="17"/>
        </w:rPr>
      </w:pPr>
    </w:p>
    <w:p>
      <w:pPr>
        <w:pStyle w:val="BodyText"/>
        <w:spacing w:before="69"/>
        <w:ind w:left="5071" w:right="1840"/>
      </w:pPr>
      <w:r>
        <w:rPr/>
        <w:pict>
          <v:rect style="position:absolute;margin-left:324.839996pt;margin-top:7.455835pt;width:6pt;height:6pt;mso-position-horizontal-relative:page;mso-position-vertical-relative:paragraph;z-index:4216" filled="true" fillcolor="#9bba58" stroked="false">
            <v:fill type="solid"/>
            <w10:wrap type="none"/>
          </v:rect>
        </w:pict>
      </w:r>
      <w:r>
        <w:rPr/>
        <w:t>Heridas en la boca</w:t>
      </w:r>
    </w:p>
    <w:p>
      <w:pPr>
        <w:pStyle w:val="BodyText"/>
        <w:rPr>
          <w:sz w:val="20"/>
        </w:rPr>
      </w:pPr>
    </w:p>
    <w:p>
      <w:pPr>
        <w:pStyle w:val="BodyText"/>
        <w:spacing w:before="10"/>
        <w:rPr>
          <w:sz w:val="17"/>
        </w:rPr>
      </w:pPr>
    </w:p>
    <w:p>
      <w:pPr>
        <w:pStyle w:val="BodyText"/>
        <w:spacing w:before="69"/>
        <w:ind w:left="5071"/>
      </w:pPr>
      <w:r>
        <w:rPr/>
        <w:pict>
          <v:rect style="position:absolute;margin-left:324.839996pt;margin-top:7.405847pt;width:6pt;height:6pt;mso-position-horizontal-relative:page;mso-position-vertical-relative:paragraph;z-index:4240" filled="true" fillcolor="#8063a1" stroked="false">
            <v:fill type="solid"/>
            <w10:wrap type="none"/>
          </v:rect>
        </w:pict>
      </w:r>
      <w:r>
        <w:rPr/>
        <w:t>Afecta tejidos de soporte</w:t>
      </w:r>
    </w:p>
    <w:p>
      <w:pPr>
        <w:pStyle w:val="BodyText"/>
        <w:rPr>
          <w:sz w:val="20"/>
        </w:rPr>
      </w:pPr>
    </w:p>
    <w:p>
      <w:pPr>
        <w:pStyle w:val="BodyText"/>
        <w:rPr>
          <w:sz w:val="19"/>
        </w:rPr>
      </w:pPr>
    </w:p>
    <w:p>
      <w:pPr>
        <w:spacing w:before="77"/>
        <w:ind w:left="0" w:right="1200" w:firstLine="0"/>
        <w:jc w:val="right"/>
        <w:rPr>
          <w:sz w:val="18"/>
        </w:rPr>
      </w:pPr>
      <w:r>
        <w:rPr>
          <w:sz w:val="18"/>
        </w:rPr>
        <w:t>Fuente Directa</w:t>
      </w:r>
    </w:p>
    <w:p>
      <w:pPr>
        <w:pStyle w:val="BodyText"/>
        <w:spacing w:before="1"/>
        <w:rPr>
          <w:sz w:val="25"/>
        </w:rPr>
      </w:pPr>
    </w:p>
    <w:p>
      <w:pPr>
        <w:pStyle w:val="BodyText"/>
        <w:spacing w:line="360" w:lineRule="auto" w:before="70"/>
        <w:ind w:left="102"/>
      </w:pPr>
      <w:r>
        <w:rPr/>
        <w:t>Como podemos ver en la gráfica el 36 % no sabe a partir de cuando empiezan a formarse los dientes de un niño (Ver gráfica 20)</w:t>
      </w:r>
    </w:p>
    <w:p>
      <w:pPr>
        <w:pStyle w:val="Heading1"/>
        <w:spacing w:before="155"/>
        <w:ind w:left="2895" w:right="993" w:hanging="1556"/>
      </w:pPr>
      <w:r>
        <w:rPr/>
        <w:t>GRÁFICA 20 . ¿ SABE CUÁNDO EMPIEZAN A FORMARSE LOS DIENTES DE LOS NIÑOS?</w:t>
      </w:r>
    </w:p>
    <w:p>
      <w:pPr>
        <w:pStyle w:val="BodyText"/>
        <w:spacing w:before="10"/>
        <w:rPr>
          <w:b/>
          <w:sz w:val="21"/>
        </w:rPr>
      </w:pPr>
    </w:p>
    <w:p>
      <w:pPr>
        <w:pStyle w:val="BodyText"/>
        <w:spacing w:line="219" w:lineRule="exact" w:before="70"/>
        <w:ind w:left="5862" w:right="1840"/>
      </w:pPr>
      <w:r>
        <w:rPr/>
        <w:pict>
          <v:rect style="position:absolute;margin-left:364.440002pt;margin-top:7.43585pt;width:6pt;height:6pt;mso-position-horizontal-relative:page;mso-position-vertical-relative:paragraph;z-index:4360" filled="true" fillcolor="#4f81bc" stroked="false">
            <v:fill type="solid"/>
            <w10:wrap type="none"/>
          </v:rect>
        </w:pict>
      </w:r>
      <w:r>
        <w:rPr/>
        <w:t>No sé</w:t>
      </w:r>
    </w:p>
    <w:p>
      <w:pPr>
        <w:pStyle w:val="BodyText"/>
        <w:spacing w:line="219" w:lineRule="exact"/>
        <w:ind w:left="1914" w:right="1840"/>
      </w:pPr>
      <w:r>
        <w:rPr/>
        <w:t>2%</w:t>
      </w:r>
    </w:p>
    <w:p>
      <w:pPr>
        <w:pStyle w:val="BodyText"/>
        <w:rPr>
          <w:sz w:val="20"/>
        </w:rPr>
      </w:pPr>
    </w:p>
    <w:p>
      <w:pPr>
        <w:pStyle w:val="BodyText"/>
        <w:spacing w:before="5"/>
        <w:rPr>
          <w:sz w:val="27"/>
        </w:rPr>
      </w:pPr>
    </w:p>
    <w:p>
      <w:pPr>
        <w:pStyle w:val="BodyText"/>
        <w:spacing w:before="69"/>
        <w:ind w:left="5862"/>
      </w:pPr>
      <w:r>
        <w:rPr/>
        <w:pict>
          <v:group style="position:absolute;margin-left:108.728401pt;margin-top:-25.564156pt;width:168.4pt;height:179.5pt;mso-position-horizontal-relative:page;mso-position-vertical-relative:paragraph;z-index:4336" coordorigin="2175,-511" coordsize="3368,3590">
            <v:shape style="position:absolute;left:3966;top:-187;width:1576;height:2578" coordorigin="3966,-187" coordsize="1576,2578" path="m3966,-187l3966,1388,5182,2390,5229,2330,5273,2269,5313,2206,5350,2141,5384,2076,5415,2009,5442,1941,5466,1873,5486,1804,5504,1734,5518,1663,5529,1593,5536,1522,5540,1450,5542,1379,5540,1308,5534,1237,5526,1166,5514,1096,5500,1026,5482,957,5461,889,5436,822,5409,755,5379,690,5345,626,5309,563,5269,502,5227,443,5181,385,5132,329,5080,274,5026,222,4968,172,4906,124,4843,79,4777,38,4710,-1,4641,-35,4570,-67,4498,-95,4425,-119,4351,-140,4275,-157,4199,-170,4122,-180,4044,-185,3966,-187xe" filled="true" fillcolor="#4f81bc" stroked="false">
              <v:path arrowok="t"/>
              <v:fill type="solid"/>
            </v:shape>
            <v:shape style="position:absolute;left:2688;top:1504;width:2353;height:1576" coordorigin="2688,1504" coordsize="2353,1576" path="m3826,1504l2688,2593,2742,2647,2798,2697,2856,2745,2915,2789,2976,2831,3039,2869,3103,2904,3168,2936,3234,2964,3302,2990,3370,3012,3439,3031,3508,3047,3578,3060,3649,3069,3720,3076,3791,3079,3862,3079,3933,3075,4004,3069,4074,3059,4145,3047,4214,3031,4283,3011,4352,2989,4419,2963,4486,2934,4551,2902,4615,2867,4678,2828,4740,2787,4799,2742,4858,2693,4914,2642,4980,2575,5041,2505,3826,1504xe" filled="true" fillcolor="#c0504d" stroked="false">
              <v:path arrowok="t"/>
              <v:fill type="solid"/>
            </v:shape>
            <v:shape style="position:absolute;left:2175;top:-134;width:1576;height:2653" coordorigin="2175,-134" coordsize="1576,2653" path="m3555,-134l3479,-123,3405,-108,3332,-90,3261,-69,3192,-45,3124,-17,3058,13,2993,47,2931,83,2870,122,2811,163,2755,207,2701,254,2649,302,2599,353,2551,406,2506,462,2464,519,2424,578,2387,638,2353,701,2321,765,2292,831,2266,897,2244,966,2224,1035,2208,1106,2194,1178,2184,1250,2178,1324,2175,1398,2175,1473,2179,1548,2187,1624,2198,1701,2213,1778,2232,1853,2255,1927,2281,1999,2311,2071,2344,2140,2381,2208,2420,2275,2464,2339,2510,2401,2559,2461,2612,2519,3750,1429,3555,-134xe" filled="true" fillcolor="#9bba58" stroked="false">
              <v:path arrowok="t"/>
              <v:fill type="solid"/>
            </v:shape>
            <v:shape style="position:absolute;left:3604;top:-511;width:195;height:1575" coordorigin="3604,-511" coordsize="195,1575" path="m3799,-511l3750,-511,3701,-508,3653,-504,3604,-499,3799,1063,3799,-511xe" filled="true" fillcolor="#8063a1" stroked="false">
              <v:path arrowok="t"/>
              <v:fill type="solid"/>
            </v:shape>
            <v:shape style="position:absolute;left:2344;top:904;width:484;height:240" type="#_x0000_t202" filled="false" stroked="false">
              <v:textbox inset="0,0,0,0">
                <w:txbxContent>
                  <w:p>
                    <w:pPr>
                      <w:spacing w:line="240" w:lineRule="exact" w:before="0"/>
                      <w:ind w:left="0" w:right="-17" w:firstLine="0"/>
                      <w:jc w:val="left"/>
                      <w:rPr>
                        <w:sz w:val="24"/>
                      </w:rPr>
                    </w:pPr>
                    <w:r>
                      <w:rPr>
                        <w:sz w:val="24"/>
                      </w:rPr>
                      <w:t>35%</w:t>
                    </w:r>
                  </w:p>
                </w:txbxContent>
              </v:textbox>
              <w10:wrap type="none"/>
            </v:shape>
            <v:shape style="position:absolute;left:4819;top:739;width:484;height:241" type="#_x0000_t202" filled="false" stroked="false">
              <v:textbox inset="0,0,0,0">
                <w:txbxContent>
                  <w:p>
                    <w:pPr>
                      <w:spacing w:line="240" w:lineRule="exact" w:before="0"/>
                      <w:ind w:left="0" w:right="-17" w:firstLine="0"/>
                      <w:jc w:val="left"/>
                      <w:rPr>
                        <w:sz w:val="24"/>
                      </w:rPr>
                    </w:pPr>
                    <w:r>
                      <w:rPr>
                        <w:sz w:val="24"/>
                      </w:rPr>
                      <w:t>36%</w:t>
                    </w:r>
                  </w:p>
                </w:txbxContent>
              </v:textbox>
              <w10:wrap type="none"/>
            </v:shape>
            <v:shape style="position:absolute;left:3634;top:2704;width:484;height:240" type="#_x0000_t202" filled="false" stroked="false">
              <v:textbox inset="0,0,0,0">
                <w:txbxContent>
                  <w:p>
                    <w:pPr>
                      <w:spacing w:line="240" w:lineRule="exact" w:before="0"/>
                      <w:ind w:left="0" w:right="-17" w:firstLine="0"/>
                      <w:jc w:val="left"/>
                      <w:rPr>
                        <w:sz w:val="24"/>
                      </w:rPr>
                    </w:pPr>
                    <w:r>
                      <w:rPr>
                        <w:sz w:val="24"/>
                      </w:rPr>
                      <w:t>27%</w:t>
                    </w:r>
                  </w:p>
                </w:txbxContent>
              </v:textbox>
              <w10:wrap type="none"/>
            </v:shape>
            <w10:wrap type="none"/>
          </v:group>
        </w:pict>
      </w:r>
      <w:r>
        <w:rPr/>
        <w:pict>
          <v:rect style="position:absolute;margin-left:364.440002pt;margin-top:7.435845pt;width:6pt;height:6pt;mso-position-horizontal-relative:page;mso-position-vertical-relative:paragraph;z-index:4384" filled="true" fillcolor="#c0504d" stroked="false">
            <v:fill type="solid"/>
            <w10:wrap type="none"/>
          </v:rect>
        </w:pict>
      </w:r>
      <w:r>
        <w:rPr/>
        <w:t>A las 6 semanas de embarazo</w:t>
      </w:r>
    </w:p>
    <w:p>
      <w:pPr>
        <w:pStyle w:val="BodyText"/>
        <w:rPr>
          <w:sz w:val="20"/>
        </w:rPr>
      </w:pPr>
    </w:p>
    <w:p>
      <w:pPr>
        <w:pStyle w:val="BodyText"/>
        <w:rPr>
          <w:sz w:val="20"/>
        </w:rPr>
      </w:pPr>
    </w:p>
    <w:p>
      <w:pPr>
        <w:pStyle w:val="BodyText"/>
        <w:spacing w:before="5"/>
        <w:rPr>
          <w:sz w:val="21"/>
        </w:rPr>
      </w:pPr>
    </w:p>
    <w:p>
      <w:pPr>
        <w:pStyle w:val="BodyText"/>
        <w:spacing w:before="70"/>
        <w:ind w:left="5862"/>
      </w:pPr>
      <w:r>
        <w:rPr/>
        <w:pict>
          <v:rect style="position:absolute;margin-left:364.440002pt;margin-top:7.415855pt;width:6pt;height:6pt;mso-position-horizontal-relative:page;mso-position-vertical-relative:paragraph;z-index:4408" filled="true" fillcolor="#9bba58" stroked="false">
            <v:fill type="solid"/>
            <w10:wrap type="none"/>
          </v:rect>
        </w:pict>
      </w:r>
      <w:r>
        <w:rPr/>
        <w:t>A los 6 meses de nacido</w:t>
      </w:r>
    </w:p>
    <w:p>
      <w:pPr>
        <w:pStyle w:val="BodyText"/>
        <w:rPr>
          <w:sz w:val="20"/>
        </w:rPr>
      </w:pPr>
    </w:p>
    <w:p>
      <w:pPr>
        <w:pStyle w:val="BodyText"/>
        <w:rPr>
          <w:sz w:val="20"/>
        </w:rPr>
      </w:pPr>
    </w:p>
    <w:p>
      <w:pPr>
        <w:pStyle w:val="BodyText"/>
        <w:spacing w:before="6"/>
        <w:rPr>
          <w:sz w:val="21"/>
        </w:rPr>
      </w:pPr>
    </w:p>
    <w:p>
      <w:pPr>
        <w:pStyle w:val="BodyText"/>
        <w:spacing w:before="69"/>
        <w:ind w:left="5862"/>
      </w:pPr>
      <w:r>
        <w:rPr/>
        <w:pict>
          <v:rect style="position:absolute;margin-left:364.440002pt;margin-top:7.405856pt;width:6pt;height:6pt;mso-position-horizontal-relative:page;mso-position-vertical-relative:paragraph;z-index:4432" filled="true" fillcolor="#8063a1" stroked="false">
            <v:fill type="solid"/>
            <w10:wrap type="none"/>
          </v:rect>
        </w:pict>
      </w:r>
      <w:r>
        <w:rPr/>
        <w:t>A los 6 años de vida</w:t>
      </w:r>
    </w:p>
    <w:p>
      <w:pPr>
        <w:pStyle w:val="BodyText"/>
        <w:rPr>
          <w:sz w:val="20"/>
        </w:rPr>
      </w:pPr>
    </w:p>
    <w:p>
      <w:pPr>
        <w:pStyle w:val="BodyText"/>
        <w:rPr>
          <w:sz w:val="20"/>
        </w:rPr>
      </w:pPr>
    </w:p>
    <w:p>
      <w:pPr>
        <w:pStyle w:val="BodyText"/>
        <w:rPr>
          <w:sz w:val="20"/>
        </w:rPr>
      </w:pPr>
    </w:p>
    <w:p>
      <w:pPr>
        <w:pStyle w:val="BodyText"/>
        <w:spacing w:before="2"/>
        <w:rPr>
          <w:sz w:val="19"/>
        </w:rPr>
      </w:pPr>
    </w:p>
    <w:p>
      <w:pPr>
        <w:spacing w:before="77"/>
        <w:ind w:left="195" w:right="1840" w:firstLine="0"/>
        <w:jc w:val="left"/>
        <w:rPr>
          <w:sz w:val="18"/>
        </w:rPr>
      </w:pPr>
      <w:r>
        <w:rPr>
          <w:sz w:val="18"/>
        </w:rPr>
        <w:t>Fuente Directa</w:t>
      </w:r>
    </w:p>
    <w:p>
      <w:pPr>
        <w:spacing w:after="0"/>
        <w:jc w:val="left"/>
        <w:rPr>
          <w:sz w:val="18"/>
        </w:rPr>
        <w:sectPr>
          <w:pgSz w:w="12240" w:h="15840"/>
          <w:pgMar w:header="0" w:footer="1003" w:top="1360" w:bottom="1200" w:left="1600" w:right="1220"/>
        </w:sectPr>
      </w:pPr>
    </w:p>
    <w:p>
      <w:pPr>
        <w:pStyle w:val="BodyText"/>
        <w:tabs>
          <w:tab w:pos="516" w:val="left" w:leader="none"/>
          <w:tab w:pos="1200" w:val="left" w:leader="none"/>
          <w:tab w:pos="2456" w:val="left" w:leader="none"/>
          <w:tab w:pos="4192" w:val="left" w:leader="none"/>
          <w:tab w:pos="5236" w:val="left" w:leader="none"/>
          <w:tab w:pos="6211" w:val="left" w:leader="none"/>
          <w:tab w:pos="7600" w:val="left" w:leader="none"/>
          <w:tab w:pos="8328" w:val="left" w:leader="none"/>
          <w:tab w:pos="8798" w:val="left" w:leader="none"/>
        </w:tabs>
        <w:spacing w:line="362" w:lineRule="auto" w:before="54"/>
        <w:ind w:left="102" w:right="100"/>
      </w:pPr>
      <w:r>
        <w:rPr/>
        <w:t>El</w:t>
        <w:tab/>
        <w:t>56%</w:t>
        <w:tab/>
        <w:t>respondió</w:t>
        <w:tab/>
        <w:t>correctamente</w:t>
        <w:tab/>
        <w:t>cuantos</w:t>
        <w:tab/>
        <w:t>dientes</w:t>
        <w:tab/>
        <w:t>temporales</w:t>
        <w:tab/>
        <w:t>tiene</w:t>
        <w:tab/>
        <w:t>un</w:t>
        <w:tab/>
        <w:t>niño,</w:t>
      </w:r>
      <w:r>
        <w:rPr>
          <w:w w:val="100"/>
        </w:rPr>
        <w:t> </w:t>
      </w:r>
      <w:r>
        <w:rPr/>
        <w:t>representando la mitad de las gestantes y un 32% no lo sabe. (Ver gráfica</w:t>
      </w:r>
      <w:r>
        <w:rPr>
          <w:spacing w:val="-21"/>
        </w:rPr>
        <w:t> </w:t>
      </w:r>
      <w:r>
        <w:rPr/>
        <w:t>21)</w:t>
      </w:r>
    </w:p>
    <w:p>
      <w:pPr>
        <w:pStyle w:val="BodyText"/>
        <w:spacing w:before="2"/>
        <w:rPr>
          <w:sz w:val="21"/>
        </w:rPr>
      </w:pPr>
    </w:p>
    <w:p>
      <w:pPr>
        <w:pStyle w:val="Heading1"/>
        <w:spacing w:before="70"/>
        <w:ind w:left="4357" w:right="575" w:hanging="2189"/>
      </w:pPr>
      <w:r>
        <w:rPr/>
        <w:pict>
          <v:group style="position:absolute;margin-left:86.387062pt;margin-top:16.095861pt;width:186.15pt;height:183.75pt;mso-position-horizontal-relative:page;mso-position-vertical-relative:paragraph;z-index:-55408" coordorigin="1728,322" coordsize="3723,3675">
            <v:shape style="position:absolute;left:3710;top:384;width:1740;height:2483" coordorigin="3710,384" coordsize="1740,2483" path="m3710,384l3710,2124,5284,2867,5315,2798,5342,2728,5367,2658,5388,2588,5406,2517,5421,2446,5433,2374,5442,2303,5448,2232,5450,2160,5450,2089,5447,2018,5442,1948,5433,1878,5421,1808,5407,1739,5390,1671,5371,1603,5348,1537,5323,1471,5295,1406,5265,1343,5232,1280,5197,1219,5159,1160,5119,1102,5076,1045,5031,990,4983,937,4933,886,4881,836,4826,789,4769,743,4710,700,4649,659,4586,621,4520,584,4453,551,4383,519,4311,491,4239,466,4165,445,4091,426,4016,411,3940,400,3864,391,3787,386,3710,384xe" filled="true" fillcolor="#4f81bc" stroked="false">
              <v:path arrowok="t"/>
              <v:fill type="solid"/>
            </v:shape>
            <v:shape style="position:absolute;left:3700;top:2286;width:1573;height:1402" coordorigin="3700,2286" coordsize="1573,1402" path="m3700,2286l4729,3688,4791,3640,4851,3589,4909,3536,4964,3480,5016,3422,5066,3362,5113,3299,5157,3234,5199,3167,5237,3099,5272,3028,3700,2286xe" filled="true" fillcolor="#c0504d" stroked="false">
              <v:path arrowok="t"/>
              <v:fill type="solid"/>
            </v:shape>
            <v:shape style="position:absolute;left:1728;top:560;width:2769;height:3437" coordorigin="1728,560" coordsize="2769,3437" path="m3081,560l3008,578,2936,599,2866,623,2798,650,2731,680,2666,712,2602,746,2541,783,2481,823,2423,864,2367,908,2313,954,2261,1002,2211,1052,2164,1104,2118,1158,2075,1214,2034,1271,1995,1329,1959,1390,1925,1451,1894,1514,1865,1579,1839,1644,1815,1711,1795,1778,1776,1847,1761,1916,1749,1987,1739,2058,1732,2129,1728,2202,1728,2274,1730,2347,1736,2421,1744,2494,1756,2568,1771,2642,1790,2716,1811,2787,1835,2857,1862,2926,1891,2993,1923,3058,1958,3122,1995,3183,2034,3243,2076,3301,2120,3357,2166,3411,2214,3463,2264,3513,2316,3561,2369,3606,2425,3649,2482,3690,2541,3729,2601,3765,2662,3799,2725,3830,2790,3859,2855,3885,2922,3909,2989,3930,3058,3948,3127,3963,3197,3976,3268,3985,3340,3992,3412,3996,3485,3997,3558,3994,3631,3989,3705,3980,3778,3968,3852,3953,3929,3934,4005,3911,4080,3885,4153,3855,4225,3822,4296,3786,4364,3747,4431,3704,4496,3659,3467,2256,3081,560xe" filled="true" fillcolor="#9bba58" stroked="false">
              <v:path arrowok="t"/>
              <v:fill type="solid"/>
            </v:shape>
            <v:shape style="position:absolute;left:3192;top:322;width:386;height:1739" coordorigin="3192,322" coordsize="386,1739" path="m3577,322l3499,324,3422,329,3345,338,3268,350,3192,365,3577,2061,3577,322xe" filled="true" fillcolor="#8063a1" stroked="false">
              <v:path arrowok="t"/>
              <v:fill type="solid"/>
            </v:shape>
            <v:shape style="position:absolute;left:3292;top:475;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w:t>
                    </w:r>
                  </w:p>
                </w:txbxContent>
              </v:textbox>
              <w10:wrap type="none"/>
            </v:shape>
            <v:shape style="position:absolute;left:4747;top:1270;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32%</w:t>
                    </w:r>
                  </w:p>
                </w:txbxContent>
              </v:textbox>
              <w10:wrap type="none"/>
            </v:shape>
            <v:shape style="position:absolute;left:1987;top:2815;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56%</w:t>
                    </w:r>
                  </w:p>
                </w:txbxContent>
              </v:textbox>
              <w10:wrap type="none"/>
            </v:shape>
            <v:shape style="position:absolute;left:4732;top:3160;width:2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w:t>
                    </w:r>
                  </w:p>
                </w:txbxContent>
              </v:textbox>
              <w10:wrap type="none"/>
            </v:shape>
            <w10:wrap type="none"/>
          </v:group>
        </w:pict>
      </w:r>
      <w:r>
        <w:rPr/>
        <w:t>GRÁFICA. 21 SABE CUÁNTOS DIENTES TEMPORALES TIENE UN NIÑO?</w:t>
      </w:r>
    </w:p>
    <w:p>
      <w:pPr>
        <w:pStyle w:val="BodyText"/>
        <w:rPr>
          <w:b/>
          <w:sz w:val="20"/>
        </w:rPr>
      </w:pPr>
    </w:p>
    <w:p>
      <w:pPr>
        <w:pStyle w:val="BodyText"/>
        <w:rPr>
          <w:b/>
          <w:sz w:val="20"/>
        </w:rPr>
      </w:pPr>
    </w:p>
    <w:p>
      <w:pPr>
        <w:pStyle w:val="BodyText"/>
        <w:spacing w:before="6"/>
        <w:rPr>
          <w:b/>
          <w:sz w:val="27"/>
        </w:rPr>
      </w:pPr>
    </w:p>
    <w:p>
      <w:pPr>
        <w:pStyle w:val="BodyText"/>
        <w:tabs>
          <w:tab w:pos="6831" w:val="left" w:leader="none"/>
        </w:tabs>
        <w:spacing w:before="70"/>
        <w:ind w:left="5350"/>
      </w:pPr>
      <w:r>
        <w:rPr/>
        <w:pict>
          <v:rect style="position:absolute;margin-left:338.880005pt;margin-top:7.485869pt;width:6pt;height:6pt;mso-position-horizontal-relative:page;mso-position-vertical-relative:paragraph;z-index:4576" filled="true" fillcolor="#4f81bc" stroked="false">
            <v:fill type="solid"/>
            <w10:wrap type="none"/>
          </v:rect>
        </w:pict>
      </w:r>
      <w:r>
        <w:rPr/>
        <w:pict>
          <v:rect style="position:absolute;margin-left:412.799988pt;margin-top:7.485869pt;width:6.12pt;height:6pt;mso-position-horizontal-relative:page;mso-position-vertical-relative:paragraph;z-index:-55360" filled="true" fillcolor="#c0504d" stroked="false">
            <v:fill type="solid"/>
            <w10:wrap type="none"/>
          </v:rect>
        </w:pict>
      </w:r>
      <w:r>
        <w:rPr/>
        <w:t>No</w:t>
      </w:r>
      <w:r>
        <w:rPr>
          <w:spacing w:val="-3"/>
        </w:rPr>
        <w:t> </w:t>
      </w:r>
      <w:r>
        <w:rPr/>
        <w:t>sé</w:t>
        <w:tab/>
        <w:t>10</w:t>
      </w:r>
      <w:r>
        <w:rPr>
          <w:spacing w:val="-3"/>
        </w:rPr>
        <w:t> </w:t>
      </w:r>
      <w:r>
        <w:rPr/>
        <w:t>dientes</w:t>
      </w:r>
    </w:p>
    <w:p>
      <w:pPr>
        <w:pStyle w:val="BodyText"/>
        <w:rPr>
          <w:sz w:val="20"/>
        </w:rPr>
      </w:pPr>
    </w:p>
    <w:p>
      <w:pPr>
        <w:pStyle w:val="BodyText"/>
        <w:rPr>
          <w:sz w:val="20"/>
        </w:rPr>
      </w:pPr>
    </w:p>
    <w:p>
      <w:pPr>
        <w:pStyle w:val="BodyText"/>
        <w:rPr>
          <w:sz w:val="20"/>
        </w:rPr>
      </w:pPr>
    </w:p>
    <w:p>
      <w:pPr>
        <w:pStyle w:val="BodyText"/>
        <w:spacing w:before="1"/>
        <w:rPr>
          <w:sz w:val="16"/>
        </w:rPr>
      </w:pPr>
    </w:p>
    <w:p>
      <w:pPr>
        <w:pStyle w:val="BodyText"/>
        <w:tabs>
          <w:tab w:pos="6831" w:val="left" w:leader="none"/>
        </w:tabs>
        <w:spacing w:before="70"/>
        <w:ind w:left="5350"/>
      </w:pPr>
      <w:r>
        <w:rPr/>
        <w:pict>
          <v:rect style="position:absolute;margin-left:338.880005pt;margin-top:7.385871pt;width:6pt;height:6.12pt;mso-position-horizontal-relative:page;mso-position-vertical-relative:paragraph;z-index:4624" filled="true" fillcolor="#9bba58" stroked="false">
            <v:fill type="solid"/>
            <w10:wrap type="none"/>
          </v:rect>
        </w:pict>
      </w:r>
      <w:r>
        <w:rPr/>
        <w:pict>
          <v:rect style="position:absolute;margin-left:412.799988pt;margin-top:7.385871pt;width:6.12pt;height:6.12pt;mso-position-horizontal-relative:page;mso-position-vertical-relative:paragraph;z-index:-55312" filled="true" fillcolor="#8063a1" stroked="false">
            <v:fill type="solid"/>
            <w10:wrap type="none"/>
          </v:rect>
        </w:pict>
      </w:r>
      <w:r>
        <w:rPr/>
        <w:t>20</w:t>
      </w:r>
      <w:r>
        <w:rPr>
          <w:spacing w:val="-4"/>
        </w:rPr>
        <w:t> </w:t>
      </w:r>
      <w:r>
        <w:rPr/>
        <w:t>dientes</w:t>
        <w:tab/>
        <w:t>32</w:t>
      </w:r>
      <w:r>
        <w:rPr>
          <w:spacing w:val="-3"/>
        </w:rPr>
        <w:t> </w:t>
      </w:r>
      <w:r>
        <w:rPr/>
        <w:t>dientes</w:t>
      </w:r>
    </w:p>
    <w:p>
      <w:pPr>
        <w:pStyle w:val="BodyText"/>
        <w:rPr>
          <w:sz w:val="20"/>
        </w:rPr>
      </w:pPr>
    </w:p>
    <w:p>
      <w:pPr>
        <w:pStyle w:val="BodyText"/>
        <w:rPr>
          <w:sz w:val="20"/>
        </w:rPr>
      </w:pPr>
    </w:p>
    <w:p>
      <w:pPr>
        <w:pStyle w:val="BodyText"/>
        <w:rPr>
          <w:sz w:val="20"/>
        </w:rPr>
      </w:pPr>
    </w:p>
    <w:p>
      <w:pPr>
        <w:pStyle w:val="BodyText"/>
        <w:spacing w:before="1"/>
        <w:rPr>
          <w:sz w:val="28"/>
        </w:rPr>
      </w:pPr>
    </w:p>
    <w:p>
      <w:pPr>
        <w:spacing w:before="77"/>
        <w:ind w:left="0" w:right="1392" w:firstLine="0"/>
        <w:jc w:val="right"/>
        <w:rPr>
          <w:sz w:val="18"/>
        </w:rPr>
      </w:pPr>
      <w:r>
        <w:rPr>
          <w:sz w:val="18"/>
        </w:rPr>
        <w:t>Fuente Directa</w:t>
      </w:r>
    </w:p>
    <w:p>
      <w:pPr>
        <w:pStyle w:val="BodyText"/>
        <w:spacing w:before="8"/>
        <w:rPr>
          <w:sz w:val="25"/>
        </w:rPr>
      </w:pPr>
    </w:p>
    <w:p>
      <w:pPr>
        <w:pStyle w:val="BodyText"/>
        <w:spacing w:line="360" w:lineRule="auto" w:before="70"/>
        <w:ind w:left="102" w:right="107"/>
        <w:jc w:val="both"/>
      </w:pPr>
      <w:r>
        <w:rPr/>
        <w:t>El 82 % de las madres encuestadas tienen conocimiento correcto sobre el nombre de la dentición infantil, solo un 3 % de ellas menciono que se le domina dentición permanente lo cual es erróneo.(Ver grafica 22)</w:t>
      </w:r>
    </w:p>
    <w:p>
      <w:pPr>
        <w:pStyle w:val="Heading1"/>
        <w:spacing w:before="157"/>
        <w:ind w:left="1656"/>
      </w:pPr>
      <w:r>
        <w:rPr/>
        <w:t>GRÁFICA 22. LA DENTICIÓN INFANTIL SE DENOMINA</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02"/>
        <w:ind w:left="5878" w:right="1840"/>
      </w:pPr>
      <w:r>
        <w:rPr/>
        <w:pict>
          <v:group style="position:absolute;margin-left:138.119995pt;margin-top:-8.934143pt;width:182.75pt;height:179.9pt;mso-position-horizontal-relative:page;mso-position-vertical-relative:paragraph;z-index:4744" coordorigin="2762,-179" coordsize="3655,3598">
            <v:shape style="position:absolute;left:4588;top:-179;width:1279;height:1580" coordorigin="4588,-179" coordsize="1279,1580" path="m4588,-179l4588,1401,5866,474,5817,411,5766,350,5712,293,5656,238,5597,187,5536,138,5472,93,5407,51,5340,12,5270,-23,5199,-55,5127,-84,5053,-108,4978,-130,4902,-147,4824,-161,4746,-171,4667,-177,4588,-179xe" filled="true" fillcolor="#4f81bc" stroked="false">
              <v:path arrowok="t"/>
              <v:fill type="solid"/>
            </v:shape>
            <v:shape style="position:absolute;left:4691;top:569;width:1419;height:926" coordorigin="4691,569" coordsize="1419,926" path="m5969,569l4691,1495,6109,804,6078,743,6044,684,6008,626,5969,569xe" filled="true" fillcolor="#c0504d" stroked="false">
              <v:path arrowok="t"/>
              <v:fill type="solid"/>
            </v:shape>
            <v:shape style="position:absolute;left:2762;top:261;width:3156;height:3159" coordorigin="2762,261" coordsize="3156,3159" path="m4340,261l4264,262,4188,268,4114,277,4041,289,3968,305,3897,324,3828,346,3760,371,3693,399,3628,430,3565,464,3503,501,3443,540,3386,582,3330,627,3276,674,3225,723,3175,775,3128,828,3084,884,3042,942,3003,1002,2966,1063,2932,1127,2901,1192,2873,1259,2848,1327,2825,1396,2807,1467,2791,1540,2779,1613,2770,1688,2764,1763,2762,1840,2764,1916,2770,1992,2779,2066,2791,2140,2807,2212,2825,2283,2848,2353,2873,2421,2901,2488,2932,2553,2966,2616,3003,2678,3042,2737,3084,2795,3128,2851,3175,2905,3225,2956,3276,3006,3330,3053,3386,3097,3443,3139,3503,3179,3565,3215,3628,3249,3693,3280,3760,3309,3828,3334,3897,3356,3968,3375,4041,3390,4114,3403,4188,3412,4264,3417,4340,3419,4417,3417,4492,3412,4567,3403,4640,3390,4712,3375,4783,3356,4853,3334,4921,3309,4988,3280,5053,3249,5116,3215,5178,3179,5237,3139,5295,3097,5351,3053,5405,3006,5456,2956,5505,2905,5552,2851,5597,2795,5639,2737,5678,2678,5715,2616,5749,2553,5780,2488,5808,2421,5833,2353,5855,2283,5874,2212,5890,2140,5902,2066,5911,1992,5917,1916,5918,1840,4340,1840,4340,261xm5759,1149l4340,1840,5918,1840,5916,1760,5910,1681,5900,1602,5887,1524,5869,1447,5847,1370,5822,1295,5792,1221,5759,1149xe" filled="true" fillcolor="#9bba58" stroked="false">
              <v:path arrowok="t"/>
              <v:fill type="solid"/>
            </v:shape>
            <v:shape style="position:absolute;left:4897;top:170;width:484;height:240" type="#_x0000_t202" filled="false" stroked="false">
              <v:textbox inset="0,0,0,0">
                <w:txbxContent>
                  <w:p>
                    <w:pPr>
                      <w:spacing w:line="240" w:lineRule="exact" w:before="0"/>
                      <w:ind w:left="0" w:right="-17" w:firstLine="0"/>
                      <w:jc w:val="left"/>
                      <w:rPr>
                        <w:sz w:val="24"/>
                      </w:rPr>
                    </w:pPr>
                    <w:r>
                      <w:rPr>
                        <w:sz w:val="24"/>
                      </w:rPr>
                      <w:t>15%</w:t>
                    </w:r>
                  </w:p>
                </w:txbxContent>
              </v:textbox>
              <w10:wrap type="none"/>
            </v:shape>
            <v:shape style="position:absolute;left:6068;top:410;width:349;height:240" type="#_x0000_t202" filled="false" stroked="false">
              <v:textbox inset="0,0,0,0">
                <w:txbxContent>
                  <w:p>
                    <w:pPr>
                      <w:spacing w:line="240" w:lineRule="exact" w:before="0"/>
                      <w:ind w:left="0" w:right="-18" w:firstLine="0"/>
                      <w:jc w:val="left"/>
                      <w:rPr>
                        <w:sz w:val="24"/>
                      </w:rPr>
                    </w:pPr>
                    <w:r>
                      <w:rPr>
                        <w:sz w:val="24"/>
                      </w:rPr>
                      <w:t>3%</w:t>
                    </w:r>
                  </w:p>
                </w:txbxContent>
              </v:textbox>
              <w10:wrap type="none"/>
            </v:shape>
            <v:shape style="position:absolute;left:3352;top:2675;width:484;height:240" type="#_x0000_t202" filled="false" stroked="false">
              <v:textbox inset="0,0,0,0">
                <w:txbxContent>
                  <w:p>
                    <w:pPr>
                      <w:spacing w:line="240" w:lineRule="exact" w:before="0"/>
                      <w:ind w:left="0" w:right="-17" w:firstLine="0"/>
                      <w:jc w:val="left"/>
                      <w:rPr>
                        <w:sz w:val="24"/>
                      </w:rPr>
                    </w:pPr>
                    <w:r>
                      <w:rPr>
                        <w:sz w:val="24"/>
                      </w:rPr>
                      <w:t>82%</w:t>
                    </w:r>
                  </w:p>
                </w:txbxContent>
              </v:textbox>
              <w10:wrap type="none"/>
            </v:shape>
            <w10:wrap type="none"/>
          </v:group>
        </w:pict>
      </w:r>
      <w:r>
        <w:rPr/>
        <w:pict>
          <v:rect style="position:absolute;margin-left:365.279999pt;margin-top:14.105857pt;width:6pt;height:6pt;mso-position-horizontal-relative:page;mso-position-vertical-relative:paragraph;z-index:4768" filled="true" fillcolor="#4f81bc" stroked="false">
            <v:fill type="solid"/>
            <w10:wrap type="none"/>
          </v:rect>
        </w:pict>
      </w:r>
      <w:r>
        <w:rPr/>
        <w:t>No sé</w:t>
      </w:r>
    </w:p>
    <w:p>
      <w:pPr>
        <w:pStyle w:val="BodyText"/>
        <w:rPr>
          <w:sz w:val="20"/>
        </w:rPr>
      </w:pPr>
    </w:p>
    <w:p>
      <w:pPr>
        <w:pStyle w:val="BodyText"/>
        <w:rPr>
          <w:sz w:val="20"/>
        </w:rPr>
      </w:pPr>
    </w:p>
    <w:p>
      <w:pPr>
        <w:pStyle w:val="BodyText"/>
        <w:rPr>
          <w:sz w:val="20"/>
        </w:rPr>
      </w:pPr>
    </w:p>
    <w:p>
      <w:pPr>
        <w:pStyle w:val="BodyText"/>
        <w:spacing w:before="3"/>
        <w:rPr>
          <w:sz w:val="18"/>
        </w:rPr>
      </w:pPr>
    </w:p>
    <w:p>
      <w:pPr>
        <w:pStyle w:val="BodyText"/>
        <w:spacing w:before="70"/>
        <w:ind w:left="5878" w:right="1840"/>
      </w:pPr>
      <w:r>
        <w:rPr/>
        <w:pict>
          <v:rect style="position:absolute;margin-left:365.279999pt;margin-top:7.455855pt;width:6pt;height:6pt;mso-position-horizontal-relative:page;mso-position-vertical-relative:paragraph;z-index:4792" filled="true" fillcolor="#c0504d" stroked="false">
            <v:fill type="solid"/>
            <w10:wrap type="none"/>
          </v:rect>
        </w:pict>
      </w:r>
      <w:r>
        <w:rPr/>
        <w:t>Permanente</w:t>
      </w:r>
    </w:p>
    <w:p>
      <w:pPr>
        <w:pStyle w:val="BodyText"/>
        <w:rPr>
          <w:sz w:val="20"/>
        </w:rPr>
      </w:pPr>
    </w:p>
    <w:p>
      <w:pPr>
        <w:pStyle w:val="BodyText"/>
        <w:rPr>
          <w:sz w:val="20"/>
        </w:rPr>
      </w:pPr>
    </w:p>
    <w:p>
      <w:pPr>
        <w:pStyle w:val="BodyText"/>
        <w:rPr>
          <w:sz w:val="20"/>
        </w:rPr>
      </w:pPr>
    </w:p>
    <w:p>
      <w:pPr>
        <w:pStyle w:val="BodyText"/>
        <w:spacing w:before="3"/>
        <w:rPr>
          <w:sz w:val="18"/>
        </w:rPr>
      </w:pPr>
    </w:p>
    <w:p>
      <w:pPr>
        <w:pStyle w:val="BodyText"/>
        <w:spacing w:before="70"/>
        <w:ind w:left="5878"/>
      </w:pPr>
      <w:r>
        <w:rPr/>
        <w:pict>
          <v:rect style="position:absolute;margin-left:365.279999pt;margin-top:7.435852pt;width:6pt;height:6pt;mso-position-horizontal-relative:page;mso-position-vertical-relative:paragraph;z-index:4816" filled="true" fillcolor="#9bba58" stroked="false">
            <v:fill type="solid"/>
            <w10:wrap type="none"/>
          </v:rect>
        </w:pict>
      </w:r>
      <w:r>
        <w:rPr/>
        <w:t>Temporal o de leche</w:t>
      </w:r>
    </w:p>
    <w:p>
      <w:pPr>
        <w:pStyle w:val="BodyText"/>
        <w:rPr>
          <w:sz w:val="20"/>
        </w:rPr>
      </w:pPr>
    </w:p>
    <w:p>
      <w:pPr>
        <w:pStyle w:val="BodyText"/>
        <w:rPr>
          <w:sz w:val="20"/>
        </w:rPr>
      </w:pPr>
    </w:p>
    <w:p>
      <w:pPr>
        <w:pStyle w:val="BodyText"/>
        <w:spacing w:before="2"/>
        <w:rPr>
          <w:sz w:val="16"/>
        </w:rPr>
      </w:pPr>
    </w:p>
    <w:p>
      <w:pPr>
        <w:spacing w:before="77"/>
        <w:ind w:left="965" w:right="1753" w:firstLine="0"/>
        <w:jc w:val="center"/>
        <w:rPr>
          <w:sz w:val="18"/>
        </w:rPr>
      </w:pPr>
      <w:r>
        <w:rPr>
          <w:sz w:val="18"/>
        </w:rPr>
        <w:t>Fuente Directa</w:t>
      </w:r>
    </w:p>
    <w:p>
      <w:pPr>
        <w:spacing w:after="0"/>
        <w:jc w:val="center"/>
        <w:rPr>
          <w:sz w:val="18"/>
        </w:rPr>
        <w:sectPr>
          <w:footerReference w:type="default" r:id="rId22"/>
          <w:pgSz w:w="12240" w:h="15840"/>
          <w:pgMar w:footer="1003" w:header="0" w:top="1360" w:bottom="1200" w:left="1600" w:right="1220"/>
        </w:sectPr>
      </w:pPr>
    </w:p>
    <w:p>
      <w:pPr>
        <w:pStyle w:val="BodyText"/>
        <w:spacing w:line="362" w:lineRule="auto" w:before="54"/>
        <w:ind w:left="242" w:right="65"/>
      </w:pPr>
      <w:r>
        <w:rPr/>
        <w:t>El 72 % de las gestantes saben que los dientes permanentes comienzan a erupcionar a los 6 años de edad. (Ver gráfica 23)</w:t>
      </w:r>
    </w:p>
    <w:p>
      <w:pPr>
        <w:pStyle w:val="BodyText"/>
        <w:spacing w:before="8"/>
        <w:rPr>
          <w:sz w:val="14"/>
        </w:rPr>
      </w:pPr>
    </w:p>
    <w:p>
      <w:pPr>
        <w:pStyle w:val="Heading1"/>
        <w:spacing w:before="69"/>
        <w:ind w:left="4325" w:right="65" w:hanging="2276"/>
      </w:pPr>
      <w:r>
        <w:rPr/>
        <w:t>GRÁFICA 23. A QUÉ EDAD ERUPCIONAN LOS DIENTES PERMANENTES</w:t>
      </w:r>
    </w:p>
    <w:p>
      <w:pPr>
        <w:pStyle w:val="BodyText"/>
        <w:spacing w:before="1"/>
        <w:rPr>
          <w:b/>
          <w:sz w:val="18"/>
        </w:rPr>
      </w:pPr>
    </w:p>
    <w:p>
      <w:pPr>
        <w:pStyle w:val="BodyText"/>
        <w:spacing w:line="250" w:lineRule="exact" w:before="70"/>
        <w:ind w:left="6074" w:right="1197"/>
      </w:pPr>
      <w:r>
        <w:rPr/>
        <w:t>3%</w:t>
      </w:r>
    </w:p>
    <w:p>
      <w:pPr>
        <w:pStyle w:val="BodyText"/>
        <w:spacing w:line="250" w:lineRule="exact"/>
        <w:ind w:left="1936" w:right="1197"/>
      </w:pPr>
      <w:r>
        <w:rPr/>
        <w:pict>
          <v:group style="position:absolute;margin-left:306.108368pt;margin-top:3.406461pt;width:182.05pt;height:182.7pt;mso-position-horizontal-relative:page;mso-position-vertical-relative:paragraph;z-index:4912" coordorigin="6122,68" coordsize="3641,3654">
            <v:shape style="position:absolute;left:7980;top:87;width:1626;height:1734" coordorigin="7980,87" coordsize="1626,1734" path="m7980,87l7980,1821,9606,1221,9577,1149,9546,1078,9512,1010,9474,944,9435,879,9392,817,9348,756,9300,698,9251,642,9199,589,9145,538,9089,489,9031,442,8971,399,8909,357,8845,319,8780,283,8713,250,8645,220,8576,193,8505,169,8433,147,8360,129,8285,114,8210,103,8134,94,8057,89,7980,87xe" filled="true" fillcolor="#4f81bc" stroked="false">
              <v:path arrowok="t"/>
              <v:fill type="solid"/>
            </v:shape>
            <v:shape style="position:absolute;left:8030;top:1300;width:1733;height:633" coordorigin="8030,1300" coordsize="1733,633" path="m9656,1300l8030,1901,9763,1933,9762,1852,9758,1771,9751,1691,9739,1611,9724,1532,9705,1454,9682,1376,9656,1300xe" filled="true" fillcolor="#c0504d" stroked="false">
              <v:path arrowok="t"/>
              <v:fill type="solid"/>
            </v:shape>
            <v:shape style="position:absolute;left:6122;top:289;width:3466;height:3432" coordorigin="6122,289" coordsize="3466,3432" path="m7513,289l7440,306,7368,325,7297,347,7228,372,7161,400,7095,430,7031,463,6969,499,6908,536,6850,576,6793,619,6738,663,6685,710,6634,758,6585,809,6539,861,6494,915,6452,971,6412,1029,6375,1088,6339,1148,6307,1210,6276,1274,6249,1338,6224,1404,6201,1471,6181,1539,6164,1607,6150,1677,6139,1747,6130,1819,6125,1890,6122,1963,6123,2035,6126,2109,6133,2182,6143,2256,6156,2330,6173,2404,6192,2475,6214,2546,6239,2615,6267,2682,6297,2748,6330,2812,6366,2874,6403,2935,6443,2994,6486,3050,6530,3105,6577,3158,6625,3209,6676,3258,6728,3305,6782,3349,6838,3391,6896,3431,6955,3469,7015,3504,7077,3537,7141,3567,7205,3595,7271,3620,7338,3642,7406,3662,7474,3679,7544,3693,7614,3705,7686,3713,7757,3719,7830,3721,7903,3721,7976,3717,8049,3710,8123,3700,8197,3687,8271,3670,8344,3651,8415,3628,8485,3603,8553,3574,8620,3543,8685,3509,8749,3473,8810,3434,8870,3393,8928,3349,8983,3303,9037,3255,9089,3205,9138,3153,9186,3098,9231,3042,9273,2984,9313,2924,9351,2863,9386,2799,9419,2735,9449,2669,9476,2601,9500,2532,9522,2462,9541,2391,9556,2319,9569,2245,9578,2171,9585,2096,9588,2020,7855,1988,7513,289xe" filled="true" fillcolor="#9bba58" stroked="false">
              <v:path arrowok="t"/>
              <v:fill type="solid"/>
            </v:shape>
            <v:shape style="position:absolute;left:7556;top:68;width:342;height:1733" coordorigin="7556,68" coordsize="342,1733" path="m7898,68l7812,70,7727,77,7641,87,7556,102,7898,1801,7898,68xe" filled="true" fillcolor="#8063a1" stroked="false">
              <v:path arrowok="t"/>
              <v:fill type="solid"/>
            </v:shape>
            <v:shape style="position:absolute;left:8539;top:576;width:484;height:240" type="#_x0000_t202" filled="false" stroked="false">
              <v:textbox inset="0,0,0,0">
                <w:txbxContent>
                  <w:p>
                    <w:pPr>
                      <w:spacing w:line="240" w:lineRule="exact" w:before="0"/>
                      <w:ind w:left="0" w:right="-17" w:firstLine="0"/>
                      <w:jc w:val="left"/>
                      <w:rPr>
                        <w:sz w:val="24"/>
                      </w:rPr>
                    </w:pPr>
                    <w:r>
                      <w:rPr>
                        <w:sz w:val="24"/>
                      </w:rPr>
                      <w:t>19%</w:t>
                    </w:r>
                  </w:p>
                </w:txbxContent>
              </v:textbox>
              <w10:wrap type="none"/>
            </v:shape>
            <v:shape style="position:absolute;left:9289;top:1566;width:349;height:240" type="#_x0000_t202" filled="false" stroked="false">
              <v:textbox inset="0,0,0,0">
                <w:txbxContent>
                  <w:p>
                    <w:pPr>
                      <w:spacing w:line="240" w:lineRule="exact" w:before="0"/>
                      <w:ind w:left="0" w:right="-18" w:firstLine="0"/>
                      <w:jc w:val="left"/>
                      <w:rPr>
                        <w:sz w:val="24"/>
                      </w:rPr>
                    </w:pPr>
                    <w:r>
                      <w:rPr>
                        <w:sz w:val="24"/>
                      </w:rPr>
                      <w:t>6%</w:t>
                    </w:r>
                  </w:p>
                </w:txbxContent>
              </v:textbox>
              <w10:wrap type="none"/>
            </v:shape>
            <v:shape style="position:absolute;left:6663;top:2871;width:484;height:240" type="#_x0000_t202" filled="false" stroked="false">
              <v:textbox inset="0,0,0,0">
                <w:txbxContent>
                  <w:p>
                    <w:pPr>
                      <w:spacing w:line="240" w:lineRule="exact" w:before="0"/>
                      <w:ind w:left="0" w:right="-17" w:firstLine="0"/>
                      <w:jc w:val="left"/>
                      <w:rPr>
                        <w:sz w:val="24"/>
                      </w:rPr>
                    </w:pPr>
                    <w:r>
                      <w:rPr>
                        <w:sz w:val="24"/>
                      </w:rPr>
                      <w:t>72%</w:t>
                    </w:r>
                  </w:p>
                </w:txbxContent>
              </v:textbox>
              <w10:wrap type="none"/>
            </v:shape>
            <w10:wrap type="none"/>
          </v:group>
        </w:pict>
      </w:r>
      <w:r>
        <w:rPr/>
        <w:pict>
          <v:rect style="position:absolute;margin-left:161.160004pt;margin-top:2.686461pt;width:6pt;height:6pt;mso-position-horizontal-relative:page;mso-position-vertical-relative:paragraph;z-index:4936" filled="true" fillcolor="#4f81bc" stroked="false">
            <v:fill type="solid"/>
            <w10:wrap type="none"/>
          </v:rect>
        </w:pict>
      </w:r>
      <w:r>
        <w:rPr/>
        <w:t>No sé</w:t>
      </w:r>
    </w:p>
    <w:p>
      <w:pPr>
        <w:pStyle w:val="BodyText"/>
        <w:rPr>
          <w:sz w:val="20"/>
        </w:rPr>
      </w:pPr>
    </w:p>
    <w:p>
      <w:pPr>
        <w:pStyle w:val="BodyText"/>
        <w:rPr>
          <w:sz w:val="20"/>
        </w:rPr>
      </w:pPr>
    </w:p>
    <w:p>
      <w:pPr>
        <w:pStyle w:val="BodyText"/>
        <w:spacing w:before="10"/>
        <w:rPr>
          <w:sz w:val="25"/>
        </w:rPr>
      </w:pPr>
    </w:p>
    <w:p>
      <w:pPr>
        <w:pStyle w:val="BodyText"/>
        <w:spacing w:before="69"/>
        <w:ind w:left="1936" w:right="1197"/>
      </w:pPr>
      <w:r>
        <w:rPr/>
        <w:pict>
          <v:rect style="position:absolute;margin-left:161.160004pt;margin-top:7.385864pt;width:6pt;height:6pt;mso-position-horizontal-relative:page;mso-position-vertical-relative:paragraph;z-index:4960" filled="true" fillcolor="#c0504d" stroked="false">
            <v:fill type="solid"/>
            <w10:wrap type="none"/>
          </v:rect>
        </w:pict>
      </w:r>
      <w:r>
        <w:rPr/>
        <w:t>Al año de edad</w:t>
      </w:r>
    </w:p>
    <w:p>
      <w:pPr>
        <w:pStyle w:val="BodyText"/>
        <w:rPr>
          <w:sz w:val="20"/>
        </w:rPr>
      </w:pPr>
    </w:p>
    <w:p>
      <w:pPr>
        <w:pStyle w:val="BodyText"/>
        <w:rPr>
          <w:sz w:val="20"/>
        </w:rPr>
      </w:pPr>
    </w:p>
    <w:p>
      <w:pPr>
        <w:pStyle w:val="BodyText"/>
        <w:spacing w:before="10"/>
        <w:rPr>
          <w:sz w:val="25"/>
        </w:rPr>
      </w:pPr>
    </w:p>
    <w:p>
      <w:pPr>
        <w:pStyle w:val="BodyText"/>
        <w:spacing w:before="69"/>
        <w:ind w:left="1936" w:right="1197"/>
      </w:pPr>
      <w:r>
        <w:rPr/>
        <w:pict>
          <v:rect style="position:absolute;margin-left:161.160004pt;margin-top:7.31587pt;width:6pt;height:6.12pt;mso-position-horizontal-relative:page;mso-position-vertical-relative:paragraph;z-index:4984" filled="true" fillcolor="#9bba58" stroked="false">
            <v:fill type="solid"/>
            <w10:wrap type="none"/>
          </v:rect>
        </w:pict>
      </w:r>
      <w:r>
        <w:rPr/>
        <w:t>A los 6 años</w:t>
      </w:r>
    </w:p>
    <w:p>
      <w:pPr>
        <w:pStyle w:val="BodyText"/>
        <w:rPr>
          <w:sz w:val="20"/>
        </w:rPr>
      </w:pPr>
    </w:p>
    <w:p>
      <w:pPr>
        <w:pStyle w:val="BodyText"/>
        <w:rPr>
          <w:sz w:val="20"/>
        </w:rPr>
      </w:pPr>
    </w:p>
    <w:p>
      <w:pPr>
        <w:pStyle w:val="BodyText"/>
        <w:spacing w:before="9"/>
        <w:rPr>
          <w:sz w:val="25"/>
        </w:rPr>
      </w:pPr>
    </w:p>
    <w:p>
      <w:pPr>
        <w:pStyle w:val="BodyText"/>
        <w:spacing w:before="70"/>
        <w:ind w:left="1936" w:right="1197"/>
      </w:pPr>
      <w:r>
        <w:rPr/>
        <w:pict>
          <v:rect style="position:absolute;margin-left:161.160004pt;margin-top:7.435865pt;width:6pt;height:6pt;mso-position-horizontal-relative:page;mso-position-vertical-relative:paragraph;z-index:5008" filled="true" fillcolor="#8063a1" stroked="false">
            <v:fill type="solid"/>
            <w10:wrap type="none"/>
          </v:rect>
        </w:pict>
      </w:r>
      <w:r>
        <w:rPr/>
        <w:t>18 años</w:t>
      </w:r>
    </w:p>
    <w:p>
      <w:pPr>
        <w:pStyle w:val="BodyText"/>
        <w:spacing w:before="3"/>
        <w:rPr>
          <w:sz w:val="18"/>
        </w:rPr>
      </w:pPr>
    </w:p>
    <w:p>
      <w:pPr>
        <w:spacing w:before="77"/>
        <w:ind w:left="0" w:right="1056" w:firstLine="0"/>
        <w:jc w:val="right"/>
        <w:rPr>
          <w:sz w:val="18"/>
        </w:rPr>
      </w:pPr>
      <w:r>
        <w:rPr>
          <w:sz w:val="18"/>
        </w:rPr>
        <w:t>Fuente Directa</w:t>
      </w:r>
    </w:p>
    <w:p>
      <w:pPr>
        <w:pStyle w:val="BodyText"/>
        <w:spacing w:before="9"/>
        <w:rPr>
          <w:sz w:val="27"/>
        </w:rPr>
      </w:pPr>
    </w:p>
    <w:p>
      <w:pPr>
        <w:pStyle w:val="BodyText"/>
        <w:spacing w:line="360" w:lineRule="auto" w:before="70"/>
        <w:ind w:left="242" w:right="100"/>
        <w:jc w:val="both"/>
      </w:pPr>
      <w:r>
        <w:rPr/>
        <w:t>El 69% de las gestantes que participación en este estudio sabe correctamente que los dientes de un bebé erupcionan a partir de los 6 meses de nacido. Ninguna de las encuestadas no lo supo. (Ver gráfica 24)</w:t>
      </w:r>
    </w:p>
    <w:p>
      <w:pPr>
        <w:pStyle w:val="BodyText"/>
        <w:spacing w:before="2"/>
        <w:rPr>
          <w:sz w:val="9"/>
        </w:rPr>
      </w:pPr>
    </w:p>
    <w:p>
      <w:pPr>
        <w:pStyle w:val="Heading1"/>
        <w:spacing w:before="69"/>
        <w:ind w:left="2984" w:right="1197" w:hanging="611"/>
      </w:pPr>
      <w:r>
        <w:rPr/>
        <w:t>GRÁFICA 24. ¿SABE CUANDO ERUPIONAN LOS DIENTES TEMPORALES DE UN NIÑO?</w:t>
      </w:r>
    </w:p>
    <w:p>
      <w:pPr>
        <w:spacing w:before="116"/>
        <w:ind w:left="3018" w:right="1197" w:firstLine="0"/>
        <w:jc w:val="left"/>
        <w:rPr>
          <w:rFonts w:ascii="Calibri"/>
          <w:sz w:val="20"/>
        </w:rPr>
      </w:pPr>
      <w:r>
        <w:rPr>
          <w:rFonts w:ascii="Calibri"/>
          <w:sz w:val="20"/>
        </w:rPr>
        <w:t>0%</w:t>
      </w:r>
    </w:p>
    <w:p>
      <w:pPr>
        <w:pStyle w:val="BodyText"/>
        <w:rPr>
          <w:rFonts w:ascii="Calibri"/>
          <w:sz w:val="20"/>
        </w:rPr>
      </w:pPr>
    </w:p>
    <w:p>
      <w:pPr>
        <w:pStyle w:val="BodyText"/>
        <w:spacing w:before="7"/>
        <w:rPr>
          <w:rFonts w:ascii="Calibri"/>
          <w:sz w:val="22"/>
        </w:rPr>
      </w:pPr>
    </w:p>
    <w:p>
      <w:pPr>
        <w:pStyle w:val="BodyText"/>
        <w:spacing w:before="70"/>
        <w:ind w:left="5522" w:right="3370"/>
        <w:jc w:val="center"/>
      </w:pPr>
      <w:r>
        <w:rPr/>
        <w:pict>
          <v:group style="position:absolute;margin-left:78.375pt;margin-top:-22.374147pt;width:230.2pt;height:189.5pt;mso-position-horizontal-relative:page;mso-position-vertical-relative:paragraph;z-index:5128" coordorigin="1568,-447" coordsize="4604,3790">
            <v:shape style="position:absolute;left:3160;top:-95;width:3011;height:3123" coordorigin="3160,-95" coordsize="3011,3123" path="m4609,-95l4609,1467,3160,2048,3190,2117,3223,2185,3259,2250,3297,2313,3338,2373,3381,2431,3427,2487,3476,2540,3526,2591,3579,2640,3633,2685,3689,2728,3748,2769,3807,2806,3869,2841,3932,2873,3996,2902,4061,2928,4128,2952,4195,2972,4264,2989,4333,3003,4403,3014,4474,3022,4545,3027,4617,3028,4689,3026,4761,3021,4833,3012,4905,3000,4977,2984,5048,2965,5120,2942,5191,2915,5260,2885,5327,2853,5393,2817,5455,2779,5516,2738,5574,2694,5630,2648,5683,2600,5734,2550,5782,2497,5828,2443,5871,2386,5911,2328,5949,2268,5984,2207,6016,2144,6045,2080,6071,2014,6094,1948,6115,1880,6132,1812,6146,1742,6157,1672,6165,1602,6169,1531,6171,1459,6169,1387,6163,1315,6155,1243,6142,1171,6127,1099,6107,1027,6085,956,6058,885,6028,815,5995,747,5958,681,5919,617,5877,556,5833,497,5785,440,5736,386,5684,334,5629,285,5573,238,5514,194,5453,153,5391,115,5326,80,5260,48,5193,18,5124,-7,5054,-30,4982,-50,4909,-66,4836,-78,4761,-87,4685,-93,4609,-95xe" filled="true" fillcolor="#c0504d" stroked="false">
              <v:path arrowok="t"/>
              <v:fill type="solid"/>
            </v:shape>
            <v:shape style="position:absolute;left:2662;top:423;width:1562;height:1568" coordorigin="2662,423" coordsize="1562,1568" path="m3012,423l2965,484,2921,547,2881,612,2843,678,2810,745,2779,814,2752,884,2729,956,2709,1028,2692,1101,2679,1174,2670,1248,2664,1323,2662,1398,2663,1473,2668,1548,2676,1623,2688,1697,2704,1771,2724,1845,2747,1918,2774,1990,4223,1409,3012,423xe" filled="true" fillcolor="#9bba58" stroked="false">
              <v:path arrowok="t"/>
              <v:fill type="solid"/>
            </v:shape>
            <v:shape style="position:absolute;left:3231;top:-447;width:1211;height:1562" coordorigin="3231,-447" coordsize="1211,1562" path="m4441,-447l4363,-446,4286,-440,4209,-430,4133,-417,4058,-400,3984,-379,3912,-355,3841,-327,3771,-296,3703,-262,3636,-224,3572,-183,3509,-139,3449,-91,3391,-41,3335,12,3281,69,3231,128,4441,1114,4441,-447xe" filled="true" fillcolor="#8063a1" stroked="false">
              <v:path arrowok="t"/>
              <v:fill type="solid"/>
            </v:shape>
            <v:rect style="position:absolute;left:1575;top:2919;width:2329;height:416" filled="true" fillcolor="#ffffff" stroked="false">
              <v:fill type="solid"/>
            </v:rect>
            <v:rect style="position:absolute;left:1575;top:2919;width:2329;height:416" filled="false" stroked="true" strokeweight=".75pt" strokecolor="#ffffff"/>
            <v:shape style="position:absolute;left:3713;top:-137;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14%</w:t>
                    </w:r>
                  </w:p>
                </w:txbxContent>
              </v:textbox>
              <w10:wrap type="none"/>
            </v:shape>
            <v:shape style="position:absolute;left:2768;top:1153;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17%</w:t>
                    </w:r>
                  </w:p>
                </w:txbxContent>
              </v:textbox>
              <w10:wrap type="none"/>
            </v:shape>
            <v:shape style="position:absolute;left:5484;top:2113;width:344;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69%</w:t>
                    </w:r>
                  </w:p>
                </w:txbxContent>
              </v:textbox>
              <w10:wrap type="none"/>
            </v:shape>
            <v:shape style="position:absolute;left:1728;top:3054;width:1182;height:180" type="#_x0000_t202" filled="false" stroked="false">
              <v:textbox inset="0,0,0,0">
                <w:txbxContent>
                  <w:p>
                    <w:pPr>
                      <w:spacing w:line="180" w:lineRule="exact" w:before="0"/>
                      <w:ind w:left="0" w:right="-19" w:firstLine="0"/>
                      <w:jc w:val="left"/>
                      <w:rPr>
                        <w:sz w:val="18"/>
                      </w:rPr>
                    </w:pPr>
                    <w:r>
                      <w:rPr>
                        <w:sz w:val="18"/>
                      </w:rPr>
                      <w:t>Fuente Directa</w:t>
                    </w:r>
                  </w:p>
                </w:txbxContent>
              </v:textbox>
              <w10:wrap type="none"/>
            </v:shape>
            <w10:wrap type="none"/>
          </v:group>
        </w:pict>
      </w:r>
      <w:r>
        <w:rPr/>
        <w:pict>
          <v:rect style="position:absolute;margin-left:341.519989pt;margin-top:7.385853pt;width:6pt;height:6.12pt;mso-position-horizontal-relative:page;mso-position-vertical-relative:paragraph;z-index:5152" filled="true" fillcolor="#4f81bc" stroked="false">
            <v:fill type="solid"/>
            <w10:wrap type="none"/>
          </v:rect>
        </w:pict>
      </w:r>
      <w:r>
        <w:rPr/>
        <w:t>No sé</w:t>
      </w:r>
    </w:p>
    <w:p>
      <w:pPr>
        <w:pStyle w:val="BodyText"/>
        <w:rPr>
          <w:sz w:val="20"/>
        </w:rPr>
      </w:pPr>
    </w:p>
    <w:p>
      <w:pPr>
        <w:pStyle w:val="BodyText"/>
        <w:spacing w:before="1"/>
        <w:rPr>
          <w:sz w:val="26"/>
        </w:rPr>
      </w:pPr>
    </w:p>
    <w:p>
      <w:pPr>
        <w:pStyle w:val="BodyText"/>
        <w:spacing w:before="69"/>
        <w:ind w:left="5543" w:right="1197"/>
      </w:pPr>
      <w:r>
        <w:rPr/>
        <w:pict>
          <v:rect style="position:absolute;margin-left:341.519989pt;margin-top:7.365864pt;width:6pt;height:6pt;mso-position-horizontal-relative:page;mso-position-vertical-relative:paragraph;z-index:5176" filled="true" fillcolor="#c0504d" stroked="false">
            <v:fill type="solid"/>
            <w10:wrap type="none"/>
          </v:rect>
        </w:pict>
      </w:r>
      <w:r>
        <w:rPr/>
        <w:t>A los 6 meses de nacido</w:t>
      </w:r>
    </w:p>
    <w:p>
      <w:pPr>
        <w:pStyle w:val="BodyText"/>
        <w:rPr>
          <w:sz w:val="20"/>
        </w:rPr>
      </w:pPr>
    </w:p>
    <w:p>
      <w:pPr>
        <w:pStyle w:val="BodyText"/>
        <w:spacing w:before="1"/>
        <w:rPr>
          <w:sz w:val="26"/>
        </w:rPr>
      </w:pPr>
    </w:p>
    <w:p>
      <w:pPr>
        <w:pStyle w:val="BodyText"/>
        <w:spacing w:before="69"/>
        <w:ind w:left="5543" w:right="1197"/>
      </w:pPr>
      <w:r>
        <w:rPr/>
        <w:pict>
          <v:rect style="position:absolute;margin-left:341.519989pt;margin-top:7.385865pt;width:6pt;height:6pt;mso-position-horizontal-relative:page;mso-position-vertical-relative:paragraph;z-index:5200" filled="true" fillcolor="#9bba58" stroked="false">
            <v:fill type="solid"/>
            <w10:wrap type="none"/>
          </v:rect>
        </w:pict>
      </w:r>
      <w:r>
        <w:rPr/>
        <w:t>Al año de nacido</w:t>
      </w:r>
    </w:p>
    <w:p>
      <w:pPr>
        <w:pStyle w:val="BodyText"/>
        <w:rPr>
          <w:sz w:val="20"/>
        </w:rPr>
      </w:pPr>
    </w:p>
    <w:p>
      <w:pPr>
        <w:pStyle w:val="BodyText"/>
        <w:spacing w:before="1"/>
        <w:rPr>
          <w:sz w:val="26"/>
        </w:rPr>
      </w:pPr>
    </w:p>
    <w:p>
      <w:pPr>
        <w:pStyle w:val="BodyText"/>
        <w:spacing w:before="69"/>
        <w:ind w:left="5543" w:right="1197"/>
      </w:pPr>
      <w:r>
        <w:rPr/>
        <w:pict>
          <v:rect style="position:absolute;margin-left:341.519989pt;margin-top:7.405859pt;width:6pt;height:6pt;mso-position-horizontal-relative:page;mso-position-vertical-relative:paragraph;z-index:5224" filled="true" fillcolor="#8063a1" stroked="false">
            <v:fill type="solid"/>
            <w10:wrap type="none"/>
          </v:rect>
        </w:pict>
      </w:r>
      <w:r>
        <w:rPr/>
        <w:t>A los 6 años</w:t>
      </w:r>
    </w:p>
    <w:p>
      <w:pPr>
        <w:spacing w:after="0"/>
        <w:sectPr>
          <w:footerReference w:type="default" r:id="rId23"/>
          <w:pgSz w:w="12240" w:h="15840"/>
          <w:pgMar w:footer="1003" w:header="0" w:top="1360" w:bottom="1200" w:left="1460" w:right="1220"/>
          <w:pgNumType w:start="41"/>
        </w:sectPr>
      </w:pPr>
    </w:p>
    <w:p>
      <w:pPr>
        <w:pStyle w:val="BodyText"/>
        <w:spacing w:before="7"/>
        <w:rPr>
          <w:sz w:val="22"/>
        </w:rPr>
      </w:pPr>
    </w:p>
    <w:p>
      <w:pPr>
        <w:pStyle w:val="BodyText"/>
        <w:spacing w:line="360" w:lineRule="auto" w:before="69"/>
        <w:ind w:left="222" w:right="230"/>
        <w:jc w:val="both"/>
      </w:pPr>
      <w:r>
        <w:rPr/>
        <w:t>Las variables con las que se correlacionó el conocimiento de las gestantes fueron: su edad, el número de embarazos, el número de hijos nacidos vivos, el lugar de residencia y el máximo grado de estudios. En la Tabla 1 se presenta los resultados de la correlación de Sperman</w:t>
      </w:r>
    </w:p>
    <w:p>
      <w:pPr>
        <w:pStyle w:val="BodyText"/>
        <w:rPr>
          <w:sz w:val="20"/>
        </w:rPr>
      </w:pPr>
    </w:p>
    <w:p>
      <w:pPr>
        <w:pStyle w:val="BodyText"/>
        <w:spacing w:before="5" w:after="1"/>
        <w:rPr>
          <w:sz w:val="16"/>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96"/>
        <w:gridCol w:w="1863"/>
        <w:gridCol w:w="2023"/>
        <w:gridCol w:w="1949"/>
      </w:tblGrid>
      <w:tr>
        <w:trPr>
          <w:trHeight w:val="838" w:hRule="exact"/>
        </w:trPr>
        <w:tc>
          <w:tcPr>
            <w:tcW w:w="9431" w:type="dxa"/>
            <w:gridSpan w:val="4"/>
            <w:shd w:val="clear" w:color="auto" w:fill="4AACC5"/>
          </w:tcPr>
          <w:p>
            <w:pPr>
              <w:pStyle w:val="TableParagraph"/>
              <w:spacing w:line="360" w:lineRule="auto"/>
              <w:ind w:left="3336" w:hanging="2418"/>
              <w:rPr>
                <w:sz w:val="24"/>
              </w:rPr>
            </w:pPr>
            <w:r>
              <w:rPr>
                <w:sz w:val="24"/>
              </w:rPr>
              <w:t>Tabla 1. Variables que se correlacionan con el conocimiento de las gestantes sobre la salud bucal de sus hijos</w:t>
            </w:r>
          </w:p>
        </w:tc>
      </w:tr>
      <w:tr>
        <w:trPr>
          <w:trHeight w:val="425" w:hRule="exact"/>
        </w:trPr>
        <w:tc>
          <w:tcPr>
            <w:tcW w:w="3596" w:type="dxa"/>
          </w:tcPr>
          <w:p>
            <w:pPr/>
          </w:p>
        </w:tc>
        <w:tc>
          <w:tcPr>
            <w:tcW w:w="1863" w:type="dxa"/>
          </w:tcPr>
          <w:p>
            <w:pPr>
              <w:pStyle w:val="TableParagraph"/>
              <w:ind w:left="237" w:right="237"/>
              <w:jc w:val="center"/>
              <w:rPr>
                <w:b/>
                <w:sz w:val="24"/>
              </w:rPr>
            </w:pPr>
            <w:r>
              <w:rPr>
                <w:b/>
                <w:sz w:val="24"/>
              </w:rPr>
              <w:t>Variable</w:t>
            </w:r>
          </w:p>
        </w:tc>
        <w:tc>
          <w:tcPr>
            <w:tcW w:w="2023" w:type="dxa"/>
          </w:tcPr>
          <w:p>
            <w:pPr>
              <w:pStyle w:val="TableParagraph"/>
              <w:ind w:left="644" w:right="648"/>
              <w:jc w:val="center"/>
              <w:rPr>
                <w:b/>
                <w:sz w:val="24"/>
              </w:rPr>
            </w:pPr>
            <w:r>
              <w:rPr>
                <w:b/>
                <w:sz w:val="24"/>
              </w:rPr>
              <w:t>Rho</w:t>
            </w:r>
          </w:p>
        </w:tc>
        <w:tc>
          <w:tcPr>
            <w:tcW w:w="1949" w:type="dxa"/>
          </w:tcPr>
          <w:p>
            <w:pPr>
              <w:pStyle w:val="TableParagraph"/>
              <w:ind w:right="4"/>
              <w:jc w:val="center"/>
              <w:rPr>
                <w:b/>
                <w:sz w:val="24"/>
              </w:rPr>
            </w:pPr>
            <w:r>
              <w:rPr>
                <w:b/>
                <w:sz w:val="24"/>
              </w:rPr>
              <w:t>p</w:t>
            </w:r>
          </w:p>
        </w:tc>
      </w:tr>
      <w:tr>
        <w:trPr>
          <w:trHeight w:val="425" w:hRule="exact"/>
        </w:trPr>
        <w:tc>
          <w:tcPr>
            <w:tcW w:w="3596" w:type="dxa"/>
            <w:vMerge w:val="restart"/>
            <w:textDirection w:val="btLr"/>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202"/>
              <w:ind w:left="700"/>
              <w:rPr>
                <w:sz w:val="24"/>
              </w:rPr>
            </w:pPr>
            <w:r>
              <w:rPr>
                <w:w w:val="99"/>
                <w:sz w:val="24"/>
              </w:rPr>
              <w:t>Co</w:t>
            </w:r>
            <w:r>
              <w:rPr>
                <w:spacing w:val="1"/>
                <w:w w:val="99"/>
                <w:sz w:val="24"/>
              </w:rPr>
              <w:t>n</w:t>
            </w:r>
            <w:r>
              <w:rPr>
                <w:w w:val="100"/>
                <w:sz w:val="24"/>
              </w:rPr>
              <w:t>t</w:t>
            </w:r>
            <w:r>
              <w:rPr>
                <w:spacing w:val="1"/>
                <w:w w:val="100"/>
                <w:sz w:val="24"/>
              </w:rPr>
              <w:t>e</w:t>
            </w:r>
            <w:r>
              <w:rPr>
                <w:w w:val="100"/>
                <w:sz w:val="24"/>
              </w:rPr>
              <w:t>x</w:t>
            </w:r>
            <w:r>
              <w:rPr>
                <w:spacing w:val="-2"/>
                <w:w w:val="100"/>
                <w:sz w:val="24"/>
              </w:rPr>
              <w:t>t</w:t>
            </w:r>
            <w:r>
              <w:rPr>
                <w:w w:val="99"/>
                <w:sz w:val="24"/>
              </w:rPr>
              <w:t>o</w:t>
            </w:r>
            <w:r>
              <w:rPr>
                <w:sz w:val="24"/>
              </w:rPr>
              <w:t> </w:t>
            </w:r>
            <w:r>
              <w:rPr>
                <w:spacing w:val="-1"/>
                <w:w w:val="99"/>
                <w:sz w:val="24"/>
              </w:rPr>
              <w:t>p</w:t>
            </w:r>
            <w:r>
              <w:rPr>
                <w:w w:val="99"/>
                <w:sz w:val="24"/>
              </w:rPr>
              <w:t>e</w:t>
            </w:r>
            <w:r>
              <w:rPr>
                <w:w w:val="99"/>
                <w:sz w:val="24"/>
              </w:rPr>
              <w:t>rso</w:t>
            </w:r>
            <w:r>
              <w:rPr>
                <w:spacing w:val="-2"/>
                <w:w w:val="99"/>
                <w:sz w:val="24"/>
              </w:rPr>
              <w:t>n</w:t>
            </w:r>
            <w:r>
              <w:rPr>
                <w:w w:val="99"/>
                <w:sz w:val="24"/>
              </w:rPr>
              <w:t>a</w:t>
            </w:r>
            <w:r>
              <w:rPr>
                <w:w w:val="99"/>
                <w:sz w:val="24"/>
              </w:rPr>
              <w:t>l</w:t>
            </w:r>
          </w:p>
        </w:tc>
        <w:tc>
          <w:tcPr>
            <w:tcW w:w="1863" w:type="dxa"/>
          </w:tcPr>
          <w:p>
            <w:pPr>
              <w:pStyle w:val="TableParagraph"/>
              <w:spacing w:line="275" w:lineRule="exact"/>
              <w:ind w:left="237" w:right="238"/>
              <w:jc w:val="center"/>
              <w:rPr>
                <w:b/>
                <w:sz w:val="24"/>
              </w:rPr>
            </w:pPr>
            <w:r>
              <w:rPr>
                <w:b/>
                <w:sz w:val="24"/>
              </w:rPr>
              <w:t>Edad</w:t>
            </w:r>
          </w:p>
        </w:tc>
        <w:tc>
          <w:tcPr>
            <w:tcW w:w="2023" w:type="dxa"/>
          </w:tcPr>
          <w:p>
            <w:pPr>
              <w:pStyle w:val="TableParagraph"/>
              <w:spacing w:line="275" w:lineRule="exact"/>
              <w:ind w:left="644" w:right="648"/>
              <w:jc w:val="center"/>
              <w:rPr>
                <w:sz w:val="24"/>
              </w:rPr>
            </w:pPr>
            <w:r>
              <w:rPr>
                <w:sz w:val="24"/>
              </w:rPr>
              <w:t>0.160</w:t>
            </w:r>
          </w:p>
        </w:tc>
        <w:tc>
          <w:tcPr>
            <w:tcW w:w="1949" w:type="dxa"/>
          </w:tcPr>
          <w:p>
            <w:pPr>
              <w:pStyle w:val="TableParagraph"/>
              <w:spacing w:line="275" w:lineRule="exact"/>
              <w:ind w:left="649" w:right="650"/>
              <w:jc w:val="center"/>
              <w:rPr>
                <w:b/>
                <w:sz w:val="24"/>
              </w:rPr>
            </w:pPr>
            <w:r>
              <w:rPr>
                <w:b/>
                <w:color w:val="1F487C"/>
                <w:sz w:val="24"/>
              </w:rPr>
              <w:t>0.011</w:t>
            </w:r>
          </w:p>
        </w:tc>
      </w:tr>
      <w:tr>
        <w:trPr>
          <w:trHeight w:val="838" w:hRule="exact"/>
        </w:trPr>
        <w:tc>
          <w:tcPr>
            <w:tcW w:w="3596" w:type="dxa"/>
            <w:vMerge/>
            <w:textDirection w:val="btLr"/>
          </w:tcPr>
          <w:p>
            <w:pPr/>
          </w:p>
        </w:tc>
        <w:tc>
          <w:tcPr>
            <w:tcW w:w="1863" w:type="dxa"/>
          </w:tcPr>
          <w:p>
            <w:pPr>
              <w:pStyle w:val="TableParagraph"/>
              <w:spacing w:line="360" w:lineRule="auto"/>
              <w:ind w:left="297" w:right="282"/>
              <w:rPr>
                <w:b/>
                <w:sz w:val="24"/>
              </w:rPr>
            </w:pPr>
            <w:r>
              <w:rPr>
                <w:b/>
                <w:sz w:val="24"/>
              </w:rPr>
              <w:t>Número de embarazos</w:t>
            </w:r>
          </w:p>
        </w:tc>
        <w:tc>
          <w:tcPr>
            <w:tcW w:w="2023" w:type="dxa"/>
          </w:tcPr>
          <w:p>
            <w:pPr>
              <w:pStyle w:val="TableParagraph"/>
              <w:spacing w:before="204"/>
              <w:ind w:left="644" w:right="648"/>
              <w:jc w:val="center"/>
              <w:rPr>
                <w:sz w:val="24"/>
              </w:rPr>
            </w:pPr>
            <w:r>
              <w:rPr>
                <w:sz w:val="24"/>
              </w:rPr>
              <w:t>0.160</w:t>
            </w:r>
          </w:p>
        </w:tc>
        <w:tc>
          <w:tcPr>
            <w:tcW w:w="1949" w:type="dxa"/>
          </w:tcPr>
          <w:p>
            <w:pPr>
              <w:pStyle w:val="TableParagraph"/>
              <w:spacing w:before="204"/>
              <w:ind w:left="649" w:right="650"/>
              <w:jc w:val="center"/>
              <w:rPr>
                <w:b/>
                <w:sz w:val="24"/>
              </w:rPr>
            </w:pPr>
            <w:r>
              <w:rPr>
                <w:b/>
                <w:color w:val="1F487C"/>
                <w:sz w:val="24"/>
              </w:rPr>
              <w:t>0.011</w:t>
            </w:r>
          </w:p>
        </w:tc>
      </w:tr>
      <w:tr>
        <w:trPr>
          <w:trHeight w:val="1253" w:hRule="exact"/>
        </w:trPr>
        <w:tc>
          <w:tcPr>
            <w:tcW w:w="3596" w:type="dxa"/>
            <w:vMerge/>
            <w:textDirection w:val="btLr"/>
          </w:tcPr>
          <w:p>
            <w:pPr/>
          </w:p>
        </w:tc>
        <w:tc>
          <w:tcPr>
            <w:tcW w:w="1863" w:type="dxa"/>
          </w:tcPr>
          <w:p>
            <w:pPr>
              <w:pStyle w:val="TableParagraph"/>
              <w:spacing w:line="360" w:lineRule="auto"/>
              <w:ind w:left="156" w:right="160" w:firstLine="2"/>
              <w:jc w:val="center"/>
              <w:rPr>
                <w:b/>
                <w:sz w:val="24"/>
              </w:rPr>
            </w:pPr>
            <w:r>
              <w:rPr>
                <w:b/>
                <w:sz w:val="24"/>
              </w:rPr>
              <w:t>Número de hijos nacidos</w:t>
            </w:r>
            <w:r>
              <w:rPr>
                <w:b/>
                <w:w w:val="99"/>
                <w:sz w:val="24"/>
              </w:rPr>
              <w:t> </w:t>
            </w:r>
            <w:r>
              <w:rPr>
                <w:b/>
                <w:sz w:val="24"/>
              </w:rPr>
              <w:t>vivos</w:t>
            </w:r>
          </w:p>
        </w:tc>
        <w:tc>
          <w:tcPr>
            <w:tcW w:w="2023" w:type="dxa"/>
          </w:tcPr>
          <w:p>
            <w:pPr>
              <w:pStyle w:val="TableParagraph"/>
              <w:spacing w:before="10"/>
              <w:rPr>
                <w:sz w:val="35"/>
              </w:rPr>
            </w:pPr>
          </w:p>
          <w:p>
            <w:pPr>
              <w:pStyle w:val="TableParagraph"/>
              <w:spacing w:before="1"/>
              <w:ind w:left="644" w:right="648"/>
              <w:jc w:val="center"/>
              <w:rPr>
                <w:sz w:val="24"/>
              </w:rPr>
            </w:pPr>
            <w:r>
              <w:rPr>
                <w:sz w:val="24"/>
              </w:rPr>
              <w:t>0.168</w:t>
            </w:r>
          </w:p>
        </w:tc>
        <w:tc>
          <w:tcPr>
            <w:tcW w:w="1949" w:type="dxa"/>
          </w:tcPr>
          <w:p>
            <w:pPr>
              <w:pStyle w:val="TableParagraph"/>
              <w:spacing w:before="10"/>
              <w:rPr>
                <w:sz w:val="35"/>
              </w:rPr>
            </w:pPr>
          </w:p>
          <w:p>
            <w:pPr>
              <w:pStyle w:val="TableParagraph"/>
              <w:spacing w:before="1"/>
              <w:ind w:left="649" w:right="650"/>
              <w:jc w:val="center"/>
              <w:rPr>
                <w:b/>
                <w:sz w:val="24"/>
              </w:rPr>
            </w:pPr>
            <w:r>
              <w:rPr>
                <w:b/>
                <w:color w:val="1F487C"/>
                <w:sz w:val="24"/>
              </w:rPr>
              <w:t>0.008</w:t>
            </w:r>
          </w:p>
        </w:tc>
      </w:tr>
      <w:tr>
        <w:trPr>
          <w:trHeight w:val="422" w:hRule="exact"/>
        </w:trPr>
        <w:tc>
          <w:tcPr>
            <w:tcW w:w="3596" w:type="dxa"/>
            <w:vMerge/>
            <w:textDirection w:val="btLr"/>
          </w:tcPr>
          <w:p>
            <w:pPr/>
          </w:p>
        </w:tc>
        <w:tc>
          <w:tcPr>
            <w:tcW w:w="1863" w:type="dxa"/>
          </w:tcPr>
          <w:p>
            <w:pPr>
              <w:pStyle w:val="TableParagraph"/>
              <w:spacing w:line="274" w:lineRule="exact"/>
              <w:ind w:left="237" w:right="241"/>
              <w:jc w:val="center"/>
              <w:rPr>
                <w:b/>
                <w:sz w:val="24"/>
              </w:rPr>
            </w:pPr>
            <w:r>
              <w:rPr>
                <w:b/>
                <w:sz w:val="24"/>
              </w:rPr>
              <w:t>Estado civil</w:t>
            </w:r>
          </w:p>
        </w:tc>
        <w:tc>
          <w:tcPr>
            <w:tcW w:w="2023" w:type="dxa"/>
          </w:tcPr>
          <w:p>
            <w:pPr>
              <w:pStyle w:val="TableParagraph"/>
              <w:spacing w:line="274" w:lineRule="exact"/>
              <w:ind w:left="644" w:right="648"/>
              <w:jc w:val="center"/>
              <w:rPr>
                <w:sz w:val="24"/>
              </w:rPr>
            </w:pPr>
            <w:r>
              <w:rPr>
                <w:sz w:val="24"/>
              </w:rPr>
              <w:t>-0.047</w:t>
            </w:r>
          </w:p>
        </w:tc>
        <w:tc>
          <w:tcPr>
            <w:tcW w:w="1949" w:type="dxa"/>
          </w:tcPr>
          <w:p>
            <w:pPr>
              <w:pStyle w:val="TableParagraph"/>
              <w:spacing w:line="274" w:lineRule="exact"/>
              <w:ind w:left="649" w:right="650"/>
              <w:jc w:val="center"/>
              <w:rPr>
                <w:sz w:val="24"/>
              </w:rPr>
            </w:pPr>
            <w:r>
              <w:rPr>
                <w:sz w:val="24"/>
              </w:rPr>
              <w:t>0.453</w:t>
            </w:r>
          </w:p>
        </w:tc>
      </w:tr>
      <w:tr>
        <w:trPr>
          <w:trHeight w:val="425" w:hRule="exact"/>
        </w:trPr>
        <w:tc>
          <w:tcPr>
            <w:tcW w:w="3596" w:type="dxa"/>
            <w:vMerge/>
            <w:textDirection w:val="btLr"/>
          </w:tcPr>
          <w:p>
            <w:pPr/>
          </w:p>
        </w:tc>
        <w:tc>
          <w:tcPr>
            <w:tcW w:w="1863" w:type="dxa"/>
          </w:tcPr>
          <w:p>
            <w:pPr>
              <w:pStyle w:val="TableParagraph"/>
              <w:spacing w:line="274" w:lineRule="exact"/>
              <w:ind w:left="237" w:right="237"/>
              <w:jc w:val="center"/>
              <w:rPr>
                <w:b/>
                <w:sz w:val="24"/>
              </w:rPr>
            </w:pPr>
            <w:r>
              <w:rPr>
                <w:b/>
                <w:sz w:val="24"/>
              </w:rPr>
              <w:t>Ocupación</w:t>
            </w:r>
          </w:p>
        </w:tc>
        <w:tc>
          <w:tcPr>
            <w:tcW w:w="2023" w:type="dxa"/>
          </w:tcPr>
          <w:p>
            <w:pPr>
              <w:pStyle w:val="TableParagraph"/>
              <w:spacing w:line="274" w:lineRule="exact"/>
              <w:ind w:left="644" w:right="648"/>
              <w:jc w:val="center"/>
              <w:rPr>
                <w:sz w:val="24"/>
              </w:rPr>
            </w:pPr>
            <w:r>
              <w:rPr>
                <w:sz w:val="24"/>
              </w:rPr>
              <w:t>0.086</w:t>
            </w:r>
          </w:p>
        </w:tc>
        <w:tc>
          <w:tcPr>
            <w:tcW w:w="1949" w:type="dxa"/>
          </w:tcPr>
          <w:p>
            <w:pPr>
              <w:pStyle w:val="TableParagraph"/>
              <w:spacing w:line="274" w:lineRule="exact"/>
              <w:ind w:left="649" w:right="650"/>
              <w:jc w:val="center"/>
              <w:rPr>
                <w:sz w:val="24"/>
              </w:rPr>
            </w:pPr>
            <w:r>
              <w:rPr>
                <w:sz w:val="24"/>
              </w:rPr>
              <w:t>0.147</w:t>
            </w:r>
          </w:p>
        </w:tc>
      </w:tr>
      <w:tr>
        <w:trPr>
          <w:trHeight w:val="838" w:hRule="exact"/>
        </w:trPr>
        <w:tc>
          <w:tcPr>
            <w:tcW w:w="3596" w:type="dxa"/>
            <w:vMerge w:val="restart"/>
            <w:textDirection w:val="btLr"/>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2"/>
              <w:rPr>
                <w:sz w:val="23"/>
              </w:rPr>
            </w:pPr>
          </w:p>
          <w:p>
            <w:pPr>
              <w:pStyle w:val="TableParagraph"/>
              <w:spacing w:line="369" w:lineRule="auto"/>
              <w:ind w:left="525" w:right="333" w:hanging="173"/>
              <w:rPr>
                <w:sz w:val="24"/>
              </w:rPr>
            </w:pPr>
            <w:r>
              <w:rPr>
                <w:w w:val="99"/>
                <w:sz w:val="24"/>
              </w:rPr>
              <w:t>Co</w:t>
            </w:r>
            <w:r>
              <w:rPr>
                <w:spacing w:val="1"/>
                <w:w w:val="99"/>
                <w:sz w:val="24"/>
              </w:rPr>
              <w:t>n</w:t>
            </w:r>
            <w:r>
              <w:rPr>
                <w:w w:val="100"/>
                <w:sz w:val="24"/>
              </w:rPr>
              <w:t>t</w:t>
            </w:r>
            <w:r>
              <w:rPr>
                <w:spacing w:val="1"/>
                <w:w w:val="100"/>
                <w:sz w:val="24"/>
              </w:rPr>
              <w:t>e</w:t>
            </w:r>
            <w:r>
              <w:rPr>
                <w:w w:val="100"/>
                <w:sz w:val="24"/>
              </w:rPr>
              <w:t>x</w:t>
            </w:r>
            <w:r>
              <w:rPr>
                <w:spacing w:val="-2"/>
                <w:w w:val="100"/>
                <w:sz w:val="24"/>
              </w:rPr>
              <w:t>t</w:t>
            </w:r>
            <w:r>
              <w:rPr>
                <w:w w:val="99"/>
                <w:sz w:val="24"/>
              </w:rPr>
              <w:t>o </w:t>
            </w:r>
            <w:r>
              <w:rPr>
                <w:w w:val="99"/>
                <w:sz w:val="24"/>
              </w:rPr>
              <w:t>so</w:t>
            </w:r>
            <w:r>
              <w:rPr>
                <w:w w:val="99"/>
                <w:sz w:val="24"/>
              </w:rPr>
              <w:t>cial</w:t>
            </w:r>
          </w:p>
        </w:tc>
        <w:tc>
          <w:tcPr>
            <w:tcW w:w="1863" w:type="dxa"/>
          </w:tcPr>
          <w:p>
            <w:pPr>
              <w:pStyle w:val="TableParagraph"/>
              <w:spacing w:line="360" w:lineRule="auto"/>
              <w:ind w:left="331" w:right="314" w:firstLine="86"/>
              <w:rPr>
                <w:b/>
                <w:sz w:val="24"/>
              </w:rPr>
            </w:pPr>
            <w:r>
              <w:rPr>
                <w:b/>
                <w:sz w:val="24"/>
              </w:rPr>
              <w:t>Lugar de residencia</w:t>
            </w:r>
          </w:p>
        </w:tc>
        <w:tc>
          <w:tcPr>
            <w:tcW w:w="2023" w:type="dxa"/>
          </w:tcPr>
          <w:p>
            <w:pPr>
              <w:pStyle w:val="TableParagraph"/>
              <w:spacing w:before="205"/>
              <w:ind w:left="644" w:right="648"/>
              <w:jc w:val="center"/>
              <w:rPr>
                <w:sz w:val="24"/>
              </w:rPr>
            </w:pPr>
            <w:r>
              <w:rPr>
                <w:sz w:val="24"/>
              </w:rPr>
              <w:t>0.142</w:t>
            </w:r>
          </w:p>
        </w:tc>
        <w:tc>
          <w:tcPr>
            <w:tcW w:w="1949" w:type="dxa"/>
          </w:tcPr>
          <w:p>
            <w:pPr>
              <w:pStyle w:val="TableParagraph"/>
              <w:spacing w:before="205"/>
              <w:ind w:left="649" w:right="650"/>
              <w:jc w:val="center"/>
              <w:rPr>
                <w:b/>
                <w:sz w:val="24"/>
              </w:rPr>
            </w:pPr>
            <w:r>
              <w:rPr>
                <w:b/>
                <w:color w:val="1F487C"/>
                <w:sz w:val="24"/>
              </w:rPr>
              <w:t>0.024</w:t>
            </w:r>
          </w:p>
        </w:tc>
      </w:tr>
      <w:tr>
        <w:trPr>
          <w:trHeight w:val="838" w:hRule="exact"/>
        </w:trPr>
        <w:tc>
          <w:tcPr>
            <w:tcW w:w="3596" w:type="dxa"/>
            <w:vMerge/>
            <w:textDirection w:val="btLr"/>
          </w:tcPr>
          <w:p>
            <w:pPr/>
          </w:p>
        </w:tc>
        <w:tc>
          <w:tcPr>
            <w:tcW w:w="1863" w:type="dxa"/>
          </w:tcPr>
          <w:p>
            <w:pPr>
              <w:pStyle w:val="TableParagraph"/>
              <w:spacing w:line="360" w:lineRule="auto"/>
              <w:ind w:left="256" w:right="97" w:hanging="147"/>
              <w:rPr>
                <w:b/>
                <w:sz w:val="24"/>
              </w:rPr>
            </w:pPr>
            <w:r>
              <w:rPr>
                <w:b/>
                <w:sz w:val="24"/>
              </w:rPr>
              <w:t>Máximo grado de estudios</w:t>
            </w:r>
          </w:p>
        </w:tc>
        <w:tc>
          <w:tcPr>
            <w:tcW w:w="2023" w:type="dxa"/>
          </w:tcPr>
          <w:p>
            <w:pPr>
              <w:pStyle w:val="TableParagraph"/>
              <w:spacing w:before="204"/>
              <w:ind w:left="644" w:right="648"/>
              <w:jc w:val="center"/>
              <w:rPr>
                <w:sz w:val="24"/>
              </w:rPr>
            </w:pPr>
            <w:r>
              <w:rPr>
                <w:sz w:val="24"/>
              </w:rPr>
              <w:t>0.160</w:t>
            </w:r>
          </w:p>
        </w:tc>
        <w:tc>
          <w:tcPr>
            <w:tcW w:w="1949" w:type="dxa"/>
          </w:tcPr>
          <w:p>
            <w:pPr>
              <w:pStyle w:val="TableParagraph"/>
              <w:spacing w:before="204"/>
              <w:ind w:left="649" w:right="650"/>
              <w:jc w:val="center"/>
              <w:rPr>
                <w:b/>
                <w:sz w:val="24"/>
              </w:rPr>
            </w:pPr>
            <w:r>
              <w:rPr>
                <w:b/>
                <w:color w:val="1F487C"/>
                <w:sz w:val="24"/>
              </w:rPr>
              <w:t>0.011</w:t>
            </w:r>
          </w:p>
        </w:tc>
      </w:tr>
    </w:tbl>
    <w:p>
      <w:pPr>
        <w:pStyle w:val="BodyText"/>
        <w:spacing w:before="1"/>
        <w:rPr>
          <w:sz w:val="10"/>
        </w:rPr>
      </w:pPr>
    </w:p>
    <w:p>
      <w:pPr>
        <w:spacing w:before="77"/>
        <w:ind w:left="226" w:right="0" w:firstLine="0"/>
        <w:jc w:val="left"/>
        <w:rPr>
          <w:sz w:val="18"/>
        </w:rPr>
      </w:pPr>
      <w:r>
        <w:rPr>
          <w:sz w:val="18"/>
        </w:rPr>
        <w:t>Fuente Directa</w:t>
      </w:r>
    </w:p>
    <w:p>
      <w:pPr>
        <w:spacing w:after="0"/>
        <w:jc w:val="left"/>
        <w:rPr>
          <w:sz w:val="18"/>
        </w:rPr>
        <w:sectPr>
          <w:pgSz w:w="12240" w:h="15840"/>
          <w:pgMar w:header="0" w:footer="1003" w:top="1500" w:bottom="1200" w:left="1480" w:right="1100"/>
        </w:sectPr>
      </w:pPr>
    </w:p>
    <w:p>
      <w:pPr>
        <w:pStyle w:val="Heading1"/>
        <w:numPr>
          <w:ilvl w:val="0"/>
          <w:numId w:val="9"/>
        </w:numPr>
        <w:tabs>
          <w:tab w:pos="4940" w:val="left" w:leader="none"/>
          <w:tab w:pos="4941" w:val="left" w:leader="none"/>
        </w:tabs>
        <w:spacing w:line="240" w:lineRule="auto" w:before="54" w:after="0"/>
        <w:ind w:left="4941" w:right="0" w:hanging="720"/>
        <w:jc w:val="left"/>
      </w:pPr>
      <w:r>
        <w:rPr/>
        <w:t>DISCUSIÓN</w:t>
      </w:r>
    </w:p>
    <w:p>
      <w:pPr>
        <w:pStyle w:val="BodyText"/>
        <w:rPr>
          <w:b/>
        </w:rPr>
      </w:pPr>
    </w:p>
    <w:p>
      <w:pPr>
        <w:pStyle w:val="BodyText"/>
        <w:rPr>
          <w:b/>
          <w:sz w:val="21"/>
        </w:rPr>
      </w:pPr>
    </w:p>
    <w:p>
      <w:pPr>
        <w:pStyle w:val="BodyText"/>
        <w:spacing w:line="360" w:lineRule="auto"/>
        <w:ind w:left="102" w:right="116" w:firstLine="67"/>
        <w:jc w:val="both"/>
      </w:pPr>
      <w:r>
        <w:rPr/>
        <w:t>Menoli A, Frossar A, </w:t>
      </w:r>
      <w:r>
        <w:rPr>
          <w:position w:val="11"/>
          <w:sz w:val="16"/>
        </w:rPr>
        <w:t>31 </w:t>
      </w:r>
      <w:r>
        <w:rPr/>
        <w:t>en su estudio de Perfil de los médicos gineco-obstretas de Londrina con relación a la salud oral de la embarazada, dicen que es pertinente que el ginecólogo actué junto con la embarazada, acerca de las precauciones que debe  tener para mantener la salud oral de su bebé desde tener dientes más resistentes a caries, así como una mejor higiene oral la cual dependerá totalmente de la  </w:t>
      </w:r>
      <w:r>
        <w:rPr>
          <w:spacing w:val="52"/>
        </w:rPr>
        <w:t> </w:t>
      </w:r>
      <w:r>
        <w:rPr/>
        <w:t>gestante,</w:t>
      </w:r>
    </w:p>
    <w:p>
      <w:pPr>
        <w:pStyle w:val="BodyText"/>
        <w:spacing w:line="352" w:lineRule="auto" w:before="5"/>
        <w:ind w:left="102" w:right="116"/>
        <w:jc w:val="both"/>
      </w:pPr>
      <w:r>
        <w:rPr/>
        <w:t>los conocimientos que tienen los ginecólogos sobre salud oral de la gestante y cuidados del orales del bebé es muy poca.</w:t>
      </w:r>
      <w:r>
        <w:rPr>
          <w:position w:val="11"/>
          <w:sz w:val="16"/>
        </w:rPr>
        <w:t>31 </w:t>
      </w:r>
      <w:r>
        <w:rPr/>
        <w:t>Partiendo entonces de este hecho consideramos importante la difusión sobre conocimientos sobre salud bucal en las gestantes para poder tener mejoras en el área de la salud bucal así como de tomar en cuenta la participación de los ginecológicos, para que de manera colaborativa con</w:t>
      </w:r>
    </w:p>
    <w:p>
      <w:pPr>
        <w:pStyle w:val="BodyText"/>
        <w:spacing w:before="11"/>
        <w:ind w:left="102"/>
        <w:jc w:val="both"/>
      </w:pPr>
      <w:r>
        <w:rPr/>
        <w:t>odontopeditras orienten a las gestantes sobre los cuidados de salud bucal del bebé.</w:t>
      </w:r>
    </w:p>
    <w:p>
      <w:pPr>
        <w:pStyle w:val="BodyText"/>
      </w:pPr>
    </w:p>
    <w:p>
      <w:pPr>
        <w:pStyle w:val="BodyText"/>
        <w:spacing w:before="11"/>
        <w:rPr>
          <w:sz w:val="20"/>
        </w:rPr>
      </w:pPr>
    </w:p>
    <w:p>
      <w:pPr>
        <w:pStyle w:val="BodyText"/>
        <w:spacing w:line="352" w:lineRule="auto"/>
        <w:ind w:left="102" w:right="118"/>
        <w:jc w:val="both"/>
      </w:pPr>
      <w:r>
        <w:rPr/>
        <w:t>Por otra parte, Guerra M, Blanco L</w:t>
      </w:r>
      <w:r>
        <w:rPr>
          <w:position w:val="11"/>
          <w:sz w:val="16"/>
        </w:rPr>
        <w:t>32 </w:t>
      </w:r>
      <w:r>
        <w:rPr/>
        <w:t>reportan que el 7.3 % de las mujeres que participaron su estudio realizado en el 2010 “Información de las embarazadas sobre salud bucal en la consulta prenatal”, son remitidas al odontólogo para tu atención o recibir información sobre la salud bucal del bebé, por el ginecólogo. </w:t>
      </w:r>
      <w:r>
        <w:rPr>
          <w:position w:val="11"/>
          <w:sz w:val="16"/>
        </w:rPr>
        <w:t>32 </w:t>
      </w:r>
      <w:r>
        <w:rPr/>
        <w:t>En relación a la referencia del obstetra al odontólogo, Díaz Romero</w:t>
      </w:r>
      <w:r>
        <w:rPr>
          <w:position w:val="11"/>
          <w:sz w:val="16"/>
        </w:rPr>
        <w:t>33 </w:t>
      </w:r>
      <w:r>
        <w:rPr/>
        <w:t>en México opina que las actitudes y creencias sobre el proceso de salud-enfermedad están influenciadas por la cultura médica prevalente, que incluye la opinión del médico. Las embarazadas responden, en general, positivamente a las indicaciones del profesional que realiza el control</w:t>
      </w:r>
      <w:r>
        <w:rPr>
          <w:spacing w:val="46"/>
        </w:rPr>
        <w:t> </w:t>
      </w:r>
      <w:r>
        <w:rPr/>
        <w:t>prenatal.</w:t>
      </w:r>
      <w:r>
        <w:rPr>
          <w:spacing w:val="47"/>
        </w:rPr>
        <w:t> </w:t>
      </w:r>
      <w:r>
        <w:rPr/>
        <w:t>En</w:t>
      </w:r>
      <w:r>
        <w:rPr>
          <w:spacing w:val="47"/>
        </w:rPr>
        <w:t> </w:t>
      </w:r>
      <w:r>
        <w:rPr/>
        <w:t>presente</w:t>
      </w:r>
      <w:r>
        <w:rPr>
          <w:spacing w:val="47"/>
        </w:rPr>
        <w:t> </w:t>
      </w:r>
      <w:r>
        <w:rPr/>
        <w:t>estudio</w:t>
      </w:r>
      <w:r>
        <w:rPr>
          <w:spacing w:val="47"/>
        </w:rPr>
        <w:t> </w:t>
      </w:r>
      <w:r>
        <w:rPr/>
        <w:t>se</w:t>
      </w:r>
      <w:r>
        <w:rPr>
          <w:spacing w:val="47"/>
        </w:rPr>
        <w:t> </w:t>
      </w:r>
      <w:r>
        <w:rPr/>
        <w:t>realizó</w:t>
      </w:r>
      <w:r>
        <w:rPr>
          <w:spacing w:val="47"/>
        </w:rPr>
        <w:t> </w:t>
      </w:r>
      <w:r>
        <w:rPr/>
        <w:t>en</w:t>
      </w:r>
      <w:r>
        <w:rPr>
          <w:spacing w:val="47"/>
        </w:rPr>
        <w:t> </w:t>
      </w:r>
      <w:r>
        <w:rPr/>
        <w:t>el</w:t>
      </w:r>
      <w:r>
        <w:rPr>
          <w:spacing w:val="52"/>
        </w:rPr>
        <w:t> </w:t>
      </w:r>
      <w:r>
        <w:rPr/>
        <w:t>Instituto</w:t>
      </w:r>
      <w:r>
        <w:rPr>
          <w:spacing w:val="47"/>
        </w:rPr>
        <w:t> </w:t>
      </w:r>
      <w:r>
        <w:rPr/>
        <w:t>Materno</w:t>
      </w:r>
      <w:r>
        <w:rPr>
          <w:spacing w:val="47"/>
        </w:rPr>
        <w:t> </w:t>
      </w:r>
      <w:r>
        <w:rPr/>
        <w:t>Infantil</w:t>
      </w:r>
      <w:r>
        <w:rPr>
          <w:spacing w:val="46"/>
        </w:rPr>
        <w:t> </w:t>
      </w:r>
      <w:r>
        <w:rPr/>
        <w:t>del</w:t>
      </w:r>
    </w:p>
    <w:p>
      <w:pPr>
        <w:pStyle w:val="BodyText"/>
        <w:spacing w:line="352" w:lineRule="auto" w:before="13"/>
        <w:ind w:left="102" w:right="120"/>
        <w:jc w:val="both"/>
        <w:rPr>
          <w:sz w:val="16"/>
        </w:rPr>
      </w:pPr>
      <w:r>
        <w:rPr/>
        <w:t>Estado de México IMIEM Hospital de Ginecología y Obstetricia, donde el nivel socioeconómico de las gestantes que acuden en demanda del servicio se considera medio – bajo por lo que podemos decir, a esto al igual que Díaz R que la cuestión cultural, actitudes y creencias influyen en el nivel de conocimiento de las gestantes sobre salud bucal. </w:t>
      </w:r>
      <w:r>
        <w:rPr>
          <w:position w:val="11"/>
          <w:sz w:val="16"/>
        </w:rPr>
        <w:t>33</w:t>
      </w:r>
    </w:p>
    <w:p>
      <w:pPr>
        <w:pStyle w:val="BodyText"/>
        <w:spacing w:before="3"/>
        <w:rPr>
          <w:sz w:val="35"/>
        </w:rPr>
      </w:pPr>
    </w:p>
    <w:p>
      <w:pPr>
        <w:pStyle w:val="BodyText"/>
        <w:spacing w:line="360" w:lineRule="auto"/>
        <w:ind w:left="102" w:right="122"/>
        <w:jc w:val="both"/>
      </w:pPr>
      <w:r>
        <w:rPr/>
        <w:t>Se registran cada año más nacimientos de madres adolescentes, es decir madres a edades  más  tempranas.  De  acuerdo  con  la  UNICEF  los  embarazos  y       partos</w:t>
      </w:r>
    </w:p>
    <w:p>
      <w:pPr>
        <w:spacing w:after="0" w:line="360" w:lineRule="auto"/>
        <w:jc w:val="both"/>
        <w:sectPr>
          <w:pgSz w:w="12240" w:h="15840"/>
          <w:pgMar w:header="0" w:footer="1003" w:top="1360" w:bottom="1200" w:left="1600" w:right="1200"/>
        </w:sectPr>
      </w:pPr>
    </w:p>
    <w:p>
      <w:pPr>
        <w:pStyle w:val="BodyText"/>
        <w:spacing w:line="352" w:lineRule="auto" w:before="54"/>
        <w:ind w:left="102" w:right="101"/>
        <w:jc w:val="both"/>
      </w:pPr>
      <w:r>
        <w:rPr/>
        <w:t>registrados de adolescentes va en aumento, esto pone a América Latina dentro de cifras alarmantes.</w:t>
      </w:r>
      <w:r>
        <w:rPr>
          <w:position w:val="11"/>
          <w:sz w:val="16"/>
        </w:rPr>
        <w:t>34 </w:t>
      </w:r>
      <w:r>
        <w:rPr/>
        <w:t>A diferencia de esto en nuestro estudio, el mayor rango  de edades de las gestantes que participaron fue entre 20 y 25 años de edad, representando el 44% de las gestantes encuestadas; sin embargo, el siguiente grupo en cuanto a rango de edades es el 14 a 19 años de edad, con un</w:t>
      </w:r>
      <w:r>
        <w:rPr>
          <w:spacing w:val="-26"/>
        </w:rPr>
        <w:t> </w:t>
      </w:r>
      <w:r>
        <w:rPr/>
        <w:t>24%.</w:t>
      </w:r>
    </w:p>
    <w:p>
      <w:pPr>
        <w:pStyle w:val="BodyText"/>
        <w:spacing w:before="8"/>
        <w:rPr>
          <w:sz w:val="28"/>
        </w:rPr>
      </w:pPr>
    </w:p>
    <w:p>
      <w:pPr>
        <w:pStyle w:val="BodyText"/>
        <w:spacing w:line="352" w:lineRule="auto"/>
        <w:ind w:left="102" w:right="98"/>
        <w:jc w:val="both"/>
      </w:pPr>
      <w:r>
        <w:rPr/>
        <w:t>En nuestro estudio el 28% de las gestantes que participaron eran primogestantes, condición que afecta de manera importante con el nivel de conocimiento sobre salud bucal ya que las madres no tienen experiencia previa respecto a salud bucal del bebé, solo de su salud bucal y aun así es un hecho que está entre dichos, en estudios similares  como  el  de  Garbero  y  Delgado</w:t>
      </w:r>
      <w:r>
        <w:rPr>
          <w:position w:val="11"/>
          <w:sz w:val="16"/>
        </w:rPr>
        <w:t>35    </w:t>
      </w:r>
      <w:r>
        <w:rPr/>
        <w:t>en  el  2005  sobre  salud     oral     </w:t>
      </w:r>
      <w:r>
        <w:rPr>
          <w:spacing w:val="60"/>
        </w:rPr>
        <w:t> </w:t>
      </w:r>
      <w:r>
        <w:rPr/>
        <w:t>en</w:t>
      </w:r>
    </w:p>
    <w:p>
      <w:pPr>
        <w:pStyle w:val="BodyText"/>
        <w:spacing w:line="360" w:lineRule="auto"/>
        <w:ind w:left="102" w:right="101"/>
        <w:jc w:val="both"/>
      </w:pPr>
      <w:r>
        <w:rPr/>
        <w:t>Embarazadas, coincide en que tener hijos aumenta de manera significativa los conocimientos sobre salud bucal de éstos.</w:t>
      </w:r>
    </w:p>
    <w:p>
      <w:pPr>
        <w:pStyle w:val="BodyText"/>
      </w:pPr>
    </w:p>
    <w:p>
      <w:pPr>
        <w:pStyle w:val="BodyText"/>
        <w:spacing w:line="360" w:lineRule="auto" w:before="142"/>
        <w:ind w:left="102" w:right="99"/>
        <w:jc w:val="both"/>
      </w:pPr>
      <w:r>
        <w:rPr/>
        <w:t>El 55% de las gestantes encuestadas su máximo grado de estudios es educación básica (Secundaria), pareciera que la deserción escolar de las embarazadas es una realidad; sin embargo, existe escasa investigación sistemática sobre el efecto del embarazo precoz en la deserción escolar. Sólo algunos estudios epidemiológicos señalan en sus aspectos socioculturales, datos de incidencia de deserción escolar por</w:t>
      </w:r>
    </w:p>
    <w:p>
      <w:pPr>
        <w:pStyle w:val="BodyText"/>
        <w:spacing w:line="279" w:lineRule="exact"/>
        <w:ind w:left="102"/>
        <w:jc w:val="both"/>
        <w:rPr>
          <w:sz w:val="16"/>
        </w:rPr>
      </w:pPr>
      <w:r>
        <w:rPr/>
        <w:t>causa de embarazo.</w:t>
      </w:r>
      <w:r>
        <w:rPr>
          <w:position w:val="11"/>
          <w:sz w:val="16"/>
        </w:rPr>
        <w:t>36</w:t>
      </w:r>
    </w:p>
    <w:p>
      <w:pPr>
        <w:pStyle w:val="BodyText"/>
        <w:rPr>
          <w:sz w:val="28"/>
        </w:rPr>
      </w:pPr>
    </w:p>
    <w:p>
      <w:pPr>
        <w:pStyle w:val="BodyText"/>
        <w:spacing w:line="352" w:lineRule="auto" w:before="230"/>
        <w:ind w:left="102" w:right="102"/>
        <w:jc w:val="both"/>
      </w:pPr>
      <w:r>
        <w:rPr/>
        <w:t>En nuestro estudio las variables que se correlacionaron positivamente con el conocimiento de las gestantes sobre la salud bucal de sus hijos fueron edad, número de embarazos, número de hijos, lugar de residencia así como el máximo grado de estudios. En estudios similares donde se evalúa el conocimiento de salud bucal de  las embarazadas, como lo es el caso de       </w:t>
      </w:r>
      <w:r>
        <w:rPr>
          <w:spacing w:val="60"/>
        </w:rPr>
        <w:t> </w:t>
      </w:r>
      <w:r>
        <w:rPr/>
        <w:t>Díaz Romero R,</w:t>
      </w:r>
      <w:r>
        <w:rPr>
          <w:position w:val="11"/>
          <w:sz w:val="16"/>
        </w:rPr>
        <w:t>33  </w:t>
      </w:r>
      <w:r>
        <w:rPr/>
        <w:t>en el 2010 reporta las</w:t>
      </w:r>
    </w:p>
    <w:p>
      <w:pPr>
        <w:pStyle w:val="BodyText"/>
        <w:spacing w:line="328" w:lineRule="auto"/>
        <w:ind w:left="102" w:right="106"/>
        <w:jc w:val="both"/>
        <w:rPr>
          <w:sz w:val="16"/>
        </w:rPr>
      </w:pPr>
      <w:r>
        <w:rPr/>
        <w:t>similitud en las variables; dice que es una cuestión cultural lo que influye en el conocimiento de las gestantes sobre su salud bucal. </w:t>
      </w:r>
      <w:r>
        <w:rPr>
          <w:position w:val="11"/>
          <w:sz w:val="16"/>
        </w:rPr>
        <w:t>33</w:t>
      </w:r>
    </w:p>
    <w:p>
      <w:pPr>
        <w:spacing w:after="0" w:line="328" w:lineRule="auto"/>
        <w:jc w:val="both"/>
        <w:rPr>
          <w:sz w:val="16"/>
        </w:rPr>
        <w:sectPr>
          <w:pgSz w:w="12240" w:h="15840"/>
          <w:pgMar w:header="0" w:footer="1003" w:top="1360" w:bottom="1200" w:left="1600" w:right="1220"/>
        </w:sectPr>
      </w:pPr>
    </w:p>
    <w:p>
      <w:pPr>
        <w:pStyle w:val="Heading1"/>
        <w:numPr>
          <w:ilvl w:val="0"/>
          <w:numId w:val="9"/>
        </w:numPr>
        <w:tabs>
          <w:tab w:pos="4520" w:val="left" w:leader="none"/>
          <w:tab w:pos="4521" w:val="left" w:leader="none"/>
        </w:tabs>
        <w:spacing w:line="240" w:lineRule="auto" w:before="54" w:after="0"/>
        <w:ind w:left="4521" w:right="0" w:hanging="720"/>
        <w:jc w:val="left"/>
      </w:pPr>
      <w:r>
        <w:rPr/>
        <w:t>CONCLUSIONES</w:t>
      </w:r>
    </w:p>
    <w:p>
      <w:pPr>
        <w:pStyle w:val="BodyText"/>
        <w:rPr>
          <w:b/>
        </w:rPr>
      </w:pPr>
    </w:p>
    <w:p>
      <w:pPr>
        <w:pStyle w:val="BodyText"/>
        <w:rPr>
          <w:b/>
        </w:rPr>
      </w:pPr>
    </w:p>
    <w:p>
      <w:pPr>
        <w:pStyle w:val="ListParagraph"/>
        <w:numPr>
          <w:ilvl w:val="0"/>
          <w:numId w:val="12"/>
        </w:numPr>
        <w:tabs>
          <w:tab w:pos="702" w:val="left" w:leader="none"/>
        </w:tabs>
        <w:spacing w:line="360" w:lineRule="auto" w:before="0" w:after="0"/>
        <w:ind w:left="702" w:right="100" w:hanging="360"/>
        <w:jc w:val="both"/>
        <w:rPr>
          <w:sz w:val="24"/>
        </w:rPr>
      </w:pPr>
      <w:r>
        <w:rPr>
          <w:sz w:val="24"/>
        </w:rPr>
        <w:t>En el contexto personal, la edad, el número de embarazos y el número de hijos nacidos vivos de las gestantes se correlacionaron positivamente con el conocimiento sobre la salud bucal de sus</w:t>
      </w:r>
      <w:r>
        <w:rPr>
          <w:spacing w:val="-14"/>
          <w:sz w:val="24"/>
        </w:rPr>
        <w:t> </w:t>
      </w:r>
      <w:r>
        <w:rPr>
          <w:sz w:val="24"/>
        </w:rPr>
        <w:t>hijos.</w:t>
      </w:r>
    </w:p>
    <w:p>
      <w:pPr>
        <w:pStyle w:val="BodyText"/>
      </w:pPr>
    </w:p>
    <w:p>
      <w:pPr>
        <w:pStyle w:val="ListParagraph"/>
        <w:numPr>
          <w:ilvl w:val="0"/>
          <w:numId w:val="12"/>
        </w:numPr>
        <w:tabs>
          <w:tab w:pos="770" w:val="left" w:leader="none"/>
        </w:tabs>
        <w:spacing w:line="360" w:lineRule="auto" w:before="142" w:after="0"/>
        <w:ind w:left="702" w:right="105" w:hanging="360"/>
        <w:jc w:val="both"/>
        <w:rPr>
          <w:sz w:val="24"/>
        </w:rPr>
      </w:pPr>
      <w:r>
        <w:rPr>
          <w:sz w:val="24"/>
        </w:rPr>
        <w:t>Dentro del contexto social, el lugar de residencia y el máximo grado de estudios de las gestantes se correlacionaron positivamente con el conocimiento sobre la salud bucal de sus</w:t>
      </w:r>
      <w:r>
        <w:rPr>
          <w:spacing w:val="-9"/>
          <w:sz w:val="24"/>
        </w:rPr>
        <w:t> </w:t>
      </w:r>
      <w:r>
        <w:rPr>
          <w:sz w:val="24"/>
        </w:rPr>
        <w:t>hijos.</w:t>
      </w:r>
    </w:p>
    <w:p>
      <w:pPr>
        <w:spacing w:after="0" w:line="360" w:lineRule="auto"/>
        <w:jc w:val="both"/>
        <w:rPr>
          <w:sz w:val="24"/>
        </w:rPr>
        <w:sectPr>
          <w:pgSz w:w="12240" w:h="15840"/>
          <w:pgMar w:header="0" w:footer="1003" w:top="1360" w:bottom="1200" w:left="1720" w:right="1220"/>
        </w:sectPr>
      </w:pPr>
    </w:p>
    <w:p>
      <w:pPr>
        <w:pStyle w:val="Heading1"/>
        <w:numPr>
          <w:ilvl w:val="0"/>
          <w:numId w:val="9"/>
        </w:numPr>
        <w:tabs>
          <w:tab w:pos="3614" w:val="left" w:leader="none"/>
          <w:tab w:pos="3615" w:val="left" w:leader="none"/>
        </w:tabs>
        <w:spacing w:line="240" w:lineRule="auto" w:before="54" w:after="0"/>
        <w:ind w:left="3614" w:right="0" w:hanging="720"/>
        <w:jc w:val="left"/>
      </w:pPr>
      <w:r>
        <w:rPr/>
        <w:t>RREFERENCIAS</w:t>
      </w:r>
      <w:r>
        <w:rPr>
          <w:spacing w:val="-11"/>
        </w:rPr>
        <w:t> </w:t>
      </w:r>
      <w:r>
        <w:rPr/>
        <w:t>BIBLIOGRÁFICAS</w:t>
      </w:r>
    </w:p>
    <w:p>
      <w:pPr>
        <w:pStyle w:val="BodyText"/>
        <w:rPr>
          <w:b/>
        </w:rPr>
      </w:pPr>
    </w:p>
    <w:p>
      <w:pPr>
        <w:pStyle w:val="BodyText"/>
        <w:spacing w:before="8"/>
        <w:rPr>
          <w:b/>
          <w:sz w:val="20"/>
        </w:rPr>
      </w:pPr>
    </w:p>
    <w:p>
      <w:pPr>
        <w:pStyle w:val="ListParagraph"/>
        <w:numPr>
          <w:ilvl w:val="0"/>
          <w:numId w:val="13"/>
        </w:numPr>
        <w:tabs>
          <w:tab w:pos="424" w:val="left" w:leader="none"/>
        </w:tabs>
        <w:spacing w:line="240" w:lineRule="auto" w:before="0" w:after="0"/>
        <w:ind w:left="122" w:right="125" w:hanging="12"/>
        <w:jc w:val="both"/>
        <w:rPr>
          <w:sz w:val="24"/>
        </w:rPr>
      </w:pPr>
      <w:r>
        <w:rPr>
          <w:sz w:val="24"/>
        </w:rPr>
        <w:t>Villalba E, Loza L, Villalba I. Control prenatal y la práctica odontológica parte II práctica odontológica en el embarazo. Rev. Méd. La Paz 2007; 5 (2):</w:t>
      </w:r>
      <w:r>
        <w:rPr>
          <w:spacing w:val="-28"/>
          <w:sz w:val="24"/>
        </w:rPr>
        <w:t> </w:t>
      </w:r>
      <w:r>
        <w:rPr>
          <w:spacing w:val="2"/>
          <w:sz w:val="24"/>
        </w:rPr>
        <w:t>1-6</w:t>
      </w:r>
    </w:p>
    <w:p>
      <w:pPr>
        <w:pStyle w:val="BodyText"/>
        <w:spacing w:before="10"/>
        <w:rPr>
          <w:sz w:val="20"/>
        </w:rPr>
      </w:pPr>
    </w:p>
    <w:p>
      <w:pPr>
        <w:pStyle w:val="ListParagraph"/>
        <w:numPr>
          <w:ilvl w:val="0"/>
          <w:numId w:val="13"/>
        </w:numPr>
        <w:tabs>
          <w:tab w:pos="484" w:val="left" w:leader="none"/>
        </w:tabs>
        <w:spacing w:line="240" w:lineRule="auto" w:before="0" w:after="0"/>
        <w:ind w:left="122" w:right="128" w:firstLine="0"/>
        <w:jc w:val="both"/>
        <w:rPr>
          <w:sz w:val="24"/>
        </w:rPr>
      </w:pPr>
      <w:r>
        <w:rPr>
          <w:sz w:val="24"/>
        </w:rPr>
        <w:t>Targino A, Soares J, Cunha F, Pereira L, Cavalcanti R. Conhecimento de Gestantes sobre a Saú de Bucal dos Bebês. Rev. Bras </w:t>
      </w:r>
      <w:r>
        <w:rPr>
          <w:spacing w:val="2"/>
          <w:sz w:val="24"/>
        </w:rPr>
        <w:t>Ci </w:t>
      </w:r>
      <w:r>
        <w:rPr>
          <w:sz w:val="24"/>
        </w:rPr>
        <w:t>Saúde 2009; 13(1):</w:t>
      </w:r>
      <w:r>
        <w:rPr>
          <w:spacing w:val="-28"/>
          <w:sz w:val="24"/>
        </w:rPr>
        <w:t> </w:t>
      </w:r>
      <w:r>
        <w:rPr>
          <w:sz w:val="24"/>
        </w:rPr>
        <w:t>41-47</w:t>
      </w:r>
    </w:p>
    <w:p>
      <w:pPr>
        <w:pStyle w:val="BodyText"/>
      </w:pPr>
    </w:p>
    <w:p>
      <w:pPr>
        <w:pStyle w:val="ListParagraph"/>
        <w:numPr>
          <w:ilvl w:val="0"/>
          <w:numId w:val="13"/>
        </w:numPr>
        <w:tabs>
          <w:tab w:pos="403" w:val="left" w:leader="none"/>
        </w:tabs>
        <w:spacing w:line="240" w:lineRule="auto" w:before="0" w:after="0"/>
        <w:ind w:left="122" w:right="129" w:firstLine="0"/>
        <w:jc w:val="both"/>
        <w:rPr>
          <w:sz w:val="24"/>
        </w:rPr>
      </w:pPr>
      <w:r>
        <w:rPr>
          <w:sz w:val="24"/>
        </w:rPr>
        <w:t>Sousa J, Fracasso M. Comportamento Materno versus Temperamento da Criança: Influência no Padrão de Saúde Bucal. Pesq Bras Odontoped Clin Integr, João Pessoa 2010;</w:t>
      </w:r>
      <w:r>
        <w:rPr>
          <w:spacing w:val="-7"/>
          <w:sz w:val="24"/>
        </w:rPr>
        <w:t> </w:t>
      </w:r>
      <w:r>
        <w:rPr>
          <w:sz w:val="24"/>
        </w:rPr>
        <w:t>10(1):47-54</w:t>
      </w:r>
    </w:p>
    <w:p>
      <w:pPr>
        <w:pStyle w:val="BodyText"/>
      </w:pPr>
    </w:p>
    <w:p>
      <w:pPr>
        <w:pStyle w:val="ListParagraph"/>
        <w:numPr>
          <w:ilvl w:val="0"/>
          <w:numId w:val="13"/>
        </w:numPr>
        <w:tabs>
          <w:tab w:pos="410" w:val="left" w:leader="none"/>
        </w:tabs>
        <w:spacing w:line="240" w:lineRule="auto" w:before="0" w:after="0"/>
        <w:ind w:left="122" w:right="122" w:firstLine="0"/>
        <w:jc w:val="both"/>
        <w:rPr>
          <w:sz w:val="24"/>
        </w:rPr>
      </w:pPr>
      <w:r>
        <w:rPr>
          <w:sz w:val="24"/>
        </w:rPr>
        <w:t>Aristimuño C. Educación para la Salud. Reflexiones Acta Odontol Venez 2000; 38 (3):</w:t>
      </w:r>
      <w:r>
        <w:rPr>
          <w:spacing w:val="-1"/>
          <w:sz w:val="24"/>
        </w:rPr>
        <w:t> </w:t>
      </w:r>
      <w:r>
        <w:rPr>
          <w:sz w:val="24"/>
        </w:rPr>
        <w:t>1-2</w:t>
      </w:r>
    </w:p>
    <w:p>
      <w:pPr>
        <w:pStyle w:val="BodyText"/>
      </w:pPr>
    </w:p>
    <w:p>
      <w:pPr>
        <w:pStyle w:val="ListParagraph"/>
        <w:numPr>
          <w:ilvl w:val="0"/>
          <w:numId w:val="13"/>
        </w:numPr>
        <w:tabs>
          <w:tab w:pos="396" w:val="left" w:leader="none"/>
        </w:tabs>
        <w:spacing w:line="240" w:lineRule="auto" w:before="0" w:after="0"/>
        <w:ind w:left="122" w:right="130" w:firstLine="0"/>
        <w:jc w:val="both"/>
        <w:rPr>
          <w:sz w:val="24"/>
        </w:rPr>
      </w:pPr>
      <w:r>
        <w:rPr>
          <w:sz w:val="24"/>
        </w:rPr>
        <w:t>Reis D, Pitta D, Barbosa H, Pinto de Jesus M, Leonelli de Moraes M, Gonçalves M. Educação em saúde como estratégia de promoção de saúde bucal em gestantes. Ciência &amp; Saúde Coletiva 2010;</w:t>
      </w:r>
      <w:r>
        <w:rPr>
          <w:spacing w:val="-17"/>
          <w:sz w:val="24"/>
        </w:rPr>
        <w:t> </w:t>
      </w:r>
      <w:r>
        <w:rPr>
          <w:sz w:val="24"/>
        </w:rPr>
        <w:t>15(1):269-276</w:t>
      </w:r>
    </w:p>
    <w:p>
      <w:pPr>
        <w:pStyle w:val="BodyText"/>
      </w:pPr>
    </w:p>
    <w:p>
      <w:pPr>
        <w:pStyle w:val="ListParagraph"/>
        <w:numPr>
          <w:ilvl w:val="0"/>
          <w:numId w:val="13"/>
        </w:numPr>
        <w:tabs>
          <w:tab w:pos="412" w:val="left" w:leader="none"/>
        </w:tabs>
        <w:spacing w:line="240" w:lineRule="auto" w:before="0" w:after="0"/>
        <w:ind w:left="122" w:right="130" w:firstLine="0"/>
        <w:jc w:val="both"/>
        <w:rPr>
          <w:sz w:val="24"/>
        </w:rPr>
      </w:pPr>
      <w:r>
        <w:rPr>
          <w:sz w:val="24"/>
        </w:rPr>
        <w:t>Marrero A, López E, Castells S, Calzadilla L. Estrategia de intervención educativa en la salud bucal para gestantes. Archivo Médico de Camagüey 2003; 7(2):</w:t>
      </w:r>
      <w:r>
        <w:rPr>
          <w:spacing w:val="-25"/>
          <w:sz w:val="24"/>
        </w:rPr>
        <w:t> </w:t>
      </w:r>
      <w:r>
        <w:rPr>
          <w:sz w:val="24"/>
        </w:rPr>
        <w:t>34-52</w:t>
      </w:r>
    </w:p>
    <w:p>
      <w:pPr>
        <w:pStyle w:val="BodyText"/>
      </w:pPr>
    </w:p>
    <w:p>
      <w:pPr>
        <w:pStyle w:val="ListParagraph"/>
        <w:numPr>
          <w:ilvl w:val="0"/>
          <w:numId w:val="13"/>
        </w:numPr>
        <w:tabs>
          <w:tab w:pos="422" w:val="left" w:leader="none"/>
        </w:tabs>
        <w:spacing w:line="240" w:lineRule="auto" w:before="0" w:after="0"/>
        <w:ind w:left="122" w:right="129" w:firstLine="0"/>
        <w:jc w:val="both"/>
        <w:rPr>
          <w:sz w:val="24"/>
        </w:rPr>
      </w:pPr>
      <w:r>
        <w:rPr>
          <w:sz w:val="24"/>
        </w:rPr>
        <w:t>Franco A, Santamaría A, Kurzer E, Castrol L, Giraldo M. El menor de seis años: Situación de caries y conocimiento y prácticas de cuidado bucal de sus madres. Rev. CES Odontológica 2004; 17(1):19-</w:t>
      </w:r>
      <w:r>
        <w:rPr>
          <w:spacing w:val="-11"/>
          <w:sz w:val="24"/>
        </w:rPr>
        <w:t> </w:t>
      </w:r>
      <w:r>
        <w:rPr>
          <w:sz w:val="24"/>
        </w:rPr>
        <w:t>29</w:t>
      </w:r>
    </w:p>
    <w:p>
      <w:pPr>
        <w:pStyle w:val="BodyText"/>
      </w:pPr>
    </w:p>
    <w:p>
      <w:pPr>
        <w:pStyle w:val="ListParagraph"/>
        <w:numPr>
          <w:ilvl w:val="0"/>
          <w:numId w:val="13"/>
        </w:numPr>
        <w:tabs>
          <w:tab w:pos="396" w:val="left" w:leader="none"/>
        </w:tabs>
        <w:spacing w:line="240" w:lineRule="auto" w:before="0" w:after="0"/>
        <w:ind w:left="122" w:right="127" w:firstLine="0"/>
        <w:jc w:val="both"/>
        <w:rPr>
          <w:sz w:val="24"/>
        </w:rPr>
      </w:pPr>
      <w:r>
        <w:rPr>
          <w:sz w:val="24"/>
        </w:rPr>
        <w:t>Ministerio de salud. Manual de Normas Técnico Administrativo del Subprograma de Salud Bucal. Dirección general de salud de las personas. Lima-Perú, p.</w:t>
      </w:r>
      <w:r>
        <w:rPr>
          <w:spacing w:val="-25"/>
          <w:sz w:val="24"/>
        </w:rPr>
        <w:t> </w:t>
      </w:r>
      <w:r>
        <w:rPr>
          <w:sz w:val="24"/>
        </w:rPr>
        <w:t>16-33,1996</w:t>
      </w:r>
    </w:p>
    <w:p>
      <w:pPr>
        <w:pStyle w:val="BodyText"/>
      </w:pPr>
    </w:p>
    <w:p>
      <w:pPr>
        <w:pStyle w:val="ListParagraph"/>
        <w:numPr>
          <w:ilvl w:val="0"/>
          <w:numId w:val="13"/>
        </w:numPr>
        <w:tabs>
          <w:tab w:pos="391" w:val="left" w:leader="none"/>
        </w:tabs>
        <w:spacing w:line="240" w:lineRule="auto" w:before="0" w:after="0"/>
        <w:ind w:left="390" w:right="0" w:hanging="268"/>
        <w:jc w:val="both"/>
        <w:rPr>
          <w:sz w:val="24"/>
        </w:rPr>
      </w:pPr>
      <w:r>
        <w:rPr>
          <w:sz w:val="24"/>
        </w:rPr>
        <w:t>Palma C. Embarazo y Salud Oral. Odontol Pediátr. (Madrid) 2009; 17(1):</w:t>
      </w:r>
      <w:r>
        <w:rPr>
          <w:spacing w:val="-20"/>
          <w:sz w:val="24"/>
        </w:rPr>
        <w:t> </w:t>
      </w:r>
      <w:r>
        <w:rPr>
          <w:sz w:val="24"/>
        </w:rPr>
        <w:t>1-3.</w:t>
      </w:r>
    </w:p>
    <w:p>
      <w:pPr>
        <w:pStyle w:val="BodyText"/>
      </w:pPr>
    </w:p>
    <w:p>
      <w:pPr>
        <w:pStyle w:val="ListParagraph"/>
        <w:numPr>
          <w:ilvl w:val="0"/>
          <w:numId w:val="13"/>
        </w:numPr>
        <w:tabs>
          <w:tab w:pos="535" w:val="left" w:leader="none"/>
        </w:tabs>
        <w:spacing w:line="240" w:lineRule="auto" w:before="0" w:after="0"/>
        <w:ind w:left="122" w:right="120" w:firstLine="0"/>
        <w:jc w:val="both"/>
        <w:rPr>
          <w:sz w:val="24"/>
        </w:rPr>
      </w:pPr>
      <w:r>
        <w:rPr>
          <w:sz w:val="24"/>
        </w:rPr>
        <w:t>Bastarrechea M, Betancourt N, Perez M. Algunos riesgos durante el embarazo en relación con la enfermedad periodontal y la caries dental en Yemen. Rev cubana Estomatol 2009; 46(4):</w:t>
      </w:r>
      <w:r>
        <w:rPr>
          <w:spacing w:val="-7"/>
          <w:sz w:val="24"/>
        </w:rPr>
        <w:t> </w:t>
      </w:r>
      <w:r>
        <w:rPr>
          <w:sz w:val="24"/>
        </w:rPr>
        <w:t>1-15</w:t>
      </w:r>
    </w:p>
    <w:p>
      <w:pPr>
        <w:pStyle w:val="BodyText"/>
      </w:pPr>
    </w:p>
    <w:p>
      <w:pPr>
        <w:pStyle w:val="ListParagraph"/>
        <w:numPr>
          <w:ilvl w:val="0"/>
          <w:numId w:val="13"/>
        </w:numPr>
        <w:tabs>
          <w:tab w:pos="544" w:val="left" w:leader="none"/>
        </w:tabs>
        <w:spacing w:line="240" w:lineRule="auto" w:before="0" w:after="0"/>
        <w:ind w:left="543" w:right="0" w:hanging="421"/>
        <w:jc w:val="both"/>
        <w:rPr>
          <w:sz w:val="24"/>
        </w:rPr>
      </w:pPr>
      <w:r>
        <w:rPr>
          <w:sz w:val="24"/>
        </w:rPr>
        <w:t>Reis</w:t>
      </w:r>
      <w:r>
        <w:rPr>
          <w:spacing w:val="17"/>
          <w:sz w:val="24"/>
        </w:rPr>
        <w:t> </w:t>
      </w:r>
      <w:r>
        <w:rPr>
          <w:sz w:val="24"/>
        </w:rPr>
        <w:t>D,</w:t>
      </w:r>
      <w:r>
        <w:rPr>
          <w:spacing w:val="17"/>
          <w:sz w:val="24"/>
        </w:rPr>
        <w:t> </w:t>
      </w:r>
      <w:r>
        <w:rPr>
          <w:sz w:val="24"/>
        </w:rPr>
        <w:t>Pitta</w:t>
      </w:r>
      <w:r>
        <w:rPr>
          <w:spacing w:val="18"/>
          <w:sz w:val="24"/>
        </w:rPr>
        <w:t> </w:t>
      </w:r>
      <w:r>
        <w:rPr>
          <w:sz w:val="24"/>
        </w:rPr>
        <w:t>D,</w:t>
      </w:r>
      <w:r>
        <w:rPr>
          <w:spacing w:val="17"/>
          <w:sz w:val="24"/>
        </w:rPr>
        <w:t> </w:t>
      </w:r>
      <w:r>
        <w:rPr>
          <w:sz w:val="24"/>
        </w:rPr>
        <w:t>Barbosa</w:t>
      </w:r>
      <w:r>
        <w:rPr>
          <w:spacing w:val="18"/>
          <w:sz w:val="24"/>
        </w:rPr>
        <w:t> </w:t>
      </w:r>
      <w:r>
        <w:rPr>
          <w:sz w:val="24"/>
        </w:rPr>
        <w:t>H,</w:t>
      </w:r>
      <w:r>
        <w:rPr>
          <w:spacing w:val="17"/>
          <w:sz w:val="24"/>
        </w:rPr>
        <w:t> </w:t>
      </w:r>
      <w:r>
        <w:rPr>
          <w:sz w:val="24"/>
        </w:rPr>
        <w:t>Pinto</w:t>
      </w:r>
      <w:r>
        <w:rPr>
          <w:spacing w:val="18"/>
          <w:sz w:val="24"/>
        </w:rPr>
        <w:t> </w:t>
      </w:r>
      <w:r>
        <w:rPr>
          <w:sz w:val="24"/>
        </w:rPr>
        <w:t>de</w:t>
      </w:r>
      <w:r>
        <w:rPr>
          <w:spacing w:val="18"/>
          <w:sz w:val="24"/>
        </w:rPr>
        <w:t> </w:t>
      </w:r>
      <w:r>
        <w:rPr>
          <w:sz w:val="24"/>
        </w:rPr>
        <w:t>Jesus</w:t>
      </w:r>
      <w:r>
        <w:rPr>
          <w:spacing w:val="17"/>
          <w:sz w:val="24"/>
        </w:rPr>
        <w:t> </w:t>
      </w:r>
      <w:r>
        <w:rPr>
          <w:sz w:val="24"/>
        </w:rPr>
        <w:t>M,</w:t>
      </w:r>
      <w:r>
        <w:rPr>
          <w:spacing w:val="17"/>
          <w:sz w:val="24"/>
        </w:rPr>
        <w:t> </w:t>
      </w:r>
      <w:r>
        <w:rPr>
          <w:sz w:val="24"/>
        </w:rPr>
        <w:t>Leonelli</w:t>
      </w:r>
      <w:r>
        <w:rPr>
          <w:spacing w:val="17"/>
          <w:sz w:val="24"/>
        </w:rPr>
        <w:t> </w:t>
      </w:r>
      <w:r>
        <w:rPr>
          <w:sz w:val="24"/>
        </w:rPr>
        <w:t>de</w:t>
      </w:r>
      <w:r>
        <w:rPr>
          <w:spacing w:val="18"/>
          <w:sz w:val="24"/>
        </w:rPr>
        <w:t> </w:t>
      </w:r>
      <w:r>
        <w:rPr>
          <w:sz w:val="24"/>
        </w:rPr>
        <w:t>Moraes</w:t>
      </w:r>
      <w:r>
        <w:rPr>
          <w:spacing w:val="17"/>
          <w:sz w:val="24"/>
        </w:rPr>
        <w:t> </w:t>
      </w:r>
      <w:r>
        <w:rPr>
          <w:sz w:val="24"/>
        </w:rPr>
        <w:t>M,</w:t>
      </w:r>
      <w:r>
        <w:rPr>
          <w:spacing w:val="17"/>
          <w:sz w:val="24"/>
        </w:rPr>
        <w:t> </w:t>
      </w:r>
      <w:r>
        <w:rPr>
          <w:sz w:val="24"/>
        </w:rPr>
        <w:t>Gonçalves</w:t>
      </w:r>
    </w:p>
    <w:p>
      <w:pPr>
        <w:pStyle w:val="BodyText"/>
        <w:ind w:left="122" w:right="130"/>
        <w:jc w:val="both"/>
      </w:pPr>
      <w:r>
        <w:rPr/>
        <w:t>M. Educação em saúde como estratégia de promoção de saúde bucal em gestantes. Ciência &amp; Saúde Coletiva 2010; 15(1):269-276</w:t>
      </w:r>
    </w:p>
    <w:p>
      <w:pPr>
        <w:pStyle w:val="BodyText"/>
      </w:pPr>
    </w:p>
    <w:p>
      <w:pPr>
        <w:pStyle w:val="ListParagraph"/>
        <w:numPr>
          <w:ilvl w:val="0"/>
          <w:numId w:val="13"/>
        </w:numPr>
        <w:tabs>
          <w:tab w:pos="575" w:val="left" w:leader="none"/>
        </w:tabs>
        <w:spacing w:line="240" w:lineRule="auto" w:before="0" w:after="0"/>
        <w:ind w:left="122" w:right="132" w:firstLine="0"/>
        <w:jc w:val="both"/>
        <w:rPr>
          <w:sz w:val="24"/>
        </w:rPr>
      </w:pPr>
      <w:r>
        <w:rPr>
          <w:sz w:val="24"/>
        </w:rPr>
        <w:t>Osorno C. Manual de Actividades Clínicas de Odontopediatría. 1a ed. México Trillas 1990;pp</w:t>
      </w:r>
      <w:r>
        <w:rPr>
          <w:spacing w:val="-7"/>
          <w:sz w:val="24"/>
        </w:rPr>
        <w:t> </w:t>
      </w:r>
      <w:r>
        <w:rPr>
          <w:sz w:val="24"/>
        </w:rPr>
        <w:t>26-7.</w:t>
      </w:r>
    </w:p>
    <w:p>
      <w:pPr>
        <w:pStyle w:val="BodyText"/>
      </w:pPr>
    </w:p>
    <w:p>
      <w:pPr>
        <w:pStyle w:val="ListParagraph"/>
        <w:numPr>
          <w:ilvl w:val="0"/>
          <w:numId w:val="13"/>
        </w:numPr>
        <w:tabs>
          <w:tab w:pos="590" w:val="left" w:leader="none"/>
        </w:tabs>
        <w:spacing w:line="240" w:lineRule="auto" w:before="0" w:after="0"/>
        <w:ind w:left="122" w:right="116" w:firstLine="0"/>
        <w:jc w:val="both"/>
        <w:rPr>
          <w:sz w:val="24"/>
        </w:rPr>
      </w:pPr>
      <w:r>
        <w:rPr>
          <w:sz w:val="24"/>
        </w:rPr>
        <w:t>Navas R, Mejía M, Rojas T. Evaluación de un servicio odontológico público: niveles de riesgo a caries dental como indicadores de medición. Acta odontol. venez 2006; 44 (3):</w:t>
      </w:r>
      <w:r>
        <w:rPr>
          <w:spacing w:val="-8"/>
          <w:sz w:val="24"/>
        </w:rPr>
        <w:t> </w:t>
      </w:r>
      <w:r>
        <w:rPr>
          <w:sz w:val="24"/>
        </w:rPr>
        <w:t>346-351.</w:t>
      </w:r>
    </w:p>
    <w:p>
      <w:pPr>
        <w:spacing w:after="0" w:line="240" w:lineRule="auto"/>
        <w:jc w:val="both"/>
        <w:rPr>
          <w:sz w:val="24"/>
        </w:rPr>
        <w:sectPr>
          <w:pgSz w:w="12240" w:h="15840"/>
          <w:pgMar w:header="0" w:footer="1003" w:top="1360" w:bottom="1200" w:left="1580" w:right="1200"/>
        </w:sectPr>
      </w:pPr>
    </w:p>
    <w:p>
      <w:pPr>
        <w:pStyle w:val="ListParagraph"/>
        <w:numPr>
          <w:ilvl w:val="0"/>
          <w:numId w:val="13"/>
        </w:numPr>
        <w:tabs>
          <w:tab w:pos="543" w:val="left" w:leader="none"/>
        </w:tabs>
        <w:spacing w:line="240" w:lineRule="auto" w:before="51" w:after="0"/>
        <w:ind w:left="102" w:right="129" w:firstLine="0"/>
        <w:jc w:val="both"/>
        <w:rPr>
          <w:sz w:val="24"/>
        </w:rPr>
      </w:pPr>
      <w:r>
        <w:rPr>
          <w:sz w:val="24"/>
        </w:rPr>
        <w:t>Rodríguez J, Rodríguez C, Cople L. Influencia del consumo de azúcar, uso de medicamentos e higiene oral en la prevalencia de caries en bebés. Acta Odontol Venez 2008; 46</w:t>
      </w:r>
      <w:r>
        <w:rPr>
          <w:spacing w:val="-7"/>
          <w:sz w:val="24"/>
        </w:rPr>
        <w:t> </w:t>
      </w:r>
      <w:r>
        <w:rPr>
          <w:sz w:val="24"/>
        </w:rPr>
        <w:t>(2):165-169</w:t>
      </w:r>
    </w:p>
    <w:p>
      <w:pPr>
        <w:pStyle w:val="BodyText"/>
      </w:pPr>
    </w:p>
    <w:p>
      <w:pPr>
        <w:pStyle w:val="ListParagraph"/>
        <w:numPr>
          <w:ilvl w:val="0"/>
          <w:numId w:val="13"/>
        </w:numPr>
        <w:tabs>
          <w:tab w:pos="512" w:val="left" w:leader="none"/>
        </w:tabs>
        <w:spacing w:line="240" w:lineRule="auto" w:before="0" w:after="0"/>
        <w:ind w:left="511" w:right="0" w:hanging="409"/>
        <w:jc w:val="both"/>
        <w:rPr>
          <w:sz w:val="24"/>
        </w:rPr>
      </w:pPr>
      <w:r>
        <w:rPr>
          <w:sz w:val="24"/>
        </w:rPr>
        <w:t>Guillen C, Huapaya O, Loayza R, Torres G, Chein S, Garibay P, Anticona C, </w:t>
      </w:r>
      <w:r>
        <w:rPr>
          <w:spacing w:val="26"/>
          <w:sz w:val="24"/>
        </w:rPr>
        <w:t> </w:t>
      </w:r>
      <w:r>
        <w:rPr>
          <w:sz w:val="24"/>
        </w:rPr>
        <w:t>Pum</w:t>
      </w:r>
    </w:p>
    <w:p>
      <w:pPr>
        <w:pStyle w:val="BodyText"/>
        <w:ind w:left="102" w:right="123"/>
        <w:jc w:val="both"/>
      </w:pPr>
      <w:r>
        <w:rPr/>
        <w:t>J. Odontología para el Bebè: Modelo de atención Pùblica.Odont. Sanmarquina 2004;8(2):32-40</w:t>
      </w:r>
    </w:p>
    <w:p>
      <w:pPr>
        <w:pStyle w:val="BodyText"/>
      </w:pPr>
    </w:p>
    <w:p>
      <w:pPr>
        <w:pStyle w:val="ListParagraph"/>
        <w:numPr>
          <w:ilvl w:val="0"/>
          <w:numId w:val="13"/>
        </w:numPr>
        <w:tabs>
          <w:tab w:pos="517" w:val="left" w:leader="none"/>
        </w:tabs>
        <w:spacing w:line="240" w:lineRule="auto" w:before="0" w:after="0"/>
        <w:ind w:left="102" w:right="130" w:firstLine="0"/>
        <w:jc w:val="both"/>
        <w:rPr>
          <w:sz w:val="24"/>
        </w:rPr>
      </w:pPr>
      <w:r>
        <w:rPr>
          <w:sz w:val="24"/>
        </w:rPr>
        <w:t>Bernabé E, Delgado E, Sánchez P. Resultado de un sistema para la vigilancia de Caries de Infancia Temprana. Rev Med Herediana 2006;</w:t>
      </w:r>
      <w:r>
        <w:rPr>
          <w:spacing w:val="-20"/>
          <w:sz w:val="24"/>
        </w:rPr>
        <w:t> </w:t>
      </w:r>
      <w:r>
        <w:rPr>
          <w:sz w:val="24"/>
        </w:rPr>
        <w:t>17(4):227-233</w:t>
      </w:r>
    </w:p>
    <w:p>
      <w:pPr>
        <w:pStyle w:val="BodyText"/>
      </w:pPr>
    </w:p>
    <w:p>
      <w:pPr>
        <w:pStyle w:val="ListParagraph"/>
        <w:numPr>
          <w:ilvl w:val="0"/>
          <w:numId w:val="13"/>
        </w:numPr>
        <w:tabs>
          <w:tab w:pos="515" w:val="left" w:leader="none"/>
        </w:tabs>
        <w:spacing w:line="240" w:lineRule="auto" w:before="0" w:after="0"/>
        <w:ind w:left="102" w:right="119" w:firstLine="0"/>
        <w:jc w:val="both"/>
        <w:rPr>
          <w:sz w:val="24"/>
        </w:rPr>
      </w:pPr>
      <w:r>
        <w:rPr>
          <w:sz w:val="24"/>
        </w:rPr>
        <w:t>Figuereido </w:t>
      </w:r>
      <w:r>
        <w:rPr>
          <w:spacing w:val="4"/>
          <w:sz w:val="24"/>
        </w:rPr>
        <w:t>W, </w:t>
      </w:r>
      <w:r>
        <w:rPr>
          <w:sz w:val="24"/>
        </w:rPr>
        <w:t>Ferelle A, Myaki I.Odontologia para el Bebè:Odontopediatrìa desde el nacimiento hasta los 3 años. Sao Paulo-Brasil. Actualización Medica Odontologica Latina;</w:t>
      </w:r>
      <w:r>
        <w:rPr>
          <w:spacing w:val="-5"/>
          <w:sz w:val="24"/>
        </w:rPr>
        <w:t> </w:t>
      </w:r>
      <w:r>
        <w:rPr>
          <w:sz w:val="24"/>
        </w:rPr>
        <w:t>2000</w:t>
      </w:r>
    </w:p>
    <w:p>
      <w:pPr>
        <w:pStyle w:val="BodyText"/>
      </w:pPr>
    </w:p>
    <w:p>
      <w:pPr>
        <w:pStyle w:val="ListParagraph"/>
        <w:numPr>
          <w:ilvl w:val="0"/>
          <w:numId w:val="13"/>
        </w:numPr>
        <w:tabs>
          <w:tab w:pos="527" w:val="left" w:leader="none"/>
        </w:tabs>
        <w:spacing w:line="240" w:lineRule="auto" w:before="0" w:after="0"/>
        <w:ind w:left="102" w:right="122" w:firstLine="0"/>
        <w:jc w:val="both"/>
        <w:rPr>
          <w:sz w:val="24"/>
        </w:rPr>
      </w:pPr>
      <w:r>
        <w:rPr>
          <w:sz w:val="24"/>
        </w:rPr>
        <w:t>González F, Sánchez R, Carmona L. Indicadores de riesgo para la caries dental en niños preescolares de la Boquilla Cartagena. Bogotá. Rev Salud Pública 2009; 11(4):620 –</w:t>
      </w:r>
      <w:r>
        <w:rPr>
          <w:spacing w:val="-4"/>
          <w:sz w:val="24"/>
        </w:rPr>
        <w:t> </w:t>
      </w:r>
      <w:r>
        <w:rPr>
          <w:sz w:val="24"/>
        </w:rPr>
        <w:t>630</w:t>
      </w:r>
    </w:p>
    <w:p>
      <w:pPr>
        <w:pStyle w:val="BodyText"/>
      </w:pPr>
    </w:p>
    <w:p>
      <w:pPr>
        <w:pStyle w:val="ListParagraph"/>
        <w:numPr>
          <w:ilvl w:val="0"/>
          <w:numId w:val="13"/>
        </w:numPr>
        <w:tabs>
          <w:tab w:pos="529" w:val="left" w:leader="none"/>
        </w:tabs>
        <w:spacing w:line="240" w:lineRule="auto" w:before="0" w:after="0"/>
        <w:ind w:left="102" w:right="128" w:firstLine="0"/>
        <w:jc w:val="both"/>
        <w:rPr>
          <w:sz w:val="24"/>
        </w:rPr>
      </w:pPr>
      <w:r>
        <w:rPr>
          <w:sz w:val="24"/>
        </w:rPr>
        <w:t>Pérez S, Vallejos A, Gutiérrez P, Casanova J, Casanova A. Predictive model for dental caries in schoolchildren. J Dental Res</w:t>
      </w:r>
      <w:r>
        <w:rPr>
          <w:spacing w:val="-17"/>
          <w:sz w:val="24"/>
        </w:rPr>
        <w:t> </w:t>
      </w:r>
      <w:r>
        <w:rPr>
          <w:sz w:val="24"/>
        </w:rPr>
        <w:t>2000;79:291-295</w:t>
      </w:r>
    </w:p>
    <w:p>
      <w:pPr>
        <w:pStyle w:val="BodyText"/>
      </w:pPr>
    </w:p>
    <w:p>
      <w:pPr>
        <w:pStyle w:val="ListParagraph"/>
        <w:numPr>
          <w:ilvl w:val="0"/>
          <w:numId w:val="13"/>
        </w:numPr>
        <w:tabs>
          <w:tab w:pos="524" w:val="left" w:leader="none"/>
        </w:tabs>
        <w:spacing w:line="240" w:lineRule="auto" w:before="0" w:after="0"/>
        <w:ind w:left="102" w:right="131" w:firstLine="0"/>
        <w:jc w:val="both"/>
        <w:rPr>
          <w:sz w:val="24"/>
        </w:rPr>
      </w:pPr>
      <w:r>
        <w:rPr>
          <w:sz w:val="24"/>
        </w:rPr>
        <w:t>An Palestein Helderman WH, Ter Pelkwijk L, Van Dijk JWE. Caries in fissures of permanet first molars as predictor for caries increment. Commun Dent Oral Epidemiol 1989;17:282-4</w:t>
      </w:r>
    </w:p>
    <w:p>
      <w:pPr>
        <w:pStyle w:val="BodyText"/>
      </w:pPr>
    </w:p>
    <w:p>
      <w:pPr>
        <w:pStyle w:val="ListParagraph"/>
        <w:numPr>
          <w:ilvl w:val="0"/>
          <w:numId w:val="13"/>
        </w:numPr>
        <w:tabs>
          <w:tab w:pos="553" w:val="left" w:leader="none"/>
        </w:tabs>
        <w:spacing w:line="240" w:lineRule="auto" w:before="0" w:after="0"/>
        <w:ind w:left="102" w:right="124" w:firstLine="0"/>
        <w:jc w:val="both"/>
        <w:rPr>
          <w:sz w:val="24"/>
        </w:rPr>
      </w:pPr>
      <w:r>
        <w:rPr>
          <w:sz w:val="24"/>
        </w:rPr>
        <w:t>Penchas J. The dilema of treating severely decayed first permanent molars in children: To restore or to extract. J Dent Child</w:t>
      </w:r>
      <w:r>
        <w:rPr>
          <w:spacing w:val="-15"/>
          <w:sz w:val="24"/>
        </w:rPr>
        <w:t> </w:t>
      </w:r>
      <w:r>
        <w:rPr>
          <w:sz w:val="24"/>
        </w:rPr>
        <w:t>1994;199-205</w:t>
      </w:r>
    </w:p>
    <w:p>
      <w:pPr>
        <w:pStyle w:val="BodyText"/>
      </w:pPr>
    </w:p>
    <w:p>
      <w:pPr>
        <w:pStyle w:val="ListParagraph"/>
        <w:numPr>
          <w:ilvl w:val="0"/>
          <w:numId w:val="13"/>
        </w:numPr>
        <w:tabs>
          <w:tab w:pos="548" w:val="left" w:leader="none"/>
        </w:tabs>
        <w:spacing w:line="240" w:lineRule="auto" w:before="0" w:after="0"/>
        <w:ind w:left="102" w:right="129" w:firstLine="0"/>
        <w:jc w:val="both"/>
        <w:rPr>
          <w:sz w:val="24"/>
        </w:rPr>
      </w:pPr>
      <w:r>
        <w:rPr>
          <w:sz w:val="24"/>
        </w:rPr>
        <w:t>Gutiérrez MP. Validación de un indicador predictivo del riesgo de aparición de caries en dientes permanentes. Rev Méd D.F.</w:t>
      </w:r>
      <w:r>
        <w:rPr>
          <w:spacing w:val="-12"/>
          <w:sz w:val="24"/>
        </w:rPr>
        <w:t> </w:t>
      </w:r>
      <w:r>
        <w:rPr>
          <w:sz w:val="24"/>
        </w:rPr>
        <w:t>1987;4:183-7</w:t>
      </w:r>
    </w:p>
    <w:p>
      <w:pPr>
        <w:pStyle w:val="BodyText"/>
      </w:pPr>
    </w:p>
    <w:p>
      <w:pPr>
        <w:pStyle w:val="ListParagraph"/>
        <w:numPr>
          <w:ilvl w:val="0"/>
          <w:numId w:val="13"/>
        </w:numPr>
        <w:tabs>
          <w:tab w:pos="666" w:val="left" w:leader="none"/>
        </w:tabs>
        <w:spacing w:line="240" w:lineRule="auto" w:before="0" w:after="0"/>
        <w:ind w:left="102" w:right="126" w:firstLine="0"/>
        <w:jc w:val="both"/>
        <w:rPr>
          <w:sz w:val="24"/>
        </w:rPr>
      </w:pPr>
      <w:r>
        <w:rPr>
          <w:sz w:val="24"/>
        </w:rPr>
        <w:t>García A,De La Teja E.Caries temprana de la infancia.Prevención y tratamiento.México. Acta Pediatr mex 2008; 29(2):69 –</w:t>
      </w:r>
      <w:r>
        <w:rPr>
          <w:spacing w:val="-16"/>
          <w:sz w:val="24"/>
        </w:rPr>
        <w:t> </w:t>
      </w:r>
      <w:r>
        <w:rPr>
          <w:sz w:val="24"/>
        </w:rPr>
        <w:t>72.</w:t>
      </w:r>
    </w:p>
    <w:p>
      <w:pPr>
        <w:pStyle w:val="BodyText"/>
      </w:pPr>
    </w:p>
    <w:p>
      <w:pPr>
        <w:pStyle w:val="ListParagraph"/>
        <w:numPr>
          <w:ilvl w:val="0"/>
          <w:numId w:val="13"/>
        </w:numPr>
        <w:tabs>
          <w:tab w:pos="570" w:val="left" w:leader="none"/>
        </w:tabs>
        <w:spacing w:line="240" w:lineRule="auto" w:before="0" w:after="0"/>
        <w:ind w:left="102" w:right="335" w:firstLine="0"/>
        <w:jc w:val="left"/>
        <w:rPr>
          <w:sz w:val="24"/>
        </w:rPr>
      </w:pPr>
      <w:r>
        <w:rPr>
          <w:sz w:val="24"/>
        </w:rPr>
        <w:t>Escribano A, López A, López C, Saenz U. Caries de biberón. Rev Clin Med</w:t>
      </w:r>
      <w:r>
        <w:rPr>
          <w:spacing w:val="-30"/>
          <w:sz w:val="24"/>
        </w:rPr>
        <w:t> </w:t>
      </w:r>
      <w:r>
        <w:rPr>
          <w:sz w:val="24"/>
        </w:rPr>
        <w:t>Fam 2008, 2(4):</w:t>
      </w:r>
      <w:r>
        <w:rPr>
          <w:spacing w:val="-5"/>
          <w:sz w:val="24"/>
        </w:rPr>
        <w:t> </w:t>
      </w:r>
      <w:r>
        <w:rPr>
          <w:sz w:val="24"/>
        </w:rPr>
        <w:t>1-5</w:t>
      </w:r>
    </w:p>
    <w:p>
      <w:pPr>
        <w:pStyle w:val="BodyText"/>
      </w:pPr>
    </w:p>
    <w:p>
      <w:pPr>
        <w:pStyle w:val="ListParagraph"/>
        <w:numPr>
          <w:ilvl w:val="0"/>
          <w:numId w:val="13"/>
        </w:numPr>
        <w:tabs>
          <w:tab w:pos="519" w:val="left" w:leader="none"/>
        </w:tabs>
        <w:spacing w:line="240" w:lineRule="auto" w:before="0" w:after="0"/>
        <w:ind w:left="102" w:right="115" w:firstLine="0"/>
        <w:jc w:val="both"/>
        <w:rPr>
          <w:sz w:val="24"/>
        </w:rPr>
      </w:pPr>
      <w:r>
        <w:rPr>
          <w:sz w:val="24"/>
        </w:rPr>
        <w:t>Misrachi C.; Influencia de la educación escolar para estilos de vida saludables en los factores determinantes de conductas en salud oral, Odontología chilena 42 (2):87- 92,</w:t>
      </w:r>
      <w:r>
        <w:rPr>
          <w:spacing w:val="-5"/>
          <w:sz w:val="24"/>
        </w:rPr>
        <w:t> </w:t>
      </w:r>
      <w:r>
        <w:rPr>
          <w:sz w:val="24"/>
        </w:rPr>
        <w:t>1994.</w:t>
      </w:r>
    </w:p>
    <w:p>
      <w:pPr>
        <w:pStyle w:val="BodyText"/>
      </w:pPr>
    </w:p>
    <w:p>
      <w:pPr>
        <w:pStyle w:val="ListParagraph"/>
        <w:numPr>
          <w:ilvl w:val="0"/>
          <w:numId w:val="13"/>
        </w:numPr>
        <w:tabs>
          <w:tab w:pos="613" w:val="left" w:leader="none"/>
        </w:tabs>
        <w:spacing w:line="240" w:lineRule="auto" w:before="0" w:after="0"/>
        <w:ind w:left="102" w:right="128" w:firstLine="0"/>
        <w:jc w:val="both"/>
        <w:rPr>
          <w:sz w:val="24"/>
        </w:rPr>
      </w:pPr>
      <w:r>
        <w:rPr>
          <w:sz w:val="24"/>
        </w:rPr>
        <w:t>Alonso M, Karawosky L. Caries de Infancia Temprana. Periodontologia y Reproducciòn Humana 2009;</w:t>
      </w:r>
      <w:r>
        <w:rPr>
          <w:spacing w:val="-10"/>
          <w:sz w:val="24"/>
        </w:rPr>
        <w:t> </w:t>
      </w:r>
      <w:r>
        <w:rPr>
          <w:sz w:val="24"/>
        </w:rPr>
        <w:t>23(2):90-97</w:t>
      </w:r>
    </w:p>
    <w:p>
      <w:pPr>
        <w:spacing w:after="0" w:line="240" w:lineRule="auto"/>
        <w:jc w:val="both"/>
        <w:rPr>
          <w:sz w:val="24"/>
        </w:rPr>
        <w:sectPr>
          <w:pgSz w:w="12240" w:h="15840"/>
          <w:pgMar w:header="0" w:footer="1003" w:top="1360" w:bottom="1200" w:left="1600" w:right="1200"/>
        </w:sectPr>
      </w:pPr>
    </w:p>
    <w:p>
      <w:pPr>
        <w:pStyle w:val="ListParagraph"/>
        <w:numPr>
          <w:ilvl w:val="0"/>
          <w:numId w:val="13"/>
        </w:numPr>
        <w:tabs>
          <w:tab w:pos="544" w:val="left" w:leader="none"/>
        </w:tabs>
        <w:spacing w:line="240" w:lineRule="auto" w:before="51" w:after="0"/>
        <w:ind w:left="102" w:right="129" w:firstLine="0"/>
        <w:jc w:val="both"/>
        <w:rPr>
          <w:sz w:val="24"/>
        </w:rPr>
      </w:pPr>
      <w:r>
        <w:rPr>
          <w:sz w:val="24"/>
        </w:rPr>
        <w:t>Rodríguez J, Rodríguez C, Cople L. Influencia del consumo de azúcar, uso de medicamentos e higiene oral en la prevalencia de caries en bebés. Acta Odontol Venez 2008; 46</w:t>
      </w:r>
      <w:r>
        <w:rPr>
          <w:spacing w:val="-7"/>
          <w:sz w:val="24"/>
        </w:rPr>
        <w:t> </w:t>
      </w:r>
      <w:r>
        <w:rPr>
          <w:sz w:val="24"/>
        </w:rPr>
        <w:t>(2):165-169.</w:t>
      </w:r>
    </w:p>
    <w:p>
      <w:pPr>
        <w:pStyle w:val="BodyText"/>
      </w:pPr>
    </w:p>
    <w:p>
      <w:pPr>
        <w:pStyle w:val="ListParagraph"/>
        <w:numPr>
          <w:ilvl w:val="0"/>
          <w:numId w:val="13"/>
        </w:numPr>
        <w:tabs>
          <w:tab w:pos="517" w:val="left" w:leader="none"/>
        </w:tabs>
        <w:spacing w:line="240" w:lineRule="auto" w:before="0" w:after="0"/>
        <w:ind w:left="102" w:right="120" w:firstLine="0"/>
        <w:jc w:val="both"/>
        <w:rPr>
          <w:sz w:val="24"/>
        </w:rPr>
      </w:pPr>
      <w:r>
        <w:rPr>
          <w:sz w:val="24"/>
        </w:rPr>
        <w:t>Bernabé E, Delgado E, Sánchez P. Resultado de un sistema para la vigilancia de Caries de Infancia Temprana. Rev Med Herediana 2006;</w:t>
      </w:r>
      <w:r>
        <w:rPr>
          <w:spacing w:val="-18"/>
          <w:sz w:val="24"/>
        </w:rPr>
        <w:t> </w:t>
      </w:r>
      <w:r>
        <w:rPr>
          <w:sz w:val="24"/>
        </w:rPr>
        <w:t>17(4):227-233.</w:t>
      </w:r>
    </w:p>
    <w:p>
      <w:pPr>
        <w:pStyle w:val="BodyText"/>
      </w:pPr>
    </w:p>
    <w:p>
      <w:pPr>
        <w:pStyle w:val="ListParagraph"/>
        <w:numPr>
          <w:ilvl w:val="0"/>
          <w:numId w:val="13"/>
        </w:numPr>
        <w:tabs>
          <w:tab w:pos="610" w:val="left" w:leader="none"/>
        </w:tabs>
        <w:spacing w:line="240" w:lineRule="auto" w:before="0" w:after="0"/>
        <w:ind w:left="102" w:right="119" w:firstLine="0"/>
        <w:jc w:val="both"/>
        <w:rPr>
          <w:sz w:val="24"/>
        </w:rPr>
      </w:pPr>
      <w:r>
        <w:rPr>
          <w:sz w:val="24"/>
        </w:rPr>
        <w:t>Rodriguez M, Pimentel E. ¿Puede la leche humana llegar a producir caries: Por qué y Cómo? Act Odontol Venez. 1998; 36(1):</w:t>
      </w:r>
      <w:r>
        <w:rPr>
          <w:spacing w:val="-18"/>
          <w:sz w:val="24"/>
        </w:rPr>
        <w:t> </w:t>
      </w:r>
      <w:r>
        <w:rPr>
          <w:sz w:val="24"/>
        </w:rPr>
        <w:t>1-7</w:t>
      </w:r>
    </w:p>
    <w:p>
      <w:pPr>
        <w:pStyle w:val="BodyText"/>
      </w:pPr>
    </w:p>
    <w:p>
      <w:pPr>
        <w:pStyle w:val="ListParagraph"/>
        <w:numPr>
          <w:ilvl w:val="0"/>
          <w:numId w:val="13"/>
        </w:numPr>
        <w:tabs>
          <w:tab w:pos="644" w:val="left" w:leader="none"/>
        </w:tabs>
        <w:spacing w:line="240" w:lineRule="auto" w:before="0" w:after="0"/>
        <w:ind w:left="102" w:right="122" w:firstLine="0"/>
        <w:jc w:val="both"/>
        <w:rPr>
          <w:sz w:val="24"/>
        </w:rPr>
      </w:pPr>
      <w:r>
        <w:rPr>
          <w:sz w:val="24"/>
        </w:rPr>
        <w:t>Carrasco-Loyola ML, Villena-Sarmiento RS, Pachas-Barrionuevo FM, Sánchez- Huamán YD. Lactancia materna y hábitos de succión nutritivos y no nutritivos en niños de 0-71 meses de comunidades urbano marginales del cono norte de Lima. Rev Estomatol Herediana. 2009;</w:t>
      </w:r>
      <w:r>
        <w:rPr>
          <w:spacing w:val="-12"/>
          <w:sz w:val="24"/>
        </w:rPr>
        <w:t> </w:t>
      </w:r>
      <w:r>
        <w:rPr>
          <w:sz w:val="24"/>
        </w:rPr>
        <w:t>19(2):83-90</w:t>
      </w:r>
    </w:p>
    <w:p>
      <w:pPr>
        <w:pStyle w:val="BodyText"/>
      </w:pPr>
    </w:p>
    <w:p>
      <w:pPr>
        <w:pStyle w:val="ListParagraph"/>
        <w:numPr>
          <w:ilvl w:val="0"/>
          <w:numId w:val="13"/>
        </w:numPr>
        <w:tabs>
          <w:tab w:pos="573" w:val="left" w:leader="none"/>
        </w:tabs>
        <w:spacing w:line="240" w:lineRule="auto" w:before="0" w:after="0"/>
        <w:ind w:left="102" w:right="122" w:firstLine="0"/>
        <w:jc w:val="both"/>
        <w:rPr>
          <w:sz w:val="24"/>
        </w:rPr>
      </w:pPr>
      <w:r>
        <w:rPr>
          <w:sz w:val="24"/>
        </w:rPr>
        <w:t>Menoli A, Frossar A, Perfil de los médicos gineco-obstretas de londrina con relación a la salud oral de la embarazada,</w:t>
      </w:r>
      <w:r>
        <w:rPr>
          <w:spacing w:val="-20"/>
          <w:sz w:val="24"/>
        </w:rPr>
        <w:t> </w:t>
      </w:r>
      <w:r>
        <w:rPr>
          <w:sz w:val="24"/>
        </w:rPr>
        <w:t>Seminario1997;18(4):34-42</w:t>
      </w:r>
    </w:p>
    <w:p>
      <w:pPr>
        <w:pStyle w:val="BodyText"/>
        <w:spacing w:before="9"/>
        <w:rPr>
          <w:sz w:val="23"/>
        </w:rPr>
      </w:pPr>
    </w:p>
    <w:p>
      <w:pPr>
        <w:pStyle w:val="ListParagraph"/>
        <w:numPr>
          <w:ilvl w:val="0"/>
          <w:numId w:val="13"/>
        </w:numPr>
        <w:tabs>
          <w:tab w:pos="510" w:val="left" w:leader="none"/>
        </w:tabs>
        <w:spacing w:line="240" w:lineRule="auto" w:before="0" w:after="0"/>
        <w:ind w:left="102" w:right="119" w:firstLine="0"/>
        <w:jc w:val="both"/>
        <w:rPr>
          <w:sz w:val="24"/>
        </w:rPr>
      </w:pPr>
      <w:r>
        <w:rPr>
          <w:sz w:val="24"/>
        </w:rPr>
        <w:t>Galvez E, Ramos F, Consulta de Ginecología Infanto-Juvenil, 1999-2000. </w:t>
      </w:r>
      <w:r>
        <w:rPr>
          <w:i/>
          <w:sz w:val="24"/>
        </w:rPr>
        <w:t>Revista </w:t>
      </w:r>
      <w:r>
        <w:rPr>
          <w:i/>
          <w:sz w:val="24"/>
        </w:rPr>
        <w:t>Cubana Pediátr</w:t>
      </w:r>
      <w:r>
        <w:rPr>
          <w:sz w:val="24"/>
        </w:rPr>
        <w:t>ica. 2002;</w:t>
      </w:r>
      <w:r>
        <w:rPr>
          <w:spacing w:val="-8"/>
          <w:sz w:val="24"/>
        </w:rPr>
        <w:t> </w:t>
      </w:r>
      <w:r>
        <w:rPr>
          <w:sz w:val="24"/>
        </w:rPr>
        <w:t>74(4):0-0</w:t>
      </w:r>
    </w:p>
    <w:p>
      <w:pPr>
        <w:pStyle w:val="BodyText"/>
      </w:pPr>
    </w:p>
    <w:p>
      <w:pPr>
        <w:pStyle w:val="ListParagraph"/>
        <w:numPr>
          <w:ilvl w:val="0"/>
          <w:numId w:val="13"/>
        </w:numPr>
        <w:tabs>
          <w:tab w:pos="525" w:val="left" w:leader="none"/>
        </w:tabs>
        <w:spacing w:line="360" w:lineRule="auto" w:before="144" w:after="0"/>
        <w:ind w:left="102" w:right="126" w:firstLine="0"/>
        <w:jc w:val="both"/>
        <w:rPr>
          <w:sz w:val="24"/>
        </w:rPr>
      </w:pPr>
      <w:r>
        <w:rPr>
          <w:sz w:val="24"/>
        </w:rPr>
        <w:t>Díaz R, Carrillo M, Terrazas J, Canales C. Actitudes que influyen en la demanda de servicios odontológicos durante la gestación. Rev ADM. 2001;53</w:t>
      </w:r>
      <w:r>
        <w:rPr>
          <w:spacing w:val="-19"/>
          <w:sz w:val="24"/>
        </w:rPr>
        <w:t> </w:t>
      </w:r>
      <w:r>
        <w:rPr>
          <w:sz w:val="24"/>
        </w:rPr>
        <w:t>(2):68-73</w:t>
      </w:r>
    </w:p>
    <w:p>
      <w:pPr>
        <w:pStyle w:val="BodyText"/>
        <w:spacing w:before="6"/>
        <w:rPr>
          <w:sz w:val="25"/>
        </w:rPr>
      </w:pPr>
    </w:p>
    <w:p>
      <w:pPr>
        <w:pStyle w:val="ListParagraph"/>
        <w:numPr>
          <w:ilvl w:val="0"/>
          <w:numId w:val="13"/>
        </w:numPr>
        <w:tabs>
          <w:tab w:pos="534" w:val="left" w:leader="none"/>
        </w:tabs>
        <w:spacing w:line="240" w:lineRule="auto" w:before="0" w:after="0"/>
        <w:ind w:left="102" w:right="117" w:firstLine="0"/>
        <w:jc w:val="both"/>
        <w:rPr>
          <w:sz w:val="24"/>
        </w:rPr>
      </w:pPr>
      <w:r>
        <w:rPr>
          <w:sz w:val="24"/>
        </w:rPr>
        <w:t>Díaz Romero R, Carrillo M, Terrazas J, Canales C. Actitudes que influyen en la demanda de servicios odontológicos durante la gestación. Rev ADM. 2001;53 (2):68- 73.</w:t>
      </w:r>
    </w:p>
    <w:p>
      <w:pPr>
        <w:pStyle w:val="BodyText"/>
      </w:pPr>
    </w:p>
    <w:p>
      <w:pPr>
        <w:pStyle w:val="ListParagraph"/>
        <w:numPr>
          <w:ilvl w:val="0"/>
          <w:numId w:val="13"/>
        </w:numPr>
        <w:tabs>
          <w:tab w:pos="554" w:val="left" w:leader="none"/>
        </w:tabs>
        <w:spacing w:line="360" w:lineRule="auto" w:before="141" w:after="0"/>
        <w:ind w:left="102" w:right="119" w:firstLine="0"/>
        <w:jc w:val="both"/>
        <w:rPr>
          <w:sz w:val="24"/>
        </w:rPr>
      </w:pPr>
      <w:r>
        <w:rPr>
          <w:sz w:val="24"/>
        </w:rPr>
        <w:t>Garbero I, Delgado A, Benito I. Salud oral en Embarazadas: Conocimientos y Actitudes Act Odontol Venez,</w:t>
      </w:r>
      <w:r>
        <w:rPr>
          <w:spacing w:val="-18"/>
          <w:sz w:val="24"/>
        </w:rPr>
        <w:t> </w:t>
      </w:r>
      <w:r>
        <w:rPr>
          <w:sz w:val="24"/>
        </w:rPr>
        <w:t>2005;4(2):135-140</w:t>
      </w:r>
    </w:p>
    <w:p>
      <w:pPr>
        <w:pStyle w:val="BodyText"/>
      </w:pPr>
    </w:p>
    <w:p>
      <w:pPr>
        <w:pStyle w:val="ListParagraph"/>
        <w:numPr>
          <w:ilvl w:val="0"/>
          <w:numId w:val="13"/>
        </w:numPr>
        <w:tabs>
          <w:tab w:pos="518" w:val="left" w:leader="none"/>
        </w:tabs>
        <w:spacing w:line="360" w:lineRule="auto" w:before="142" w:after="0"/>
        <w:ind w:left="102" w:right="124" w:firstLine="0"/>
        <w:jc w:val="both"/>
        <w:rPr>
          <w:sz w:val="24"/>
        </w:rPr>
      </w:pPr>
      <w:r>
        <w:rPr>
          <w:sz w:val="24"/>
        </w:rPr>
        <w:t>Morgan DC, Chopa G, Fisher M. Psychosocial variables associated with teenager pregnancy. Adolescence 1995; 30:</w:t>
      </w:r>
      <w:r>
        <w:rPr>
          <w:spacing w:val="-15"/>
          <w:sz w:val="24"/>
        </w:rPr>
        <w:t> </w:t>
      </w:r>
      <w:r>
        <w:rPr>
          <w:sz w:val="24"/>
        </w:rPr>
        <w:t>277-89.</w:t>
      </w:r>
    </w:p>
    <w:p>
      <w:pPr>
        <w:spacing w:after="0" w:line="360" w:lineRule="auto"/>
        <w:jc w:val="both"/>
        <w:rPr>
          <w:sz w:val="24"/>
        </w:rPr>
        <w:sectPr>
          <w:pgSz w:w="12240" w:h="15840"/>
          <w:pgMar w:header="0" w:footer="1003" w:top="1360" w:bottom="1200" w:left="1600" w:right="1200"/>
        </w:sectPr>
      </w:pPr>
    </w:p>
    <w:p>
      <w:pPr>
        <w:pStyle w:val="Heading1"/>
        <w:numPr>
          <w:ilvl w:val="0"/>
          <w:numId w:val="9"/>
        </w:numPr>
        <w:tabs>
          <w:tab w:pos="5121" w:val="left" w:leader="none"/>
          <w:tab w:pos="5122" w:val="left" w:leader="none"/>
        </w:tabs>
        <w:spacing w:line="240" w:lineRule="auto" w:before="54" w:after="0"/>
        <w:ind w:left="5121" w:right="0" w:hanging="720"/>
        <w:jc w:val="left"/>
      </w:pPr>
      <w:r>
        <w:rPr/>
        <w:t>ANEXOS</w:t>
      </w:r>
    </w:p>
    <w:p>
      <w:pPr>
        <w:pStyle w:val="BodyText"/>
        <w:spacing w:before="3"/>
        <w:rPr>
          <w:b/>
          <w:sz w:val="31"/>
        </w:rPr>
      </w:pPr>
    </w:p>
    <w:p>
      <w:pPr>
        <w:spacing w:before="0"/>
        <w:ind w:left="2141" w:right="2127" w:firstLine="0"/>
        <w:jc w:val="center"/>
        <w:rPr>
          <w:b/>
          <w:sz w:val="20"/>
        </w:rPr>
      </w:pPr>
      <w:r>
        <w:rPr>
          <w:b/>
          <w:sz w:val="20"/>
        </w:rPr>
        <w:t>CUESTIONARIO</w:t>
      </w:r>
    </w:p>
    <w:p>
      <w:pPr>
        <w:spacing w:line="276" w:lineRule="auto" w:before="34"/>
        <w:ind w:left="2141" w:right="2127" w:firstLine="0"/>
        <w:jc w:val="center"/>
        <w:rPr>
          <w:b/>
          <w:sz w:val="20"/>
        </w:rPr>
      </w:pPr>
      <w:r>
        <w:rPr>
          <w:b/>
          <w:sz w:val="20"/>
        </w:rPr>
        <w:t>UNIVERSIDAD AUTÓNOMA DEL ESTADO DE MÉXICO FACULTAD DE ODONTOLOGÍA</w:t>
      </w:r>
    </w:p>
    <w:p>
      <w:pPr>
        <w:spacing w:line="278" w:lineRule="auto" w:before="0"/>
        <w:ind w:left="1060" w:right="1041" w:firstLine="0"/>
        <w:jc w:val="center"/>
        <w:rPr>
          <w:b/>
          <w:sz w:val="20"/>
        </w:rPr>
      </w:pPr>
      <w:r>
        <w:rPr>
          <w:b/>
          <w:sz w:val="20"/>
        </w:rPr>
        <w:t>CENTRO DE INVESTIGACIÓN Y ESTUDIOS AVANZADOS EN ODONTOLOGÍA DR. KEISABURO MIYATA</w:t>
      </w:r>
    </w:p>
    <w:p>
      <w:pPr>
        <w:spacing w:line="228" w:lineRule="exact" w:before="0"/>
        <w:ind w:left="2141" w:right="2123" w:firstLine="0"/>
        <w:jc w:val="center"/>
        <w:rPr>
          <w:b/>
          <w:sz w:val="20"/>
        </w:rPr>
      </w:pPr>
      <w:r>
        <w:rPr>
          <w:b/>
          <w:sz w:val="20"/>
        </w:rPr>
        <w:t>ESPECIALIDAD EN ODONTOPEDIATRÍA</w:t>
      </w:r>
    </w:p>
    <w:p>
      <w:pPr>
        <w:tabs>
          <w:tab w:pos="3162" w:val="left" w:leader="none"/>
          <w:tab w:pos="5894" w:val="left" w:leader="none"/>
          <w:tab w:pos="9199" w:val="left" w:leader="none"/>
        </w:tabs>
        <w:spacing w:before="34"/>
        <w:ind w:left="304" w:right="52" w:firstLine="0"/>
        <w:jc w:val="left"/>
        <w:rPr>
          <w:b/>
          <w:sz w:val="20"/>
        </w:rPr>
      </w:pPr>
      <w:r>
        <w:rPr>
          <w:b/>
          <w:sz w:val="20"/>
        </w:rPr>
        <w:t>Fecha:</w:t>
      </w:r>
      <w:r>
        <w:rPr>
          <w:b/>
          <w:sz w:val="20"/>
          <w:u w:val="single"/>
        </w:rPr>
        <w:t> </w:t>
        <w:tab/>
      </w:r>
      <w:r>
        <w:rPr>
          <w:b/>
          <w:sz w:val="20"/>
        </w:rPr>
        <w:tab/>
        <w:t>No. de</w:t>
      </w:r>
      <w:r>
        <w:rPr>
          <w:b/>
          <w:spacing w:val="-4"/>
          <w:sz w:val="20"/>
        </w:rPr>
        <w:t> </w:t>
      </w:r>
      <w:r>
        <w:rPr>
          <w:b/>
          <w:sz w:val="20"/>
        </w:rPr>
        <w:t>cuestionario:</w:t>
      </w:r>
      <w:r>
        <w:rPr>
          <w:b/>
          <w:sz w:val="20"/>
          <w:u w:val="single"/>
        </w:rPr>
        <w:t> </w:t>
        <w:tab/>
      </w:r>
    </w:p>
    <w:p>
      <w:pPr>
        <w:spacing w:line="276" w:lineRule="auto" w:before="36"/>
        <w:ind w:left="122" w:right="52" w:firstLine="0"/>
        <w:jc w:val="left"/>
        <w:rPr>
          <w:sz w:val="20"/>
        </w:rPr>
      </w:pPr>
      <w:r>
        <w:rPr>
          <w:sz w:val="20"/>
        </w:rPr>
        <w:t>La información que usted proporcionará será utilizada únicamente con fines académicos y científicos y será tratada como información confidencial.</w:t>
      </w:r>
    </w:p>
    <w:p>
      <w:pPr>
        <w:pStyle w:val="BodyText"/>
        <w:spacing w:before="9"/>
        <w:rPr>
          <w:sz w:val="22"/>
        </w:rPr>
      </w:pPr>
    </w:p>
    <w:p>
      <w:pPr>
        <w:pStyle w:val="ListParagraph"/>
        <w:numPr>
          <w:ilvl w:val="0"/>
          <w:numId w:val="14"/>
        </w:numPr>
        <w:tabs>
          <w:tab w:pos="289" w:val="left" w:leader="none"/>
        </w:tabs>
        <w:spacing w:line="240" w:lineRule="auto" w:before="0" w:after="0"/>
        <w:ind w:left="122" w:right="0" w:firstLine="0"/>
        <w:jc w:val="left"/>
        <w:rPr>
          <w:b/>
          <w:sz w:val="20"/>
        </w:rPr>
      </w:pPr>
      <w:r>
        <w:rPr>
          <w:b/>
          <w:sz w:val="20"/>
        </w:rPr>
        <w:t>DATOS</w:t>
      </w:r>
      <w:r>
        <w:rPr>
          <w:b/>
          <w:spacing w:val="-8"/>
          <w:sz w:val="20"/>
        </w:rPr>
        <w:t> </w:t>
      </w:r>
      <w:r>
        <w:rPr>
          <w:b/>
          <w:sz w:val="20"/>
        </w:rPr>
        <w:t>GENERALES:</w:t>
      </w:r>
    </w:p>
    <w:p>
      <w:pPr>
        <w:pStyle w:val="BodyText"/>
        <w:spacing w:before="10"/>
        <w:rPr>
          <w:b/>
          <w:sz w:val="13"/>
        </w:rPr>
      </w:pPr>
    </w:p>
    <w:p>
      <w:pPr>
        <w:tabs>
          <w:tab w:pos="1244" w:val="left" w:leader="none"/>
          <w:tab w:pos="2264" w:val="left" w:leader="none"/>
          <w:tab w:pos="6297" w:val="left" w:leader="none"/>
        </w:tabs>
        <w:spacing w:before="74"/>
        <w:ind w:left="122" w:right="52" w:firstLine="0"/>
        <w:jc w:val="left"/>
        <w:rPr>
          <w:sz w:val="20"/>
        </w:rPr>
      </w:pPr>
      <w:r>
        <w:rPr>
          <w:sz w:val="20"/>
        </w:rPr>
        <w:t>Edad:</w:t>
      </w:r>
      <w:r>
        <w:rPr>
          <w:sz w:val="20"/>
          <w:u w:val="single"/>
        </w:rPr>
        <w:tab/>
      </w:r>
      <w:r>
        <w:rPr>
          <w:sz w:val="20"/>
        </w:rPr>
        <w:t>años</w:t>
        <w:tab/>
        <w:t>Lugar</w:t>
      </w:r>
      <w:r>
        <w:rPr>
          <w:spacing w:val="49"/>
          <w:sz w:val="20"/>
        </w:rPr>
        <w:t> </w:t>
      </w:r>
      <w:r>
        <w:rPr>
          <w:sz w:val="20"/>
        </w:rPr>
        <w:t>de</w:t>
      </w:r>
      <w:r>
        <w:rPr>
          <w:spacing w:val="48"/>
          <w:sz w:val="20"/>
        </w:rPr>
        <w:t> </w:t>
      </w:r>
      <w:r>
        <w:rPr>
          <w:sz w:val="20"/>
        </w:rPr>
        <w:t>Residencia:</w:t>
      </w:r>
      <w:r>
        <w:rPr>
          <w:sz w:val="20"/>
          <w:u w:val="single"/>
        </w:rPr>
        <w:tab/>
      </w:r>
      <w:r>
        <w:rPr>
          <w:sz w:val="20"/>
        </w:rPr>
        <w:t>Número  de  hijos  nacidos</w:t>
      </w:r>
      <w:r>
        <w:rPr>
          <w:spacing w:val="41"/>
          <w:sz w:val="20"/>
        </w:rPr>
        <w:t> </w:t>
      </w:r>
      <w:r>
        <w:rPr>
          <w:sz w:val="20"/>
        </w:rPr>
        <w:t>vivos:</w:t>
      </w:r>
    </w:p>
    <w:p>
      <w:pPr>
        <w:pStyle w:val="BodyText"/>
        <w:spacing w:before="1"/>
        <w:rPr>
          <w:sz w:val="15"/>
        </w:rPr>
      </w:pPr>
      <w:r>
        <w:rPr/>
        <w:pict>
          <v:line style="position:absolute;mso-position-horizontal-relative:page;mso-position-vertical-relative:paragraph;z-index:5248;mso-wrap-distance-left:0;mso-wrap-distance-right:0" from="85.103996pt,10.949183pt" to="123.858358pt,10.949183pt" stroked="true" strokeweight=".627480pt" strokecolor="#000000">
            <w10:wrap type="topAndBottom"/>
          </v:line>
        </w:pict>
      </w:r>
    </w:p>
    <w:p>
      <w:pPr>
        <w:tabs>
          <w:tab w:pos="2738" w:val="left" w:leader="none"/>
          <w:tab w:pos="6536" w:val="left" w:leader="none"/>
          <w:tab w:pos="8993" w:val="left" w:leader="none"/>
        </w:tabs>
        <w:spacing w:line="204" w:lineRule="exact" w:before="0"/>
        <w:ind w:left="122" w:right="52" w:firstLine="0"/>
        <w:jc w:val="left"/>
        <w:rPr>
          <w:sz w:val="20"/>
        </w:rPr>
      </w:pPr>
      <w:r>
        <w:rPr>
          <w:sz w:val="20"/>
        </w:rPr>
        <w:t>Estado</w:t>
      </w:r>
      <w:r>
        <w:rPr>
          <w:spacing w:val="-1"/>
          <w:sz w:val="20"/>
        </w:rPr>
        <w:t> </w:t>
      </w:r>
      <w:r>
        <w:rPr>
          <w:sz w:val="20"/>
        </w:rPr>
        <w:t>civil:</w:t>
      </w:r>
      <w:r>
        <w:rPr>
          <w:sz w:val="20"/>
          <w:u w:val="single"/>
        </w:rPr>
        <w:t> </w:t>
        <w:tab/>
      </w:r>
      <w:r>
        <w:rPr>
          <w:sz w:val="20"/>
        </w:rPr>
        <w:t>Máximo grado</w:t>
      </w:r>
      <w:r>
        <w:rPr>
          <w:spacing w:val="-3"/>
          <w:sz w:val="20"/>
        </w:rPr>
        <w:t> </w:t>
      </w:r>
      <w:r>
        <w:rPr>
          <w:sz w:val="20"/>
        </w:rPr>
        <w:t>de</w:t>
      </w:r>
      <w:r>
        <w:rPr>
          <w:spacing w:val="-2"/>
          <w:sz w:val="20"/>
        </w:rPr>
        <w:t> </w:t>
      </w:r>
      <w:r>
        <w:rPr>
          <w:sz w:val="20"/>
        </w:rPr>
        <w:t>estudio:</w:t>
      </w:r>
      <w:r>
        <w:rPr>
          <w:sz w:val="20"/>
          <w:u w:val="single"/>
        </w:rPr>
        <w:tab/>
      </w:r>
      <w:r>
        <w:rPr>
          <w:sz w:val="20"/>
        </w:rPr>
        <w:t>Ocupación:</w:t>
      </w:r>
      <w:r>
        <w:rPr>
          <w:sz w:val="20"/>
          <w:u w:val="single"/>
        </w:rPr>
        <w:t> </w:t>
        <w:tab/>
      </w:r>
    </w:p>
    <w:p>
      <w:pPr>
        <w:tabs>
          <w:tab w:pos="2726" w:val="left" w:leader="none"/>
        </w:tabs>
        <w:spacing w:before="0"/>
        <w:ind w:left="122" w:right="52" w:firstLine="0"/>
        <w:jc w:val="left"/>
        <w:rPr>
          <w:sz w:val="20"/>
        </w:rPr>
      </w:pPr>
      <w:r>
        <w:rPr>
          <w:sz w:val="20"/>
        </w:rPr>
        <w:t>Número de</w:t>
      </w:r>
      <w:r>
        <w:rPr>
          <w:spacing w:val="-8"/>
          <w:sz w:val="20"/>
        </w:rPr>
        <w:t> </w:t>
      </w:r>
      <w:r>
        <w:rPr>
          <w:sz w:val="20"/>
        </w:rPr>
        <w:t>Embarazos:</w:t>
      </w:r>
      <w:r>
        <w:rPr>
          <w:sz w:val="20"/>
          <w:u w:val="single"/>
        </w:rPr>
        <w:t> </w:t>
        <w:tab/>
      </w:r>
    </w:p>
    <w:p>
      <w:pPr>
        <w:pStyle w:val="BodyText"/>
        <w:spacing w:before="5"/>
        <w:rPr>
          <w:sz w:val="13"/>
        </w:rPr>
      </w:pPr>
    </w:p>
    <w:p>
      <w:pPr>
        <w:pStyle w:val="ListParagraph"/>
        <w:numPr>
          <w:ilvl w:val="0"/>
          <w:numId w:val="14"/>
        </w:numPr>
        <w:tabs>
          <w:tab w:pos="343" w:val="left" w:leader="none"/>
        </w:tabs>
        <w:spacing w:line="240" w:lineRule="auto" w:before="74" w:after="0"/>
        <w:ind w:left="122" w:right="7774" w:firstLine="0"/>
        <w:jc w:val="left"/>
        <w:rPr>
          <w:b/>
          <w:sz w:val="20"/>
        </w:rPr>
      </w:pPr>
      <w:r>
        <w:rPr>
          <w:b/>
          <w:w w:val="95"/>
          <w:sz w:val="20"/>
        </w:rPr>
        <w:t>PREGUNTAS: </w:t>
      </w:r>
      <w:r>
        <w:rPr>
          <w:b/>
          <w:sz w:val="20"/>
        </w:rPr>
        <w:t>Instrucciones:</w:t>
      </w:r>
    </w:p>
    <w:p>
      <w:pPr>
        <w:spacing w:before="3"/>
        <w:ind w:left="122" w:right="52" w:firstLine="0"/>
        <w:jc w:val="left"/>
        <w:rPr>
          <w:sz w:val="20"/>
        </w:rPr>
      </w:pPr>
      <w:r>
        <w:rPr>
          <w:sz w:val="20"/>
        </w:rPr>
        <w:t>Esta parte del cuestionario contiene 20 preguntas. Para contestar cada pregunta usted deberá escoger sólo una respuesta que será la que usted considere más adecuada subraye o marque con una equis</w:t>
      </w:r>
    </w:p>
    <w:p>
      <w:pPr>
        <w:spacing w:before="0"/>
        <w:ind w:left="122" w:right="52" w:firstLine="0"/>
        <w:jc w:val="left"/>
        <w:rPr>
          <w:sz w:val="20"/>
        </w:rPr>
      </w:pPr>
      <w:r>
        <w:rPr>
          <w:sz w:val="20"/>
        </w:rPr>
        <w:t>(X) dentro del paréntesis.</w:t>
      </w:r>
    </w:p>
    <w:p>
      <w:pPr>
        <w:pStyle w:val="BodyText"/>
        <w:spacing w:before="9"/>
        <w:rPr>
          <w:sz w:val="19"/>
        </w:rPr>
      </w:pPr>
    </w:p>
    <w:p>
      <w:pPr>
        <w:pStyle w:val="ListParagraph"/>
        <w:numPr>
          <w:ilvl w:val="0"/>
          <w:numId w:val="15"/>
        </w:numPr>
        <w:tabs>
          <w:tab w:pos="355" w:val="left" w:leader="none"/>
        </w:tabs>
        <w:spacing w:line="240" w:lineRule="auto" w:before="1" w:after="0"/>
        <w:ind w:left="354" w:right="0" w:hanging="232"/>
        <w:jc w:val="left"/>
        <w:rPr>
          <w:b/>
          <w:sz w:val="20"/>
        </w:rPr>
      </w:pPr>
      <w:r>
        <w:rPr>
          <w:b/>
          <w:sz w:val="20"/>
        </w:rPr>
        <w:t>Principalmente, ¿cuándo debe de cepillar los dientes de su</w:t>
      </w:r>
      <w:r>
        <w:rPr>
          <w:b/>
          <w:spacing w:val="-16"/>
          <w:sz w:val="20"/>
        </w:rPr>
        <w:t> </w:t>
      </w:r>
      <w:r>
        <w:rPr>
          <w:b/>
          <w:sz w:val="20"/>
        </w:rPr>
        <w:t>hijo?</w:t>
      </w:r>
    </w:p>
    <w:p>
      <w:pPr>
        <w:pStyle w:val="ListParagraph"/>
        <w:numPr>
          <w:ilvl w:val="1"/>
          <w:numId w:val="15"/>
        </w:numPr>
        <w:tabs>
          <w:tab w:pos="355" w:val="left" w:leader="none"/>
          <w:tab w:pos="2453" w:val="left" w:leader="none"/>
        </w:tabs>
        <w:spacing w:line="240" w:lineRule="auto" w:before="0" w:after="0"/>
        <w:ind w:left="354" w:right="0" w:hanging="232"/>
        <w:jc w:val="left"/>
        <w:rPr>
          <w:sz w:val="20"/>
        </w:rPr>
      </w:pPr>
      <w:r>
        <w:rPr>
          <w:sz w:val="20"/>
        </w:rPr>
        <w:t>Antes del</w:t>
      </w:r>
      <w:r>
        <w:rPr>
          <w:spacing w:val="-5"/>
          <w:sz w:val="20"/>
        </w:rPr>
        <w:t> </w:t>
      </w:r>
      <w:r>
        <w:rPr>
          <w:sz w:val="20"/>
        </w:rPr>
        <w:t>desayuno</w:t>
      </w:r>
      <w:r>
        <w:rPr>
          <w:spacing w:val="-3"/>
          <w:sz w:val="20"/>
        </w:rPr>
        <w:t> </w:t>
      </w:r>
      <w:r>
        <w:rPr>
          <w:sz w:val="20"/>
        </w:rPr>
        <w:t>(</w:t>
        <w:tab/>
        <w:t>)</w:t>
      </w:r>
    </w:p>
    <w:p>
      <w:pPr>
        <w:pStyle w:val="ListParagraph"/>
        <w:numPr>
          <w:ilvl w:val="1"/>
          <w:numId w:val="15"/>
        </w:numPr>
        <w:tabs>
          <w:tab w:pos="355" w:val="left" w:leader="none"/>
          <w:tab w:pos="2930" w:val="left" w:leader="none"/>
        </w:tabs>
        <w:spacing w:line="240" w:lineRule="auto" w:before="72" w:after="0"/>
        <w:ind w:left="354" w:right="0" w:hanging="232"/>
        <w:jc w:val="left"/>
        <w:rPr>
          <w:sz w:val="20"/>
        </w:rPr>
      </w:pPr>
      <w:r>
        <w:rPr>
          <w:sz w:val="20"/>
        </w:rPr>
        <w:t>Después de las</w:t>
      </w:r>
      <w:r>
        <w:rPr>
          <w:spacing w:val="-2"/>
          <w:sz w:val="20"/>
        </w:rPr>
        <w:t> </w:t>
      </w:r>
      <w:r>
        <w:rPr>
          <w:sz w:val="20"/>
        </w:rPr>
        <w:t>comidas</w:t>
      </w:r>
      <w:r>
        <w:rPr>
          <w:spacing w:val="53"/>
          <w:sz w:val="20"/>
        </w:rPr>
        <w:t> </w:t>
      </w:r>
      <w:r>
        <w:rPr>
          <w:sz w:val="20"/>
        </w:rPr>
        <w:t>(</w:t>
        <w:tab/>
        <w:t>)</w:t>
      </w:r>
    </w:p>
    <w:p>
      <w:pPr>
        <w:pStyle w:val="ListParagraph"/>
        <w:numPr>
          <w:ilvl w:val="1"/>
          <w:numId w:val="15"/>
        </w:numPr>
        <w:tabs>
          <w:tab w:pos="345" w:val="left" w:leader="none"/>
          <w:tab w:pos="2709" w:val="left" w:leader="none"/>
        </w:tabs>
        <w:spacing w:line="240" w:lineRule="auto" w:before="70" w:after="0"/>
        <w:ind w:left="345" w:right="0" w:hanging="223"/>
        <w:jc w:val="left"/>
        <w:rPr>
          <w:sz w:val="20"/>
        </w:rPr>
      </w:pPr>
      <w:r>
        <w:rPr>
          <w:sz w:val="20"/>
        </w:rPr>
        <w:t>Antes de salir de</w:t>
      </w:r>
      <w:r>
        <w:rPr>
          <w:spacing w:val="-5"/>
          <w:sz w:val="20"/>
        </w:rPr>
        <w:t> </w:t>
      </w:r>
      <w:r>
        <w:rPr>
          <w:sz w:val="20"/>
        </w:rPr>
        <w:t>casa</w:t>
      </w:r>
      <w:r>
        <w:rPr>
          <w:spacing w:val="51"/>
          <w:sz w:val="20"/>
        </w:rPr>
        <w:t> </w:t>
      </w:r>
      <w:r>
        <w:rPr>
          <w:sz w:val="20"/>
        </w:rPr>
        <w:t>(</w:t>
        <w:tab/>
        <w:t>)</w:t>
      </w:r>
    </w:p>
    <w:p>
      <w:pPr>
        <w:pStyle w:val="BodyText"/>
        <w:spacing w:before="9"/>
        <w:rPr>
          <w:sz w:val="19"/>
        </w:rPr>
      </w:pPr>
    </w:p>
    <w:p>
      <w:pPr>
        <w:pStyle w:val="ListParagraph"/>
        <w:numPr>
          <w:ilvl w:val="0"/>
          <w:numId w:val="15"/>
        </w:numPr>
        <w:tabs>
          <w:tab w:pos="355" w:val="left" w:leader="none"/>
        </w:tabs>
        <w:spacing w:line="240" w:lineRule="auto" w:before="1" w:after="0"/>
        <w:ind w:left="354" w:right="0" w:hanging="232"/>
        <w:jc w:val="left"/>
        <w:rPr>
          <w:b/>
          <w:sz w:val="20"/>
        </w:rPr>
      </w:pPr>
      <w:r>
        <w:rPr>
          <w:b/>
          <w:sz w:val="20"/>
        </w:rPr>
        <w:t>¿Qué características debe tener el cepillo dental de su</w:t>
      </w:r>
      <w:r>
        <w:rPr>
          <w:b/>
          <w:spacing w:val="-22"/>
          <w:sz w:val="20"/>
        </w:rPr>
        <w:t> </w:t>
      </w:r>
      <w:r>
        <w:rPr>
          <w:b/>
          <w:sz w:val="20"/>
        </w:rPr>
        <w:t>hijo?</w:t>
      </w:r>
    </w:p>
    <w:p>
      <w:pPr>
        <w:pStyle w:val="ListParagraph"/>
        <w:numPr>
          <w:ilvl w:val="1"/>
          <w:numId w:val="15"/>
        </w:numPr>
        <w:tabs>
          <w:tab w:pos="355" w:val="left" w:leader="none"/>
          <w:tab w:pos="5507" w:val="left" w:leader="none"/>
        </w:tabs>
        <w:spacing w:line="240" w:lineRule="auto" w:before="3" w:after="0"/>
        <w:ind w:left="354" w:right="0" w:hanging="232"/>
        <w:jc w:val="left"/>
        <w:rPr>
          <w:sz w:val="20"/>
        </w:rPr>
      </w:pPr>
      <w:r>
        <w:rPr>
          <w:sz w:val="20"/>
        </w:rPr>
        <w:t>Que las cerdas sean suaves y el mango fácil de</w:t>
      </w:r>
      <w:r>
        <w:rPr>
          <w:spacing w:val="-15"/>
          <w:sz w:val="20"/>
        </w:rPr>
        <w:t> </w:t>
      </w:r>
      <w:r>
        <w:rPr>
          <w:sz w:val="20"/>
        </w:rPr>
        <w:t>tomar</w:t>
      </w:r>
      <w:r>
        <w:rPr>
          <w:spacing w:val="-2"/>
          <w:sz w:val="20"/>
        </w:rPr>
        <w:t> </w:t>
      </w:r>
      <w:r>
        <w:rPr>
          <w:sz w:val="20"/>
        </w:rPr>
        <w:t>(</w:t>
        <w:tab/>
        <w:t>)</w:t>
      </w:r>
    </w:p>
    <w:p>
      <w:pPr>
        <w:pStyle w:val="ListParagraph"/>
        <w:numPr>
          <w:ilvl w:val="1"/>
          <w:numId w:val="15"/>
        </w:numPr>
        <w:tabs>
          <w:tab w:pos="355" w:val="left" w:leader="none"/>
          <w:tab w:pos="3086" w:val="left" w:leader="none"/>
        </w:tabs>
        <w:spacing w:line="229" w:lineRule="exact" w:before="0" w:after="0"/>
        <w:ind w:left="354" w:right="0" w:hanging="232"/>
        <w:jc w:val="left"/>
        <w:rPr>
          <w:sz w:val="20"/>
        </w:rPr>
      </w:pPr>
      <w:r>
        <w:rPr>
          <w:sz w:val="20"/>
        </w:rPr>
        <w:t>Que las cerdas sean</w:t>
      </w:r>
      <w:r>
        <w:rPr>
          <w:spacing w:val="-5"/>
          <w:sz w:val="20"/>
        </w:rPr>
        <w:t> </w:t>
      </w:r>
      <w:r>
        <w:rPr>
          <w:sz w:val="20"/>
        </w:rPr>
        <w:t>duras</w:t>
      </w:r>
      <w:r>
        <w:rPr>
          <w:spacing w:val="-1"/>
          <w:sz w:val="20"/>
        </w:rPr>
        <w:t> </w:t>
      </w:r>
      <w:r>
        <w:rPr>
          <w:sz w:val="20"/>
        </w:rPr>
        <w:t>(</w:t>
        <w:tab/>
        <w:t>)</w:t>
      </w:r>
    </w:p>
    <w:p>
      <w:pPr>
        <w:pStyle w:val="ListParagraph"/>
        <w:numPr>
          <w:ilvl w:val="1"/>
          <w:numId w:val="15"/>
        </w:numPr>
        <w:tabs>
          <w:tab w:pos="345" w:val="left" w:leader="none"/>
          <w:tab w:pos="3966" w:val="left" w:leader="none"/>
        </w:tabs>
        <w:spacing w:line="229" w:lineRule="exact" w:before="0" w:after="0"/>
        <w:ind w:left="345" w:right="0" w:hanging="223"/>
        <w:jc w:val="left"/>
        <w:rPr>
          <w:sz w:val="20"/>
        </w:rPr>
      </w:pPr>
      <w:r>
        <w:rPr>
          <w:sz w:val="20"/>
        </w:rPr>
        <w:t>Que tenga decoraciones en</w:t>
      </w:r>
      <w:r>
        <w:rPr>
          <w:spacing w:val="-4"/>
          <w:sz w:val="20"/>
        </w:rPr>
        <w:t> </w:t>
      </w:r>
      <w:r>
        <w:rPr>
          <w:sz w:val="20"/>
        </w:rPr>
        <w:t>el</w:t>
      </w:r>
      <w:r>
        <w:rPr>
          <w:spacing w:val="-4"/>
          <w:sz w:val="20"/>
        </w:rPr>
        <w:t> </w:t>
      </w:r>
      <w:r>
        <w:rPr>
          <w:sz w:val="20"/>
        </w:rPr>
        <w:t>mango(</w:t>
        <w:tab/>
        <w:t>)</w:t>
      </w:r>
    </w:p>
    <w:p>
      <w:pPr>
        <w:pStyle w:val="BodyText"/>
        <w:spacing w:before="9"/>
        <w:rPr>
          <w:sz w:val="19"/>
        </w:rPr>
      </w:pPr>
    </w:p>
    <w:p>
      <w:pPr>
        <w:pStyle w:val="ListParagraph"/>
        <w:numPr>
          <w:ilvl w:val="0"/>
          <w:numId w:val="15"/>
        </w:numPr>
        <w:tabs>
          <w:tab w:pos="355" w:val="left" w:leader="none"/>
        </w:tabs>
        <w:spacing w:line="240" w:lineRule="auto" w:before="1" w:after="0"/>
        <w:ind w:left="354" w:right="0" w:hanging="232"/>
        <w:jc w:val="left"/>
        <w:rPr>
          <w:b/>
          <w:sz w:val="20"/>
        </w:rPr>
      </w:pPr>
      <w:r>
        <w:rPr>
          <w:b/>
          <w:sz w:val="20"/>
        </w:rPr>
        <w:t>¿Considera que la alimentación durante el embarazo, afecta los dientes del</w:t>
      </w:r>
      <w:r>
        <w:rPr>
          <w:b/>
          <w:spacing w:val="-25"/>
          <w:sz w:val="20"/>
        </w:rPr>
        <w:t> </w:t>
      </w:r>
      <w:r>
        <w:rPr>
          <w:b/>
          <w:sz w:val="20"/>
        </w:rPr>
        <w:t>niño?</w:t>
      </w:r>
    </w:p>
    <w:p>
      <w:pPr>
        <w:tabs>
          <w:tab w:pos="642" w:val="left" w:leader="none"/>
          <w:tab w:pos="1364" w:val="left" w:leader="none"/>
        </w:tabs>
        <w:spacing w:before="3"/>
        <w:ind w:left="122" w:right="52" w:firstLine="0"/>
        <w:jc w:val="left"/>
        <w:rPr>
          <w:sz w:val="20"/>
        </w:rPr>
      </w:pPr>
      <w:r>
        <w:rPr>
          <w:sz w:val="20"/>
        </w:rPr>
        <w:t>Si</w:t>
      </w:r>
      <w:r>
        <w:rPr>
          <w:spacing w:val="-3"/>
          <w:sz w:val="20"/>
        </w:rPr>
        <w:t> </w:t>
      </w:r>
      <w:r>
        <w:rPr>
          <w:sz w:val="20"/>
        </w:rPr>
        <w:t>(</w:t>
        <w:tab/>
        <w:t>)</w:t>
      </w:r>
      <w:r>
        <w:rPr>
          <w:spacing w:val="-1"/>
          <w:sz w:val="20"/>
        </w:rPr>
        <w:t> </w:t>
      </w:r>
      <w:r>
        <w:rPr>
          <w:sz w:val="20"/>
        </w:rPr>
        <w:t>No</w:t>
      </w:r>
      <w:r>
        <w:rPr>
          <w:spacing w:val="-2"/>
          <w:sz w:val="20"/>
        </w:rPr>
        <w:t> </w:t>
      </w:r>
      <w:r>
        <w:rPr>
          <w:sz w:val="20"/>
        </w:rPr>
        <w:t>(</w:t>
        <w:tab/>
        <w:t>)</w:t>
      </w:r>
    </w:p>
    <w:p>
      <w:pPr>
        <w:pStyle w:val="BodyText"/>
        <w:spacing w:before="9"/>
        <w:rPr>
          <w:sz w:val="19"/>
        </w:rPr>
      </w:pPr>
    </w:p>
    <w:p>
      <w:pPr>
        <w:pStyle w:val="ListParagraph"/>
        <w:numPr>
          <w:ilvl w:val="0"/>
          <w:numId w:val="15"/>
        </w:numPr>
        <w:tabs>
          <w:tab w:pos="355" w:val="left" w:leader="none"/>
        </w:tabs>
        <w:spacing w:line="240" w:lineRule="auto" w:before="1" w:after="0"/>
        <w:ind w:left="354" w:right="0" w:hanging="232"/>
        <w:jc w:val="left"/>
        <w:rPr>
          <w:b/>
          <w:sz w:val="20"/>
        </w:rPr>
      </w:pPr>
      <w:r>
        <w:rPr>
          <w:b/>
          <w:sz w:val="20"/>
        </w:rPr>
        <w:t>¿Enseña a sus hijos a lavarse las encías y la</w:t>
      </w:r>
      <w:r>
        <w:rPr>
          <w:b/>
          <w:spacing w:val="-12"/>
          <w:sz w:val="20"/>
        </w:rPr>
        <w:t> </w:t>
      </w:r>
      <w:r>
        <w:rPr>
          <w:b/>
          <w:sz w:val="20"/>
        </w:rPr>
        <w:t>lengua?</w:t>
      </w:r>
    </w:p>
    <w:p>
      <w:pPr>
        <w:tabs>
          <w:tab w:pos="642" w:val="left" w:leader="none"/>
          <w:tab w:pos="1364" w:val="left" w:leader="none"/>
        </w:tabs>
        <w:spacing w:before="0"/>
        <w:ind w:left="122" w:right="52" w:firstLine="0"/>
        <w:jc w:val="left"/>
        <w:rPr>
          <w:sz w:val="20"/>
        </w:rPr>
      </w:pPr>
      <w:r>
        <w:rPr>
          <w:sz w:val="20"/>
        </w:rPr>
        <w:t>Si</w:t>
      </w:r>
      <w:r>
        <w:rPr>
          <w:spacing w:val="-3"/>
          <w:sz w:val="20"/>
        </w:rPr>
        <w:t> </w:t>
      </w:r>
      <w:r>
        <w:rPr>
          <w:sz w:val="20"/>
        </w:rPr>
        <w:t>(</w:t>
        <w:tab/>
        <w:t>)</w:t>
      </w:r>
      <w:r>
        <w:rPr>
          <w:spacing w:val="-1"/>
          <w:sz w:val="20"/>
        </w:rPr>
        <w:t> </w:t>
      </w:r>
      <w:r>
        <w:rPr>
          <w:sz w:val="20"/>
        </w:rPr>
        <w:t>No</w:t>
      </w:r>
      <w:r>
        <w:rPr>
          <w:spacing w:val="-2"/>
          <w:sz w:val="20"/>
        </w:rPr>
        <w:t> </w:t>
      </w:r>
      <w:r>
        <w:rPr>
          <w:sz w:val="20"/>
        </w:rPr>
        <w:t>(</w:t>
        <w:tab/>
        <w:t>)</w:t>
      </w:r>
    </w:p>
    <w:p>
      <w:pPr>
        <w:pStyle w:val="BodyText"/>
        <w:spacing w:before="9"/>
        <w:rPr>
          <w:sz w:val="19"/>
        </w:rPr>
      </w:pPr>
    </w:p>
    <w:p>
      <w:pPr>
        <w:pStyle w:val="ListParagraph"/>
        <w:numPr>
          <w:ilvl w:val="0"/>
          <w:numId w:val="15"/>
        </w:numPr>
        <w:tabs>
          <w:tab w:pos="415" w:val="left" w:leader="none"/>
        </w:tabs>
        <w:spacing w:line="240" w:lineRule="auto" w:before="1" w:after="0"/>
        <w:ind w:left="414" w:right="0" w:hanging="292"/>
        <w:jc w:val="left"/>
        <w:rPr>
          <w:b/>
          <w:sz w:val="20"/>
        </w:rPr>
      </w:pPr>
      <w:r>
        <w:rPr>
          <w:b/>
          <w:sz w:val="20"/>
        </w:rPr>
        <w:t>A que edad deben iniciar su hijo las visitas al</w:t>
      </w:r>
      <w:r>
        <w:rPr>
          <w:b/>
          <w:spacing w:val="-13"/>
          <w:sz w:val="20"/>
        </w:rPr>
        <w:t> </w:t>
      </w:r>
      <w:r>
        <w:rPr>
          <w:b/>
          <w:sz w:val="20"/>
        </w:rPr>
        <w:t>dentista</w:t>
      </w:r>
    </w:p>
    <w:p>
      <w:pPr>
        <w:pStyle w:val="ListParagraph"/>
        <w:numPr>
          <w:ilvl w:val="1"/>
          <w:numId w:val="15"/>
        </w:numPr>
        <w:tabs>
          <w:tab w:pos="410" w:val="left" w:leader="none"/>
        </w:tabs>
        <w:spacing w:line="240" w:lineRule="auto" w:before="3" w:after="0"/>
        <w:ind w:left="409" w:right="0" w:hanging="287"/>
        <w:jc w:val="left"/>
        <w:rPr>
          <w:sz w:val="20"/>
        </w:rPr>
      </w:pPr>
      <w:r>
        <w:rPr>
          <w:sz w:val="20"/>
        </w:rPr>
        <w:t>Desde nacimiento  o cuando salga el primer diente  ( </w:t>
      </w:r>
      <w:r>
        <w:rPr>
          <w:spacing w:val="40"/>
          <w:sz w:val="20"/>
        </w:rPr>
        <w:t> </w:t>
      </w:r>
      <w:r>
        <w:rPr>
          <w:sz w:val="20"/>
        </w:rPr>
        <w:t>)</w:t>
      </w:r>
    </w:p>
    <w:p>
      <w:pPr>
        <w:pStyle w:val="ListParagraph"/>
        <w:numPr>
          <w:ilvl w:val="1"/>
          <w:numId w:val="15"/>
        </w:numPr>
        <w:tabs>
          <w:tab w:pos="355" w:val="left" w:leader="none"/>
        </w:tabs>
        <w:spacing w:line="229" w:lineRule="exact" w:before="1" w:after="0"/>
        <w:ind w:left="354" w:right="0" w:hanging="232"/>
        <w:jc w:val="left"/>
        <w:rPr>
          <w:sz w:val="20"/>
        </w:rPr>
      </w:pPr>
      <w:r>
        <w:rPr>
          <w:sz w:val="20"/>
        </w:rPr>
        <w:t>Cuando el niño presenta dolor ( </w:t>
      </w:r>
      <w:r>
        <w:rPr>
          <w:spacing w:val="46"/>
          <w:sz w:val="20"/>
        </w:rPr>
        <w:t> </w:t>
      </w:r>
      <w:r>
        <w:rPr>
          <w:sz w:val="20"/>
        </w:rPr>
        <w:t>)</w:t>
      </w:r>
    </w:p>
    <w:p>
      <w:pPr>
        <w:pStyle w:val="ListParagraph"/>
        <w:numPr>
          <w:ilvl w:val="1"/>
          <w:numId w:val="15"/>
        </w:numPr>
        <w:tabs>
          <w:tab w:pos="345" w:val="left" w:leader="none"/>
        </w:tabs>
        <w:spacing w:line="229" w:lineRule="exact" w:before="0" w:after="0"/>
        <w:ind w:left="345" w:right="0" w:hanging="223"/>
        <w:jc w:val="left"/>
        <w:rPr>
          <w:sz w:val="20"/>
        </w:rPr>
      </w:pPr>
      <w:r>
        <w:rPr>
          <w:sz w:val="20"/>
        </w:rPr>
        <w:t>Cuando se caen los dientes de leche ( </w:t>
      </w:r>
      <w:r>
        <w:rPr>
          <w:spacing w:val="41"/>
          <w:sz w:val="20"/>
        </w:rPr>
        <w:t> </w:t>
      </w:r>
      <w:r>
        <w:rPr>
          <w:sz w:val="20"/>
        </w:rPr>
        <w:t>)</w:t>
      </w:r>
    </w:p>
    <w:p>
      <w:pPr>
        <w:pStyle w:val="BodyText"/>
        <w:spacing w:before="9"/>
        <w:rPr>
          <w:sz w:val="19"/>
        </w:rPr>
      </w:pPr>
    </w:p>
    <w:p>
      <w:pPr>
        <w:pStyle w:val="ListParagraph"/>
        <w:numPr>
          <w:ilvl w:val="0"/>
          <w:numId w:val="15"/>
        </w:numPr>
        <w:tabs>
          <w:tab w:pos="355" w:val="left" w:leader="none"/>
        </w:tabs>
        <w:spacing w:line="240" w:lineRule="auto" w:before="1" w:after="0"/>
        <w:ind w:left="354" w:right="0" w:hanging="232"/>
        <w:jc w:val="left"/>
        <w:rPr>
          <w:b/>
          <w:sz w:val="20"/>
        </w:rPr>
      </w:pPr>
      <w:r>
        <w:rPr>
          <w:b/>
          <w:sz w:val="20"/>
        </w:rPr>
        <w:t>¿Sabe a partir de cuándo debe limpiar la boca de su</w:t>
      </w:r>
      <w:r>
        <w:rPr>
          <w:b/>
          <w:spacing w:val="-21"/>
          <w:sz w:val="20"/>
        </w:rPr>
        <w:t> </w:t>
      </w:r>
      <w:r>
        <w:rPr>
          <w:b/>
          <w:sz w:val="20"/>
        </w:rPr>
        <w:t>hijo?</w:t>
      </w:r>
    </w:p>
    <w:p>
      <w:pPr>
        <w:tabs>
          <w:tab w:pos="642" w:val="left" w:leader="none"/>
          <w:tab w:pos="1364" w:val="left" w:leader="none"/>
        </w:tabs>
        <w:spacing w:before="3"/>
        <w:ind w:left="122" w:right="52" w:firstLine="0"/>
        <w:jc w:val="left"/>
        <w:rPr>
          <w:sz w:val="20"/>
        </w:rPr>
      </w:pPr>
      <w:r>
        <w:rPr>
          <w:sz w:val="20"/>
        </w:rPr>
        <w:t>Si</w:t>
      </w:r>
      <w:r>
        <w:rPr>
          <w:spacing w:val="-3"/>
          <w:sz w:val="20"/>
        </w:rPr>
        <w:t> </w:t>
      </w:r>
      <w:r>
        <w:rPr>
          <w:sz w:val="20"/>
        </w:rPr>
        <w:t>(</w:t>
        <w:tab/>
        <w:t>)</w:t>
      </w:r>
      <w:r>
        <w:rPr>
          <w:spacing w:val="-1"/>
          <w:sz w:val="20"/>
        </w:rPr>
        <w:t> </w:t>
      </w:r>
      <w:r>
        <w:rPr>
          <w:sz w:val="20"/>
        </w:rPr>
        <w:t>No</w:t>
      </w:r>
      <w:r>
        <w:rPr>
          <w:spacing w:val="-2"/>
          <w:sz w:val="20"/>
        </w:rPr>
        <w:t> </w:t>
      </w:r>
      <w:r>
        <w:rPr>
          <w:sz w:val="20"/>
        </w:rPr>
        <w:t>(</w:t>
        <w:tab/>
        <w:t>)</w:t>
      </w:r>
    </w:p>
    <w:p>
      <w:pPr>
        <w:pStyle w:val="BodyText"/>
        <w:spacing w:before="9"/>
        <w:rPr>
          <w:sz w:val="19"/>
        </w:rPr>
      </w:pPr>
    </w:p>
    <w:p>
      <w:pPr>
        <w:pStyle w:val="ListParagraph"/>
        <w:numPr>
          <w:ilvl w:val="0"/>
          <w:numId w:val="15"/>
        </w:numPr>
        <w:tabs>
          <w:tab w:pos="355" w:val="left" w:leader="none"/>
        </w:tabs>
        <w:spacing w:line="240" w:lineRule="auto" w:before="1" w:after="0"/>
        <w:ind w:left="354" w:right="0" w:hanging="232"/>
        <w:jc w:val="left"/>
        <w:rPr>
          <w:b/>
          <w:sz w:val="20"/>
        </w:rPr>
      </w:pPr>
      <w:r>
        <w:rPr>
          <w:b/>
          <w:sz w:val="20"/>
        </w:rPr>
        <w:t>¿Cuánto tiempo demora en cepillar los dientes de su</w:t>
      </w:r>
      <w:r>
        <w:rPr>
          <w:b/>
          <w:spacing w:val="-20"/>
          <w:sz w:val="20"/>
        </w:rPr>
        <w:t> </w:t>
      </w:r>
      <w:r>
        <w:rPr>
          <w:b/>
          <w:sz w:val="20"/>
        </w:rPr>
        <w:t>hijo?</w:t>
      </w:r>
    </w:p>
    <w:p>
      <w:pPr>
        <w:pStyle w:val="ListParagraph"/>
        <w:numPr>
          <w:ilvl w:val="1"/>
          <w:numId w:val="15"/>
        </w:numPr>
        <w:tabs>
          <w:tab w:pos="355" w:val="left" w:leader="none"/>
          <w:tab w:pos="2487" w:val="left" w:leader="none"/>
        </w:tabs>
        <w:spacing w:line="240" w:lineRule="auto" w:before="0" w:after="0"/>
        <w:ind w:left="354" w:right="0" w:hanging="232"/>
        <w:jc w:val="left"/>
        <w:rPr>
          <w:sz w:val="20"/>
        </w:rPr>
      </w:pPr>
      <w:r>
        <w:rPr>
          <w:sz w:val="20"/>
        </w:rPr>
        <w:t>Un minuto o</w:t>
      </w:r>
      <w:r>
        <w:rPr>
          <w:spacing w:val="-3"/>
          <w:sz w:val="20"/>
        </w:rPr>
        <w:t> </w:t>
      </w:r>
      <w:r>
        <w:rPr>
          <w:sz w:val="20"/>
        </w:rPr>
        <w:t>menos</w:t>
      </w:r>
      <w:r>
        <w:rPr>
          <w:spacing w:val="54"/>
          <w:sz w:val="20"/>
        </w:rPr>
        <w:t> </w:t>
      </w:r>
      <w:r>
        <w:rPr>
          <w:sz w:val="20"/>
        </w:rPr>
        <w:t>(</w:t>
        <w:tab/>
        <w:t>)</w:t>
      </w:r>
    </w:p>
    <w:p>
      <w:pPr>
        <w:pStyle w:val="ListParagraph"/>
        <w:numPr>
          <w:ilvl w:val="0"/>
          <w:numId w:val="16"/>
        </w:numPr>
        <w:tabs>
          <w:tab w:pos="345" w:val="left" w:leader="none"/>
          <w:tab w:pos="1553" w:val="left" w:leader="none"/>
        </w:tabs>
        <w:spacing w:line="240" w:lineRule="auto" w:before="0" w:after="0"/>
        <w:ind w:left="345" w:right="0" w:hanging="223"/>
        <w:jc w:val="left"/>
        <w:rPr>
          <w:sz w:val="20"/>
        </w:rPr>
      </w:pPr>
      <w:r>
        <w:rPr>
          <w:sz w:val="20"/>
        </w:rPr>
        <w:t>2</w:t>
      </w:r>
      <w:r>
        <w:rPr>
          <w:spacing w:val="-2"/>
          <w:sz w:val="20"/>
        </w:rPr>
        <w:t> </w:t>
      </w:r>
      <w:r>
        <w:rPr>
          <w:sz w:val="20"/>
        </w:rPr>
        <w:t>minutos</w:t>
      </w:r>
      <w:r>
        <w:rPr>
          <w:spacing w:val="-1"/>
          <w:sz w:val="20"/>
        </w:rPr>
        <w:t> </w:t>
      </w:r>
      <w:r>
        <w:rPr>
          <w:sz w:val="20"/>
        </w:rPr>
        <w:t>(</w:t>
        <w:tab/>
        <w:t>)</w:t>
      </w:r>
    </w:p>
    <w:p>
      <w:pPr>
        <w:pStyle w:val="ListParagraph"/>
        <w:numPr>
          <w:ilvl w:val="0"/>
          <w:numId w:val="16"/>
        </w:numPr>
        <w:tabs>
          <w:tab w:pos="355" w:val="left" w:leader="none"/>
          <w:tab w:pos="1563" w:val="left" w:leader="none"/>
        </w:tabs>
        <w:spacing w:line="240" w:lineRule="auto" w:before="0" w:after="0"/>
        <w:ind w:left="354" w:right="0" w:hanging="232"/>
        <w:jc w:val="left"/>
        <w:rPr>
          <w:sz w:val="20"/>
        </w:rPr>
      </w:pPr>
      <w:r>
        <w:rPr>
          <w:sz w:val="20"/>
        </w:rPr>
        <w:t>3</w:t>
      </w:r>
      <w:r>
        <w:rPr>
          <w:spacing w:val="-2"/>
          <w:sz w:val="20"/>
        </w:rPr>
        <w:t> </w:t>
      </w:r>
      <w:r>
        <w:rPr>
          <w:sz w:val="20"/>
        </w:rPr>
        <w:t>minutos</w:t>
      </w:r>
      <w:r>
        <w:rPr>
          <w:spacing w:val="-1"/>
          <w:sz w:val="20"/>
        </w:rPr>
        <w:t> </w:t>
      </w:r>
      <w:r>
        <w:rPr>
          <w:sz w:val="20"/>
        </w:rPr>
        <w:t>(</w:t>
        <w:tab/>
        <w:t>)</w:t>
      </w:r>
    </w:p>
    <w:p>
      <w:pPr>
        <w:spacing w:after="0" w:line="240" w:lineRule="auto"/>
        <w:jc w:val="left"/>
        <w:rPr>
          <w:sz w:val="20"/>
        </w:rPr>
        <w:sectPr>
          <w:pgSz w:w="12240" w:h="15840"/>
          <w:pgMar w:header="0" w:footer="1003" w:top="1360" w:bottom="1200" w:left="1580" w:right="1220"/>
        </w:sectPr>
      </w:pPr>
    </w:p>
    <w:p>
      <w:pPr>
        <w:pStyle w:val="ListParagraph"/>
        <w:numPr>
          <w:ilvl w:val="0"/>
          <w:numId w:val="16"/>
        </w:numPr>
        <w:tabs>
          <w:tab w:pos="335" w:val="left" w:leader="none"/>
          <w:tab w:pos="2368" w:val="left" w:leader="none"/>
        </w:tabs>
        <w:spacing w:line="240" w:lineRule="auto" w:before="53" w:after="0"/>
        <w:ind w:left="334" w:right="0" w:hanging="232"/>
        <w:jc w:val="left"/>
        <w:rPr>
          <w:sz w:val="20"/>
        </w:rPr>
      </w:pPr>
      <w:r>
        <w:rPr>
          <w:sz w:val="20"/>
        </w:rPr>
        <w:t>tres minutos o</w:t>
      </w:r>
      <w:r>
        <w:rPr>
          <w:spacing w:val="-2"/>
          <w:sz w:val="20"/>
        </w:rPr>
        <w:t> </w:t>
      </w:r>
      <w:r>
        <w:rPr>
          <w:sz w:val="20"/>
        </w:rPr>
        <w:t>más</w:t>
      </w:r>
      <w:r>
        <w:rPr>
          <w:spacing w:val="-1"/>
          <w:sz w:val="20"/>
        </w:rPr>
        <w:t> </w:t>
      </w:r>
      <w:r>
        <w:rPr>
          <w:sz w:val="20"/>
        </w:rPr>
        <w:t>(</w:t>
        <w:tab/>
        <w:t>)</w:t>
      </w:r>
    </w:p>
    <w:p>
      <w:pPr>
        <w:pStyle w:val="BodyText"/>
        <w:spacing w:before="10"/>
        <w:rPr>
          <w:sz w:val="19"/>
        </w:rPr>
      </w:pPr>
    </w:p>
    <w:p>
      <w:pPr>
        <w:pStyle w:val="ListParagraph"/>
        <w:numPr>
          <w:ilvl w:val="0"/>
          <w:numId w:val="15"/>
        </w:numPr>
        <w:tabs>
          <w:tab w:pos="335" w:val="left" w:leader="none"/>
        </w:tabs>
        <w:spacing w:line="240" w:lineRule="auto" w:before="0" w:after="0"/>
        <w:ind w:left="334" w:right="0" w:hanging="232"/>
        <w:jc w:val="left"/>
        <w:rPr>
          <w:b/>
          <w:sz w:val="20"/>
        </w:rPr>
      </w:pPr>
      <w:r>
        <w:rPr>
          <w:b/>
          <w:sz w:val="20"/>
        </w:rPr>
        <w:t>¿Cuántas veces debe cepillar al día los dientes de su hijo al</w:t>
      </w:r>
      <w:r>
        <w:rPr>
          <w:b/>
          <w:spacing w:val="-19"/>
          <w:sz w:val="20"/>
        </w:rPr>
        <w:t> </w:t>
      </w:r>
      <w:r>
        <w:rPr>
          <w:b/>
          <w:sz w:val="20"/>
        </w:rPr>
        <w:t>día?</w:t>
      </w:r>
    </w:p>
    <w:p>
      <w:pPr>
        <w:pStyle w:val="ListParagraph"/>
        <w:numPr>
          <w:ilvl w:val="1"/>
          <w:numId w:val="15"/>
        </w:numPr>
        <w:tabs>
          <w:tab w:pos="335" w:val="left" w:leader="none"/>
          <w:tab w:pos="1411" w:val="left" w:leader="none"/>
        </w:tabs>
        <w:spacing w:line="240" w:lineRule="auto" w:before="3" w:after="0"/>
        <w:ind w:left="334" w:right="0" w:hanging="232"/>
        <w:jc w:val="left"/>
        <w:rPr>
          <w:sz w:val="20"/>
        </w:rPr>
      </w:pPr>
      <w:r>
        <w:rPr>
          <w:sz w:val="20"/>
        </w:rPr>
        <w:t>Una</w:t>
      </w:r>
      <w:r>
        <w:rPr>
          <w:spacing w:val="-1"/>
          <w:sz w:val="20"/>
        </w:rPr>
        <w:t> </w:t>
      </w:r>
      <w:r>
        <w:rPr>
          <w:sz w:val="20"/>
        </w:rPr>
        <w:t>vez</w:t>
      </w:r>
      <w:r>
        <w:rPr>
          <w:spacing w:val="-3"/>
          <w:sz w:val="20"/>
        </w:rPr>
        <w:t> </w:t>
      </w:r>
      <w:r>
        <w:rPr>
          <w:sz w:val="20"/>
        </w:rPr>
        <w:t>(</w:t>
        <w:tab/>
        <w:t>)</w:t>
      </w:r>
    </w:p>
    <w:p>
      <w:pPr>
        <w:pStyle w:val="ListParagraph"/>
        <w:numPr>
          <w:ilvl w:val="1"/>
          <w:numId w:val="15"/>
        </w:numPr>
        <w:tabs>
          <w:tab w:pos="335" w:val="left" w:leader="none"/>
          <w:tab w:pos="1610" w:val="left" w:leader="none"/>
        </w:tabs>
        <w:spacing w:line="240" w:lineRule="auto" w:before="0" w:after="0"/>
        <w:ind w:left="334" w:right="0" w:hanging="232"/>
        <w:jc w:val="left"/>
        <w:rPr>
          <w:sz w:val="20"/>
        </w:rPr>
      </w:pPr>
      <w:r>
        <w:rPr>
          <w:sz w:val="20"/>
        </w:rPr>
        <w:t>Dos veces</w:t>
      </w:r>
      <w:r>
        <w:rPr>
          <w:spacing w:val="-1"/>
          <w:sz w:val="20"/>
        </w:rPr>
        <w:t> </w:t>
      </w:r>
      <w:r>
        <w:rPr>
          <w:sz w:val="20"/>
        </w:rPr>
        <w:t>(</w:t>
        <w:tab/>
        <w:t>)</w:t>
      </w:r>
    </w:p>
    <w:p>
      <w:pPr>
        <w:pStyle w:val="ListParagraph"/>
        <w:numPr>
          <w:ilvl w:val="1"/>
          <w:numId w:val="15"/>
        </w:numPr>
        <w:tabs>
          <w:tab w:pos="323" w:val="left" w:leader="none"/>
          <w:tab w:pos="1643" w:val="left" w:leader="none"/>
        </w:tabs>
        <w:spacing w:line="240" w:lineRule="auto" w:before="0" w:after="0"/>
        <w:ind w:left="322" w:right="0" w:hanging="220"/>
        <w:jc w:val="left"/>
        <w:rPr>
          <w:sz w:val="20"/>
        </w:rPr>
      </w:pPr>
      <w:r>
        <w:rPr>
          <w:sz w:val="20"/>
        </w:rPr>
        <w:t>Tres</w:t>
      </w:r>
      <w:r>
        <w:rPr>
          <w:spacing w:val="-1"/>
          <w:sz w:val="20"/>
        </w:rPr>
        <w:t> </w:t>
      </w:r>
      <w:r>
        <w:rPr>
          <w:sz w:val="20"/>
        </w:rPr>
        <w:t>veces</w:t>
      </w:r>
      <w:r>
        <w:rPr>
          <w:spacing w:val="-1"/>
          <w:sz w:val="20"/>
        </w:rPr>
        <w:t> </w:t>
      </w:r>
      <w:r>
        <w:rPr>
          <w:sz w:val="20"/>
        </w:rPr>
        <w:t>(</w:t>
        <w:tab/>
        <w:t>)</w:t>
      </w:r>
    </w:p>
    <w:p>
      <w:pPr>
        <w:pStyle w:val="BodyText"/>
        <w:spacing w:before="7"/>
        <w:rPr>
          <w:sz w:val="19"/>
        </w:rPr>
      </w:pPr>
    </w:p>
    <w:p>
      <w:pPr>
        <w:pStyle w:val="ListParagraph"/>
        <w:numPr>
          <w:ilvl w:val="0"/>
          <w:numId w:val="15"/>
        </w:numPr>
        <w:tabs>
          <w:tab w:pos="335" w:val="left" w:leader="none"/>
        </w:tabs>
        <w:spacing w:line="240" w:lineRule="auto" w:before="0" w:after="0"/>
        <w:ind w:left="334" w:right="0" w:hanging="232"/>
        <w:jc w:val="left"/>
        <w:rPr>
          <w:b/>
          <w:sz w:val="20"/>
        </w:rPr>
      </w:pPr>
      <w:r>
        <w:rPr>
          <w:b/>
          <w:sz w:val="20"/>
        </w:rPr>
        <w:t>¿Le han enseñado alguna vez como cepillar los dientes de su</w:t>
      </w:r>
      <w:r>
        <w:rPr>
          <w:b/>
          <w:spacing w:val="-21"/>
          <w:sz w:val="20"/>
        </w:rPr>
        <w:t> </w:t>
      </w:r>
      <w:r>
        <w:rPr>
          <w:b/>
          <w:sz w:val="20"/>
        </w:rPr>
        <w:t>hijo?</w:t>
      </w:r>
    </w:p>
    <w:p>
      <w:pPr>
        <w:tabs>
          <w:tab w:pos="622" w:val="left" w:leader="none"/>
          <w:tab w:pos="1344" w:val="left" w:leader="none"/>
        </w:tabs>
        <w:spacing w:before="3"/>
        <w:ind w:left="102" w:right="1840" w:firstLine="0"/>
        <w:jc w:val="left"/>
        <w:rPr>
          <w:sz w:val="20"/>
        </w:rPr>
      </w:pPr>
      <w:r>
        <w:rPr>
          <w:sz w:val="20"/>
        </w:rPr>
        <w:t>Si</w:t>
      </w:r>
      <w:r>
        <w:rPr>
          <w:spacing w:val="-3"/>
          <w:sz w:val="20"/>
        </w:rPr>
        <w:t> </w:t>
      </w:r>
      <w:r>
        <w:rPr>
          <w:sz w:val="20"/>
        </w:rPr>
        <w:t>(</w:t>
        <w:tab/>
        <w:t>)</w:t>
      </w:r>
      <w:r>
        <w:rPr>
          <w:spacing w:val="-1"/>
          <w:sz w:val="20"/>
        </w:rPr>
        <w:t> </w:t>
      </w:r>
      <w:r>
        <w:rPr>
          <w:sz w:val="20"/>
        </w:rPr>
        <w:t>No</w:t>
      </w:r>
      <w:r>
        <w:rPr>
          <w:spacing w:val="-2"/>
          <w:sz w:val="20"/>
        </w:rPr>
        <w:t> </w:t>
      </w:r>
      <w:r>
        <w:rPr>
          <w:sz w:val="20"/>
        </w:rPr>
        <w:t>(</w:t>
        <w:tab/>
        <w:t>)</w:t>
      </w:r>
    </w:p>
    <w:p>
      <w:pPr>
        <w:pStyle w:val="BodyText"/>
        <w:spacing w:before="9"/>
        <w:rPr>
          <w:sz w:val="19"/>
        </w:rPr>
      </w:pPr>
    </w:p>
    <w:p>
      <w:pPr>
        <w:pStyle w:val="ListParagraph"/>
        <w:numPr>
          <w:ilvl w:val="0"/>
          <w:numId w:val="15"/>
        </w:numPr>
        <w:tabs>
          <w:tab w:pos="446" w:val="left" w:leader="none"/>
        </w:tabs>
        <w:spacing w:line="240" w:lineRule="auto" w:before="1" w:after="0"/>
        <w:ind w:left="445" w:right="0" w:hanging="343"/>
        <w:jc w:val="left"/>
        <w:rPr>
          <w:b/>
          <w:sz w:val="20"/>
        </w:rPr>
      </w:pPr>
      <w:r>
        <w:rPr>
          <w:b/>
          <w:sz w:val="20"/>
        </w:rPr>
        <w:t>¿Cada cuánto tiempo debería cambiar su cepillo</w:t>
      </w:r>
      <w:r>
        <w:rPr>
          <w:b/>
          <w:spacing w:val="-13"/>
          <w:sz w:val="20"/>
        </w:rPr>
        <w:t> </w:t>
      </w:r>
      <w:r>
        <w:rPr>
          <w:b/>
          <w:sz w:val="20"/>
        </w:rPr>
        <w:t>dental?</w:t>
      </w:r>
    </w:p>
    <w:p>
      <w:pPr>
        <w:pStyle w:val="ListParagraph"/>
        <w:numPr>
          <w:ilvl w:val="0"/>
          <w:numId w:val="17"/>
        </w:numPr>
        <w:tabs>
          <w:tab w:pos="335" w:val="left" w:leader="none"/>
          <w:tab w:pos="1967" w:val="left" w:leader="none"/>
        </w:tabs>
        <w:spacing w:line="240" w:lineRule="auto" w:before="0" w:after="0"/>
        <w:ind w:left="334" w:right="0" w:hanging="232"/>
        <w:jc w:val="left"/>
        <w:rPr>
          <w:sz w:val="20"/>
        </w:rPr>
      </w:pPr>
      <w:r>
        <w:rPr>
          <w:sz w:val="20"/>
        </w:rPr>
        <w:t>Cada 6</w:t>
      </w:r>
      <w:r>
        <w:rPr>
          <w:spacing w:val="-1"/>
          <w:sz w:val="20"/>
        </w:rPr>
        <w:t> </w:t>
      </w:r>
      <w:r>
        <w:rPr>
          <w:sz w:val="20"/>
        </w:rPr>
        <w:t>meses</w:t>
      </w:r>
      <w:r>
        <w:rPr>
          <w:spacing w:val="-1"/>
          <w:sz w:val="20"/>
        </w:rPr>
        <w:t> </w:t>
      </w:r>
      <w:r>
        <w:rPr>
          <w:sz w:val="20"/>
        </w:rPr>
        <w:t>(</w:t>
        <w:tab/>
        <w:t>)</w:t>
      </w:r>
    </w:p>
    <w:p>
      <w:pPr>
        <w:pStyle w:val="ListParagraph"/>
        <w:numPr>
          <w:ilvl w:val="0"/>
          <w:numId w:val="17"/>
        </w:numPr>
        <w:tabs>
          <w:tab w:pos="335" w:val="left" w:leader="none"/>
          <w:tab w:pos="1977" w:val="left" w:leader="none"/>
        </w:tabs>
        <w:spacing w:line="240" w:lineRule="auto" w:before="0" w:after="0"/>
        <w:ind w:left="334" w:right="0" w:hanging="232"/>
        <w:jc w:val="left"/>
        <w:rPr>
          <w:sz w:val="20"/>
        </w:rPr>
      </w:pPr>
      <w:r>
        <w:rPr>
          <w:sz w:val="20"/>
        </w:rPr>
        <w:t>una vez al</w:t>
      </w:r>
      <w:r>
        <w:rPr>
          <w:spacing w:val="-3"/>
          <w:sz w:val="20"/>
        </w:rPr>
        <w:t> </w:t>
      </w:r>
      <w:r>
        <w:rPr>
          <w:sz w:val="20"/>
        </w:rPr>
        <w:t>año</w:t>
      </w:r>
      <w:r>
        <w:rPr>
          <w:spacing w:val="-1"/>
          <w:sz w:val="20"/>
        </w:rPr>
        <w:t> </w:t>
      </w:r>
      <w:r>
        <w:rPr>
          <w:sz w:val="20"/>
        </w:rPr>
        <w:t>(</w:t>
        <w:tab/>
        <w:t>)</w:t>
      </w:r>
    </w:p>
    <w:p>
      <w:pPr>
        <w:pStyle w:val="ListParagraph"/>
        <w:numPr>
          <w:ilvl w:val="0"/>
          <w:numId w:val="17"/>
        </w:numPr>
        <w:tabs>
          <w:tab w:pos="325" w:val="left" w:leader="none"/>
          <w:tab w:pos="1955" w:val="left" w:leader="none"/>
        </w:tabs>
        <w:spacing w:line="240" w:lineRule="auto" w:before="0" w:after="0"/>
        <w:ind w:left="325" w:right="0" w:hanging="223"/>
        <w:jc w:val="left"/>
        <w:rPr>
          <w:sz w:val="20"/>
        </w:rPr>
      </w:pPr>
      <w:r>
        <w:rPr>
          <w:sz w:val="20"/>
        </w:rPr>
        <w:t>Cada 3</w:t>
      </w:r>
      <w:r>
        <w:rPr>
          <w:spacing w:val="-3"/>
          <w:sz w:val="20"/>
        </w:rPr>
        <w:t> </w:t>
      </w:r>
      <w:r>
        <w:rPr>
          <w:sz w:val="20"/>
        </w:rPr>
        <w:t>meses</w:t>
      </w:r>
      <w:r>
        <w:rPr>
          <w:spacing w:val="-1"/>
          <w:sz w:val="20"/>
        </w:rPr>
        <w:t> </w:t>
      </w:r>
      <w:r>
        <w:rPr>
          <w:sz w:val="20"/>
        </w:rPr>
        <w:t>(</w:t>
        <w:tab/>
        <w:t>)</w:t>
      </w:r>
    </w:p>
    <w:p>
      <w:pPr>
        <w:pStyle w:val="ListParagraph"/>
        <w:numPr>
          <w:ilvl w:val="0"/>
          <w:numId w:val="17"/>
        </w:numPr>
        <w:tabs>
          <w:tab w:pos="335" w:val="left" w:leader="none"/>
          <w:tab w:pos="1198" w:val="left" w:leader="none"/>
        </w:tabs>
        <w:spacing w:line="240" w:lineRule="auto" w:before="0" w:after="0"/>
        <w:ind w:left="334" w:right="0" w:hanging="232"/>
        <w:jc w:val="left"/>
        <w:rPr>
          <w:sz w:val="20"/>
        </w:rPr>
      </w:pPr>
      <w:r>
        <w:rPr>
          <w:sz w:val="20"/>
        </w:rPr>
        <w:t>No</w:t>
      </w:r>
      <w:r>
        <w:rPr>
          <w:spacing w:val="-2"/>
          <w:sz w:val="20"/>
        </w:rPr>
        <w:t> </w:t>
      </w:r>
      <w:r>
        <w:rPr>
          <w:sz w:val="20"/>
        </w:rPr>
        <w:t>sé</w:t>
      </w:r>
      <w:r>
        <w:rPr>
          <w:spacing w:val="-2"/>
          <w:sz w:val="20"/>
        </w:rPr>
        <w:t> </w:t>
      </w:r>
      <w:r>
        <w:rPr>
          <w:sz w:val="20"/>
        </w:rPr>
        <w:t>(</w:t>
        <w:tab/>
        <w:t>)</w:t>
      </w:r>
    </w:p>
    <w:p>
      <w:pPr>
        <w:pStyle w:val="BodyText"/>
        <w:spacing w:before="10"/>
        <w:rPr>
          <w:sz w:val="19"/>
        </w:rPr>
      </w:pPr>
    </w:p>
    <w:p>
      <w:pPr>
        <w:pStyle w:val="ListParagraph"/>
        <w:numPr>
          <w:ilvl w:val="0"/>
          <w:numId w:val="15"/>
        </w:numPr>
        <w:tabs>
          <w:tab w:pos="446" w:val="left" w:leader="none"/>
        </w:tabs>
        <w:spacing w:line="240" w:lineRule="auto" w:before="0" w:after="0"/>
        <w:ind w:left="445" w:right="0" w:hanging="343"/>
        <w:jc w:val="left"/>
        <w:rPr>
          <w:b/>
          <w:sz w:val="20"/>
        </w:rPr>
      </w:pPr>
      <w:r>
        <w:rPr>
          <w:b/>
          <w:sz w:val="20"/>
        </w:rPr>
        <w:t>Considera que la placa bacteriana</w:t>
      </w:r>
      <w:r>
        <w:rPr>
          <w:b/>
          <w:spacing w:val="-11"/>
          <w:sz w:val="20"/>
        </w:rPr>
        <w:t> </w:t>
      </w:r>
      <w:r>
        <w:rPr>
          <w:b/>
          <w:sz w:val="20"/>
        </w:rPr>
        <w:t>son:</w:t>
      </w:r>
    </w:p>
    <w:p>
      <w:pPr>
        <w:pStyle w:val="ListParagraph"/>
        <w:numPr>
          <w:ilvl w:val="0"/>
          <w:numId w:val="18"/>
        </w:numPr>
        <w:tabs>
          <w:tab w:pos="335" w:val="left" w:leader="none"/>
          <w:tab w:pos="2600" w:val="left" w:leader="none"/>
        </w:tabs>
        <w:spacing w:line="240" w:lineRule="auto" w:before="0" w:after="0"/>
        <w:ind w:left="334" w:right="0" w:hanging="232"/>
        <w:jc w:val="left"/>
        <w:rPr>
          <w:sz w:val="20"/>
        </w:rPr>
      </w:pPr>
      <w:r>
        <w:rPr>
          <w:sz w:val="20"/>
        </w:rPr>
        <w:t>Caries en los</w:t>
      </w:r>
      <w:r>
        <w:rPr>
          <w:spacing w:val="-1"/>
          <w:sz w:val="20"/>
        </w:rPr>
        <w:t> </w:t>
      </w:r>
      <w:r>
        <w:rPr>
          <w:sz w:val="20"/>
        </w:rPr>
        <w:t>dientes</w:t>
      </w:r>
      <w:r>
        <w:rPr>
          <w:spacing w:val="53"/>
          <w:sz w:val="20"/>
        </w:rPr>
        <w:t> </w:t>
      </w:r>
      <w:r>
        <w:rPr>
          <w:sz w:val="20"/>
        </w:rPr>
        <w:t>(</w:t>
        <w:tab/>
        <w:t>)</w:t>
      </w:r>
    </w:p>
    <w:p>
      <w:pPr>
        <w:pStyle w:val="ListParagraph"/>
        <w:numPr>
          <w:ilvl w:val="0"/>
          <w:numId w:val="18"/>
        </w:numPr>
        <w:tabs>
          <w:tab w:pos="335" w:val="left" w:leader="none"/>
          <w:tab w:pos="3521" w:val="left" w:leader="none"/>
        </w:tabs>
        <w:spacing w:line="240" w:lineRule="auto" w:before="0" w:after="0"/>
        <w:ind w:left="334" w:right="0" w:hanging="232"/>
        <w:jc w:val="left"/>
        <w:rPr>
          <w:sz w:val="20"/>
        </w:rPr>
      </w:pPr>
      <w:r>
        <w:rPr>
          <w:sz w:val="20"/>
        </w:rPr>
        <w:t>Manchas blancas en los</w:t>
      </w:r>
      <w:r>
        <w:rPr>
          <w:spacing w:val="-6"/>
          <w:sz w:val="20"/>
        </w:rPr>
        <w:t> </w:t>
      </w:r>
      <w:r>
        <w:rPr>
          <w:sz w:val="20"/>
        </w:rPr>
        <w:t>dientes</w:t>
      </w:r>
      <w:r>
        <w:rPr>
          <w:spacing w:val="-2"/>
          <w:sz w:val="20"/>
        </w:rPr>
        <w:t> </w:t>
      </w:r>
      <w:r>
        <w:rPr>
          <w:sz w:val="20"/>
        </w:rPr>
        <w:t>(</w:t>
        <w:tab/>
        <w:t>)</w:t>
      </w:r>
    </w:p>
    <w:p>
      <w:pPr>
        <w:pStyle w:val="ListParagraph"/>
        <w:numPr>
          <w:ilvl w:val="0"/>
          <w:numId w:val="18"/>
        </w:numPr>
        <w:tabs>
          <w:tab w:pos="325" w:val="left" w:leader="none"/>
          <w:tab w:pos="4211" w:val="left" w:leader="none"/>
        </w:tabs>
        <w:spacing w:line="240" w:lineRule="auto" w:before="0" w:after="0"/>
        <w:ind w:left="325" w:right="0" w:hanging="223"/>
        <w:jc w:val="left"/>
        <w:rPr>
          <w:sz w:val="20"/>
        </w:rPr>
      </w:pPr>
      <w:r>
        <w:rPr>
          <w:sz w:val="20"/>
        </w:rPr>
        <w:t>Restos de alimentos y</w:t>
      </w:r>
      <w:r>
        <w:rPr>
          <w:spacing w:val="-6"/>
          <w:sz w:val="20"/>
        </w:rPr>
        <w:t> </w:t>
      </w:r>
      <w:r>
        <w:rPr>
          <w:sz w:val="20"/>
        </w:rPr>
        <w:t>microorganismos</w:t>
      </w:r>
      <w:r>
        <w:rPr>
          <w:spacing w:val="-1"/>
          <w:sz w:val="20"/>
        </w:rPr>
        <w:t> </w:t>
      </w:r>
      <w:r>
        <w:rPr>
          <w:sz w:val="20"/>
        </w:rPr>
        <w:t>(</w:t>
        <w:tab/>
        <w:t>)</w:t>
      </w:r>
    </w:p>
    <w:p>
      <w:pPr>
        <w:pStyle w:val="ListParagraph"/>
        <w:numPr>
          <w:ilvl w:val="0"/>
          <w:numId w:val="18"/>
        </w:numPr>
        <w:tabs>
          <w:tab w:pos="335" w:val="left" w:leader="none"/>
          <w:tab w:pos="1198" w:val="left" w:leader="none"/>
        </w:tabs>
        <w:spacing w:line="240" w:lineRule="auto" w:before="0" w:after="0"/>
        <w:ind w:left="334" w:right="0" w:hanging="232"/>
        <w:jc w:val="left"/>
        <w:rPr>
          <w:sz w:val="20"/>
        </w:rPr>
      </w:pPr>
      <w:r>
        <w:rPr>
          <w:sz w:val="20"/>
        </w:rPr>
        <w:t>No</w:t>
      </w:r>
      <w:r>
        <w:rPr>
          <w:spacing w:val="-2"/>
          <w:sz w:val="20"/>
        </w:rPr>
        <w:t> </w:t>
      </w:r>
      <w:r>
        <w:rPr>
          <w:sz w:val="20"/>
        </w:rPr>
        <w:t>sé</w:t>
      </w:r>
      <w:r>
        <w:rPr>
          <w:spacing w:val="-2"/>
          <w:sz w:val="20"/>
        </w:rPr>
        <w:t> </w:t>
      </w:r>
      <w:r>
        <w:rPr>
          <w:sz w:val="20"/>
        </w:rPr>
        <w:t>(</w:t>
        <w:tab/>
        <w:t>)</w:t>
      </w:r>
    </w:p>
    <w:p>
      <w:pPr>
        <w:pStyle w:val="BodyText"/>
        <w:spacing w:before="9"/>
        <w:rPr>
          <w:sz w:val="19"/>
        </w:rPr>
      </w:pPr>
    </w:p>
    <w:p>
      <w:pPr>
        <w:pStyle w:val="ListParagraph"/>
        <w:numPr>
          <w:ilvl w:val="0"/>
          <w:numId w:val="15"/>
        </w:numPr>
        <w:tabs>
          <w:tab w:pos="446" w:val="left" w:leader="none"/>
        </w:tabs>
        <w:spacing w:line="240" w:lineRule="auto" w:before="1" w:after="0"/>
        <w:ind w:left="445" w:right="0" w:hanging="343"/>
        <w:jc w:val="left"/>
        <w:rPr>
          <w:b/>
          <w:sz w:val="20"/>
        </w:rPr>
      </w:pPr>
      <w:r>
        <w:rPr>
          <w:b/>
          <w:sz w:val="20"/>
        </w:rPr>
        <w:t>¿Qué es la</w:t>
      </w:r>
      <w:r>
        <w:rPr>
          <w:b/>
          <w:spacing w:val="-7"/>
          <w:sz w:val="20"/>
        </w:rPr>
        <w:t> </w:t>
      </w:r>
      <w:r>
        <w:rPr>
          <w:b/>
          <w:sz w:val="20"/>
        </w:rPr>
        <w:t>caries?</w:t>
      </w:r>
    </w:p>
    <w:p>
      <w:pPr>
        <w:pStyle w:val="ListParagraph"/>
        <w:numPr>
          <w:ilvl w:val="0"/>
          <w:numId w:val="19"/>
        </w:numPr>
        <w:tabs>
          <w:tab w:pos="335" w:val="left" w:leader="none"/>
          <w:tab w:pos="3344" w:val="left" w:leader="none"/>
        </w:tabs>
        <w:spacing w:line="240" w:lineRule="auto" w:before="0" w:after="0"/>
        <w:ind w:left="334" w:right="0" w:hanging="232"/>
        <w:jc w:val="left"/>
        <w:rPr>
          <w:sz w:val="20"/>
        </w:rPr>
      </w:pPr>
      <w:r>
        <w:rPr>
          <w:sz w:val="20"/>
        </w:rPr>
        <w:t>Es  la picadura de los</w:t>
      </w:r>
      <w:r>
        <w:rPr>
          <w:spacing w:val="-7"/>
          <w:sz w:val="20"/>
        </w:rPr>
        <w:t> </w:t>
      </w:r>
      <w:r>
        <w:rPr>
          <w:sz w:val="20"/>
        </w:rPr>
        <w:t>dientes</w:t>
      </w:r>
      <w:r>
        <w:rPr>
          <w:spacing w:val="53"/>
          <w:sz w:val="20"/>
        </w:rPr>
        <w:t> </w:t>
      </w:r>
      <w:r>
        <w:rPr>
          <w:sz w:val="20"/>
        </w:rPr>
        <w:t>(</w:t>
        <w:tab/>
        <w:t>)</w:t>
      </w:r>
    </w:p>
    <w:p>
      <w:pPr>
        <w:pStyle w:val="ListParagraph"/>
        <w:numPr>
          <w:ilvl w:val="0"/>
          <w:numId w:val="19"/>
        </w:numPr>
        <w:tabs>
          <w:tab w:pos="335" w:val="left" w:leader="none"/>
          <w:tab w:pos="7219" w:val="left" w:leader="none"/>
        </w:tabs>
        <w:spacing w:line="240" w:lineRule="auto" w:before="0" w:after="0"/>
        <w:ind w:left="334" w:right="0" w:hanging="232"/>
        <w:jc w:val="left"/>
        <w:rPr>
          <w:sz w:val="20"/>
        </w:rPr>
      </w:pPr>
      <w:r>
        <w:rPr>
          <w:sz w:val="20"/>
        </w:rPr>
        <w:t>Es una enfermedad de múltiples factores que afecta los tejidos del</w:t>
      </w:r>
      <w:r>
        <w:rPr>
          <w:spacing w:val="-17"/>
          <w:sz w:val="20"/>
        </w:rPr>
        <w:t> </w:t>
      </w:r>
      <w:r>
        <w:rPr>
          <w:sz w:val="20"/>
        </w:rPr>
        <w:t>diente</w:t>
      </w:r>
      <w:r>
        <w:rPr>
          <w:spacing w:val="50"/>
          <w:sz w:val="20"/>
        </w:rPr>
        <w:t> </w:t>
      </w:r>
      <w:r>
        <w:rPr>
          <w:sz w:val="20"/>
        </w:rPr>
        <w:t>(</w:t>
        <w:tab/>
        <w:t>)</w:t>
      </w:r>
    </w:p>
    <w:p>
      <w:pPr>
        <w:pStyle w:val="ListParagraph"/>
        <w:numPr>
          <w:ilvl w:val="0"/>
          <w:numId w:val="19"/>
        </w:numPr>
        <w:tabs>
          <w:tab w:pos="325" w:val="left" w:leader="none"/>
          <w:tab w:pos="2656" w:val="left" w:leader="none"/>
        </w:tabs>
        <w:spacing w:line="240" w:lineRule="auto" w:before="0" w:after="0"/>
        <w:ind w:left="325" w:right="0" w:hanging="223"/>
        <w:jc w:val="left"/>
        <w:rPr>
          <w:sz w:val="20"/>
        </w:rPr>
      </w:pPr>
      <w:r>
        <w:rPr>
          <w:sz w:val="20"/>
        </w:rPr>
        <w:t>Es un dolor en la</w:t>
      </w:r>
      <w:r>
        <w:rPr>
          <w:spacing w:val="-4"/>
          <w:sz w:val="20"/>
        </w:rPr>
        <w:t> </w:t>
      </w:r>
      <w:r>
        <w:rPr>
          <w:sz w:val="20"/>
        </w:rPr>
        <w:t>boca</w:t>
      </w:r>
      <w:r>
        <w:rPr>
          <w:spacing w:val="-3"/>
          <w:sz w:val="20"/>
        </w:rPr>
        <w:t> </w:t>
      </w:r>
      <w:r>
        <w:rPr>
          <w:sz w:val="20"/>
        </w:rPr>
        <w:t>(</w:t>
        <w:tab/>
        <w:t>)</w:t>
      </w:r>
    </w:p>
    <w:p>
      <w:pPr>
        <w:pStyle w:val="ListParagraph"/>
        <w:numPr>
          <w:ilvl w:val="0"/>
          <w:numId w:val="19"/>
        </w:numPr>
        <w:tabs>
          <w:tab w:pos="335" w:val="left" w:leader="none"/>
          <w:tab w:pos="1198" w:val="left" w:leader="none"/>
        </w:tabs>
        <w:spacing w:line="240" w:lineRule="auto" w:before="0" w:after="0"/>
        <w:ind w:left="334" w:right="0" w:hanging="232"/>
        <w:jc w:val="left"/>
        <w:rPr>
          <w:sz w:val="20"/>
        </w:rPr>
      </w:pPr>
      <w:r>
        <w:rPr>
          <w:sz w:val="20"/>
        </w:rPr>
        <w:t>No</w:t>
      </w:r>
      <w:r>
        <w:rPr>
          <w:spacing w:val="-2"/>
          <w:sz w:val="20"/>
        </w:rPr>
        <w:t> </w:t>
      </w:r>
      <w:r>
        <w:rPr>
          <w:sz w:val="20"/>
        </w:rPr>
        <w:t>sé</w:t>
      </w:r>
      <w:r>
        <w:rPr>
          <w:spacing w:val="-2"/>
          <w:sz w:val="20"/>
        </w:rPr>
        <w:t> </w:t>
      </w:r>
      <w:r>
        <w:rPr>
          <w:sz w:val="20"/>
        </w:rPr>
        <w:t>(</w:t>
        <w:tab/>
        <w:t>)</w:t>
      </w:r>
    </w:p>
    <w:p>
      <w:pPr>
        <w:pStyle w:val="BodyText"/>
        <w:spacing w:before="9"/>
        <w:rPr>
          <w:sz w:val="19"/>
        </w:rPr>
      </w:pPr>
    </w:p>
    <w:p>
      <w:pPr>
        <w:pStyle w:val="ListParagraph"/>
        <w:numPr>
          <w:ilvl w:val="0"/>
          <w:numId w:val="15"/>
        </w:numPr>
        <w:tabs>
          <w:tab w:pos="446" w:val="left" w:leader="none"/>
        </w:tabs>
        <w:spacing w:line="240" w:lineRule="auto" w:before="1" w:after="0"/>
        <w:ind w:left="445" w:right="0" w:hanging="343"/>
        <w:jc w:val="left"/>
        <w:rPr>
          <w:b/>
          <w:sz w:val="20"/>
        </w:rPr>
      </w:pPr>
      <w:r>
        <w:rPr>
          <w:b/>
          <w:sz w:val="20"/>
        </w:rPr>
        <w:t>La Caries de biberón</w:t>
      </w:r>
      <w:r>
        <w:rPr>
          <w:b/>
          <w:spacing w:val="-7"/>
          <w:sz w:val="20"/>
        </w:rPr>
        <w:t> </w:t>
      </w:r>
      <w:r>
        <w:rPr>
          <w:b/>
          <w:sz w:val="20"/>
        </w:rPr>
        <w:t>es:</w:t>
      </w:r>
    </w:p>
    <w:p>
      <w:pPr>
        <w:pStyle w:val="ListParagraph"/>
        <w:numPr>
          <w:ilvl w:val="0"/>
          <w:numId w:val="20"/>
        </w:numPr>
        <w:tabs>
          <w:tab w:pos="335" w:val="left" w:leader="none"/>
          <w:tab w:pos="3998" w:val="left" w:leader="none"/>
        </w:tabs>
        <w:spacing w:line="240" w:lineRule="auto" w:before="0" w:after="0"/>
        <w:ind w:left="334" w:right="0" w:hanging="232"/>
        <w:jc w:val="left"/>
        <w:rPr>
          <w:sz w:val="20"/>
        </w:rPr>
      </w:pPr>
      <w:r>
        <w:rPr>
          <w:sz w:val="20"/>
        </w:rPr>
        <w:t>La caries de los dientes</w:t>
      </w:r>
      <w:r>
        <w:rPr>
          <w:spacing w:val="-6"/>
          <w:sz w:val="20"/>
        </w:rPr>
        <w:t> </w:t>
      </w:r>
      <w:r>
        <w:rPr>
          <w:sz w:val="20"/>
        </w:rPr>
        <w:t>permanentes</w:t>
      </w:r>
      <w:r>
        <w:rPr>
          <w:spacing w:val="-2"/>
          <w:sz w:val="20"/>
        </w:rPr>
        <w:t> </w:t>
      </w:r>
      <w:r>
        <w:rPr>
          <w:sz w:val="20"/>
        </w:rPr>
        <w:t>(</w:t>
        <w:tab/>
        <w:t>)</w:t>
      </w:r>
    </w:p>
    <w:p>
      <w:pPr>
        <w:pStyle w:val="ListParagraph"/>
        <w:numPr>
          <w:ilvl w:val="0"/>
          <w:numId w:val="20"/>
        </w:numPr>
        <w:tabs>
          <w:tab w:pos="335" w:val="left" w:leader="none"/>
          <w:tab w:pos="8191" w:val="left" w:leader="none"/>
        </w:tabs>
        <w:spacing w:line="240" w:lineRule="auto" w:before="0" w:after="0"/>
        <w:ind w:left="334" w:right="0" w:hanging="232"/>
        <w:jc w:val="left"/>
        <w:rPr>
          <w:sz w:val="20"/>
        </w:rPr>
      </w:pPr>
      <w:r>
        <w:rPr>
          <w:sz w:val="20"/>
        </w:rPr>
        <w:t>La caries que afecta los dientes de temporales  por falta de aseo y diversos</w:t>
      </w:r>
      <w:r>
        <w:rPr>
          <w:spacing w:val="-16"/>
          <w:sz w:val="20"/>
        </w:rPr>
        <w:t> </w:t>
      </w:r>
      <w:r>
        <w:rPr>
          <w:sz w:val="20"/>
        </w:rPr>
        <w:t>factores</w:t>
      </w:r>
      <w:r>
        <w:rPr>
          <w:spacing w:val="53"/>
          <w:sz w:val="20"/>
        </w:rPr>
        <w:t> </w:t>
      </w:r>
      <w:r>
        <w:rPr>
          <w:sz w:val="20"/>
        </w:rPr>
        <w:t>(</w:t>
        <w:tab/>
        <w:t>)</w:t>
      </w:r>
    </w:p>
    <w:p>
      <w:pPr>
        <w:pStyle w:val="ListParagraph"/>
        <w:numPr>
          <w:ilvl w:val="0"/>
          <w:numId w:val="20"/>
        </w:numPr>
        <w:tabs>
          <w:tab w:pos="325" w:val="left" w:leader="none"/>
          <w:tab w:pos="3643" w:val="left" w:leader="none"/>
        </w:tabs>
        <w:spacing w:line="240" w:lineRule="auto" w:before="1" w:after="0"/>
        <w:ind w:left="325" w:right="0" w:hanging="223"/>
        <w:jc w:val="left"/>
        <w:rPr>
          <w:sz w:val="20"/>
        </w:rPr>
      </w:pPr>
      <w:r>
        <w:rPr>
          <w:sz w:val="20"/>
        </w:rPr>
        <w:t>Cuando el niño se chupa el</w:t>
      </w:r>
      <w:r>
        <w:rPr>
          <w:spacing w:val="-9"/>
          <w:sz w:val="20"/>
        </w:rPr>
        <w:t> </w:t>
      </w:r>
      <w:r>
        <w:rPr>
          <w:sz w:val="20"/>
        </w:rPr>
        <w:t>dedo</w:t>
      </w:r>
      <w:r>
        <w:rPr>
          <w:spacing w:val="51"/>
          <w:sz w:val="20"/>
        </w:rPr>
        <w:t> </w:t>
      </w:r>
      <w:r>
        <w:rPr>
          <w:sz w:val="20"/>
        </w:rPr>
        <w:t>(</w:t>
        <w:tab/>
        <w:t>)</w:t>
      </w:r>
    </w:p>
    <w:p>
      <w:pPr>
        <w:pStyle w:val="ListParagraph"/>
        <w:numPr>
          <w:ilvl w:val="0"/>
          <w:numId w:val="20"/>
        </w:numPr>
        <w:tabs>
          <w:tab w:pos="335" w:val="left" w:leader="none"/>
          <w:tab w:pos="1198" w:val="left" w:leader="none"/>
        </w:tabs>
        <w:spacing w:line="240" w:lineRule="auto" w:before="0" w:after="0"/>
        <w:ind w:left="334" w:right="0" w:hanging="232"/>
        <w:jc w:val="left"/>
        <w:rPr>
          <w:sz w:val="20"/>
        </w:rPr>
      </w:pPr>
      <w:r>
        <w:rPr>
          <w:sz w:val="20"/>
        </w:rPr>
        <w:t>No</w:t>
      </w:r>
      <w:r>
        <w:rPr>
          <w:spacing w:val="-2"/>
          <w:sz w:val="20"/>
        </w:rPr>
        <w:t> </w:t>
      </w:r>
      <w:r>
        <w:rPr>
          <w:sz w:val="20"/>
        </w:rPr>
        <w:t>sé</w:t>
      </w:r>
      <w:r>
        <w:rPr>
          <w:spacing w:val="-2"/>
          <w:sz w:val="20"/>
        </w:rPr>
        <w:t> </w:t>
      </w:r>
      <w:r>
        <w:rPr>
          <w:sz w:val="20"/>
        </w:rPr>
        <w:t>(</w:t>
        <w:tab/>
        <w:t>)</w:t>
      </w:r>
    </w:p>
    <w:p>
      <w:pPr>
        <w:pStyle w:val="BodyText"/>
        <w:spacing w:before="7"/>
        <w:rPr>
          <w:sz w:val="19"/>
        </w:rPr>
      </w:pPr>
    </w:p>
    <w:p>
      <w:pPr>
        <w:pStyle w:val="ListParagraph"/>
        <w:numPr>
          <w:ilvl w:val="0"/>
          <w:numId w:val="15"/>
        </w:numPr>
        <w:tabs>
          <w:tab w:pos="446" w:val="left" w:leader="none"/>
        </w:tabs>
        <w:spacing w:line="240" w:lineRule="auto" w:before="0" w:after="0"/>
        <w:ind w:left="445" w:right="0" w:hanging="343"/>
        <w:jc w:val="left"/>
        <w:rPr>
          <w:b/>
          <w:sz w:val="20"/>
        </w:rPr>
      </w:pPr>
      <w:r>
        <w:rPr>
          <w:b/>
          <w:sz w:val="20"/>
        </w:rPr>
        <w:t>La gingivitis</w:t>
      </w:r>
      <w:r>
        <w:rPr>
          <w:b/>
          <w:spacing w:val="-5"/>
          <w:sz w:val="20"/>
        </w:rPr>
        <w:t> </w:t>
      </w:r>
      <w:r>
        <w:rPr>
          <w:b/>
          <w:sz w:val="20"/>
        </w:rPr>
        <w:t>es:</w:t>
      </w:r>
    </w:p>
    <w:p>
      <w:pPr>
        <w:pStyle w:val="ListParagraph"/>
        <w:numPr>
          <w:ilvl w:val="0"/>
          <w:numId w:val="21"/>
        </w:numPr>
        <w:tabs>
          <w:tab w:pos="335" w:val="left" w:leader="none"/>
          <w:tab w:pos="2277" w:val="left" w:leader="none"/>
        </w:tabs>
        <w:spacing w:line="240" w:lineRule="auto" w:before="3" w:after="0"/>
        <w:ind w:left="334" w:right="0" w:hanging="232"/>
        <w:jc w:val="left"/>
        <w:rPr>
          <w:sz w:val="20"/>
        </w:rPr>
      </w:pPr>
      <w:r>
        <w:rPr>
          <w:sz w:val="20"/>
        </w:rPr>
        <w:t>El dolor del</w:t>
      </w:r>
      <w:r>
        <w:rPr>
          <w:spacing w:val="-4"/>
          <w:sz w:val="20"/>
        </w:rPr>
        <w:t> </w:t>
      </w:r>
      <w:r>
        <w:rPr>
          <w:sz w:val="20"/>
        </w:rPr>
        <w:t>diente (</w:t>
        <w:tab/>
        <w:t>)</w:t>
      </w:r>
    </w:p>
    <w:p>
      <w:pPr>
        <w:pStyle w:val="ListParagraph"/>
        <w:numPr>
          <w:ilvl w:val="0"/>
          <w:numId w:val="21"/>
        </w:numPr>
        <w:tabs>
          <w:tab w:pos="335" w:val="left" w:leader="none"/>
          <w:tab w:pos="3255" w:val="left" w:leader="none"/>
        </w:tabs>
        <w:spacing w:line="240" w:lineRule="auto" w:before="0" w:after="0"/>
        <w:ind w:left="334" w:right="0" w:hanging="232"/>
        <w:jc w:val="left"/>
        <w:rPr>
          <w:sz w:val="20"/>
        </w:rPr>
      </w:pPr>
      <w:r>
        <w:rPr>
          <w:sz w:val="20"/>
        </w:rPr>
        <w:t>La enfermedad de las</w:t>
      </w:r>
      <w:r>
        <w:rPr>
          <w:spacing w:val="-6"/>
          <w:sz w:val="20"/>
        </w:rPr>
        <w:t> </w:t>
      </w:r>
      <w:r>
        <w:rPr>
          <w:sz w:val="20"/>
        </w:rPr>
        <w:t>encías</w:t>
      </w:r>
      <w:r>
        <w:rPr>
          <w:spacing w:val="-1"/>
          <w:sz w:val="20"/>
        </w:rPr>
        <w:t> </w:t>
      </w:r>
      <w:r>
        <w:rPr>
          <w:sz w:val="20"/>
        </w:rPr>
        <w:t>(</w:t>
        <w:tab/>
        <w:t>)</w:t>
      </w:r>
    </w:p>
    <w:p>
      <w:pPr>
        <w:pStyle w:val="ListParagraph"/>
        <w:numPr>
          <w:ilvl w:val="0"/>
          <w:numId w:val="21"/>
        </w:numPr>
        <w:tabs>
          <w:tab w:pos="325" w:val="left" w:leader="none"/>
          <w:tab w:pos="2754" w:val="left" w:leader="none"/>
        </w:tabs>
        <w:spacing w:line="240" w:lineRule="auto" w:before="0" w:after="0"/>
        <w:ind w:left="325" w:right="0" w:hanging="223"/>
        <w:jc w:val="left"/>
        <w:rPr>
          <w:sz w:val="20"/>
        </w:rPr>
      </w:pPr>
      <w:r>
        <w:rPr>
          <w:sz w:val="20"/>
        </w:rPr>
        <w:t>La inflamación del</w:t>
      </w:r>
      <w:r>
        <w:rPr>
          <w:spacing w:val="-6"/>
          <w:sz w:val="20"/>
        </w:rPr>
        <w:t> </w:t>
      </w:r>
      <w:r>
        <w:rPr>
          <w:sz w:val="20"/>
        </w:rPr>
        <w:t>labio</w:t>
      </w:r>
      <w:r>
        <w:rPr>
          <w:spacing w:val="-3"/>
          <w:sz w:val="20"/>
        </w:rPr>
        <w:t> </w:t>
      </w:r>
      <w:r>
        <w:rPr>
          <w:sz w:val="20"/>
        </w:rPr>
        <w:t>(</w:t>
        <w:tab/>
        <w:t>)</w:t>
      </w:r>
    </w:p>
    <w:p>
      <w:pPr>
        <w:pStyle w:val="ListParagraph"/>
        <w:numPr>
          <w:ilvl w:val="0"/>
          <w:numId w:val="21"/>
        </w:numPr>
        <w:tabs>
          <w:tab w:pos="335" w:val="left" w:leader="none"/>
          <w:tab w:pos="1198" w:val="left" w:leader="none"/>
        </w:tabs>
        <w:spacing w:line="240" w:lineRule="auto" w:before="0" w:after="0"/>
        <w:ind w:left="334" w:right="0" w:hanging="232"/>
        <w:jc w:val="left"/>
        <w:rPr>
          <w:sz w:val="20"/>
        </w:rPr>
      </w:pPr>
      <w:r>
        <w:rPr>
          <w:sz w:val="20"/>
        </w:rPr>
        <w:t>No</w:t>
      </w:r>
      <w:r>
        <w:rPr>
          <w:spacing w:val="-2"/>
          <w:sz w:val="20"/>
        </w:rPr>
        <w:t> </w:t>
      </w:r>
      <w:r>
        <w:rPr>
          <w:sz w:val="20"/>
        </w:rPr>
        <w:t>sé</w:t>
      </w:r>
      <w:r>
        <w:rPr>
          <w:spacing w:val="-2"/>
          <w:sz w:val="20"/>
        </w:rPr>
        <w:t> </w:t>
      </w:r>
      <w:r>
        <w:rPr>
          <w:sz w:val="20"/>
        </w:rPr>
        <w:t>(</w:t>
        <w:tab/>
        <w:t>)</w:t>
      </w:r>
    </w:p>
    <w:p>
      <w:pPr>
        <w:pStyle w:val="BodyText"/>
        <w:spacing w:before="7"/>
        <w:rPr>
          <w:sz w:val="19"/>
        </w:rPr>
      </w:pPr>
    </w:p>
    <w:p>
      <w:pPr>
        <w:pStyle w:val="ListParagraph"/>
        <w:numPr>
          <w:ilvl w:val="0"/>
          <w:numId w:val="15"/>
        </w:numPr>
        <w:tabs>
          <w:tab w:pos="446" w:val="left" w:leader="none"/>
        </w:tabs>
        <w:spacing w:line="240" w:lineRule="auto" w:before="0" w:after="0"/>
        <w:ind w:left="445" w:right="0" w:hanging="343"/>
        <w:jc w:val="left"/>
        <w:rPr>
          <w:b/>
          <w:sz w:val="20"/>
        </w:rPr>
      </w:pPr>
      <w:r>
        <w:rPr>
          <w:b/>
          <w:sz w:val="20"/>
        </w:rPr>
        <w:t>La enfermedad Periodontal</w:t>
      </w:r>
      <w:r>
        <w:rPr>
          <w:b/>
          <w:spacing w:val="-9"/>
          <w:sz w:val="20"/>
        </w:rPr>
        <w:t> </w:t>
      </w:r>
      <w:r>
        <w:rPr>
          <w:b/>
          <w:sz w:val="20"/>
        </w:rPr>
        <w:t>es:</w:t>
      </w:r>
    </w:p>
    <w:p>
      <w:pPr>
        <w:pStyle w:val="ListParagraph"/>
        <w:numPr>
          <w:ilvl w:val="0"/>
          <w:numId w:val="22"/>
        </w:numPr>
        <w:tabs>
          <w:tab w:pos="335" w:val="left" w:leader="none"/>
          <w:tab w:pos="2344" w:val="left" w:leader="none"/>
        </w:tabs>
        <w:spacing w:line="240" w:lineRule="auto" w:before="3" w:after="0"/>
        <w:ind w:left="334" w:right="0" w:hanging="232"/>
        <w:jc w:val="left"/>
        <w:rPr>
          <w:sz w:val="20"/>
        </w:rPr>
      </w:pPr>
      <w:r>
        <w:rPr>
          <w:sz w:val="20"/>
        </w:rPr>
        <w:t>Heridas en la</w:t>
      </w:r>
      <w:r>
        <w:rPr>
          <w:spacing w:val="-2"/>
          <w:sz w:val="20"/>
        </w:rPr>
        <w:t> </w:t>
      </w:r>
      <w:r>
        <w:rPr>
          <w:sz w:val="20"/>
        </w:rPr>
        <w:t>boca</w:t>
      </w:r>
      <w:r>
        <w:rPr>
          <w:spacing w:val="-3"/>
          <w:sz w:val="20"/>
        </w:rPr>
        <w:t> </w:t>
      </w:r>
      <w:r>
        <w:rPr>
          <w:sz w:val="20"/>
        </w:rPr>
        <w:t>(</w:t>
        <w:tab/>
        <w:t>)</w:t>
      </w:r>
    </w:p>
    <w:p>
      <w:pPr>
        <w:pStyle w:val="ListParagraph"/>
        <w:numPr>
          <w:ilvl w:val="0"/>
          <w:numId w:val="22"/>
        </w:numPr>
        <w:tabs>
          <w:tab w:pos="335" w:val="left" w:leader="none"/>
          <w:tab w:pos="4979" w:val="left" w:leader="none"/>
        </w:tabs>
        <w:spacing w:line="240" w:lineRule="auto" w:before="0" w:after="0"/>
        <w:ind w:left="334" w:right="0" w:hanging="232"/>
        <w:jc w:val="left"/>
        <w:rPr>
          <w:sz w:val="20"/>
        </w:rPr>
      </w:pPr>
      <w:r>
        <w:rPr>
          <w:sz w:val="20"/>
        </w:rPr>
        <w:t>La que afecta a los  tejidos de soporte del</w:t>
      </w:r>
      <w:r>
        <w:rPr>
          <w:spacing w:val="-9"/>
          <w:sz w:val="20"/>
        </w:rPr>
        <w:t> </w:t>
      </w:r>
      <w:r>
        <w:rPr>
          <w:sz w:val="20"/>
        </w:rPr>
        <w:t>diente</w:t>
      </w:r>
      <w:r>
        <w:rPr>
          <w:spacing w:val="-2"/>
          <w:sz w:val="20"/>
        </w:rPr>
        <w:t> </w:t>
      </w:r>
      <w:r>
        <w:rPr>
          <w:sz w:val="20"/>
        </w:rPr>
        <w:t>(</w:t>
        <w:tab/>
        <w:t>)</w:t>
      </w:r>
    </w:p>
    <w:p>
      <w:pPr>
        <w:pStyle w:val="ListParagraph"/>
        <w:numPr>
          <w:ilvl w:val="0"/>
          <w:numId w:val="22"/>
        </w:numPr>
        <w:tabs>
          <w:tab w:pos="325" w:val="left" w:leader="none"/>
          <w:tab w:pos="3420" w:val="left" w:leader="none"/>
        </w:tabs>
        <w:spacing w:line="240" w:lineRule="auto" w:before="0" w:after="0"/>
        <w:ind w:left="325" w:right="0" w:hanging="223"/>
        <w:jc w:val="left"/>
        <w:rPr>
          <w:sz w:val="20"/>
        </w:rPr>
      </w:pPr>
      <w:r>
        <w:rPr>
          <w:sz w:val="20"/>
        </w:rPr>
        <w:t>La pigmentación de los</w:t>
      </w:r>
      <w:r>
        <w:rPr>
          <w:spacing w:val="-5"/>
          <w:sz w:val="20"/>
        </w:rPr>
        <w:t> </w:t>
      </w:r>
      <w:r>
        <w:rPr>
          <w:sz w:val="20"/>
        </w:rPr>
        <w:t>dientes</w:t>
      </w:r>
      <w:r>
        <w:rPr>
          <w:spacing w:val="-2"/>
          <w:sz w:val="20"/>
        </w:rPr>
        <w:t> </w:t>
      </w:r>
      <w:r>
        <w:rPr>
          <w:sz w:val="20"/>
        </w:rPr>
        <w:t>(</w:t>
        <w:tab/>
        <w:t>)</w:t>
      </w:r>
    </w:p>
    <w:p>
      <w:pPr>
        <w:pStyle w:val="ListParagraph"/>
        <w:numPr>
          <w:ilvl w:val="0"/>
          <w:numId w:val="22"/>
        </w:numPr>
        <w:tabs>
          <w:tab w:pos="335" w:val="left" w:leader="none"/>
          <w:tab w:pos="1198" w:val="left" w:leader="none"/>
        </w:tabs>
        <w:spacing w:line="240" w:lineRule="auto" w:before="0" w:after="0"/>
        <w:ind w:left="334" w:right="0" w:hanging="232"/>
        <w:jc w:val="left"/>
        <w:rPr>
          <w:sz w:val="20"/>
        </w:rPr>
      </w:pPr>
      <w:r>
        <w:rPr>
          <w:sz w:val="20"/>
        </w:rPr>
        <w:t>No</w:t>
      </w:r>
      <w:r>
        <w:rPr>
          <w:spacing w:val="-2"/>
          <w:sz w:val="20"/>
        </w:rPr>
        <w:t> </w:t>
      </w:r>
      <w:r>
        <w:rPr>
          <w:sz w:val="20"/>
        </w:rPr>
        <w:t>sé</w:t>
      </w:r>
      <w:r>
        <w:rPr>
          <w:spacing w:val="-2"/>
          <w:sz w:val="20"/>
        </w:rPr>
        <w:t> </w:t>
      </w:r>
      <w:r>
        <w:rPr>
          <w:sz w:val="20"/>
        </w:rPr>
        <w:t>(</w:t>
        <w:tab/>
        <w:t>)</w:t>
      </w:r>
    </w:p>
    <w:p>
      <w:pPr>
        <w:pStyle w:val="BodyText"/>
        <w:spacing w:before="8"/>
        <w:rPr>
          <w:sz w:val="19"/>
        </w:rPr>
      </w:pPr>
    </w:p>
    <w:p>
      <w:pPr>
        <w:pStyle w:val="ListParagraph"/>
        <w:numPr>
          <w:ilvl w:val="0"/>
          <w:numId w:val="15"/>
        </w:numPr>
        <w:tabs>
          <w:tab w:pos="446" w:val="left" w:leader="none"/>
        </w:tabs>
        <w:spacing w:line="240" w:lineRule="auto" w:before="0" w:after="0"/>
        <w:ind w:left="445" w:right="0" w:hanging="343"/>
        <w:jc w:val="left"/>
        <w:rPr>
          <w:b/>
          <w:sz w:val="20"/>
        </w:rPr>
      </w:pPr>
      <w:r>
        <w:rPr>
          <w:b/>
          <w:sz w:val="20"/>
        </w:rPr>
        <w:t>¿Sabe cuándo empiezan a formarse los dientes de los</w:t>
      </w:r>
      <w:r>
        <w:rPr>
          <w:b/>
          <w:spacing w:val="-19"/>
          <w:sz w:val="20"/>
        </w:rPr>
        <w:t> </w:t>
      </w:r>
      <w:r>
        <w:rPr>
          <w:b/>
          <w:sz w:val="20"/>
        </w:rPr>
        <w:t>niños?</w:t>
      </w:r>
    </w:p>
    <w:p>
      <w:pPr>
        <w:pStyle w:val="ListParagraph"/>
        <w:numPr>
          <w:ilvl w:val="0"/>
          <w:numId w:val="23"/>
        </w:numPr>
        <w:tabs>
          <w:tab w:pos="335" w:val="left" w:leader="none"/>
          <w:tab w:pos="3431" w:val="left" w:leader="none"/>
        </w:tabs>
        <w:spacing w:line="240" w:lineRule="auto" w:before="3" w:after="0"/>
        <w:ind w:left="334" w:right="0" w:hanging="232"/>
        <w:jc w:val="left"/>
        <w:rPr>
          <w:sz w:val="20"/>
        </w:rPr>
      </w:pPr>
      <w:r>
        <w:rPr>
          <w:sz w:val="20"/>
        </w:rPr>
        <w:t>A las 6 semanas de</w:t>
      </w:r>
      <w:r>
        <w:rPr>
          <w:spacing w:val="-5"/>
          <w:sz w:val="20"/>
        </w:rPr>
        <w:t> </w:t>
      </w:r>
      <w:r>
        <w:rPr>
          <w:sz w:val="20"/>
        </w:rPr>
        <w:t>embarazo</w:t>
      </w:r>
      <w:r>
        <w:rPr>
          <w:spacing w:val="-1"/>
          <w:sz w:val="20"/>
        </w:rPr>
        <w:t> </w:t>
      </w:r>
      <w:r>
        <w:rPr>
          <w:sz w:val="20"/>
        </w:rPr>
        <w:t>(</w:t>
        <w:tab/>
        <w:t>)</w:t>
      </w:r>
    </w:p>
    <w:p>
      <w:pPr>
        <w:pStyle w:val="ListParagraph"/>
        <w:numPr>
          <w:ilvl w:val="0"/>
          <w:numId w:val="23"/>
        </w:numPr>
        <w:tabs>
          <w:tab w:pos="335" w:val="left" w:leader="none"/>
          <w:tab w:pos="2910" w:val="left" w:leader="none"/>
        </w:tabs>
        <w:spacing w:line="240" w:lineRule="auto" w:before="0" w:after="0"/>
        <w:ind w:left="334" w:right="0" w:hanging="232"/>
        <w:jc w:val="left"/>
        <w:rPr>
          <w:sz w:val="20"/>
        </w:rPr>
      </w:pPr>
      <w:r>
        <w:rPr>
          <w:sz w:val="20"/>
        </w:rPr>
        <w:t>A los 6 meses de</w:t>
      </w:r>
      <w:r>
        <w:rPr>
          <w:spacing w:val="-4"/>
          <w:sz w:val="20"/>
        </w:rPr>
        <w:t> </w:t>
      </w:r>
      <w:r>
        <w:rPr>
          <w:sz w:val="20"/>
        </w:rPr>
        <w:t>nacido (</w:t>
        <w:tab/>
        <w:t>)</w:t>
      </w:r>
    </w:p>
    <w:p>
      <w:pPr>
        <w:pStyle w:val="ListParagraph"/>
        <w:numPr>
          <w:ilvl w:val="0"/>
          <w:numId w:val="23"/>
        </w:numPr>
        <w:tabs>
          <w:tab w:pos="325" w:val="left" w:leader="none"/>
          <w:tab w:pos="2523" w:val="left" w:leader="none"/>
        </w:tabs>
        <w:spacing w:line="240" w:lineRule="auto" w:before="0" w:after="0"/>
        <w:ind w:left="325" w:right="0" w:hanging="223"/>
        <w:jc w:val="left"/>
        <w:rPr>
          <w:sz w:val="20"/>
        </w:rPr>
      </w:pPr>
      <w:r>
        <w:rPr>
          <w:sz w:val="20"/>
        </w:rPr>
        <w:t>A los 6 años de</w:t>
      </w:r>
      <w:r>
        <w:rPr>
          <w:spacing w:val="-6"/>
          <w:sz w:val="20"/>
        </w:rPr>
        <w:t> </w:t>
      </w:r>
      <w:r>
        <w:rPr>
          <w:sz w:val="20"/>
        </w:rPr>
        <w:t>vida</w:t>
      </w:r>
      <w:r>
        <w:rPr>
          <w:spacing w:val="-3"/>
          <w:sz w:val="20"/>
        </w:rPr>
        <w:t> </w:t>
      </w:r>
      <w:r>
        <w:rPr>
          <w:sz w:val="20"/>
        </w:rPr>
        <w:t>(</w:t>
        <w:tab/>
        <w:t>)</w:t>
      </w:r>
    </w:p>
    <w:p>
      <w:pPr>
        <w:pStyle w:val="ListParagraph"/>
        <w:numPr>
          <w:ilvl w:val="0"/>
          <w:numId w:val="23"/>
        </w:numPr>
        <w:tabs>
          <w:tab w:pos="335" w:val="left" w:leader="none"/>
          <w:tab w:pos="1198" w:val="left" w:leader="none"/>
        </w:tabs>
        <w:spacing w:line="240" w:lineRule="auto" w:before="0" w:after="0"/>
        <w:ind w:left="334" w:right="0" w:hanging="232"/>
        <w:jc w:val="left"/>
        <w:rPr>
          <w:sz w:val="20"/>
        </w:rPr>
      </w:pPr>
      <w:r>
        <w:rPr>
          <w:sz w:val="20"/>
        </w:rPr>
        <w:t>No</w:t>
      </w:r>
      <w:r>
        <w:rPr>
          <w:spacing w:val="-2"/>
          <w:sz w:val="20"/>
        </w:rPr>
        <w:t> </w:t>
      </w:r>
      <w:r>
        <w:rPr>
          <w:sz w:val="20"/>
        </w:rPr>
        <w:t>sé</w:t>
      </w:r>
      <w:r>
        <w:rPr>
          <w:spacing w:val="-2"/>
          <w:sz w:val="20"/>
        </w:rPr>
        <w:t> </w:t>
      </w:r>
      <w:r>
        <w:rPr>
          <w:sz w:val="20"/>
        </w:rPr>
        <w:t>(</w:t>
        <w:tab/>
        <w:t>)</w:t>
      </w:r>
    </w:p>
    <w:p>
      <w:pPr>
        <w:pStyle w:val="BodyText"/>
        <w:spacing w:before="7"/>
        <w:rPr>
          <w:sz w:val="19"/>
        </w:rPr>
      </w:pPr>
    </w:p>
    <w:p>
      <w:pPr>
        <w:pStyle w:val="ListParagraph"/>
        <w:numPr>
          <w:ilvl w:val="0"/>
          <w:numId w:val="15"/>
        </w:numPr>
        <w:tabs>
          <w:tab w:pos="446" w:val="left" w:leader="none"/>
        </w:tabs>
        <w:spacing w:line="240" w:lineRule="auto" w:before="0" w:after="0"/>
        <w:ind w:left="445" w:right="0" w:hanging="343"/>
        <w:jc w:val="left"/>
        <w:rPr>
          <w:b/>
          <w:sz w:val="20"/>
        </w:rPr>
      </w:pPr>
      <w:r>
        <w:rPr>
          <w:b/>
          <w:sz w:val="20"/>
        </w:rPr>
        <w:t>¿Sabe cuántos dientes temporales tiene un</w:t>
      </w:r>
      <w:r>
        <w:rPr>
          <w:b/>
          <w:spacing w:val="-13"/>
          <w:sz w:val="20"/>
        </w:rPr>
        <w:t> </w:t>
      </w:r>
      <w:r>
        <w:rPr>
          <w:b/>
          <w:sz w:val="20"/>
        </w:rPr>
        <w:t>niño?</w:t>
      </w:r>
    </w:p>
    <w:p>
      <w:pPr>
        <w:tabs>
          <w:tab w:pos="899" w:val="left" w:leader="none"/>
        </w:tabs>
        <w:spacing w:before="3"/>
        <w:ind w:left="102" w:right="1840" w:firstLine="0"/>
        <w:jc w:val="left"/>
        <w:rPr>
          <w:sz w:val="20"/>
        </w:rPr>
      </w:pPr>
      <w:r>
        <w:rPr>
          <w:sz w:val="20"/>
        </w:rPr>
        <w:t>a)</w:t>
      </w:r>
      <w:r>
        <w:rPr>
          <w:spacing w:val="-2"/>
          <w:sz w:val="20"/>
        </w:rPr>
        <w:t> </w:t>
      </w:r>
      <w:r>
        <w:rPr>
          <w:sz w:val="20"/>
        </w:rPr>
        <w:t>10</w:t>
      </w:r>
      <w:r>
        <w:rPr>
          <w:spacing w:val="-2"/>
          <w:sz w:val="20"/>
        </w:rPr>
        <w:t> </w:t>
      </w:r>
      <w:r>
        <w:rPr>
          <w:sz w:val="20"/>
        </w:rPr>
        <w:t>(</w:t>
        <w:tab/>
        <w:t>)</w:t>
      </w:r>
    </w:p>
    <w:p>
      <w:pPr>
        <w:tabs>
          <w:tab w:pos="899" w:val="left" w:leader="none"/>
        </w:tabs>
        <w:spacing w:before="0"/>
        <w:ind w:left="102" w:right="1840" w:firstLine="0"/>
        <w:jc w:val="left"/>
        <w:rPr>
          <w:sz w:val="20"/>
        </w:rPr>
      </w:pPr>
      <w:r>
        <w:rPr>
          <w:sz w:val="20"/>
        </w:rPr>
        <w:t>b)</w:t>
      </w:r>
      <w:r>
        <w:rPr>
          <w:spacing w:val="-2"/>
          <w:sz w:val="20"/>
        </w:rPr>
        <w:t> </w:t>
      </w:r>
      <w:r>
        <w:rPr>
          <w:sz w:val="20"/>
        </w:rPr>
        <w:t>20</w:t>
      </w:r>
      <w:r>
        <w:rPr>
          <w:spacing w:val="-2"/>
          <w:sz w:val="20"/>
        </w:rPr>
        <w:t> </w:t>
      </w:r>
      <w:r>
        <w:rPr>
          <w:sz w:val="20"/>
        </w:rPr>
        <w:t>(</w:t>
        <w:tab/>
        <w:t>)</w:t>
      </w:r>
    </w:p>
    <w:p>
      <w:pPr>
        <w:tabs>
          <w:tab w:pos="888" w:val="left" w:leader="none"/>
        </w:tabs>
        <w:spacing w:before="0"/>
        <w:ind w:left="102" w:right="1840" w:firstLine="0"/>
        <w:jc w:val="left"/>
        <w:rPr>
          <w:sz w:val="20"/>
        </w:rPr>
      </w:pPr>
      <w:r>
        <w:rPr>
          <w:sz w:val="20"/>
        </w:rPr>
        <w:t>c)</w:t>
      </w:r>
      <w:r>
        <w:rPr>
          <w:spacing w:val="-1"/>
          <w:sz w:val="20"/>
        </w:rPr>
        <w:t> </w:t>
      </w:r>
      <w:r>
        <w:rPr>
          <w:sz w:val="20"/>
        </w:rPr>
        <w:t>32</w:t>
      </w:r>
      <w:r>
        <w:rPr>
          <w:spacing w:val="-2"/>
          <w:sz w:val="20"/>
        </w:rPr>
        <w:t> </w:t>
      </w:r>
      <w:r>
        <w:rPr>
          <w:sz w:val="20"/>
        </w:rPr>
        <w:t>(</w:t>
        <w:tab/>
        <w:t>)</w:t>
      </w:r>
    </w:p>
    <w:p>
      <w:pPr>
        <w:spacing w:after="0"/>
        <w:jc w:val="left"/>
        <w:rPr>
          <w:sz w:val="20"/>
        </w:rPr>
        <w:sectPr>
          <w:footerReference w:type="default" r:id="rId24"/>
          <w:pgSz w:w="12240" w:h="15840"/>
          <w:pgMar w:footer="1003" w:header="0" w:top="1360" w:bottom="1200" w:left="1600" w:right="1220"/>
        </w:sectPr>
      </w:pPr>
    </w:p>
    <w:p>
      <w:pPr>
        <w:tabs>
          <w:tab w:pos="1198" w:val="left" w:leader="none"/>
        </w:tabs>
        <w:spacing w:before="53"/>
        <w:ind w:left="102" w:right="1840" w:firstLine="0"/>
        <w:jc w:val="left"/>
        <w:rPr>
          <w:sz w:val="20"/>
        </w:rPr>
      </w:pPr>
      <w:r>
        <w:rPr>
          <w:sz w:val="20"/>
        </w:rPr>
        <w:t>d) No</w:t>
      </w:r>
      <w:r>
        <w:rPr>
          <w:spacing w:val="-3"/>
          <w:sz w:val="20"/>
        </w:rPr>
        <w:t> </w:t>
      </w:r>
      <w:r>
        <w:rPr>
          <w:sz w:val="20"/>
        </w:rPr>
        <w:t>sé</w:t>
      </w:r>
      <w:r>
        <w:rPr>
          <w:spacing w:val="-2"/>
          <w:sz w:val="20"/>
        </w:rPr>
        <w:t> </w:t>
      </w:r>
      <w:r>
        <w:rPr>
          <w:sz w:val="20"/>
        </w:rPr>
        <w:t>(</w:t>
        <w:tab/>
        <w:t>)</w:t>
      </w:r>
    </w:p>
    <w:p>
      <w:pPr>
        <w:pStyle w:val="BodyText"/>
        <w:spacing w:before="10"/>
        <w:rPr>
          <w:sz w:val="19"/>
        </w:rPr>
      </w:pPr>
    </w:p>
    <w:p>
      <w:pPr>
        <w:pStyle w:val="ListParagraph"/>
        <w:numPr>
          <w:ilvl w:val="0"/>
          <w:numId w:val="15"/>
        </w:numPr>
        <w:tabs>
          <w:tab w:pos="446" w:val="left" w:leader="none"/>
        </w:tabs>
        <w:spacing w:line="240" w:lineRule="auto" w:before="0" w:after="0"/>
        <w:ind w:left="445" w:right="0" w:hanging="343"/>
        <w:jc w:val="left"/>
        <w:rPr>
          <w:b/>
          <w:sz w:val="20"/>
        </w:rPr>
      </w:pPr>
      <w:r>
        <w:rPr>
          <w:b/>
          <w:sz w:val="20"/>
        </w:rPr>
        <w:t>La Dentición infantil se</w:t>
      </w:r>
      <w:r>
        <w:rPr>
          <w:b/>
          <w:spacing w:val="-9"/>
          <w:sz w:val="20"/>
        </w:rPr>
        <w:t> </w:t>
      </w:r>
      <w:r>
        <w:rPr>
          <w:b/>
          <w:sz w:val="20"/>
        </w:rPr>
        <w:t>denomina:</w:t>
      </w:r>
    </w:p>
    <w:p>
      <w:pPr>
        <w:pStyle w:val="ListParagraph"/>
        <w:numPr>
          <w:ilvl w:val="0"/>
          <w:numId w:val="24"/>
        </w:numPr>
        <w:tabs>
          <w:tab w:pos="335" w:val="left" w:leader="none"/>
          <w:tab w:pos="2501" w:val="left" w:leader="none"/>
        </w:tabs>
        <w:spacing w:line="240" w:lineRule="auto" w:before="3" w:after="0"/>
        <w:ind w:left="334" w:right="0" w:hanging="232"/>
        <w:jc w:val="left"/>
        <w:rPr>
          <w:sz w:val="20"/>
        </w:rPr>
      </w:pPr>
      <w:r>
        <w:rPr>
          <w:sz w:val="20"/>
        </w:rPr>
        <w:t>Temporal o de</w:t>
      </w:r>
      <w:r>
        <w:rPr>
          <w:spacing w:val="-6"/>
          <w:sz w:val="20"/>
        </w:rPr>
        <w:t> </w:t>
      </w:r>
      <w:r>
        <w:rPr>
          <w:sz w:val="20"/>
        </w:rPr>
        <w:t>leche</w:t>
      </w:r>
      <w:r>
        <w:rPr>
          <w:spacing w:val="-2"/>
          <w:sz w:val="20"/>
        </w:rPr>
        <w:t> </w:t>
      </w:r>
      <w:r>
        <w:rPr>
          <w:sz w:val="20"/>
        </w:rPr>
        <w:t>(</w:t>
        <w:tab/>
        <w:t>)</w:t>
      </w:r>
    </w:p>
    <w:p>
      <w:pPr>
        <w:pStyle w:val="ListParagraph"/>
        <w:numPr>
          <w:ilvl w:val="0"/>
          <w:numId w:val="24"/>
        </w:numPr>
        <w:tabs>
          <w:tab w:pos="335" w:val="left" w:leader="none"/>
          <w:tab w:pos="1766" w:val="left" w:leader="none"/>
        </w:tabs>
        <w:spacing w:line="240" w:lineRule="auto" w:before="0" w:after="0"/>
        <w:ind w:left="334" w:right="0" w:hanging="232"/>
        <w:jc w:val="left"/>
        <w:rPr>
          <w:sz w:val="20"/>
        </w:rPr>
      </w:pPr>
      <w:r>
        <w:rPr>
          <w:sz w:val="20"/>
        </w:rPr>
        <w:t>Permanente</w:t>
      </w:r>
      <w:r>
        <w:rPr>
          <w:spacing w:val="-3"/>
          <w:sz w:val="20"/>
        </w:rPr>
        <w:t> </w:t>
      </w:r>
      <w:r>
        <w:rPr>
          <w:sz w:val="20"/>
        </w:rPr>
        <w:t>(</w:t>
        <w:tab/>
        <w:t>)</w:t>
      </w:r>
    </w:p>
    <w:p>
      <w:pPr>
        <w:pStyle w:val="ListParagraph"/>
        <w:numPr>
          <w:ilvl w:val="0"/>
          <w:numId w:val="24"/>
        </w:numPr>
        <w:tabs>
          <w:tab w:pos="325" w:val="left" w:leader="none"/>
        </w:tabs>
        <w:spacing w:line="240" w:lineRule="auto" w:before="0" w:after="0"/>
        <w:ind w:left="325" w:right="0" w:hanging="223"/>
        <w:jc w:val="left"/>
        <w:rPr>
          <w:sz w:val="20"/>
        </w:rPr>
      </w:pPr>
      <w:r>
        <w:rPr>
          <w:sz w:val="20"/>
        </w:rPr>
        <w:t>No</w:t>
      </w:r>
      <w:r>
        <w:rPr>
          <w:spacing w:val="-3"/>
          <w:sz w:val="20"/>
        </w:rPr>
        <w:t> </w:t>
      </w:r>
      <w:r>
        <w:rPr>
          <w:sz w:val="20"/>
        </w:rPr>
        <w:t>sé</w:t>
      </w:r>
    </w:p>
    <w:p>
      <w:pPr>
        <w:pStyle w:val="BodyText"/>
        <w:spacing w:before="7"/>
        <w:rPr>
          <w:sz w:val="19"/>
        </w:rPr>
      </w:pPr>
    </w:p>
    <w:p>
      <w:pPr>
        <w:pStyle w:val="ListParagraph"/>
        <w:numPr>
          <w:ilvl w:val="0"/>
          <w:numId w:val="15"/>
        </w:numPr>
        <w:tabs>
          <w:tab w:pos="446" w:val="left" w:leader="none"/>
        </w:tabs>
        <w:spacing w:line="240" w:lineRule="auto" w:before="0" w:after="0"/>
        <w:ind w:left="445" w:right="0" w:hanging="343"/>
        <w:jc w:val="left"/>
        <w:rPr>
          <w:b/>
          <w:sz w:val="20"/>
        </w:rPr>
      </w:pPr>
      <w:r>
        <w:rPr>
          <w:b/>
          <w:spacing w:val="2"/>
          <w:sz w:val="20"/>
        </w:rPr>
        <w:t>¿A </w:t>
      </w:r>
      <w:r>
        <w:rPr>
          <w:b/>
          <w:sz w:val="20"/>
        </w:rPr>
        <w:t>qué edad empiezan a erupcionar los dientes</w:t>
      </w:r>
      <w:r>
        <w:rPr>
          <w:b/>
          <w:spacing w:val="-24"/>
          <w:sz w:val="20"/>
        </w:rPr>
        <w:t> </w:t>
      </w:r>
      <w:r>
        <w:rPr>
          <w:b/>
          <w:sz w:val="20"/>
        </w:rPr>
        <w:t>permanentes?</w:t>
      </w:r>
    </w:p>
    <w:p>
      <w:pPr>
        <w:pStyle w:val="ListParagraph"/>
        <w:numPr>
          <w:ilvl w:val="0"/>
          <w:numId w:val="25"/>
        </w:numPr>
        <w:tabs>
          <w:tab w:pos="335" w:val="left" w:leader="none"/>
          <w:tab w:pos="1277" w:val="left" w:leader="none"/>
        </w:tabs>
        <w:spacing w:line="240" w:lineRule="auto" w:before="3" w:after="0"/>
        <w:ind w:left="334" w:right="0" w:hanging="232"/>
        <w:jc w:val="left"/>
        <w:rPr>
          <w:sz w:val="20"/>
        </w:rPr>
      </w:pPr>
      <w:r>
        <w:rPr>
          <w:sz w:val="20"/>
        </w:rPr>
        <w:t>6</w:t>
      </w:r>
      <w:r>
        <w:rPr>
          <w:spacing w:val="-2"/>
          <w:sz w:val="20"/>
        </w:rPr>
        <w:t> </w:t>
      </w:r>
      <w:r>
        <w:rPr>
          <w:sz w:val="20"/>
        </w:rPr>
        <w:t>años</w:t>
      </w:r>
      <w:r>
        <w:rPr>
          <w:spacing w:val="-1"/>
          <w:sz w:val="20"/>
        </w:rPr>
        <w:t> </w:t>
      </w:r>
      <w:r>
        <w:rPr>
          <w:sz w:val="20"/>
        </w:rPr>
        <w:t>(</w:t>
        <w:tab/>
        <w:t>)</w:t>
      </w:r>
    </w:p>
    <w:p>
      <w:pPr>
        <w:pStyle w:val="ListParagraph"/>
        <w:numPr>
          <w:ilvl w:val="0"/>
          <w:numId w:val="25"/>
        </w:numPr>
        <w:tabs>
          <w:tab w:pos="335" w:val="left" w:leader="none"/>
          <w:tab w:pos="1387" w:val="left" w:leader="none"/>
        </w:tabs>
        <w:spacing w:line="240" w:lineRule="auto" w:before="0" w:after="0"/>
        <w:ind w:left="334" w:right="0" w:hanging="232"/>
        <w:jc w:val="left"/>
        <w:rPr>
          <w:sz w:val="20"/>
        </w:rPr>
      </w:pPr>
      <w:r>
        <w:rPr>
          <w:sz w:val="20"/>
        </w:rPr>
        <w:t>18</w:t>
      </w:r>
      <w:r>
        <w:rPr>
          <w:spacing w:val="-2"/>
          <w:sz w:val="20"/>
        </w:rPr>
        <w:t> </w:t>
      </w:r>
      <w:r>
        <w:rPr>
          <w:sz w:val="20"/>
        </w:rPr>
        <w:t>años</w:t>
      </w:r>
      <w:r>
        <w:rPr>
          <w:spacing w:val="-1"/>
          <w:sz w:val="20"/>
        </w:rPr>
        <w:t> </w:t>
      </w:r>
      <w:r>
        <w:rPr>
          <w:sz w:val="20"/>
        </w:rPr>
        <w:t>(</w:t>
        <w:tab/>
        <w:t>)</w:t>
      </w:r>
    </w:p>
    <w:p>
      <w:pPr>
        <w:pStyle w:val="ListParagraph"/>
        <w:numPr>
          <w:ilvl w:val="0"/>
          <w:numId w:val="25"/>
        </w:numPr>
        <w:tabs>
          <w:tab w:pos="325" w:val="left" w:leader="none"/>
          <w:tab w:pos="2011" w:val="left" w:leader="none"/>
        </w:tabs>
        <w:spacing w:line="229" w:lineRule="exact" w:before="0" w:after="0"/>
        <w:ind w:left="325" w:right="0" w:hanging="223"/>
        <w:jc w:val="left"/>
        <w:rPr>
          <w:sz w:val="20"/>
        </w:rPr>
      </w:pPr>
      <w:r>
        <w:rPr>
          <w:sz w:val="20"/>
        </w:rPr>
        <w:t>Al año de</w:t>
      </w:r>
      <w:r>
        <w:rPr>
          <w:spacing w:val="-7"/>
          <w:sz w:val="20"/>
        </w:rPr>
        <w:t> </w:t>
      </w:r>
      <w:r>
        <w:rPr>
          <w:sz w:val="20"/>
        </w:rPr>
        <w:t>edad</w:t>
      </w:r>
      <w:r>
        <w:rPr>
          <w:spacing w:val="-2"/>
          <w:sz w:val="20"/>
        </w:rPr>
        <w:t> </w:t>
      </w:r>
      <w:r>
        <w:rPr>
          <w:sz w:val="20"/>
        </w:rPr>
        <w:t>(</w:t>
        <w:tab/>
        <w:t>)</w:t>
      </w:r>
    </w:p>
    <w:p>
      <w:pPr>
        <w:pStyle w:val="ListParagraph"/>
        <w:numPr>
          <w:ilvl w:val="0"/>
          <w:numId w:val="25"/>
        </w:numPr>
        <w:tabs>
          <w:tab w:pos="335" w:val="left" w:leader="none"/>
          <w:tab w:pos="1198" w:val="left" w:leader="none"/>
        </w:tabs>
        <w:spacing w:line="229" w:lineRule="exact" w:before="0" w:after="0"/>
        <w:ind w:left="334" w:right="0" w:hanging="232"/>
        <w:jc w:val="left"/>
        <w:rPr>
          <w:sz w:val="20"/>
        </w:rPr>
      </w:pPr>
      <w:r>
        <w:rPr>
          <w:sz w:val="20"/>
        </w:rPr>
        <w:t>No</w:t>
      </w:r>
      <w:r>
        <w:rPr>
          <w:spacing w:val="-2"/>
          <w:sz w:val="20"/>
        </w:rPr>
        <w:t> </w:t>
      </w:r>
      <w:r>
        <w:rPr>
          <w:sz w:val="20"/>
        </w:rPr>
        <w:t>sé</w:t>
      </w:r>
      <w:r>
        <w:rPr>
          <w:spacing w:val="-2"/>
          <w:sz w:val="20"/>
        </w:rPr>
        <w:t> </w:t>
      </w:r>
      <w:r>
        <w:rPr>
          <w:sz w:val="20"/>
        </w:rPr>
        <w:t>(</w:t>
        <w:tab/>
        <w:t>)</w:t>
      </w:r>
    </w:p>
    <w:p>
      <w:pPr>
        <w:pStyle w:val="BodyText"/>
        <w:spacing w:before="9"/>
        <w:rPr>
          <w:sz w:val="19"/>
        </w:rPr>
      </w:pPr>
    </w:p>
    <w:p>
      <w:pPr>
        <w:pStyle w:val="ListParagraph"/>
        <w:numPr>
          <w:ilvl w:val="0"/>
          <w:numId w:val="15"/>
        </w:numPr>
        <w:tabs>
          <w:tab w:pos="446" w:val="left" w:leader="none"/>
        </w:tabs>
        <w:spacing w:line="240" w:lineRule="auto" w:before="1" w:after="0"/>
        <w:ind w:left="445" w:right="0" w:hanging="343"/>
        <w:jc w:val="left"/>
        <w:rPr>
          <w:b/>
          <w:sz w:val="20"/>
        </w:rPr>
      </w:pPr>
      <w:r>
        <w:rPr>
          <w:b/>
          <w:sz w:val="20"/>
        </w:rPr>
        <w:t>¿Sabe cuándo erupcionan los dientes temporales de un</w:t>
      </w:r>
      <w:r>
        <w:rPr>
          <w:b/>
          <w:spacing w:val="-18"/>
          <w:sz w:val="20"/>
        </w:rPr>
        <w:t> </w:t>
      </w:r>
      <w:r>
        <w:rPr>
          <w:b/>
          <w:sz w:val="20"/>
        </w:rPr>
        <w:t>niño?</w:t>
      </w:r>
    </w:p>
    <w:p>
      <w:pPr>
        <w:pStyle w:val="ListParagraph"/>
        <w:numPr>
          <w:ilvl w:val="0"/>
          <w:numId w:val="26"/>
        </w:numPr>
        <w:tabs>
          <w:tab w:pos="335" w:val="left" w:leader="none"/>
          <w:tab w:pos="1775" w:val="left" w:leader="none"/>
        </w:tabs>
        <w:spacing w:line="240" w:lineRule="auto" w:before="3" w:after="0"/>
        <w:ind w:left="334" w:right="0" w:hanging="232"/>
        <w:jc w:val="left"/>
        <w:rPr>
          <w:sz w:val="20"/>
        </w:rPr>
      </w:pPr>
      <w:r>
        <w:rPr>
          <w:sz w:val="20"/>
        </w:rPr>
        <w:t>A los 6</w:t>
      </w:r>
      <w:r>
        <w:rPr>
          <w:spacing w:val="-2"/>
          <w:sz w:val="20"/>
        </w:rPr>
        <w:t> </w:t>
      </w:r>
      <w:r>
        <w:rPr>
          <w:sz w:val="20"/>
        </w:rPr>
        <w:t>años</w:t>
      </w:r>
      <w:r>
        <w:rPr>
          <w:spacing w:val="-1"/>
          <w:sz w:val="20"/>
        </w:rPr>
        <w:t> </w:t>
      </w:r>
      <w:r>
        <w:rPr>
          <w:sz w:val="20"/>
        </w:rPr>
        <w:t>(</w:t>
        <w:tab/>
        <w:t>)</w:t>
      </w:r>
    </w:p>
    <w:p>
      <w:pPr>
        <w:pStyle w:val="ListParagraph"/>
        <w:numPr>
          <w:ilvl w:val="0"/>
          <w:numId w:val="26"/>
        </w:numPr>
        <w:tabs>
          <w:tab w:pos="335" w:val="left" w:leader="none"/>
          <w:tab w:pos="2855" w:val="left" w:leader="none"/>
        </w:tabs>
        <w:spacing w:line="240" w:lineRule="auto" w:before="0" w:after="0"/>
        <w:ind w:left="334" w:right="0" w:hanging="232"/>
        <w:jc w:val="left"/>
        <w:rPr>
          <w:sz w:val="20"/>
        </w:rPr>
      </w:pPr>
      <w:r>
        <w:rPr>
          <w:sz w:val="20"/>
        </w:rPr>
        <w:t>A los 6 meses de</w:t>
      </w:r>
      <w:r>
        <w:rPr>
          <w:spacing w:val="-4"/>
          <w:sz w:val="20"/>
        </w:rPr>
        <w:t> </w:t>
      </w:r>
      <w:r>
        <w:rPr>
          <w:sz w:val="20"/>
        </w:rPr>
        <w:t>nacido (</w:t>
        <w:tab/>
        <w:t>)</w:t>
      </w:r>
    </w:p>
    <w:p>
      <w:pPr>
        <w:pStyle w:val="ListParagraph"/>
        <w:numPr>
          <w:ilvl w:val="0"/>
          <w:numId w:val="26"/>
        </w:numPr>
        <w:tabs>
          <w:tab w:pos="325" w:val="left" w:leader="none"/>
          <w:tab w:pos="2154" w:val="left" w:leader="none"/>
        </w:tabs>
        <w:spacing w:line="229" w:lineRule="exact" w:before="1" w:after="0"/>
        <w:ind w:left="325" w:right="0" w:hanging="223"/>
        <w:jc w:val="left"/>
        <w:rPr>
          <w:sz w:val="20"/>
        </w:rPr>
      </w:pPr>
      <w:r>
        <w:rPr>
          <w:sz w:val="20"/>
        </w:rPr>
        <w:t>Al año de</w:t>
      </w:r>
      <w:r>
        <w:rPr>
          <w:spacing w:val="-7"/>
          <w:sz w:val="20"/>
        </w:rPr>
        <w:t> </w:t>
      </w:r>
      <w:r>
        <w:rPr>
          <w:sz w:val="20"/>
        </w:rPr>
        <w:t>nacido (</w:t>
        <w:tab/>
        <w:t>)</w:t>
      </w:r>
    </w:p>
    <w:p>
      <w:pPr>
        <w:pStyle w:val="ListParagraph"/>
        <w:numPr>
          <w:ilvl w:val="0"/>
          <w:numId w:val="26"/>
        </w:numPr>
        <w:tabs>
          <w:tab w:pos="335" w:val="left" w:leader="none"/>
        </w:tabs>
        <w:spacing w:line="229" w:lineRule="exact" w:before="0" w:after="0"/>
        <w:ind w:left="334" w:right="0" w:hanging="232"/>
        <w:jc w:val="left"/>
        <w:rPr>
          <w:sz w:val="20"/>
        </w:rPr>
      </w:pPr>
      <w:r>
        <w:rPr>
          <w:sz w:val="20"/>
        </w:rPr>
        <w:t>No</w:t>
      </w:r>
      <w:r>
        <w:rPr>
          <w:spacing w:val="-2"/>
          <w:sz w:val="20"/>
        </w:rPr>
        <w:t> </w:t>
      </w:r>
      <w:r>
        <w:rPr>
          <w:sz w:val="20"/>
        </w:rPr>
        <w:t>sé</w:t>
      </w:r>
    </w:p>
    <w:sectPr>
      <w:footerReference w:type="default" r:id="rId25"/>
      <w:pgSz w:w="12240" w:h="15840"/>
      <w:pgMar w:footer="1003" w:header="0" w:top="1360" w:bottom="1200" w:left="1600" w:right="12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Wingdings">
    <w:altName w:val="Wingdings"/>
    <w:charset w:val="2"/>
    <w:family w:val="auto"/>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38.340027pt;margin-top:730.856018pt;width:9.6pt;height:13.05pt;mso-position-horizontal-relative:page;mso-position-vertical-relative:page;z-index:-589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2</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84pt;margin-top:705.323181pt;width:61.1pt;height:11pt;mso-position-horizontal-relative:page;mso-position-vertical-relative:page;z-index:-58744" type="#_x0000_t202" filled="false" stroked="false">
          <v:textbox inset="0,0,0,0">
            <w:txbxContent>
              <w:p>
                <w:pPr>
                  <w:spacing w:line="204" w:lineRule="exact" w:before="0"/>
                  <w:ind w:left="20" w:right="0" w:firstLine="0"/>
                  <w:jc w:val="left"/>
                  <w:rPr>
                    <w:sz w:val="18"/>
                  </w:rPr>
                </w:pPr>
                <w:r>
                  <w:rPr>
                    <w:sz w:val="18"/>
                  </w:rPr>
                  <w:t>Fuente Directa</w:t>
                </w:r>
              </w:p>
            </w:txbxContent>
          </v:textbox>
          <w10:wrap type="none"/>
        </v:shape>
      </w:pict>
    </w:r>
    <w:r>
      <w:rPr/>
      <w:pict>
        <v:shape style="position:absolute;margin-left:532.700012pt;margin-top:730.856018pt;width:15.3pt;height:13.05pt;mso-position-horizontal-relative:page;mso-position-vertical-relative:page;z-index:-58720" type="#_x0000_t202" filled="false" stroked="false">
          <v:textbox inset="0,0,0,0">
            <w:txbxContent>
              <w:p>
                <w:pPr>
                  <w:spacing w:line="245" w:lineRule="exact" w:before="0"/>
                  <w:ind w:left="40" w:right="-18" w:firstLine="0"/>
                  <w:jc w:val="left"/>
                  <w:rPr>
                    <w:rFonts w:ascii="Calibri"/>
                    <w:sz w:val="22"/>
                  </w:rPr>
                </w:pPr>
                <w:r>
                  <w:rPr/>
                  <w:fldChar w:fldCharType="begin"/>
                </w:r>
                <w:r>
                  <w:rPr>
                    <w:rFonts w:ascii="Calibri"/>
                    <w:sz w:val="22"/>
                  </w:rPr>
                  <w:instrText> PAGE </w:instrText>
                </w:r>
                <w:r>
                  <w:rPr/>
                  <w:fldChar w:fldCharType="separate"/>
                </w:r>
                <w:r>
                  <w:rPr/>
                  <w:t>37</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2.700012pt;margin-top:730.856018pt;width:15.3pt;height:13.05pt;mso-position-horizontal-relative:page;mso-position-vertical-relative:page;z-index:-58696" type="#_x0000_t202" filled="false" stroked="false">
          <v:textbox inset="0,0,0,0">
            <w:txbxContent>
              <w:p>
                <w:pPr>
                  <w:spacing w:line="245" w:lineRule="exact" w:before="0"/>
                  <w:ind w:left="40" w:right="-18" w:firstLine="0"/>
                  <w:jc w:val="left"/>
                  <w:rPr>
                    <w:rFonts w:ascii="Calibri"/>
                    <w:sz w:val="22"/>
                  </w:rPr>
                </w:pPr>
                <w:r>
                  <w:rPr/>
                  <w:fldChar w:fldCharType="begin"/>
                </w:r>
                <w:r>
                  <w:rPr>
                    <w:rFonts w:ascii="Calibri"/>
                    <w:sz w:val="22"/>
                  </w:rPr>
                  <w:instrText> PAGE </w:instrText>
                </w:r>
                <w:r>
                  <w:rPr/>
                  <w:fldChar w:fldCharType="separate"/>
                </w:r>
                <w:r>
                  <w:rPr/>
                  <w:t>38</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3.700012pt;margin-top:730.856018pt;width:13.3pt;height:13.05pt;mso-position-horizontal-relative:page;mso-position-vertical-relative:page;z-index:-58672"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2.700012pt;margin-top:730.856018pt;width:15.3pt;height:13.05pt;mso-position-horizontal-relative:page;mso-position-vertical-relative:page;z-index:-58648" type="#_x0000_t202" filled="false" stroked="false">
          <v:textbox inset="0,0,0,0">
            <w:txbxContent>
              <w:p>
                <w:pPr>
                  <w:spacing w:line="245" w:lineRule="exact" w:before="0"/>
                  <w:ind w:left="40" w:right="-18"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3.700012pt;margin-top:730.856018pt;width:13.3pt;height:13.05pt;mso-position-horizontal-relative:page;mso-position-vertical-relative:page;z-index:-58624"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3.700012pt;margin-top:730.856018pt;width:13.3pt;height:13.05pt;mso-position-horizontal-relative:page;mso-position-vertical-relative:page;z-index:-58600" type="#_x0000_t202" filled="false" stroked="false">
          <v:textbox inset="0,0,0,0">
            <w:txbxContent>
              <w:p>
                <w:pPr>
                  <w:spacing w:line="245" w:lineRule="exact" w:before="0"/>
                  <w:ind w:left="20" w:right="0" w:firstLine="0"/>
                  <w:jc w:val="left"/>
                  <w:rPr>
                    <w:rFonts w:ascii="Calibri"/>
                    <w:sz w:val="22"/>
                  </w:rPr>
                </w:pPr>
                <w:r>
                  <w:rPr>
                    <w:rFonts w:ascii="Calibri"/>
                    <w:sz w:val="22"/>
                  </w:rPr>
                  <w:t>51</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3.700012pt;margin-top:730.856018pt;width:13.3pt;height:13.05pt;mso-position-horizontal-relative:page;mso-position-vertical-relative:page;z-index:-58912"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2.700012pt;margin-top:730.856018pt;width:15.3pt;height:13.05pt;mso-position-horizontal-relative:page;mso-position-vertical-relative:page;z-index:-58888" type="#_x0000_t202" filled="false" stroked="false">
          <v:textbox inset="0,0,0,0">
            <w:txbxContent>
              <w:p>
                <w:pPr>
                  <w:spacing w:line="245" w:lineRule="exact" w:before="0"/>
                  <w:ind w:left="40" w:right="-18"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3.700012pt;margin-top:730.856018pt;width:13.3pt;height:13.05pt;mso-position-horizontal-relative:page;mso-position-vertical-relative:page;z-index:-58864"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32.700012pt;margin-top:730.856018pt;width:15.3pt;height:13.05pt;mso-position-horizontal-relative:page;mso-position-vertical-relative:page;z-index:-58840" type="#_x0000_t202" filled="false" stroked="false">
          <v:textbox inset="0,0,0,0">
            <w:txbxContent>
              <w:p>
                <w:pPr>
                  <w:spacing w:line="245" w:lineRule="exact" w:before="0"/>
                  <w:ind w:left="40" w:right="-18" w:firstLine="0"/>
                  <w:jc w:val="left"/>
                  <w:rPr>
                    <w:rFonts w:ascii="Calibri"/>
                    <w:sz w:val="22"/>
                  </w:rPr>
                </w:pPr>
                <w:r>
                  <w:rPr/>
                  <w:fldChar w:fldCharType="begin"/>
                </w:r>
                <w:r>
                  <w:rPr>
                    <w:rFonts w:ascii="Calibri"/>
                    <w:sz w:val="22"/>
                  </w:rPr>
                  <w:instrText> PAGE </w:instrText>
                </w:r>
                <w:r>
                  <w:rPr/>
                  <w:fldChar w:fldCharType="separate"/>
                </w:r>
                <w:r>
                  <w:rPr/>
                  <w:t>26</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3.700012pt;margin-top:730.856018pt;width:13.3pt;height:13.05pt;mso-position-horizontal-relative:page;mso-position-vertical-relative:page;z-index:-58816"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3.700012pt;margin-top:730.856018pt;width:13.3pt;height:13.05pt;mso-position-horizontal-relative:page;mso-position-vertical-relative:page;z-index:-58792" type="#_x0000_t202" filled="false" stroked="false">
          <v:textbox inset="0,0,0,0">
            <w:txbxContent>
              <w:p>
                <w:pPr>
                  <w:spacing w:line="245" w:lineRule="exact" w:before="0"/>
                  <w:ind w:left="20" w:right="0" w:firstLine="0"/>
                  <w:jc w:val="left"/>
                  <w:rPr>
                    <w:rFonts w:ascii="Calibri"/>
                    <w:sz w:val="22"/>
                  </w:rPr>
                </w:pPr>
                <w:r>
                  <w:rPr>
                    <w:rFonts w:ascii="Calibri"/>
                    <w:sz w:val="22"/>
                  </w:rPr>
                  <w:t>31</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532.700012pt;margin-top:730.856018pt;width:15.3pt;height:13.05pt;mso-position-horizontal-relative:page;mso-position-vertical-relative:page;z-index:-58768" type="#_x0000_t202" filled="false" stroked="false">
          <v:textbox inset="0,0,0,0">
            <w:txbxContent>
              <w:p>
                <w:pPr>
                  <w:spacing w:line="245" w:lineRule="exact" w:before="0"/>
                  <w:ind w:left="40" w:right="-18" w:firstLine="0"/>
                  <w:jc w:val="left"/>
                  <w:rPr>
                    <w:rFonts w:ascii="Calibri"/>
                    <w:sz w:val="22"/>
                  </w:rPr>
                </w:pPr>
                <w:r>
                  <w:rPr/>
                  <w:fldChar w:fldCharType="begin"/>
                </w:r>
                <w:r>
                  <w:rPr>
                    <w:rFonts w:ascii="Calibri"/>
                    <w:sz w:val="22"/>
                  </w:rPr>
                  <w:instrText> PAGE </w:instrText>
                </w:r>
                <w:r>
                  <w:rPr/>
                  <w:fldChar w:fldCharType="separate"/>
                </w:r>
                <w:r>
                  <w:rPr/>
                  <w:t>35</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1">
    <w:multiLevelType w:val="hybridMultilevel"/>
    <w:lvl w:ilvl="0">
      <w:start w:val="1"/>
      <w:numFmt w:val="bullet"/>
      <w:lvlText w:val=""/>
      <w:lvlJc w:val="left"/>
      <w:pPr>
        <w:ind w:left="702" w:hanging="360"/>
      </w:pPr>
      <w:rPr>
        <w:rFonts w:hint="default" w:ascii="Wingdings" w:hAnsi="Wingdings" w:eastAsia="Wingdings" w:cs="Wingdings"/>
        <w:w w:val="100"/>
        <w:sz w:val="24"/>
        <w:szCs w:val="24"/>
      </w:rPr>
    </w:lvl>
    <w:lvl w:ilvl="1">
      <w:start w:val="1"/>
      <w:numFmt w:val="bullet"/>
      <w:lvlText w:val="•"/>
      <w:lvlJc w:val="left"/>
      <w:pPr>
        <w:ind w:left="1560" w:hanging="360"/>
      </w:pPr>
      <w:rPr>
        <w:rFonts w:hint="default"/>
      </w:rPr>
    </w:lvl>
    <w:lvl w:ilvl="2">
      <w:start w:val="1"/>
      <w:numFmt w:val="bullet"/>
      <w:lvlText w:val="•"/>
      <w:lvlJc w:val="left"/>
      <w:pPr>
        <w:ind w:left="2420" w:hanging="360"/>
      </w:pPr>
      <w:rPr>
        <w:rFonts w:hint="default"/>
      </w:rPr>
    </w:lvl>
    <w:lvl w:ilvl="3">
      <w:start w:val="1"/>
      <w:numFmt w:val="bullet"/>
      <w:lvlText w:val="•"/>
      <w:lvlJc w:val="left"/>
      <w:pPr>
        <w:ind w:left="3280" w:hanging="360"/>
      </w:pPr>
      <w:rPr>
        <w:rFonts w:hint="default"/>
      </w:rPr>
    </w:lvl>
    <w:lvl w:ilvl="4">
      <w:start w:val="1"/>
      <w:numFmt w:val="bullet"/>
      <w:lvlText w:val="•"/>
      <w:lvlJc w:val="left"/>
      <w:pPr>
        <w:ind w:left="4140" w:hanging="360"/>
      </w:pPr>
      <w:rPr>
        <w:rFonts w:hint="default"/>
      </w:rPr>
    </w:lvl>
    <w:lvl w:ilvl="5">
      <w:start w:val="1"/>
      <w:numFmt w:val="bullet"/>
      <w:lvlText w:val="•"/>
      <w:lvlJc w:val="left"/>
      <w:pPr>
        <w:ind w:left="5000" w:hanging="360"/>
      </w:pPr>
      <w:rPr>
        <w:rFonts w:hint="default"/>
      </w:rPr>
    </w:lvl>
    <w:lvl w:ilvl="6">
      <w:start w:val="1"/>
      <w:numFmt w:val="bullet"/>
      <w:lvlText w:val="•"/>
      <w:lvlJc w:val="left"/>
      <w:pPr>
        <w:ind w:left="5860" w:hanging="360"/>
      </w:pPr>
      <w:rPr>
        <w:rFonts w:hint="default"/>
      </w:rPr>
    </w:lvl>
    <w:lvl w:ilvl="7">
      <w:start w:val="1"/>
      <w:numFmt w:val="bullet"/>
      <w:lvlText w:val="•"/>
      <w:lvlJc w:val="left"/>
      <w:pPr>
        <w:ind w:left="6720" w:hanging="360"/>
      </w:pPr>
      <w:rPr>
        <w:rFonts w:hint="default"/>
      </w:rPr>
    </w:lvl>
    <w:lvl w:ilvl="8">
      <w:start w:val="1"/>
      <w:numFmt w:val="bullet"/>
      <w:lvlText w:val="•"/>
      <w:lvlJc w:val="left"/>
      <w:pPr>
        <w:ind w:left="7580" w:hanging="360"/>
      </w:pPr>
      <w:rPr>
        <w:rFonts w:hint="default"/>
      </w:rPr>
    </w:lvl>
  </w:abstractNum>
  <w:abstractNum w:abstractNumId="25">
    <w:multiLevelType w:val="hybridMultilevel"/>
    <w:lvl w:ilvl="0">
      <w:start w:val="1"/>
      <w:numFmt w:val="lowerLetter"/>
      <w:lvlText w:val="%1)"/>
      <w:lvlJc w:val="left"/>
      <w:pPr>
        <w:ind w:left="334" w:hanging="233"/>
        <w:jc w:val="left"/>
      </w:pPr>
      <w:rPr>
        <w:rFonts w:hint="default" w:ascii="Arial" w:hAnsi="Arial" w:eastAsia="Arial" w:cs="Arial"/>
        <w:w w:val="99"/>
        <w:sz w:val="20"/>
        <w:szCs w:val="20"/>
      </w:rPr>
    </w:lvl>
    <w:lvl w:ilvl="1">
      <w:start w:val="1"/>
      <w:numFmt w:val="bullet"/>
      <w:lvlText w:val="•"/>
      <w:lvlJc w:val="left"/>
      <w:pPr>
        <w:ind w:left="1248" w:hanging="233"/>
      </w:pPr>
      <w:rPr>
        <w:rFonts w:hint="default"/>
      </w:rPr>
    </w:lvl>
    <w:lvl w:ilvl="2">
      <w:start w:val="1"/>
      <w:numFmt w:val="bullet"/>
      <w:lvlText w:val="•"/>
      <w:lvlJc w:val="left"/>
      <w:pPr>
        <w:ind w:left="2156" w:hanging="233"/>
      </w:pPr>
      <w:rPr>
        <w:rFonts w:hint="default"/>
      </w:rPr>
    </w:lvl>
    <w:lvl w:ilvl="3">
      <w:start w:val="1"/>
      <w:numFmt w:val="bullet"/>
      <w:lvlText w:val="•"/>
      <w:lvlJc w:val="left"/>
      <w:pPr>
        <w:ind w:left="3064" w:hanging="233"/>
      </w:pPr>
      <w:rPr>
        <w:rFonts w:hint="default"/>
      </w:rPr>
    </w:lvl>
    <w:lvl w:ilvl="4">
      <w:start w:val="1"/>
      <w:numFmt w:val="bullet"/>
      <w:lvlText w:val="•"/>
      <w:lvlJc w:val="left"/>
      <w:pPr>
        <w:ind w:left="3972" w:hanging="233"/>
      </w:pPr>
      <w:rPr>
        <w:rFonts w:hint="default"/>
      </w:rPr>
    </w:lvl>
    <w:lvl w:ilvl="5">
      <w:start w:val="1"/>
      <w:numFmt w:val="bullet"/>
      <w:lvlText w:val="•"/>
      <w:lvlJc w:val="left"/>
      <w:pPr>
        <w:ind w:left="4880" w:hanging="233"/>
      </w:pPr>
      <w:rPr>
        <w:rFonts w:hint="default"/>
      </w:rPr>
    </w:lvl>
    <w:lvl w:ilvl="6">
      <w:start w:val="1"/>
      <w:numFmt w:val="bullet"/>
      <w:lvlText w:val="•"/>
      <w:lvlJc w:val="left"/>
      <w:pPr>
        <w:ind w:left="5788" w:hanging="233"/>
      </w:pPr>
      <w:rPr>
        <w:rFonts w:hint="default"/>
      </w:rPr>
    </w:lvl>
    <w:lvl w:ilvl="7">
      <w:start w:val="1"/>
      <w:numFmt w:val="bullet"/>
      <w:lvlText w:val="•"/>
      <w:lvlJc w:val="left"/>
      <w:pPr>
        <w:ind w:left="6696" w:hanging="233"/>
      </w:pPr>
      <w:rPr>
        <w:rFonts w:hint="default"/>
      </w:rPr>
    </w:lvl>
    <w:lvl w:ilvl="8">
      <w:start w:val="1"/>
      <w:numFmt w:val="bullet"/>
      <w:lvlText w:val="•"/>
      <w:lvlJc w:val="left"/>
      <w:pPr>
        <w:ind w:left="7604" w:hanging="233"/>
      </w:pPr>
      <w:rPr>
        <w:rFonts w:hint="default"/>
      </w:rPr>
    </w:lvl>
  </w:abstractNum>
  <w:abstractNum w:abstractNumId="24">
    <w:multiLevelType w:val="hybridMultilevel"/>
    <w:lvl w:ilvl="0">
      <w:start w:val="1"/>
      <w:numFmt w:val="lowerLetter"/>
      <w:lvlText w:val="%1)"/>
      <w:lvlJc w:val="left"/>
      <w:pPr>
        <w:ind w:left="334" w:hanging="233"/>
        <w:jc w:val="left"/>
      </w:pPr>
      <w:rPr>
        <w:rFonts w:hint="default" w:ascii="Arial" w:hAnsi="Arial" w:eastAsia="Arial" w:cs="Arial"/>
        <w:w w:val="99"/>
        <w:sz w:val="20"/>
        <w:szCs w:val="20"/>
      </w:rPr>
    </w:lvl>
    <w:lvl w:ilvl="1">
      <w:start w:val="1"/>
      <w:numFmt w:val="bullet"/>
      <w:lvlText w:val="•"/>
      <w:lvlJc w:val="left"/>
      <w:pPr>
        <w:ind w:left="1248" w:hanging="233"/>
      </w:pPr>
      <w:rPr>
        <w:rFonts w:hint="default"/>
      </w:rPr>
    </w:lvl>
    <w:lvl w:ilvl="2">
      <w:start w:val="1"/>
      <w:numFmt w:val="bullet"/>
      <w:lvlText w:val="•"/>
      <w:lvlJc w:val="left"/>
      <w:pPr>
        <w:ind w:left="2156" w:hanging="233"/>
      </w:pPr>
      <w:rPr>
        <w:rFonts w:hint="default"/>
      </w:rPr>
    </w:lvl>
    <w:lvl w:ilvl="3">
      <w:start w:val="1"/>
      <w:numFmt w:val="bullet"/>
      <w:lvlText w:val="•"/>
      <w:lvlJc w:val="left"/>
      <w:pPr>
        <w:ind w:left="3064" w:hanging="233"/>
      </w:pPr>
      <w:rPr>
        <w:rFonts w:hint="default"/>
      </w:rPr>
    </w:lvl>
    <w:lvl w:ilvl="4">
      <w:start w:val="1"/>
      <w:numFmt w:val="bullet"/>
      <w:lvlText w:val="•"/>
      <w:lvlJc w:val="left"/>
      <w:pPr>
        <w:ind w:left="3972" w:hanging="233"/>
      </w:pPr>
      <w:rPr>
        <w:rFonts w:hint="default"/>
      </w:rPr>
    </w:lvl>
    <w:lvl w:ilvl="5">
      <w:start w:val="1"/>
      <w:numFmt w:val="bullet"/>
      <w:lvlText w:val="•"/>
      <w:lvlJc w:val="left"/>
      <w:pPr>
        <w:ind w:left="4880" w:hanging="233"/>
      </w:pPr>
      <w:rPr>
        <w:rFonts w:hint="default"/>
      </w:rPr>
    </w:lvl>
    <w:lvl w:ilvl="6">
      <w:start w:val="1"/>
      <w:numFmt w:val="bullet"/>
      <w:lvlText w:val="•"/>
      <w:lvlJc w:val="left"/>
      <w:pPr>
        <w:ind w:left="5788" w:hanging="233"/>
      </w:pPr>
      <w:rPr>
        <w:rFonts w:hint="default"/>
      </w:rPr>
    </w:lvl>
    <w:lvl w:ilvl="7">
      <w:start w:val="1"/>
      <w:numFmt w:val="bullet"/>
      <w:lvlText w:val="•"/>
      <w:lvlJc w:val="left"/>
      <w:pPr>
        <w:ind w:left="6696" w:hanging="233"/>
      </w:pPr>
      <w:rPr>
        <w:rFonts w:hint="default"/>
      </w:rPr>
    </w:lvl>
    <w:lvl w:ilvl="8">
      <w:start w:val="1"/>
      <w:numFmt w:val="bullet"/>
      <w:lvlText w:val="•"/>
      <w:lvlJc w:val="left"/>
      <w:pPr>
        <w:ind w:left="7604" w:hanging="233"/>
      </w:pPr>
      <w:rPr>
        <w:rFonts w:hint="default"/>
      </w:rPr>
    </w:lvl>
  </w:abstractNum>
  <w:abstractNum w:abstractNumId="23">
    <w:multiLevelType w:val="hybridMultilevel"/>
    <w:lvl w:ilvl="0">
      <w:start w:val="1"/>
      <w:numFmt w:val="lowerLetter"/>
      <w:lvlText w:val="%1)"/>
      <w:lvlJc w:val="left"/>
      <w:pPr>
        <w:ind w:left="334" w:hanging="233"/>
        <w:jc w:val="left"/>
      </w:pPr>
      <w:rPr>
        <w:rFonts w:hint="default" w:ascii="Arial" w:hAnsi="Arial" w:eastAsia="Arial" w:cs="Arial"/>
        <w:w w:val="99"/>
        <w:sz w:val="20"/>
        <w:szCs w:val="20"/>
      </w:rPr>
    </w:lvl>
    <w:lvl w:ilvl="1">
      <w:start w:val="1"/>
      <w:numFmt w:val="bullet"/>
      <w:lvlText w:val="•"/>
      <w:lvlJc w:val="left"/>
      <w:pPr>
        <w:ind w:left="1248" w:hanging="233"/>
      </w:pPr>
      <w:rPr>
        <w:rFonts w:hint="default"/>
      </w:rPr>
    </w:lvl>
    <w:lvl w:ilvl="2">
      <w:start w:val="1"/>
      <w:numFmt w:val="bullet"/>
      <w:lvlText w:val="•"/>
      <w:lvlJc w:val="left"/>
      <w:pPr>
        <w:ind w:left="2156" w:hanging="233"/>
      </w:pPr>
      <w:rPr>
        <w:rFonts w:hint="default"/>
      </w:rPr>
    </w:lvl>
    <w:lvl w:ilvl="3">
      <w:start w:val="1"/>
      <w:numFmt w:val="bullet"/>
      <w:lvlText w:val="•"/>
      <w:lvlJc w:val="left"/>
      <w:pPr>
        <w:ind w:left="3064" w:hanging="233"/>
      </w:pPr>
      <w:rPr>
        <w:rFonts w:hint="default"/>
      </w:rPr>
    </w:lvl>
    <w:lvl w:ilvl="4">
      <w:start w:val="1"/>
      <w:numFmt w:val="bullet"/>
      <w:lvlText w:val="•"/>
      <w:lvlJc w:val="left"/>
      <w:pPr>
        <w:ind w:left="3972" w:hanging="233"/>
      </w:pPr>
      <w:rPr>
        <w:rFonts w:hint="default"/>
      </w:rPr>
    </w:lvl>
    <w:lvl w:ilvl="5">
      <w:start w:val="1"/>
      <w:numFmt w:val="bullet"/>
      <w:lvlText w:val="•"/>
      <w:lvlJc w:val="left"/>
      <w:pPr>
        <w:ind w:left="4880" w:hanging="233"/>
      </w:pPr>
      <w:rPr>
        <w:rFonts w:hint="default"/>
      </w:rPr>
    </w:lvl>
    <w:lvl w:ilvl="6">
      <w:start w:val="1"/>
      <w:numFmt w:val="bullet"/>
      <w:lvlText w:val="•"/>
      <w:lvlJc w:val="left"/>
      <w:pPr>
        <w:ind w:left="5788" w:hanging="233"/>
      </w:pPr>
      <w:rPr>
        <w:rFonts w:hint="default"/>
      </w:rPr>
    </w:lvl>
    <w:lvl w:ilvl="7">
      <w:start w:val="1"/>
      <w:numFmt w:val="bullet"/>
      <w:lvlText w:val="•"/>
      <w:lvlJc w:val="left"/>
      <w:pPr>
        <w:ind w:left="6696" w:hanging="233"/>
      </w:pPr>
      <w:rPr>
        <w:rFonts w:hint="default"/>
      </w:rPr>
    </w:lvl>
    <w:lvl w:ilvl="8">
      <w:start w:val="1"/>
      <w:numFmt w:val="bullet"/>
      <w:lvlText w:val="•"/>
      <w:lvlJc w:val="left"/>
      <w:pPr>
        <w:ind w:left="7604" w:hanging="233"/>
      </w:pPr>
      <w:rPr>
        <w:rFonts w:hint="default"/>
      </w:rPr>
    </w:lvl>
  </w:abstractNum>
  <w:abstractNum w:abstractNumId="22">
    <w:multiLevelType w:val="hybridMultilevel"/>
    <w:lvl w:ilvl="0">
      <w:start w:val="1"/>
      <w:numFmt w:val="lowerLetter"/>
      <w:lvlText w:val="%1)"/>
      <w:lvlJc w:val="left"/>
      <w:pPr>
        <w:ind w:left="334" w:hanging="233"/>
        <w:jc w:val="left"/>
      </w:pPr>
      <w:rPr>
        <w:rFonts w:hint="default" w:ascii="Arial" w:hAnsi="Arial" w:eastAsia="Arial" w:cs="Arial"/>
        <w:w w:val="99"/>
        <w:sz w:val="20"/>
        <w:szCs w:val="20"/>
      </w:rPr>
    </w:lvl>
    <w:lvl w:ilvl="1">
      <w:start w:val="1"/>
      <w:numFmt w:val="bullet"/>
      <w:lvlText w:val="•"/>
      <w:lvlJc w:val="left"/>
      <w:pPr>
        <w:ind w:left="1248" w:hanging="233"/>
      </w:pPr>
      <w:rPr>
        <w:rFonts w:hint="default"/>
      </w:rPr>
    </w:lvl>
    <w:lvl w:ilvl="2">
      <w:start w:val="1"/>
      <w:numFmt w:val="bullet"/>
      <w:lvlText w:val="•"/>
      <w:lvlJc w:val="left"/>
      <w:pPr>
        <w:ind w:left="2156" w:hanging="233"/>
      </w:pPr>
      <w:rPr>
        <w:rFonts w:hint="default"/>
      </w:rPr>
    </w:lvl>
    <w:lvl w:ilvl="3">
      <w:start w:val="1"/>
      <w:numFmt w:val="bullet"/>
      <w:lvlText w:val="•"/>
      <w:lvlJc w:val="left"/>
      <w:pPr>
        <w:ind w:left="3064" w:hanging="233"/>
      </w:pPr>
      <w:rPr>
        <w:rFonts w:hint="default"/>
      </w:rPr>
    </w:lvl>
    <w:lvl w:ilvl="4">
      <w:start w:val="1"/>
      <w:numFmt w:val="bullet"/>
      <w:lvlText w:val="•"/>
      <w:lvlJc w:val="left"/>
      <w:pPr>
        <w:ind w:left="3972" w:hanging="233"/>
      </w:pPr>
      <w:rPr>
        <w:rFonts w:hint="default"/>
      </w:rPr>
    </w:lvl>
    <w:lvl w:ilvl="5">
      <w:start w:val="1"/>
      <w:numFmt w:val="bullet"/>
      <w:lvlText w:val="•"/>
      <w:lvlJc w:val="left"/>
      <w:pPr>
        <w:ind w:left="4880" w:hanging="233"/>
      </w:pPr>
      <w:rPr>
        <w:rFonts w:hint="default"/>
      </w:rPr>
    </w:lvl>
    <w:lvl w:ilvl="6">
      <w:start w:val="1"/>
      <w:numFmt w:val="bullet"/>
      <w:lvlText w:val="•"/>
      <w:lvlJc w:val="left"/>
      <w:pPr>
        <w:ind w:left="5788" w:hanging="233"/>
      </w:pPr>
      <w:rPr>
        <w:rFonts w:hint="default"/>
      </w:rPr>
    </w:lvl>
    <w:lvl w:ilvl="7">
      <w:start w:val="1"/>
      <w:numFmt w:val="bullet"/>
      <w:lvlText w:val="•"/>
      <w:lvlJc w:val="left"/>
      <w:pPr>
        <w:ind w:left="6696" w:hanging="233"/>
      </w:pPr>
      <w:rPr>
        <w:rFonts w:hint="default"/>
      </w:rPr>
    </w:lvl>
    <w:lvl w:ilvl="8">
      <w:start w:val="1"/>
      <w:numFmt w:val="bullet"/>
      <w:lvlText w:val="•"/>
      <w:lvlJc w:val="left"/>
      <w:pPr>
        <w:ind w:left="7604" w:hanging="233"/>
      </w:pPr>
      <w:rPr>
        <w:rFonts w:hint="default"/>
      </w:rPr>
    </w:lvl>
  </w:abstractNum>
  <w:abstractNum w:abstractNumId="21">
    <w:multiLevelType w:val="hybridMultilevel"/>
    <w:lvl w:ilvl="0">
      <w:start w:val="1"/>
      <w:numFmt w:val="lowerLetter"/>
      <w:lvlText w:val="%1)"/>
      <w:lvlJc w:val="left"/>
      <w:pPr>
        <w:ind w:left="334" w:hanging="233"/>
        <w:jc w:val="left"/>
      </w:pPr>
      <w:rPr>
        <w:rFonts w:hint="default" w:ascii="Arial" w:hAnsi="Arial" w:eastAsia="Arial" w:cs="Arial"/>
        <w:w w:val="99"/>
        <w:sz w:val="20"/>
        <w:szCs w:val="20"/>
      </w:rPr>
    </w:lvl>
    <w:lvl w:ilvl="1">
      <w:start w:val="1"/>
      <w:numFmt w:val="bullet"/>
      <w:lvlText w:val="•"/>
      <w:lvlJc w:val="left"/>
      <w:pPr>
        <w:ind w:left="1248" w:hanging="233"/>
      </w:pPr>
      <w:rPr>
        <w:rFonts w:hint="default"/>
      </w:rPr>
    </w:lvl>
    <w:lvl w:ilvl="2">
      <w:start w:val="1"/>
      <w:numFmt w:val="bullet"/>
      <w:lvlText w:val="•"/>
      <w:lvlJc w:val="left"/>
      <w:pPr>
        <w:ind w:left="2156" w:hanging="233"/>
      </w:pPr>
      <w:rPr>
        <w:rFonts w:hint="default"/>
      </w:rPr>
    </w:lvl>
    <w:lvl w:ilvl="3">
      <w:start w:val="1"/>
      <w:numFmt w:val="bullet"/>
      <w:lvlText w:val="•"/>
      <w:lvlJc w:val="left"/>
      <w:pPr>
        <w:ind w:left="3064" w:hanging="233"/>
      </w:pPr>
      <w:rPr>
        <w:rFonts w:hint="default"/>
      </w:rPr>
    </w:lvl>
    <w:lvl w:ilvl="4">
      <w:start w:val="1"/>
      <w:numFmt w:val="bullet"/>
      <w:lvlText w:val="•"/>
      <w:lvlJc w:val="left"/>
      <w:pPr>
        <w:ind w:left="3972" w:hanging="233"/>
      </w:pPr>
      <w:rPr>
        <w:rFonts w:hint="default"/>
      </w:rPr>
    </w:lvl>
    <w:lvl w:ilvl="5">
      <w:start w:val="1"/>
      <w:numFmt w:val="bullet"/>
      <w:lvlText w:val="•"/>
      <w:lvlJc w:val="left"/>
      <w:pPr>
        <w:ind w:left="4880" w:hanging="233"/>
      </w:pPr>
      <w:rPr>
        <w:rFonts w:hint="default"/>
      </w:rPr>
    </w:lvl>
    <w:lvl w:ilvl="6">
      <w:start w:val="1"/>
      <w:numFmt w:val="bullet"/>
      <w:lvlText w:val="•"/>
      <w:lvlJc w:val="left"/>
      <w:pPr>
        <w:ind w:left="5788" w:hanging="233"/>
      </w:pPr>
      <w:rPr>
        <w:rFonts w:hint="default"/>
      </w:rPr>
    </w:lvl>
    <w:lvl w:ilvl="7">
      <w:start w:val="1"/>
      <w:numFmt w:val="bullet"/>
      <w:lvlText w:val="•"/>
      <w:lvlJc w:val="left"/>
      <w:pPr>
        <w:ind w:left="6696" w:hanging="233"/>
      </w:pPr>
      <w:rPr>
        <w:rFonts w:hint="default"/>
      </w:rPr>
    </w:lvl>
    <w:lvl w:ilvl="8">
      <w:start w:val="1"/>
      <w:numFmt w:val="bullet"/>
      <w:lvlText w:val="•"/>
      <w:lvlJc w:val="left"/>
      <w:pPr>
        <w:ind w:left="7604" w:hanging="233"/>
      </w:pPr>
      <w:rPr>
        <w:rFonts w:hint="default"/>
      </w:rPr>
    </w:lvl>
  </w:abstractNum>
  <w:abstractNum w:abstractNumId="20">
    <w:multiLevelType w:val="hybridMultilevel"/>
    <w:lvl w:ilvl="0">
      <w:start w:val="1"/>
      <w:numFmt w:val="lowerLetter"/>
      <w:lvlText w:val="%1)"/>
      <w:lvlJc w:val="left"/>
      <w:pPr>
        <w:ind w:left="334" w:hanging="233"/>
        <w:jc w:val="left"/>
      </w:pPr>
      <w:rPr>
        <w:rFonts w:hint="default" w:ascii="Arial" w:hAnsi="Arial" w:eastAsia="Arial" w:cs="Arial"/>
        <w:w w:val="99"/>
        <w:sz w:val="20"/>
        <w:szCs w:val="20"/>
      </w:rPr>
    </w:lvl>
    <w:lvl w:ilvl="1">
      <w:start w:val="1"/>
      <w:numFmt w:val="bullet"/>
      <w:lvlText w:val="•"/>
      <w:lvlJc w:val="left"/>
      <w:pPr>
        <w:ind w:left="1248" w:hanging="233"/>
      </w:pPr>
      <w:rPr>
        <w:rFonts w:hint="default"/>
      </w:rPr>
    </w:lvl>
    <w:lvl w:ilvl="2">
      <w:start w:val="1"/>
      <w:numFmt w:val="bullet"/>
      <w:lvlText w:val="•"/>
      <w:lvlJc w:val="left"/>
      <w:pPr>
        <w:ind w:left="2156" w:hanging="233"/>
      </w:pPr>
      <w:rPr>
        <w:rFonts w:hint="default"/>
      </w:rPr>
    </w:lvl>
    <w:lvl w:ilvl="3">
      <w:start w:val="1"/>
      <w:numFmt w:val="bullet"/>
      <w:lvlText w:val="•"/>
      <w:lvlJc w:val="left"/>
      <w:pPr>
        <w:ind w:left="3064" w:hanging="233"/>
      </w:pPr>
      <w:rPr>
        <w:rFonts w:hint="default"/>
      </w:rPr>
    </w:lvl>
    <w:lvl w:ilvl="4">
      <w:start w:val="1"/>
      <w:numFmt w:val="bullet"/>
      <w:lvlText w:val="•"/>
      <w:lvlJc w:val="left"/>
      <w:pPr>
        <w:ind w:left="3972" w:hanging="233"/>
      </w:pPr>
      <w:rPr>
        <w:rFonts w:hint="default"/>
      </w:rPr>
    </w:lvl>
    <w:lvl w:ilvl="5">
      <w:start w:val="1"/>
      <w:numFmt w:val="bullet"/>
      <w:lvlText w:val="•"/>
      <w:lvlJc w:val="left"/>
      <w:pPr>
        <w:ind w:left="4880" w:hanging="233"/>
      </w:pPr>
      <w:rPr>
        <w:rFonts w:hint="default"/>
      </w:rPr>
    </w:lvl>
    <w:lvl w:ilvl="6">
      <w:start w:val="1"/>
      <w:numFmt w:val="bullet"/>
      <w:lvlText w:val="•"/>
      <w:lvlJc w:val="left"/>
      <w:pPr>
        <w:ind w:left="5788" w:hanging="233"/>
      </w:pPr>
      <w:rPr>
        <w:rFonts w:hint="default"/>
      </w:rPr>
    </w:lvl>
    <w:lvl w:ilvl="7">
      <w:start w:val="1"/>
      <w:numFmt w:val="bullet"/>
      <w:lvlText w:val="•"/>
      <w:lvlJc w:val="left"/>
      <w:pPr>
        <w:ind w:left="6696" w:hanging="233"/>
      </w:pPr>
      <w:rPr>
        <w:rFonts w:hint="default"/>
      </w:rPr>
    </w:lvl>
    <w:lvl w:ilvl="8">
      <w:start w:val="1"/>
      <w:numFmt w:val="bullet"/>
      <w:lvlText w:val="•"/>
      <w:lvlJc w:val="left"/>
      <w:pPr>
        <w:ind w:left="7604" w:hanging="233"/>
      </w:pPr>
      <w:rPr>
        <w:rFonts w:hint="default"/>
      </w:rPr>
    </w:lvl>
  </w:abstractNum>
  <w:abstractNum w:abstractNumId="19">
    <w:multiLevelType w:val="hybridMultilevel"/>
    <w:lvl w:ilvl="0">
      <w:start w:val="1"/>
      <w:numFmt w:val="lowerLetter"/>
      <w:lvlText w:val="%1)"/>
      <w:lvlJc w:val="left"/>
      <w:pPr>
        <w:ind w:left="334" w:hanging="233"/>
        <w:jc w:val="left"/>
      </w:pPr>
      <w:rPr>
        <w:rFonts w:hint="default" w:ascii="Arial" w:hAnsi="Arial" w:eastAsia="Arial" w:cs="Arial"/>
        <w:w w:val="99"/>
        <w:sz w:val="20"/>
        <w:szCs w:val="20"/>
      </w:rPr>
    </w:lvl>
    <w:lvl w:ilvl="1">
      <w:start w:val="1"/>
      <w:numFmt w:val="bullet"/>
      <w:lvlText w:val="•"/>
      <w:lvlJc w:val="left"/>
      <w:pPr>
        <w:ind w:left="1248" w:hanging="233"/>
      </w:pPr>
      <w:rPr>
        <w:rFonts w:hint="default"/>
      </w:rPr>
    </w:lvl>
    <w:lvl w:ilvl="2">
      <w:start w:val="1"/>
      <w:numFmt w:val="bullet"/>
      <w:lvlText w:val="•"/>
      <w:lvlJc w:val="left"/>
      <w:pPr>
        <w:ind w:left="2156" w:hanging="233"/>
      </w:pPr>
      <w:rPr>
        <w:rFonts w:hint="default"/>
      </w:rPr>
    </w:lvl>
    <w:lvl w:ilvl="3">
      <w:start w:val="1"/>
      <w:numFmt w:val="bullet"/>
      <w:lvlText w:val="•"/>
      <w:lvlJc w:val="left"/>
      <w:pPr>
        <w:ind w:left="3064" w:hanging="233"/>
      </w:pPr>
      <w:rPr>
        <w:rFonts w:hint="default"/>
      </w:rPr>
    </w:lvl>
    <w:lvl w:ilvl="4">
      <w:start w:val="1"/>
      <w:numFmt w:val="bullet"/>
      <w:lvlText w:val="•"/>
      <w:lvlJc w:val="left"/>
      <w:pPr>
        <w:ind w:left="3972" w:hanging="233"/>
      </w:pPr>
      <w:rPr>
        <w:rFonts w:hint="default"/>
      </w:rPr>
    </w:lvl>
    <w:lvl w:ilvl="5">
      <w:start w:val="1"/>
      <w:numFmt w:val="bullet"/>
      <w:lvlText w:val="•"/>
      <w:lvlJc w:val="left"/>
      <w:pPr>
        <w:ind w:left="4880" w:hanging="233"/>
      </w:pPr>
      <w:rPr>
        <w:rFonts w:hint="default"/>
      </w:rPr>
    </w:lvl>
    <w:lvl w:ilvl="6">
      <w:start w:val="1"/>
      <w:numFmt w:val="bullet"/>
      <w:lvlText w:val="•"/>
      <w:lvlJc w:val="left"/>
      <w:pPr>
        <w:ind w:left="5788" w:hanging="233"/>
      </w:pPr>
      <w:rPr>
        <w:rFonts w:hint="default"/>
      </w:rPr>
    </w:lvl>
    <w:lvl w:ilvl="7">
      <w:start w:val="1"/>
      <w:numFmt w:val="bullet"/>
      <w:lvlText w:val="•"/>
      <w:lvlJc w:val="left"/>
      <w:pPr>
        <w:ind w:left="6696" w:hanging="233"/>
      </w:pPr>
      <w:rPr>
        <w:rFonts w:hint="default"/>
      </w:rPr>
    </w:lvl>
    <w:lvl w:ilvl="8">
      <w:start w:val="1"/>
      <w:numFmt w:val="bullet"/>
      <w:lvlText w:val="•"/>
      <w:lvlJc w:val="left"/>
      <w:pPr>
        <w:ind w:left="7604" w:hanging="233"/>
      </w:pPr>
      <w:rPr>
        <w:rFonts w:hint="default"/>
      </w:rPr>
    </w:lvl>
  </w:abstractNum>
  <w:abstractNum w:abstractNumId="18">
    <w:multiLevelType w:val="hybridMultilevel"/>
    <w:lvl w:ilvl="0">
      <w:start w:val="1"/>
      <w:numFmt w:val="lowerLetter"/>
      <w:lvlText w:val="%1)"/>
      <w:lvlJc w:val="left"/>
      <w:pPr>
        <w:ind w:left="334" w:hanging="233"/>
        <w:jc w:val="left"/>
      </w:pPr>
      <w:rPr>
        <w:rFonts w:hint="default" w:ascii="Arial" w:hAnsi="Arial" w:eastAsia="Arial" w:cs="Arial"/>
        <w:w w:val="99"/>
        <w:sz w:val="20"/>
        <w:szCs w:val="20"/>
      </w:rPr>
    </w:lvl>
    <w:lvl w:ilvl="1">
      <w:start w:val="1"/>
      <w:numFmt w:val="bullet"/>
      <w:lvlText w:val="•"/>
      <w:lvlJc w:val="left"/>
      <w:pPr>
        <w:ind w:left="1248" w:hanging="233"/>
      </w:pPr>
      <w:rPr>
        <w:rFonts w:hint="default"/>
      </w:rPr>
    </w:lvl>
    <w:lvl w:ilvl="2">
      <w:start w:val="1"/>
      <w:numFmt w:val="bullet"/>
      <w:lvlText w:val="•"/>
      <w:lvlJc w:val="left"/>
      <w:pPr>
        <w:ind w:left="2156" w:hanging="233"/>
      </w:pPr>
      <w:rPr>
        <w:rFonts w:hint="default"/>
      </w:rPr>
    </w:lvl>
    <w:lvl w:ilvl="3">
      <w:start w:val="1"/>
      <w:numFmt w:val="bullet"/>
      <w:lvlText w:val="•"/>
      <w:lvlJc w:val="left"/>
      <w:pPr>
        <w:ind w:left="3064" w:hanging="233"/>
      </w:pPr>
      <w:rPr>
        <w:rFonts w:hint="default"/>
      </w:rPr>
    </w:lvl>
    <w:lvl w:ilvl="4">
      <w:start w:val="1"/>
      <w:numFmt w:val="bullet"/>
      <w:lvlText w:val="•"/>
      <w:lvlJc w:val="left"/>
      <w:pPr>
        <w:ind w:left="3972" w:hanging="233"/>
      </w:pPr>
      <w:rPr>
        <w:rFonts w:hint="default"/>
      </w:rPr>
    </w:lvl>
    <w:lvl w:ilvl="5">
      <w:start w:val="1"/>
      <w:numFmt w:val="bullet"/>
      <w:lvlText w:val="•"/>
      <w:lvlJc w:val="left"/>
      <w:pPr>
        <w:ind w:left="4880" w:hanging="233"/>
      </w:pPr>
      <w:rPr>
        <w:rFonts w:hint="default"/>
      </w:rPr>
    </w:lvl>
    <w:lvl w:ilvl="6">
      <w:start w:val="1"/>
      <w:numFmt w:val="bullet"/>
      <w:lvlText w:val="•"/>
      <w:lvlJc w:val="left"/>
      <w:pPr>
        <w:ind w:left="5788" w:hanging="233"/>
      </w:pPr>
      <w:rPr>
        <w:rFonts w:hint="default"/>
      </w:rPr>
    </w:lvl>
    <w:lvl w:ilvl="7">
      <w:start w:val="1"/>
      <w:numFmt w:val="bullet"/>
      <w:lvlText w:val="•"/>
      <w:lvlJc w:val="left"/>
      <w:pPr>
        <w:ind w:left="6696" w:hanging="233"/>
      </w:pPr>
      <w:rPr>
        <w:rFonts w:hint="default"/>
      </w:rPr>
    </w:lvl>
    <w:lvl w:ilvl="8">
      <w:start w:val="1"/>
      <w:numFmt w:val="bullet"/>
      <w:lvlText w:val="•"/>
      <w:lvlJc w:val="left"/>
      <w:pPr>
        <w:ind w:left="7604" w:hanging="233"/>
      </w:pPr>
      <w:rPr>
        <w:rFonts w:hint="default"/>
      </w:rPr>
    </w:lvl>
  </w:abstractNum>
  <w:abstractNum w:abstractNumId="17">
    <w:multiLevelType w:val="hybridMultilevel"/>
    <w:lvl w:ilvl="0">
      <w:start w:val="1"/>
      <w:numFmt w:val="lowerLetter"/>
      <w:lvlText w:val="%1)"/>
      <w:lvlJc w:val="left"/>
      <w:pPr>
        <w:ind w:left="334" w:hanging="233"/>
        <w:jc w:val="left"/>
      </w:pPr>
      <w:rPr>
        <w:rFonts w:hint="default" w:ascii="Arial" w:hAnsi="Arial" w:eastAsia="Arial" w:cs="Arial"/>
        <w:w w:val="99"/>
        <w:sz w:val="20"/>
        <w:szCs w:val="20"/>
      </w:rPr>
    </w:lvl>
    <w:lvl w:ilvl="1">
      <w:start w:val="1"/>
      <w:numFmt w:val="bullet"/>
      <w:lvlText w:val="•"/>
      <w:lvlJc w:val="left"/>
      <w:pPr>
        <w:ind w:left="1248" w:hanging="233"/>
      </w:pPr>
      <w:rPr>
        <w:rFonts w:hint="default"/>
      </w:rPr>
    </w:lvl>
    <w:lvl w:ilvl="2">
      <w:start w:val="1"/>
      <w:numFmt w:val="bullet"/>
      <w:lvlText w:val="•"/>
      <w:lvlJc w:val="left"/>
      <w:pPr>
        <w:ind w:left="2156" w:hanging="233"/>
      </w:pPr>
      <w:rPr>
        <w:rFonts w:hint="default"/>
      </w:rPr>
    </w:lvl>
    <w:lvl w:ilvl="3">
      <w:start w:val="1"/>
      <w:numFmt w:val="bullet"/>
      <w:lvlText w:val="•"/>
      <w:lvlJc w:val="left"/>
      <w:pPr>
        <w:ind w:left="3064" w:hanging="233"/>
      </w:pPr>
      <w:rPr>
        <w:rFonts w:hint="default"/>
      </w:rPr>
    </w:lvl>
    <w:lvl w:ilvl="4">
      <w:start w:val="1"/>
      <w:numFmt w:val="bullet"/>
      <w:lvlText w:val="•"/>
      <w:lvlJc w:val="left"/>
      <w:pPr>
        <w:ind w:left="3972" w:hanging="233"/>
      </w:pPr>
      <w:rPr>
        <w:rFonts w:hint="default"/>
      </w:rPr>
    </w:lvl>
    <w:lvl w:ilvl="5">
      <w:start w:val="1"/>
      <w:numFmt w:val="bullet"/>
      <w:lvlText w:val="•"/>
      <w:lvlJc w:val="left"/>
      <w:pPr>
        <w:ind w:left="4880" w:hanging="233"/>
      </w:pPr>
      <w:rPr>
        <w:rFonts w:hint="default"/>
      </w:rPr>
    </w:lvl>
    <w:lvl w:ilvl="6">
      <w:start w:val="1"/>
      <w:numFmt w:val="bullet"/>
      <w:lvlText w:val="•"/>
      <w:lvlJc w:val="left"/>
      <w:pPr>
        <w:ind w:left="5788" w:hanging="233"/>
      </w:pPr>
      <w:rPr>
        <w:rFonts w:hint="default"/>
      </w:rPr>
    </w:lvl>
    <w:lvl w:ilvl="7">
      <w:start w:val="1"/>
      <w:numFmt w:val="bullet"/>
      <w:lvlText w:val="•"/>
      <w:lvlJc w:val="left"/>
      <w:pPr>
        <w:ind w:left="6696" w:hanging="233"/>
      </w:pPr>
      <w:rPr>
        <w:rFonts w:hint="default"/>
      </w:rPr>
    </w:lvl>
    <w:lvl w:ilvl="8">
      <w:start w:val="1"/>
      <w:numFmt w:val="bullet"/>
      <w:lvlText w:val="•"/>
      <w:lvlJc w:val="left"/>
      <w:pPr>
        <w:ind w:left="7604" w:hanging="233"/>
      </w:pPr>
      <w:rPr>
        <w:rFonts w:hint="default"/>
      </w:rPr>
    </w:lvl>
  </w:abstractNum>
  <w:abstractNum w:abstractNumId="16">
    <w:multiLevelType w:val="hybridMultilevel"/>
    <w:lvl w:ilvl="0">
      <w:start w:val="1"/>
      <w:numFmt w:val="lowerLetter"/>
      <w:lvlText w:val="%1)"/>
      <w:lvlJc w:val="left"/>
      <w:pPr>
        <w:ind w:left="334" w:hanging="233"/>
        <w:jc w:val="left"/>
      </w:pPr>
      <w:rPr>
        <w:rFonts w:hint="default" w:ascii="Arial" w:hAnsi="Arial" w:eastAsia="Arial" w:cs="Arial"/>
        <w:w w:val="99"/>
        <w:sz w:val="20"/>
        <w:szCs w:val="20"/>
      </w:rPr>
    </w:lvl>
    <w:lvl w:ilvl="1">
      <w:start w:val="1"/>
      <w:numFmt w:val="bullet"/>
      <w:lvlText w:val="•"/>
      <w:lvlJc w:val="left"/>
      <w:pPr>
        <w:ind w:left="1248" w:hanging="233"/>
      </w:pPr>
      <w:rPr>
        <w:rFonts w:hint="default"/>
      </w:rPr>
    </w:lvl>
    <w:lvl w:ilvl="2">
      <w:start w:val="1"/>
      <w:numFmt w:val="bullet"/>
      <w:lvlText w:val="•"/>
      <w:lvlJc w:val="left"/>
      <w:pPr>
        <w:ind w:left="2156" w:hanging="233"/>
      </w:pPr>
      <w:rPr>
        <w:rFonts w:hint="default"/>
      </w:rPr>
    </w:lvl>
    <w:lvl w:ilvl="3">
      <w:start w:val="1"/>
      <w:numFmt w:val="bullet"/>
      <w:lvlText w:val="•"/>
      <w:lvlJc w:val="left"/>
      <w:pPr>
        <w:ind w:left="3064" w:hanging="233"/>
      </w:pPr>
      <w:rPr>
        <w:rFonts w:hint="default"/>
      </w:rPr>
    </w:lvl>
    <w:lvl w:ilvl="4">
      <w:start w:val="1"/>
      <w:numFmt w:val="bullet"/>
      <w:lvlText w:val="•"/>
      <w:lvlJc w:val="left"/>
      <w:pPr>
        <w:ind w:left="3972" w:hanging="233"/>
      </w:pPr>
      <w:rPr>
        <w:rFonts w:hint="default"/>
      </w:rPr>
    </w:lvl>
    <w:lvl w:ilvl="5">
      <w:start w:val="1"/>
      <w:numFmt w:val="bullet"/>
      <w:lvlText w:val="•"/>
      <w:lvlJc w:val="left"/>
      <w:pPr>
        <w:ind w:left="4880" w:hanging="233"/>
      </w:pPr>
      <w:rPr>
        <w:rFonts w:hint="default"/>
      </w:rPr>
    </w:lvl>
    <w:lvl w:ilvl="6">
      <w:start w:val="1"/>
      <w:numFmt w:val="bullet"/>
      <w:lvlText w:val="•"/>
      <w:lvlJc w:val="left"/>
      <w:pPr>
        <w:ind w:left="5788" w:hanging="233"/>
      </w:pPr>
      <w:rPr>
        <w:rFonts w:hint="default"/>
      </w:rPr>
    </w:lvl>
    <w:lvl w:ilvl="7">
      <w:start w:val="1"/>
      <w:numFmt w:val="bullet"/>
      <w:lvlText w:val="•"/>
      <w:lvlJc w:val="left"/>
      <w:pPr>
        <w:ind w:left="6696" w:hanging="233"/>
      </w:pPr>
      <w:rPr>
        <w:rFonts w:hint="default"/>
      </w:rPr>
    </w:lvl>
    <w:lvl w:ilvl="8">
      <w:start w:val="1"/>
      <w:numFmt w:val="bullet"/>
      <w:lvlText w:val="•"/>
      <w:lvlJc w:val="left"/>
      <w:pPr>
        <w:ind w:left="7604" w:hanging="233"/>
      </w:pPr>
      <w:rPr>
        <w:rFonts w:hint="default"/>
      </w:rPr>
    </w:lvl>
  </w:abstractNum>
  <w:abstractNum w:abstractNumId="15">
    <w:multiLevelType w:val="hybridMultilevel"/>
    <w:lvl w:ilvl="0">
      <w:start w:val="3"/>
      <w:numFmt w:val="lowerLetter"/>
      <w:lvlText w:val="%1)"/>
      <w:lvlJc w:val="left"/>
      <w:pPr>
        <w:ind w:left="345" w:hanging="223"/>
        <w:jc w:val="left"/>
      </w:pPr>
      <w:rPr>
        <w:rFonts w:hint="default" w:ascii="Arial" w:hAnsi="Arial" w:eastAsia="Arial" w:cs="Arial"/>
        <w:spacing w:val="0"/>
        <w:w w:val="99"/>
        <w:sz w:val="20"/>
        <w:szCs w:val="20"/>
      </w:rPr>
    </w:lvl>
    <w:lvl w:ilvl="1">
      <w:start w:val="1"/>
      <w:numFmt w:val="bullet"/>
      <w:lvlText w:val="•"/>
      <w:lvlJc w:val="left"/>
      <w:pPr>
        <w:ind w:left="1250" w:hanging="223"/>
      </w:pPr>
      <w:rPr>
        <w:rFonts w:hint="default"/>
      </w:rPr>
    </w:lvl>
    <w:lvl w:ilvl="2">
      <w:start w:val="1"/>
      <w:numFmt w:val="bullet"/>
      <w:lvlText w:val="•"/>
      <w:lvlJc w:val="left"/>
      <w:pPr>
        <w:ind w:left="2160" w:hanging="223"/>
      </w:pPr>
      <w:rPr>
        <w:rFonts w:hint="default"/>
      </w:rPr>
    </w:lvl>
    <w:lvl w:ilvl="3">
      <w:start w:val="1"/>
      <w:numFmt w:val="bullet"/>
      <w:lvlText w:val="•"/>
      <w:lvlJc w:val="left"/>
      <w:pPr>
        <w:ind w:left="3070" w:hanging="223"/>
      </w:pPr>
      <w:rPr>
        <w:rFonts w:hint="default"/>
      </w:rPr>
    </w:lvl>
    <w:lvl w:ilvl="4">
      <w:start w:val="1"/>
      <w:numFmt w:val="bullet"/>
      <w:lvlText w:val="•"/>
      <w:lvlJc w:val="left"/>
      <w:pPr>
        <w:ind w:left="3980" w:hanging="223"/>
      </w:pPr>
      <w:rPr>
        <w:rFonts w:hint="default"/>
      </w:rPr>
    </w:lvl>
    <w:lvl w:ilvl="5">
      <w:start w:val="1"/>
      <w:numFmt w:val="bullet"/>
      <w:lvlText w:val="•"/>
      <w:lvlJc w:val="left"/>
      <w:pPr>
        <w:ind w:left="4890" w:hanging="223"/>
      </w:pPr>
      <w:rPr>
        <w:rFonts w:hint="default"/>
      </w:rPr>
    </w:lvl>
    <w:lvl w:ilvl="6">
      <w:start w:val="1"/>
      <w:numFmt w:val="bullet"/>
      <w:lvlText w:val="•"/>
      <w:lvlJc w:val="left"/>
      <w:pPr>
        <w:ind w:left="5800" w:hanging="223"/>
      </w:pPr>
      <w:rPr>
        <w:rFonts w:hint="default"/>
      </w:rPr>
    </w:lvl>
    <w:lvl w:ilvl="7">
      <w:start w:val="1"/>
      <w:numFmt w:val="bullet"/>
      <w:lvlText w:val="•"/>
      <w:lvlJc w:val="left"/>
      <w:pPr>
        <w:ind w:left="6710" w:hanging="223"/>
      </w:pPr>
      <w:rPr>
        <w:rFonts w:hint="default"/>
      </w:rPr>
    </w:lvl>
    <w:lvl w:ilvl="8">
      <w:start w:val="1"/>
      <w:numFmt w:val="bullet"/>
      <w:lvlText w:val="•"/>
      <w:lvlJc w:val="left"/>
      <w:pPr>
        <w:ind w:left="7620" w:hanging="223"/>
      </w:pPr>
      <w:rPr>
        <w:rFonts w:hint="default"/>
      </w:rPr>
    </w:lvl>
  </w:abstractNum>
  <w:abstractNum w:abstractNumId="14">
    <w:multiLevelType w:val="hybridMultilevel"/>
    <w:lvl w:ilvl="0">
      <w:start w:val="1"/>
      <w:numFmt w:val="decimal"/>
      <w:lvlText w:val="%1)"/>
      <w:lvlJc w:val="left"/>
      <w:pPr>
        <w:ind w:left="354" w:hanging="233"/>
        <w:jc w:val="left"/>
      </w:pPr>
      <w:rPr>
        <w:rFonts w:hint="default" w:ascii="Arial" w:hAnsi="Arial" w:eastAsia="Arial" w:cs="Arial"/>
        <w:b/>
        <w:bCs/>
        <w:w w:val="99"/>
        <w:sz w:val="20"/>
        <w:szCs w:val="20"/>
      </w:rPr>
    </w:lvl>
    <w:lvl w:ilvl="1">
      <w:start w:val="1"/>
      <w:numFmt w:val="lowerLetter"/>
      <w:lvlText w:val="%2)"/>
      <w:lvlJc w:val="left"/>
      <w:pPr>
        <w:ind w:left="354" w:hanging="233"/>
        <w:jc w:val="left"/>
      </w:pPr>
      <w:rPr>
        <w:rFonts w:hint="default" w:ascii="Arial" w:hAnsi="Arial" w:eastAsia="Arial" w:cs="Arial"/>
        <w:w w:val="99"/>
        <w:sz w:val="20"/>
        <w:szCs w:val="20"/>
      </w:rPr>
    </w:lvl>
    <w:lvl w:ilvl="2">
      <w:start w:val="1"/>
      <w:numFmt w:val="bullet"/>
      <w:lvlText w:val="•"/>
      <w:lvlJc w:val="left"/>
      <w:pPr>
        <w:ind w:left="400" w:hanging="233"/>
      </w:pPr>
      <w:rPr>
        <w:rFonts w:hint="default"/>
      </w:rPr>
    </w:lvl>
    <w:lvl w:ilvl="3">
      <w:start w:val="1"/>
      <w:numFmt w:val="bullet"/>
      <w:lvlText w:val="•"/>
      <w:lvlJc w:val="left"/>
      <w:pPr>
        <w:ind w:left="1527" w:hanging="233"/>
      </w:pPr>
      <w:rPr>
        <w:rFonts w:hint="default"/>
      </w:rPr>
    </w:lvl>
    <w:lvl w:ilvl="4">
      <w:start w:val="1"/>
      <w:numFmt w:val="bullet"/>
      <w:lvlText w:val="•"/>
      <w:lvlJc w:val="left"/>
      <w:pPr>
        <w:ind w:left="2655" w:hanging="233"/>
      </w:pPr>
      <w:rPr>
        <w:rFonts w:hint="default"/>
      </w:rPr>
    </w:lvl>
    <w:lvl w:ilvl="5">
      <w:start w:val="1"/>
      <w:numFmt w:val="bullet"/>
      <w:lvlText w:val="•"/>
      <w:lvlJc w:val="left"/>
      <w:pPr>
        <w:ind w:left="3782" w:hanging="233"/>
      </w:pPr>
      <w:rPr>
        <w:rFonts w:hint="default"/>
      </w:rPr>
    </w:lvl>
    <w:lvl w:ilvl="6">
      <w:start w:val="1"/>
      <w:numFmt w:val="bullet"/>
      <w:lvlText w:val="•"/>
      <w:lvlJc w:val="left"/>
      <w:pPr>
        <w:ind w:left="4910" w:hanging="233"/>
      </w:pPr>
      <w:rPr>
        <w:rFonts w:hint="default"/>
      </w:rPr>
    </w:lvl>
    <w:lvl w:ilvl="7">
      <w:start w:val="1"/>
      <w:numFmt w:val="bullet"/>
      <w:lvlText w:val="•"/>
      <w:lvlJc w:val="left"/>
      <w:pPr>
        <w:ind w:left="6037" w:hanging="233"/>
      </w:pPr>
      <w:rPr>
        <w:rFonts w:hint="default"/>
      </w:rPr>
    </w:lvl>
    <w:lvl w:ilvl="8">
      <w:start w:val="1"/>
      <w:numFmt w:val="bullet"/>
      <w:lvlText w:val="•"/>
      <w:lvlJc w:val="left"/>
      <w:pPr>
        <w:ind w:left="7165" w:hanging="233"/>
      </w:pPr>
      <w:rPr>
        <w:rFonts w:hint="default"/>
      </w:rPr>
    </w:lvl>
  </w:abstractNum>
  <w:abstractNum w:abstractNumId="13">
    <w:multiLevelType w:val="hybridMultilevel"/>
    <w:lvl w:ilvl="0">
      <w:start w:val="1"/>
      <w:numFmt w:val="upperRoman"/>
      <w:lvlText w:val="%1."/>
      <w:lvlJc w:val="left"/>
      <w:pPr>
        <w:ind w:left="122" w:hanging="167"/>
        <w:jc w:val="left"/>
      </w:pPr>
      <w:rPr>
        <w:rFonts w:hint="default" w:ascii="Arial" w:hAnsi="Arial" w:eastAsia="Arial" w:cs="Arial"/>
        <w:b/>
        <w:bCs/>
        <w:w w:val="99"/>
        <w:sz w:val="20"/>
        <w:szCs w:val="20"/>
      </w:rPr>
    </w:lvl>
    <w:lvl w:ilvl="1">
      <w:start w:val="1"/>
      <w:numFmt w:val="bullet"/>
      <w:lvlText w:val="•"/>
      <w:lvlJc w:val="left"/>
      <w:pPr>
        <w:ind w:left="1052" w:hanging="167"/>
      </w:pPr>
      <w:rPr>
        <w:rFonts w:hint="default"/>
      </w:rPr>
    </w:lvl>
    <w:lvl w:ilvl="2">
      <w:start w:val="1"/>
      <w:numFmt w:val="bullet"/>
      <w:lvlText w:val="•"/>
      <w:lvlJc w:val="left"/>
      <w:pPr>
        <w:ind w:left="1984" w:hanging="167"/>
      </w:pPr>
      <w:rPr>
        <w:rFonts w:hint="default"/>
      </w:rPr>
    </w:lvl>
    <w:lvl w:ilvl="3">
      <w:start w:val="1"/>
      <w:numFmt w:val="bullet"/>
      <w:lvlText w:val="•"/>
      <w:lvlJc w:val="left"/>
      <w:pPr>
        <w:ind w:left="2916" w:hanging="167"/>
      </w:pPr>
      <w:rPr>
        <w:rFonts w:hint="default"/>
      </w:rPr>
    </w:lvl>
    <w:lvl w:ilvl="4">
      <w:start w:val="1"/>
      <w:numFmt w:val="bullet"/>
      <w:lvlText w:val="•"/>
      <w:lvlJc w:val="left"/>
      <w:pPr>
        <w:ind w:left="3848" w:hanging="167"/>
      </w:pPr>
      <w:rPr>
        <w:rFonts w:hint="default"/>
      </w:rPr>
    </w:lvl>
    <w:lvl w:ilvl="5">
      <w:start w:val="1"/>
      <w:numFmt w:val="bullet"/>
      <w:lvlText w:val="•"/>
      <w:lvlJc w:val="left"/>
      <w:pPr>
        <w:ind w:left="4780" w:hanging="167"/>
      </w:pPr>
      <w:rPr>
        <w:rFonts w:hint="default"/>
      </w:rPr>
    </w:lvl>
    <w:lvl w:ilvl="6">
      <w:start w:val="1"/>
      <w:numFmt w:val="bullet"/>
      <w:lvlText w:val="•"/>
      <w:lvlJc w:val="left"/>
      <w:pPr>
        <w:ind w:left="5712" w:hanging="167"/>
      </w:pPr>
      <w:rPr>
        <w:rFonts w:hint="default"/>
      </w:rPr>
    </w:lvl>
    <w:lvl w:ilvl="7">
      <w:start w:val="1"/>
      <w:numFmt w:val="bullet"/>
      <w:lvlText w:val="•"/>
      <w:lvlJc w:val="left"/>
      <w:pPr>
        <w:ind w:left="6644" w:hanging="167"/>
      </w:pPr>
      <w:rPr>
        <w:rFonts w:hint="default"/>
      </w:rPr>
    </w:lvl>
    <w:lvl w:ilvl="8">
      <w:start w:val="1"/>
      <w:numFmt w:val="bullet"/>
      <w:lvlText w:val="•"/>
      <w:lvlJc w:val="left"/>
      <w:pPr>
        <w:ind w:left="7576" w:hanging="167"/>
      </w:pPr>
      <w:rPr>
        <w:rFonts w:hint="default"/>
      </w:rPr>
    </w:lvl>
  </w:abstractNum>
  <w:abstractNum w:abstractNumId="12">
    <w:multiLevelType w:val="hybridMultilevel"/>
    <w:lvl w:ilvl="0">
      <w:start w:val="1"/>
      <w:numFmt w:val="decimal"/>
      <w:lvlText w:val="%1."/>
      <w:lvlJc w:val="left"/>
      <w:pPr>
        <w:ind w:left="122" w:hanging="314"/>
        <w:jc w:val="left"/>
      </w:pPr>
      <w:rPr>
        <w:rFonts w:hint="default" w:ascii="Arial" w:hAnsi="Arial" w:eastAsia="Arial" w:cs="Arial"/>
        <w:w w:val="99"/>
        <w:sz w:val="24"/>
        <w:szCs w:val="24"/>
      </w:rPr>
    </w:lvl>
    <w:lvl w:ilvl="1">
      <w:start w:val="1"/>
      <w:numFmt w:val="bullet"/>
      <w:lvlText w:val="•"/>
      <w:lvlJc w:val="left"/>
      <w:pPr>
        <w:ind w:left="1054" w:hanging="314"/>
      </w:pPr>
      <w:rPr>
        <w:rFonts w:hint="default"/>
      </w:rPr>
    </w:lvl>
    <w:lvl w:ilvl="2">
      <w:start w:val="1"/>
      <w:numFmt w:val="bullet"/>
      <w:lvlText w:val="•"/>
      <w:lvlJc w:val="left"/>
      <w:pPr>
        <w:ind w:left="1988" w:hanging="314"/>
      </w:pPr>
      <w:rPr>
        <w:rFonts w:hint="default"/>
      </w:rPr>
    </w:lvl>
    <w:lvl w:ilvl="3">
      <w:start w:val="1"/>
      <w:numFmt w:val="bullet"/>
      <w:lvlText w:val="•"/>
      <w:lvlJc w:val="left"/>
      <w:pPr>
        <w:ind w:left="2922" w:hanging="314"/>
      </w:pPr>
      <w:rPr>
        <w:rFonts w:hint="default"/>
      </w:rPr>
    </w:lvl>
    <w:lvl w:ilvl="4">
      <w:start w:val="1"/>
      <w:numFmt w:val="bullet"/>
      <w:lvlText w:val="•"/>
      <w:lvlJc w:val="left"/>
      <w:pPr>
        <w:ind w:left="3856" w:hanging="314"/>
      </w:pPr>
      <w:rPr>
        <w:rFonts w:hint="default"/>
      </w:rPr>
    </w:lvl>
    <w:lvl w:ilvl="5">
      <w:start w:val="1"/>
      <w:numFmt w:val="bullet"/>
      <w:lvlText w:val="•"/>
      <w:lvlJc w:val="left"/>
      <w:pPr>
        <w:ind w:left="4790" w:hanging="314"/>
      </w:pPr>
      <w:rPr>
        <w:rFonts w:hint="default"/>
      </w:rPr>
    </w:lvl>
    <w:lvl w:ilvl="6">
      <w:start w:val="1"/>
      <w:numFmt w:val="bullet"/>
      <w:lvlText w:val="•"/>
      <w:lvlJc w:val="left"/>
      <w:pPr>
        <w:ind w:left="5724" w:hanging="314"/>
      </w:pPr>
      <w:rPr>
        <w:rFonts w:hint="default"/>
      </w:rPr>
    </w:lvl>
    <w:lvl w:ilvl="7">
      <w:start w:val="1"/>
      <w:numFmt w:val="bullet"/>
      <w:lvlText w:val="•"/>
      <w:lvlJc w:val="left"/>
      <w:pPr>
        <w:ind w:left="6658" w:hanging="314"/>
      </w:pPr>
      <w:rPr>
        <w:rFonts w:hint="default"/>
      </w:rPr>
    </w:lvl>
    <w:lvl w:ilvl="8">
      <w:start w:val="1"/>
      <w:numFmt w:val="bullet"/>
      <w:lvlText w:val="•"/>
      <w:lvlJc w:val="left"/>
      <w:pPr>
        <w:ind w:left="7592" w:hanging="314"/>
      </w:pPr>
      <w:rPr>
        <w:rFonts w:hint="default"/>
      </w:rPr>
    </w:lvl>
  </w:abstractNum>
  <w:abstractNum w:abstractNumId="10">
    <w:multiLevelType w:val="hybridMultilevel"/>
    <w:lvl w:ilvl="0">
      <w:start w:val="1"/>
      <w:numFmt w:val="bullet"/>
      <w:lvlText w:val="-"/>
      <w:lvlJc w:val="left"/>
      <w:pPr>
        <w:ind w:left="822" w:hanging="360"/>
      </w:pPr>
      <w:rPr>
        <w:rFonts w:hint="default" w:ascii="Times New Roman" w:hAnsi="Times New Roman" w:eastAsia="Times New Roman" w:cs="Times New Roman"/>
        <w:spacing w:val="-3"/>
        <w:w w:val="99"/>
        <w:sz w:val="24"/>
        <w:szCs w:val="24"/>
      </w:rPr>
    </w:lvl>
    <w:lvl w:ilvl="1">
      <w:start w:val="1"/>
      <w:numFmt w:val="bullet"/>
      <w:lvlText w:val="•"/>
      <w:lvlJc w:val="left"/>
      <w:pPr>
        <w:ind w:left="1680" w:hanging="360"/>
      </w:pPr>
      <w:rPr>
        <w:rFonts w:hint="default"/>
      </w:rPr>
    </w:lvl>
    <w:lvl w:ilvl="2">
      <w:start w:val="1"/>
      <w:numFmt w:val="bullet"/>
      <w:lvlText w:val="•"/>
      <w:lvlJc w:val="left"/>
      <w:pPr>
        <w:ind w:left="2540" w:hanging="360"/>
      </w:pPr>
      <w:rPr>
        <w:rFonts w:hint="default"/>
      </w:rPr>
    </w:lvl>
    <w:lvl w:ilvl="3">
      <w:start w:val="1"/>
      <w:numFmt w:val="bullet"/>
      <w:lvlText w:val="•"/>
      <w:lvlJc w:val="left"/>
      <w:pPr>
        <w:ind w:left="3400" w:hanging="360"/>
      </w:pPr>
      <w:rPr>
        <w:rFonts w:hint="default"/>
      </w:rPr>
    </w:lvl>
    <w:lvl w:ilvl="4">
      <w:start w:val="1"/>
      <w:numFmt w:val="bullet"/>
      <w:lvlText w:val="•"/>
      <w:lvlJc w:val="left"/>
      <w:pPr>
        <w:ind w:left="4260" w:hanging="360"/>
      </w:pPr>
      <w:rPr>
        <w:rFonts w:hint="default"/>
      </w:rPr>
    </w:lvl>
    <w:lvl w:ilvl="5">
      <w:start w:val="1"/>
      <w:numFmt w:val="bullet"/>
      <w:lvlText w:val="•"/>
      <w:lvlJc w:val="left"/>
      <w:pPr>
        <w:ind w:left="5120" w:hanging="360"/>
      </w:pPr>
      <w:rPr>
        <w:rFonts w:hint="default"/>
      </w:rPr>
    </w:lvl>
    <w:lvl w:ilvl="6">
      <w:start w:val="1"/>
      <w:numFmt w:val="bullet"/>
      <w:lvlText w:val="•"/>
      <w:lvlJc w:val="left"/>
      <w:pPr>
        <w:ind w:left="5980" w:hanging="360"/>
      </w:pPr>
      <w:rPr>
        <w:rFonts w:hint="default"/>
      </w:rPr>
    </w:lvl>
    <w:lvl w:ilvl="7">
      <w:start w:val="1"/>
      <w:numFmt w:val="bullet"/>
      <w:lvlText w:val="•"/>
      <w:lvlJc w:val="left"/>
      <w:pPr>
        <w:ind w:left="6840" w:hanging="360"/>
      </w:pPr>
      <w:rPr>
        <w:rFonts w:hint="default"/>
      </w:rPr>
    </w:lvl>
    <w:lvl w:ilvl="8">
      <w:start w:val="1"/>
      <w:numFmt w:val="bullet"/>
      <w:lvlText w:val="•"/>
      <w:lvlJc w:val="left"/>
      <w:pPr>
        <w:ind w:left="7700" w:hanging="360"/>
      </w:pPr>
      <w:rPr>
        <w:rFonts w:hint="default"/>
      </w:rPr>
    </w:lvl>
  </w:abstractNum>
  <w:abstractNum w:abstractNumId="9">
    <w:multiLevelType w:val="hybridMultilevel"/>
    <w:lvl w:ilvl="0">
      <w:start w:val="1"/>
      <w:numFmt w:val="bullet"/>
      <w:lvlText w:val=""/>
      <w:lvlJc w:val="left"/>
      <w:pPr>
        <w:ind w:left="122" w:hanging="720"/>
      </w:pPr>
      <w:rPr>
        <w:rFonts w:hint="default" w:ascii="Wingdings" w:hAnsi="Wingdings" w:eastAsia="Wingdings" w:cs="Wingdings"/>
        <w:w w:val="100"/>
        <w:sz w:val="24"/>
        <w:szCs w:val="24"/>
      </w:rPr>
    </w:lvl>
    <w:lvl w:ilvl="1">
      <w:start w:val="1"/>
      <w:numFmt w:val="bullet"/>
      <w:lvlText w:val=""/>
      <w:lvlJc w:val="left"/>
      <w:pPr>
        <w:ind w:left="822" w:hanging="360"/>
      </w:pPr>
      <w:rPr>
        <w:rFonts w:hint="default" w:ascii="Symbol" w:hAnsi="Symbol" w:eastAsia="Symbol" w:cs="Symbol"/>
        <w:w w:val="100"/>
        <w:sz w:val="24"/>
        <w:szCs w:val="24"/>
      </w:rPr>
    </w:lvl>
    <w:lvl w:ilvl="2">
      <w:start w:val="1"/>
      <w:numFmt w:val="bullet"/>
      <w:lvlText w:val="•"/>
      <w:lvlJc w:val="left"/>
      <w:pPr>
        <w:ind w:left="1775" w:hanging="360"/>
      </w:pPr>
      <w:rPr>
        <w:rFonts w:hint="default"/>
      </w:rPr>
    </w:lvl>
    <w:lvl w:ilvl="3">
      <w:start w:val="1"/>
      <w:numFmt w:val="bullet"/>
      <w:lvlText w:val="•"/>
      <w:lvlJc w:val="left"/>
      <w:pPr>
        <w:ind w:left="2731" w:hanging="360"/>
      </w:pPr>
      <w:rPr>
        <w:rFonts w:hint="default"/>
      </w:rPr>
    </w:lvl>
    <w:lvl w:ilvl="4">
      <w:start w:val="1"/>
      <w:numFmt w:val="bullet"/>
      <w:lvlText w:val="•"/>
      <w:lvlJc w:val="left"/>
      <w:pPr>
        <w:ind w:left="3686" w:hanging="360"/>
      </w:pPr>
      <w:rPr>
        <w:rFonts w:hint="default"/>
      </w:rPr>
    </w:lvl>
    <w:lvl w:ilvl="5">
      <w:start w:val="1"/>
      <w:numFmt w:val="bullet"/>
      <w:lvlText w:val="•"/>
      <w:lvlJc w:val="left"/>
      <w:pPr>
        <w:ind w:left="4642" w:hanging="360"/>
      </w:pPr>
      <w:rPr>
        <w:rFonts w:hint="default"/>
      </w:rPr>
    </w:lvl>
    <w:lvl w:ilvl="6">
      <w:start w:val="1"/>
      <w:numFmt w:val="bullet"/>
      <w:lvlText w:val="•"/>
      <w:lvlJc w:val="left"/>
      <w:pPr>
        <w:ind w:left="5597" w:hanging="360"/>
      </w:pPr>
      <w:rPr>
        <w:rFonts w:hint="default"/>
      </w:rPr>
    </w:lvl>
    <w:lvl w:ilvl="7">
      <w:start w:val="1"/>
      <w:numFmt w:val="bullet"/>
      <w:lvlText w:val="•"/>
      <w:lvlJc w:val="left"/>
      <w:pPr>
        <w:ind w:left="6553" w:hanging="360"/>
      </w:pPr>
      <w:rPr>
        <w:rFonts w:hint="default"/>
      </w:rPr>
    </w:lvl>
    <w:lvl w:ilvl="8">
      <w:start w:val="1"/>
      <w:numFmt w:val="bullet"/>
      <w:lvlText w:val="•"/>
      <w:lvlJc w:val="left"/>
      <w:pPr>
        <w:ind w:left="7508" w:hanging="360"/>
      </w:pPr>
      <w:rPr>
        <w:rFonts w:hint="default"/>
      </w:rPr>
    </w:lvl>
  </w:abstractNum>
  <w:abstractNum w:abstractNumId="8">
    <w:multiLevelType w:val="hybridMultilevel"/>
    <w:lvl w:ilvl="0">
      <w:start w:val="3"/>
      <w:numFmt w:val="upperRoman"/>
      <w:lvlText w:val="%1."/>
      <w:lvlJc w:val="left"/>
      <w:pPr>
        <w:ind w:left="102" w:hanging="720"/>
        <w:jc w:val="right"/>
      </w:pPr>
      <w:rPr>
        <w:rFonts w:hint="default" w:ascii="Arial" w:hAnsi="Arial" w:eastAsia="Arial" w:cs="Arial"/>
        <w:w w:val="100"/>
        <w:sz w:val="24"/>
        <w:szCs w:val="24"/>
      </w:rPr>
    </w:lvl>
    <w:lvl w:ilvl="1">
      <w:start w:val="1"/>
      <w:numFmt w:val="bullet"/>
      <w:lvlText w:val="•"/>
      <w:lvlJc w:val="left"/>
      <w:pPr>
        <w:ind w:left="1032" w:hanging="720"/>
      </w:pPr>
      <w:rPr>
        <w:rFonts w:hint="default"/>
      </w:rPr>
    </w:lvl>
    <w:lvl w:ilvl="2">
      <w:start w:val="1"/>
      <w:numFmt w:val="bullet"/>
      <w:lvlText w:val="•"/>
      <w:lvlJc w:val="left"/>
      <w:pPr>
        <w:ind w:left="1964" w:hanging="720"/>
      </w:pPr>
      <w:rPr>
        <w:rFonts w:hint="default"/>
      </w:rPr>
    </w:lvl>
    <w:lvl w:ilvl="3">
      <w:start w:val="1"/>
      <w:numFmt w:val="bullet"/>
      <w:lvlText w:val="•"/>
      <w:lvlJc w:val="left"/>
      <w:pPr>
        <w:ind w:left="2896" w:hanging="720"/>
      </w:pPr>
      <w:rPr>
        <w:rFonts w:hint="default"/>
      </w:rPr>
    </w:lvl>
    <w:lvl w:ilvl="4">
      <w:start w:val="1"/>
      <w:numFmt w:val="bullet"/>
      <w:lvlText w:val="•"/>
      <w:lvlJc w:val="left"/>
      <w:pPr>
        <w:ind w:left="3828" w:hanging="720"/>
      </w:pPr>
      <w:rPr>
        <w:rFonts w:hint="default"/>
      </w:rPr>
    </w:lvl>
    <w:lvl w:ilvl="5">
      <w:start w:val="1"/>
      <w:numFmt w:val="bullet"/>
      <w:lvlText w:val="•"/>
      <w:lvlJc w:val="left"/>
      <w:pPr>
        <w:ind w:left="4760" w:hanging="720"/>
      </w:pPr>
      <w:rPr>
        <w:rFonts w:hint="default"/>
      </w:rPr>
    </w:lvl>
    <w:lvl w:ilvl="6">
      <w:start w:val="1"/>
      <w:numFmt w:val="bullet"/>
      <w:lvlText w:val="•"/>
      <w:lvlJc w:val="left"/>
      <w:pPr>
        <w:ind w:left="5692" w:hanging="720"/>
      </w:pPr>
      <w:rPr>
        <w:rFonts w:hint="default"/>
      </w:rPr>
    </w:lvl>
    <w:lvl w:ilvl="7">
      <w:start w:val="1"/>
      <w:numFmt w:val="bullet"/>
      <w:lvlText w:val="•"/>
      <w:lvlJc w:val="left"/>
      <w:pPr>
        <w:ind w:left="6624" w:hanging="720"/>
      </w:pPr>
      <w:rPr>
        <w:rFonts w:hint="default"/>
      </w:rPr>
    </w:lvl>
    <w:lvl w:ilvl="8">
      <w:start w:val="1"/>
      <w:numFmt w:val="bullet"/>
      <w:lvlText w:val="•"/>
      <w:lvlJc w:val="left"/>
      <w:pPr>
        <w:ind w:left="7556" w:hanging="720"/>
      </w:pPr>
      <w:rPr>
        <w:rFonts w:hint="default"/>
      </w:rPr>
    </w:lvl>
  </w:abstractNum>
  <w:abstractNum w:abstractNumId="7">
    <w:multiLevelType w:val="hybridMultilevel"/>
    <w:lvl w:ilvl="0">
      <w:start w:val="1"/>
      <w:numFmt w:val="lowerLetter"/>
      <w:lvlText w:val="%1)"/>
      <w:lvlJc w:val="left"/>
      <w:pPr>
        <w:ind w:left="102" w:hanging="286"/>
        <w:jc w:val="left"/>
      </w:pPr>
      <w:rPr>
        <w:rFonts w:hint="default" w:ascii="Arial" w:hAnsi="Arial" w:eastAsia="Arial" w:cs="Arial"/>
        <w:w w:val="99"/>
        <w:sz w:val="24"/>
        <w:szCs w:val="24"/>
      </w:rPr>
    </w:lvl>
    <w:lvl w:ilvl="1">
      <w:start w:val="1"/>
      <w:numFmt w:val="bullet"/>
      <w:lvlText w:val="•"/>
      <w:lvlJc w:val="left"/>
      <w:pPr>
        <w:ind w:left="1032" w:hanging="286"/>
      </w:pPr>
      <w:rPr>
        <w:rFonts w:hint="default"/>
      </w:rPr>
    </w:lvl>
    <w:lvl w:ilvl="2">
      <w:start w:val="1"/>
      <w:numFmt w:val="bullet"/>
      <w:lvlText w:val="•"/>
      <w:lvlJc w:val="left"/>
      <w:pPr>
        <w:ind w:left="1964" w:hanging="286"/>
      </w:pPr>
      <w:rPr>
        <w:rFonts w:hint="default"/>
      </w:rPr>
    </w:lvl>
    <w:lvl w:ilvl="3">
      <w:start w:val="1"/>
      <w:numFmt w:val="bullet"/>
      <w:lvlText w:val="•"/>
      <w:lvlJc w:val="left"/>
      <w:pPr>
        <w:ind w:left="2896" w:hanging="286"/>
      </w:pPr>
      <w:rPr>
        <w:rFonts w:hint="default"/>
      </w:rPr>
    </w:lvl>
    <w:lvl w:ilvl="4">
      <w:start w:val="1"/>
      <w:numFmt w:val="bullet"/>
      <w:lvlText w:val="•"/>
      <w:lvlJc w:val="left"/>
      <w:pPr>
        <w:ind w:left="3828" w:hanging="286"/>
      </w:pPr>
      <w:rPr>
        <w:rFonts w:hint="default"/>
      </w:rPr>
    </w:lvl>
    <w:lvl w:ilvl="5">
      <w:start w:val="1"/>
      <w:numFmt w:val="bullet"/>
      <w:lvlText w:val="•"/>
      <w:lvlJc w:val="left"/>
      <w:pPr>
        <w:ind w:left="4760" w:hanging="286"/>
      </w:pPr>
      <w:rPr>
        <w:rFonts w:hint="default"/>
      </w:rPr>
    </w:lvl>
    <w:lvl w:ilvl="6">
      <w:start w:val="1"/>
      <w:numFmt w:val="bullet"/>
      <w:lvlText w:val="•"/>
      <w:lvlJc w:val="left"/>
      <w:pPr>
        <w:ind w:left="5692" w:hanging="286"/>
      </w:pPr>
      <w:rPr>
        <w:rFonts w:hint="default"/>
      </w:rPr>
    </w:lvl>
    <w:lvl w:ilvl="7">
      <w:start w:val="1"/>
      <w:numFmt w:val="bullet"/>
      <w:lvlText w:val="•"/>
      <w:lvlJc w:val="left"/>
      <w:pPr>
        <w:ind w:left="6624" w:hanging="286"/>
      </w:pPr>
      <w:rPr>
        <w:rFonts w:hint="default"/>
      </w:rPr>
    </w:lvl>
    <w:lvl w:ilvl="8">
      <w:start w:val="1"/>
      <w:numFmt w:val="bullet"/>
      <w:lvlText w:val="•"/>
      <w:lvlJc w:val="left"/>
      <w:pPr>
        <w:ind w:left="7556" w:hanging="286"/>
      </w:pPr>
      <w:rPr>
        <w:rFonts w:hint="default"/>
      </w:rPr>
    </w:lvl>
  </w:abstractNum>
  <w:abstractNum w:abstractNumId="6">
    <w:multiLevelType w:val="hybridMultilevel"/>
    <w:lvl w:ilvl="0">
      <w:start w:val="1"/>
      <w:numFmt w:val="bullet"/>
      <w:lvlText w:val="•"/>
      <w:lvlJc w:val="left"/>
      <w:pPr>
        <w:ind w:left="102" w:hanging="199"/>
      </w:pPr>
      <w:rPr>
        <w:rFonts w:hint="default" w:ascii="Arial" w:hAnsi="Arial" w:eastAsia="Arial" w:cs="Arial"/>
        <w:b/>
        <w:bCs/>
        <w:w w:val="99"/>
        <w:sz w:val="24"/>
        <w:szCs w:val="24"/>
      </w:rPr>
    </w:lvl>
    <w:lvl w:ilvl="1">
      <w:start w:val="1"/>
      <w:numFmt w:val="bullet"/>
      <w:lvlText w:val="•"/>
      <w:lvlJc w:val="left"/>
      <w:pPr>
        <w:ind w:left="1032" w:hanging="199"/>
      </w:pPr>
      <w:rPr>
        <w:rFonts w:hint="default"/>
      </w:rPr>
    </w:lvl>
    <w:lvl w:ilvl="2">
      <w:start w:val="1"/>
      <w:numFmt w:val="bullet"/>
      <w:lvlText w:val="•"/>
      <w:lvlJc w:val="left"/>
      <w:pPr>
        <w:ind w:left="1964" w:hanging="199"/>
      </w:pPr>
      <w:rPr>
        <w:rFonts w:hint="default"/>
      </w:rPr>
    </w:lvl>
    <w:lvl w:ilvl="3">
      <w:start w:val="1"/>
      <w:numFmt w:val="bullet"/>
      <w:lvlText w:val="•"/>
      <w:lvlJc w:val="left"/>
      <w:pPr>
        <w:ind w:left="2896" w:hanging="199"/>
      </w:pPr>
      <w:rPr>
        <w:rFonts w:hint="default"/>
      </w:rPr>
    </w:lvl>
    <w:lvl w:ilvl="4">
      <w:start w:val="1"/>
      <w:numFmt w:val="bullet"/>
      <w:lvlText w:val="•"/>
      <w:lvlJc w:val="left"/>
      <w:pPr>
        <w:ind w:left="3828" w:hanging="199"/>
      </w:pPr>
      <w:rPr>
        <w:rFonts w:hint="default"/>
      </w:rPr>
    </w:lvl>
    <w:lvl w:ilvl="5">
      <w:start w:val="1"/>
      <w:numFmt w:val="bullet"/>
      <w:lvlText w:val="•"/>
      <w:lvlJc w:val="left"/>
      <w:pPr>
        <w:ind w:left="4760" w:hanging="199"/>
      </w:pPr>
      <w:rPr>
        <w:rFonts w:hint="default"/>
      </w:rPr>
    </w:lvl>
    <w:lvl w:ilvl="6">
      <w:start w:val="1"/>
      <w:numFmt w:val="bullet"/>
      <w:lvlText w:val="•"/>
      <w:lvlJc w:val="left"/>
      <w:pPr>
        <w:ind w:left="5692" w:hanging="199"/>
      </w:pPr>
      <w:rPr>
        <w:rFonts w:hint="default"/>
      </w:rPr>
    </w:lvl>
    <w:lvl w:ilvl="7">
      <w:start w:val="1"/>
      <w:numFmt w:val="bullet"/>
      <w:lvlText w:val="•"/>
      <w:lvlJc w:val="left"/>
      <w:pPr>
        <w:ind w:left="6624" w:hanging="199"/>
      </w:pPr>
      <w:rPr>
        <w:rFonts w:hint="default"/>
      </w:rPr>
    </w:lvl>
    <w:lvl w:ilvl="8">
      <w:start w:val="1"/>
      <w:numFmt w:val="bullet"/>
      <w:lvlText w:val="•"/>
      <w:lvlJc w:val="left"/>
      <w:pPr>
        <w:ind w:left="7556" w:hanging="199"/>
      </w:pPr>
      <w:rPr>
        <w:rFonts w:hint="default"/>
      </w:rPr>
    </w:lvl>
  </w:abstractNum>
  <w:abstractNum w:abstractNumId="5">
    <w:multiLevelType w:val="hybridMultilevel"/>
    <w:lvl w:ilvl="0">
      <w:start w:val="1"/>
      <w:numFmt w:val="bullet"/>
      <w:lvlText w:val="•"/>
      <w:lvlJc w:val="left"/>
      <w:pPr>
        <w:ind w:left="102" w:hanging="154"/>
      </w:pPr>
      <w:rPr>
        <w:rFonts w:hint="default" w:ascii="Arial" w:hAnsi="Arial" w:eastAsia="Arial" w:cs="Arial"/>
        <w:w w:val="99"/>
        <w:sz w:val="24"/>
        <w:szCs w:val="24"/>
      </w:rPr>
    </w:lvl>
    <w:lvl w:ilvl="1">
      <w:start w:val="1"/>
      <w:numFmt w:val="bullet"/>
      <w:lvlText w:val="•"/>
      <w:lvlJc w:val="left"/>
      <w:pPr>
        <w:ind w:left="1032" w:hanging="154"/>
      </w:pPr>
      <w:rPr>
        <w:rFonts w:hint="default"/>
      </w:rPr>
    </w:lvl>
    <w:lvl w:ilvl="2">
      <w:start w:val="1"/>
      <w:numFmt w:val="bullet"/>
      <w:lvlText w:val="•"/>
      <w:lvlJc w:val="left"/>
      <w:pPr>
        <w:ind w:left="1964" w:hanging="154"/>
      </w:pPr>
      <w:rPr>
        <w:rFonts w:hint="default"/>
      </w:rPr>
    </w:lvl>
    <w:lvl w:ilvl="3">
      <w:start w:val="1"/>
      <w:numFmt w:val="bullet"/>
      <w:lvlText w:val="•"/>
      <w:lvlJc w:val="left"/>
      <w:pPr>
        <w:ind w:left="2896" w:hanging="154"/>
      </w:pPr>
      <w:rPr>
        <w:rFonts w:hint="default"/>
      </w:rPr>
    </w:lvl>
    <w:lvl w:ilvl="4">
      <w:start w:val="1"/>
      <w:numFmt w:val="bullet"/>
      <w:lvlText w:val="•"/>
      <w:lvlJc w:val="left"/>
      <w:pPr>
        <w:ind w:left="3828" w:hanging="154"/>
      </w:pPr>
      <w:rPr>
        <w:rFonts w:hint="default"/>
      </w:rPr>
    </w:lvl>
    <w:lvl w:ilvl="5">
      <w:start w:val="1"/>
      <w:numFmt w:val="bullet"/>
      <w:lvlText w:val="•"/>
      <w:lvlJc w:val="left"/>
      <w:pPr>
        <w:ind w:left="4760" w:hanging="154"/>
      </w:pPr>
      <w:rPr>
        <w:rFonts w:hint="default"/>
      </w:rPr>
    </w:lvl>
    <w:lvl w:ilvl="6">
      <w:start w:val="1"/>
      <w:numFmt w:val="bullet"/>
      <w:lvlText w:val="•"/>
      <w:lvlJc w:val="left"/>
      <w:pPr>
        <w:ind w:left="5692" w:hanging="154"/>
      </w:pPr>
      <w:rPr>
        <w:rFonts w:hint="default"/>
      </w:rPr>
    </w:lvl>
    <w:lvl w:ilvl="7">
      <w:start w:val="1"/>
      <w:numFmt w:val="bullet"/>
      <w:lvlText w:val="•"/>
      <w:lvlJc w:val="left"/>
      <w:pPr>
        <w:ind w:left="6624" w:hanging="154"/>
      </w:pPr>
      <w:rPr>
        <w:rFonts w:hint="default"/>
      </w:rPr>
    </w:lvl>
    <w:lvl w:ilvl="8">
      <w:start w:val="1"/>
      <w:numFmt w:val="bullet"/>
      <w:lvlText w:val="•"/>
      <w:lvlJc w:val="left"/>
      <w:pPr>
        <w:ind w:left="7556" w:hanging="154"/>
      </w:pPr>
      <w:rPr>
        <w:rFonts w:hint="default"/>
      </w:rPr>
    </w:lvl>
  </w:abstractNum>
  <w:abstractNum w:abstractNumId="4">
    <w:multiLevelType w:val="hybridMultilevel"/>
    <w:lvl w:ilvl="0">
      <w:start w:val="1"/>
      <w:numFmt w:val="bullet"/>
      <w:lvlText w:val="•"/>
      <w:lvlJc w:val="left"/>
      <w:pPr>
        <w:ind w:left="252" w:hanging="151"/>
      </w:pPr>
      <w:rPr>
        <w:rFonts w:hint="default" w:ascii="Arial" w:hAnsi="Arial" w:eastAsia="Arial" w:cs="Arial"/>
        <w:b/>
        <w:bCs/>
        <w:w w:val="99"/>
        <w:sz w:val="24"/>
        <w:szCs w:val="24"/>
      </w:rPr>
    </w:lvl>
    <w:lvl w:ilvl="1">
      <w:start w:val="1"/>
      <w:numFmt w:val="bullet"/>
      <w:lvlText w:val="•"/>
      <w:lvlJc w:val="left"/>
      <w:pPr>
        <w:ind w:left="1176" w:hanging="151"/>
      </w:pPr>
      <w:rPr>
        <w:rFonts w:hint="default"/>
      </w:rPr>
    </w:lvl>
    <w:lvl w:ilvl="2">
      <w:start w:val="1"/>
      <w:numFmt w:val="bullet"/>
      <w:lvlText w:val="•"/>
      <w:lvlJc w:val="left"/>
      <w:pPr>
        <w:ind w:left="2092" w:hanging="151"/>
      </w:pPr>
      <w:rPr>
        <w:rFonts w:hint="default"/>
      </w:rPr>
    </w:lvl>
    <w:lvl w:ilvl="3">
      <w:start w:val="1"/>
      <w:numFmt w:val="bullet"/>
      <w:lvlText w:val="•"/>
      <w:lvlJc w:val="left"/>
      <w:pPr>
        <w:ind w:left="3008" w:hanging="151"/>
      </w:pPr>
      <w:rPr>
        <w:rFonts w:hint="default"/>
      </w:rPr>
    </w:lvl>
    <w:lvl w:ilvl="4">
      <w:start w:val="1"/>
      <w:numFmt w:val="bullet"/>
      <w:lvlText w:val="•"/>
      <w:lvlJc w:val="left"/>
      <w:pPr>
        <w:ind w:left="3924" w:hanging="151"/>
      </w:pPr>
      <w:rPr>
        <w:rFonts w:hint="default"/>
      </w:rPr>
    </w:lvl>
    <w:lvl w:ilvl="5">
      <w:start w:val="1"/>
      <w:numFmt w:val="bullet"/>
      <w:lvlText w:val="•"/>
      <w:lvlJc w:val="left"/>
      <w:pPr>
        <w:ind w:left="4840" w:hanging="151"/>
      </w:pPr>
      <w:rPr>
        <w:rFonts w:hint="default"/>
      </w:rPr>
    </w:lvl>
    <w:lvl w:ilvl="6">
      <w:start w:val="1"/>
      <w:numFmt w:val="bullet"/>
      <w:lvlText w:val="•"/>
      <w:lvlJc w:val="left"/>
      <w:pPr>
        <w:ind w:left="5756" w:hanging="151"/>
      </w:pPr>
      <w:rPr>
        <w:rFonts w:hint="default"/>
      </w:rPr>
    </w:lvl>
    <w:lvl w:ilvl="7">
      <w:start w:val="1"/>
      <w:numFmt w:val="bullet"/>
      <w:lvlText w:val="•"/>
      <w:lvlJc w:val="left"/>
      <w:pPr>
        <w:ind w:left="6672" w:hanging="151"/>
      </w:pPr>
      <w:rPr>
        <w:rFonts w:hint="default"/>
      </w:rPr>
    </w:lvl>
    <w:lvl w:ilvl="8">
      <w:start w:val="1"/>
      <w:numFmt w:val="bullet"/>
      <w:lvlText w:val="•"/>
      <w:lvlJc w:val="left"/>
      <w:pPr>
        <w:ind w:left="7588" w:hanging="151"/>
      </w:pPr>
      <w:rPr>
        <w:rFonts w:hint="default"/>
      </w:rPr>
    </w:lvl>
  </w:abstractNum>
  <w:abstractNum w:abstractNumId="3">
    <w:multiLevelType w:val="hybridMultilevel"/>
    <w:lvl w:ilvl="0">
      <w:start w:val="1"/>
      <w:numFmt w:val="bullet"/>
      <w:lvlText w:val="•"/>
      <w:lvlJc w:val="left"/>
      <w:pPr>
        <w:ind w:left="102" w:hanging="236"/>
      </w:pPr>
      <w:rPr>
        <w:rFonts w:hint="default" w:ascii="Arial" w:hAnsi="Arial" w:eastAsia="Arial" w:cs="Arial"/>
        <w:w w:val="99"/>
        <w:sz w:val="24"/>
        <w:szCs w:val="24"/>
      </w:rPr>
    </w:lvl>
    <w:lvl w:ilvl="1">
      <w:start w:val="1"/>
      <w:numFmt w:val="bullet"/>
      <w:lvlText w:val="•"/>
      <w:lvlJc w:val="left"/>
      <w:pPr>
        <w:ind w:left="1032" w:hanging="236"/>
      </w:pPr>
      <w:rPr>
        <w:rFonts w:hint="default"/>
      </w:rPr>
    </w:lvl>
    <w:lvl w:ilvl="2">
      <w:start w:val="1"/>
      <w:numFmt w:val="bullet"/>
      <w:lvlText w:val="•"/>
      <w:lvlJc w:val="left"/>
      <w:pPr>
        <w:ind w:left="1964" w:hanging="236"/>
      </w:pPr>
      <w:rPr>
        <w:rFonts w:hint="default"/>
      </w:rPr>
    </w:lvl>
    <w:lvl w:ilvl="3">
      <w:start w:val="1"/>
      <w:numFmt w:val="bullet"/>
      <w:lvlText w:val="•"/>
      <w:lvlJc w:val="left"/>
      <w:pPr>
        <w:ind w:left="2896" w:hanging="236"/>
      </w:pPr>
      <w:rPr>
        <w:rFonts w:hint="default"/>
      </w:rPr>
    </w:lvl>
    <w:lvl w:ilvl="4">
      <w:start w:val="1"/>
      <w:numFmt w:val="bullet"/>
      <w:lvlText w:val="•"/>
      <w:lvlJc w:val="left"/>
      <w:pPr>
        <w:ind w:left="3828" w:hanging="236"/>
      </w:pPr>
      <w:rPr>
        <w:rFonts w:hint="default"/>
      </w:rPr>
    </w:lvl>
    <w:lvl w:ilvl="5">
      <w:start w:val="1"/>
      <w:numFmt w:val="bullet"/>
      <w:lvlText w:val="•"/>
      <w:lvlJc w:val="left"/>
      <w:pPr>
        <w:ind w:left="4760" w:hanging="236"/>
      </w:pPr>
      <w:rPr>
        <w:rFonts w:hint="default"/>
      </w:rPr>
    </w:lvl>
    <w:lvl w:ilvl="6">
      <w:start w:val="1"/>
      <w:numFmt w:val="bullet"/>
      <w:lvlText w:val="•"/>
      <w:lvlJc w:val="left"/>
      <w:pPr>
        <w:ind w:left="5692" w:hanging="236"/>
      </w:pPr>
      <w:rPr>
        <w:rFonts w:hint="default"/>
      </w:rPr>
    </w:lvl>
    <w:lvl w:ilvl="7">
      <w:start w:val="1"/>
      <w:numFmt w:val="bullet"/>
      <w:lvlText w:val="•"/>
      <w:lvlJc w:val="left"/>
      <w:pPr>
        <w:ind w:left="6624" w:hanging="236"/>
      </w:pPr>
      <w:rPr>
        <w:rFonts w:hint="default"/>
      </w:rPr>
    </w:lvl>
    <w:lvl w:ilvl="8">
      <w:start w:val="1"/>
      <w:numFmt w:val="bullet"/>
      <w:lvlText w:val="•"/>
      <w:lvlJc w:val="left"/>
      <w:pPr>
        <w:ind w:left="7556" w:hanging="236"/>
      </w:pPr>
      <w:rPr>
        <w:rFonts w:hint="default"/>
      </w:rPr>
    </w:lvl>
  </w:abstractNum>
  <w:abstractNum w:abstractNumId="2">
    <w:multiLevelType w:val="hybridMultilevel"/>
    <w:lvl w:ilvl="0">
      <w:start w:val="2"/>
      <w:numFmt w:val="decimal"/>
      <w:lvlText w:val="%1"/>
      <w:lvlJc w:val="left"/>
      <w:pPr>
        <w:ind w:left="970" w:hanging="869"/>
        <w:jc w:val="left"/>
      </w:pPr>
      <w:rPr>
        <w:rFonts w:hint="default"/>
      </w:rPr>
    </w:lvl>
    <w:lvl w:ilvl="1">
      <w:start w:val="1"/>
      <w:numFmt w:val="decimal"/>
      <w:lvlText w:val="%1.%2"/>
      <w:lvlJc w:val="left"/>
      <w:pPr>
        <w:ind w:left="970" w:hanging="869"/>
        <w:jc w:val="left"/>
      </w:pPr>
      <w:rPr>
        <w:rFonts w:hint="default"/>
      </w:rPr>
    </w:lvl>
    <w:lvl w:ilvl="2">
      <w:start w:val="3"/>
      <w:numFmt w:val="decimal"/>
      <w:lvlText w:val="%1.%2.%3"/>
      <w:lvlJc w:val="left"/>
      <w:pPr>
        <w:ind w:left="970" w:hanging="869"/>
        <w:jc w:val="left"/>
      </w:pPr>
      <w:rPr>
        <w:rFonts w:hint="default" w:ascii="Arial" w:hAnsi="Arial" w:eastAsia="Arial" w:cs="Arial"/>
        <w:b/>
        <w:bCs/>
        <w:spacing w:val="-2"/>
        <w:w w:val="99"/>
        <w:sz w:val="24"/>
        <w:szCs w:val="24"/>
      </w:rPr>
    </w:lvl>
    <w:lvl w:ilvl="3">
      <w:start w:val="1"/>
      <w:numFmt w:val="bullet"/>
      <w:lvlText w:val="•"/>
      <w:lvlJc w:val="left"/>
      <w:pPr>
        <w:ind w:left="3512" w:hanging="869"/>
      </w:pPr>
      <w:rPr>
        <w:rFonts w:hint="default"/>
      </w:rPr>
    </w:lvl>
    <w:lvl w:ilvl="4">
      <w:start w:val="1"/>
      <w:numFmt w:val="bullet"/>
      <w:lvlText w:val="•"/>
      <w:lvlJc w:val="left"/>
      <w:pPr>
        <w:ind w:left="4356" w:hanging="869"/>
      </w:pPr>
      <w:rPr>
        <w:rFonts w:hint="default"/>
      </w:rPr>
    </w:lvl>
    <w:lvl w:ilvl="5">
      <w:start w:val="1"/>
      <w:numFmt w:val="bullet"/>
      <w:lvlText w:val="•"/>
      <w:lvlJc w:val="left"/>
      <w:pPr>
        <w:ind w:left="5200" w:hanging="869"/>
      </w:pPr>
      <w:rPr>
        <w:rFonts w:hint="default"/>
      </w:rPr>
    </w:lvl>
    <w:lvl w:ilvl="6">
      <w:start w:val="1"/>
      <w:numFmt w:val="bullet"/>
      <w:lvlText w:val="•"/>
      <w:lvlJc w:val="left"/>
      <w:pPr>
        <w:ind w:left="6044" w:hanging="869"/>
      </w:pPr>
      <w:rPr>
        <w:rFonts w:hint="default"/>
      </w:rPr>
    </w:lvl>
    <w:lvl w:ilvl="7">
      <w:start w:val="1"/>
      <w:numFmt w:val="bullet"/>
      <w:lvlText w:val="•"/>
      <w:lvlJc w:val="left"/>
      <w:pPr>
        <w:ind w:left="6888" w:hanging="869"/>
      </w:pPr>
      <w:rPr>
        <w:rFonts w:hint="default"/>
      </w:rPr>
    </w:lvl>
    <w:lvl w:ilvl="8">
      <w:start w:val="1"/>
      <w:numFmt w:val="bullet"/>
      <w:lvlText w:val="•"/>
      <w:lvlJc w:val="left"/>
      <w:pPr>
        <w:ind w:left="7732" w:hanging="869"/>
      </w:pPr>
      <w:rPr>
        <w:rFonts w:hint="default"/>
      </w:rPr>
    </w:lvl>
  </w:abstractNum>
  <w:abstractNum w:abstractNumId="1">
    <w:multiLevelType w:val="hybridMultilevel"/>
    <w:lvl w:ilvl="0">
      <w:start w:val="2"/>
      <w:numFmt w:val="decimal"/>
      <w:lvlText w:val="%1."/>
      <w:lvlJc w:val="left"/>
      <w:pPr>
        <w:ind w:left="571" w:hanging="470"/>
        <w:jc w:val="left"/>
      </w:pPr>
      <w:rPr>
        <w:rFonts w:hint="default" w:ascii="Arial" w:hAnsi="Arial" w:eastAsia="Arial" w:cs="Arial"/>
        <w:b/>
        <w:bCs/>
        <w:spacing w:val="-6"/>
        <w:w w:val="99"/>
        <w:sz w:val="24"/>
        <w:szCs w:val="24"/>
      </w:rPr>
    </w:lvl>
    <w:lvl w:ilvl="1">
      <w:start w:val="1"/>
      <w:numFmt w:val="decimal"/>
      <w:lvlText w:val="%1.%2"/>
      <w:lvlJc w:val="left"/>
      <w:pPr>
        <w:ind w:left="704" w:hanging="603"/>
        <w:jc w:val="left"/>
      </w:pPr>
      <w:rPr>
        <w:rFonts w:hint="default" w:ascii="Arial" w:hAnsi="Arial" w:eastAsia="Arial" w:cs="Arial"/>
        <w:b/>
        <w:bCs/>
        <w:w w:val="99"/>
        <w:sz w:val="24"/>
        <w:szCs w:val="24"/>
      </w:rPr>
    </w:lvl>
    <w:lvl w:ilvl="2">
      <w:start w:val="1"/>
      <w:numFmt w:val="decimal"/>
      <w:lvlText w:val="%1.%2.%3"/>
      <w:lvlJc w:val="left"/>
      <w:pPr>
        <w:ind w:left="906" w:hanging="804"/>
        <w:jc w:val="left"/>
      </w:pPr>
      <w:rPr>
        <w:rFonts w:hint="default" w:ascii="Arial" w:hAnsi="Arial" w:eastAsia="Arial" w:cs="Arial"/>
        <w:b/>
        <w:bCs/>
        <w:spacing w:val="-2"/>
        <w:w w:val="99"/>
        <w:sz w:val="24"/>
        <w:szCs w:val="24"/>
      </w:rPr>
    </w:lvl>
    <w:lvl w:ilvl="3">
      <w:start w:val="1"/>
      <w:numFmt w:val="decimal"/>
      <w:lvlText w:val="%1.%2.%3.%4"/>
      <w:lvlJc w:val="left"/>
      <w:pPr>
        <w:ind w:left="1105" w:hanging="1004"/>
        <w:jc w:val="left"/>
      </w:pPr>
      <w:rPr>
        <w:rFonts w:hint="default" w:ascii="Arial" w:hAnsi="Arial" w:eastAsia="Arial" w:cs="Arial"/>
        <w:b/>
        <w:bCs/>
        <w:spacing w:val="-2"/>
        <w:w w:val="99"/>
        <w:sz w:val="24"/>
        <w:szCs w:val="24"/>
      </w:rPr>
    </w:lvl>
    <w:lvl w:ilvl="4">
      <w:start w:val="1"/>
      <w:numFmt w:val="bullet"/>
      <w:lvlText w:val="•"/>
      <w:lvlJc w:val="left"/>
      <w:pPr>
        <w:ind w:left="1100" w:hanging="1004"/>
      </w:pPr>
      <w:rPr>
        <w:rFonts w:hint="default"/>
      </w:rPr>
    </w:lvl>
    <w:lvl w:ilvl="5">
      <w:start w:val="1"/>
      <w:numFmt w:val="bullet"/>
      <w:lvlText w:val="•"/>
      <w:lvlJc w:val="left"/>
      <w:pPr>
        <w:ind w:left="2486" w:hanging="1004"/>
      </w:pPr>
      <w:rPr>
        <w:rFonts w:hint="default"/>
      </w:rPr>
    </w:lvl>
    <w:lvl w:ilvl="6">
      <w:start w:val="1"/>
      <w:numFmt w:val="bullet"/>
      <w:lvlText w:val="•"/>
      <w:lvlJc w:val="left"/>
      <w:pPr>
        <w:ind w:left="3873" w:hanging="1004"/>
      </w:pPr>
      <w:rPr>
        <w:rFonts w:hint="default"/>
      </w:rPr>
    </w:lvl>
    <w:lvl w:ilvl="7">
      <w:start w:val="1"/>
      <w:numFmt w:val="bullet"/>
      <w:lvlText w:val="•"/>
      <w:lvlJc w:val="left"/>
      <w:pPr>
        <w:ind w:left="5260" w:hanging="1004"/>
      </w:pPr>
      <w:rPr>
        <w:rFonts w:hint="default"/>
      </w:rPr>
    </w:lvl>
    <w:lvl w:ilvl="8">
      <w:start w:val="1"/>
      <w:numFmt w:val="bullet"/>
      <w:lvlText w:val="•"/>
      <w:lvlJc w:val="left"/>
      <w:pPr>
        <w:ind w:left="6646" w:hanging="1004"/>
      </w:pPr>
      <w:rPr>
        <w:rFonts w:hint="default"/>
      </w:rPr>
    </w:lvl>
  </w:abstractNum>
  <w:abstractNum w:abstractNumId="0">
    <w:multiLevelType w:val="hybridMultilevel"/>
    <w:lvl w:ilvl="0">
      <w:start w:val="13"/>
      <w:numFmt w:val="upperLetter"/>
      <w:lvlText w:val="%1."/>
      <w:lvlJc w:val="left"/>
      <w:pPr>
        <w:ind w:left="2893" w:hanging="334"/>
        <w:jc w:val="left"/>
      </w:pPr>
      <w:rPr>
        <w:rFonts w:hint="default" w:ascii="Arial" w:hAnsi="Arial" w:eastAsia="Arial" w:cs="Arial"/>
        <w:b/>
        <w:bCs/>
        <w:color w:val="070707"/>
        <w:spacing w:val="-5"/>
        <w:w w:val="99"/>
        <w:sz w:val="24"/>
        <w:szCs w:val="24"/>
      </w:rPr>
    </w:lvl>
    <w:lvl w:ilvl="1">
      <w:start w:val="1"/>
      <w:numFmt w:val="upperRoman"/>
      <w:lvlText w:val="%2."/>
      <w:lvlJc w:val="left"/>
      <w:pPr>
        <w:ind w:left="4129" w:hanging="665"/>
        <w:jc w:val="left"/>
      </w:pPr>
      <w:rPr>
        <w:rFonts w:hint="default" w:ascii="Arial" w:hAnsi="Arial" w:eastAsia="Arial" w:cs="Arial"/>
        <w:w w:val="100"/>
        <w:sz w:val="24"/>
        <w:szCs w:val="24"/>
      </w:rPr>
    </w:lvl>
    <w:lvl w:ilvl="2">
      <w:start w:val="1"/>
      <w:numFmt w:val="bullet"/>
      <w:lvlText w:val="•"/>
      <w:lvlJc w:val="left"/>
      <w:pPr>
        <w:ind w:left="4668" w:hanging="665"/>
      </w:pPr>
      <w:rPr>
        <w:rFonts w:hint="default"/>
      </w:rPr>
    </w:lvl>
    <w:lvl w:ilvl="3">
      <w:start w:val="1"/>
      <w:numFmt w:val="bullet"/>
      <w:lvlText w:val="•"/>
      <w:lvlJc w:val="left"/>
      <w:pPr>
        <w:ind w:left="5217" w:hanging="665"/>
      </w:pPr>
      <w:rPr>
        <w:rFonts w:hint="default"/>
      </w:rPr>
    </w:lvl>
    <w:lvl w:ilvl="4">
      <w:start w:val="1"/>
      <w:numFmt w:val="bullet"/>
      <w:lvlText w:val="•"/>
      <w:lvlJc w:val="left"/>
      <w:pPr>
        <w:ind w:left="5766" w:hanging="665"/>
      </w:pPr>
      <w:rPr>
        <w:rFonts w:hint="default"/>
      </w:rPr>
    </w:lvl>
    <w:lvl w:ilvl="5">
      <w:start w:val="1"/>
      <w:numFmt w:val="bullet"/>
      <w:lvlText w:val="•"/>
      <w:lvlJc w:val="left"/>
      <w:pPr>
        <w:ind w:left="6315" w:hanging="665"/>
      </w:pPr>
      <w:rPr>
        <w:rFonts w:hint="default"/>
      </w:rPr>
    </w:lvl>
    <w:lvl w:ilvl="6">
      <w:start w:val="1"/>
      <w:numFmt w:val="bullet"/>
      <w:lvlText w:val="•"/>
      <w:lvlJc w:val="left"/>
      <w:pPr>
        <w:ind w:left="6864" w:hanging="665"/>
      </w:pPr>
      <w:rPr>
        <w:rFonts w:hint="default"/>
      </w:rPr>
    </w:lvl>
    <w:lvl w:ilvl="7">
      <w:start w:val="1"/>
      <w:numFmt w:val="bullet"/>
      <w:lvlText w:val="•"/>
      <w:lvlJc w:val="left"/>
      <w:pPr>
        <w:ind w:left="7413" w:hanging="665"/>
      </w:pPr>
      <w:rPr>
        <w:rFonts w:hint="default"/>
      </w:rPr>
    </w:lvl>
    <w:lvl w:ilvl="8">
      <w:start w:val="1"/>
      <w:numFmt w:val="bullet"/>
      <w:lvlText w:val="•"/>
      <w:lvlJc w:val="left"/>
      <w:pPr>
        <w:ind w:left="7962" w:hanging="665"/>
      </w:pPr>
      <w:rPr>
        <w:rFonts w:hint="default"/>
      </w:rPr>
    </w:lvl>
  </w:abstractNum>
  <w:num w:numId="12">
    <w:abstractNumId w:val="11"/>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02"/>
      <w:outlineLvl w:val="1"/>
    </w:pPr>
    <w:rPr>
      <w:rFonts w:ascii="Arial" w:hAnsi="Arial" w:eastAsia="Arial" w:cs="Arial"/>
      <w:b/>
      <w:bCs/>
      <w:sz w:val="24"/>
      <w:szCs w:val="24"/>
    </w:rPr>
  </w:style>
  <w:style w:styleId="ListParagraph" w:type="paragraph">
    <w:name w:val="List Paragraph"/>
    <w:basedOn w:val="Normal"/>
    <w:uiPriority w:val="1"/>
    <w:qFormat/>
    <w:pPr>
      <w:ind w:left="102" w:hanging="232"/>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hyperlink" Target="http://es.wikipedia.org/wiki/Persona_f%C3%ADsica" TargetMode="External"/><Relationship Id="rId13" Type="http://schemas.openxmlformats.org/officeDocument/2006/relationships/hyperlink" Target="http://es.wikipedia.org/wiki/Familia" TargetMode="External"/><Relationship Id="rId14" Type="http://schemas.openxmlformats.org/officeDocument/2006/relationships/hyperlink" Target="http://es.wikipedia.org/wiki/Matrimonio" TargetMode="External"/><Relationship Id="rId15" Type="http://schemas.openxmlformats.org/officeDocument/2006/relationships/hyperlink" Target="http://es.wikipedia.org/wiki/Parentesco" TargetMode="External"/><Relationship Id="rId16" Type="http://schemas.openxmlformats.org/officeDocument/2006/relationships/footer" Target="footer6.xml"/><Relationship Id="rId17" Type="http://schemas.openxmlformats.org/officeDocument/2006/relationships/footer" Target="footer7.xml"/><Relationship Id="rId18" Type="http://schemas.openxmlformats.org/officeDocument/2006/relationships/footer" Target="footer8.xml"/><Relationship Id="rId19" Type="http://schemas.openxmlformats.org/officeDocument/2006/relationships/footer" Target="footer9.xml"/><Relationship Id="rId20" Type="http://schemas.openxmlformats.org/officeDocument/2006/relationships/footer" Target="footer10.xml"/><Relationship Id="rId21" Type="http://schemas.openxmlformats.org/officeDocument/2006/relationships/footer" Target="footer11.xml"/><Relationship Id="rId22" Type="http://schemas.openxmlformats.org/officeDocument/2006/relationships/footer" Target="footer12.xml"/><Relationship Id="rId23" Type="http://schemas.openxmlformats.org/officeDocument/2006/relationships/footer" Target="footer13.xml"/><Relationship Id="rId24" Type="http://schemas.openxmlformats.org/officeDocument/2006/relationships/footer" Target="footer14.xml"/><Relationship Id="rId25" Type="http://schemas.openxmlformats.org/officeDocument/2006/relationships/footer" Target="footer15.xml"/><Relationship Id="rId2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Jinnah</dc:creator>
  <dcterms:created xsi:type="dcterms:W3CDTF">2017-05-18T22:47:13Z</dcterms:created>
  <dcterms:modified xsi:type="dcterms:W3CDTF">2017-05-18T22:47:13Z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2014-11-13T00:00:00Z</vt:filetime>
  </property>
  <property fmtid="{D5CDD505-2E9C-101B-9397-08002B2CF9AE}" pid="3" name="Creator">
    <vt:lpwstr>Microsoft® Office Word 2007</vt:lpwstr>
  </property>
  <property fmtid="{D5CDD505-2E9C-101B-9397-08002B2CF9AE}" pid="4" name="LastSaved">
    <vt:filetime>2017-05-18T00:00:00Z</vt:filetime>
  </property>
</Properties>
</file>