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2.xml" ContentType="application/vnd.openxmlformats-officedocument.wordprocessingml.header+xml"/>
  <Override PartName="/word/footer13.xml" ContentType="application/vnd.openxmlformats-officedocument.wordprocessingml.footer+xml"/>
  <Override PartName="/word/header3.xml" ContentType="application/vnd.openxmlformats-officedocument.wordprocessingml.header+xml"/>
  <Override PartName="/word/footer1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header6.xml" ContentType="application/vnd.openxmlformats-officedocument.wordprocessingml.header+xml"/>
  <Override PartName="/word/footer25.xml" ContentType="application/vnd.openxmlformats-officedocument.wordprocessingml.footer+xml"/>
  <Override PartName="/word/header7.xml" ContentType="application/vnd.openxmlformats-officedocument.wordprocessingml.head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2"/>
        <w:rPr>
          <w:rFonts w:ascii="Times New Roman"/>
          <w:sz w:val="17"/>
        </w:rPr>
      </w:pPr>
    </w:p>
    <w:p>
      <w:pPr>
        <w:pStyle w:val="BodyText"/>
        <w:spacing w:line="720" w:lineRule="auto" w:before="69"/>
        <w:ind w:left="2511" w:right="1793"/>
        <w:jc w:val="center"/>
      </w:pPr>
      <w:r>
        <w:rPr/>
        <w:drawing>
          <wp:anchor distT="0" distB="0" distL="0" distR="0" allowOverlap="1" layoutInCell="1" locked="0" behindDoc="0" simplePos="0" relativeHeight="1096">
            <wp:simplePos x="0" y="0"/>
            <wp:positionH relativeFrom="page">
              <wp:posOffset>409575</wp:posOffset>
            </wp:positionH>
            <wp:positionV relativeFrom="paragraph">
              <wp:posOffset>42619</wp:posOffset>
            </wp:positionV>
            <wp:extent cx="894943" cy="80899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7" cstate="print"/>
                    <a:stretch>
                      <a:fillRect/>
                    </a:stretch>
                  </pic:blipFill>
                  <pic:spPr>
                    <a:xfrm>
                      <a:off x="0" y="0"/>
                      <a:ext cx="894943" cy="808990"/>
                    </a:xfrm>
                    <a:prstGeom prst="rect">
                      <a:avLst/>
                    </a:prstGeom>
                  </pic:spPr>
                </pic:pic>
              </a:graphicData>
            </a:graphic>
          </wp:anchor>
        </w:drawing>
      </w:r>
      <w:r>
        <w:rPr/>
        <w:t>UNIVERSIDAD AUTÓNOMA DEL ESTADO DE MÉXICO FACULTAD DE ODONTOLOGÍA</w:t>
      </w:r>
    </w:p>
    <w:p>
      <w:pPr>
        <w:pStyle w:val="BodyText"/>
        <w:spacing w:before="15"/>
        <w:ind w:left="2510" w:right="1793"/>
        <w:jc w:val="center"/>
      </w:pPr>
      <w:r>
        <w:rPr/>
        <w:pict>
          <v:line style="position:absolute;mso-position-horizontal-relative:page;mso-position-vertical-relative:paragraph;z-index:1072" from="64.5pt,4.275872pt" to="64.5pt,485.025872pt" stroked="true" strokeweight="2pt" strokecolor="#000000">
            <w10:wrap type="none"/>
          </v:line>
        </w:pict>
      </w:r>
      <w:r>
        <w:rPr/>
        <w:t>CENTRO DE INVESTIGACIÓN</w:t>
      </w:r>
    </w:p>
    <w:p>
      <w:pPr>
        <w:pStyle w:val="BodyText"/>
        <w:spacing w:line="360" w:lineRule="auto" w:before="137"/>
        <w:ind w:left="2864" w:right="2145"/>
        <w:jc w:val="center"/>
      </w:pPr>
      <w:r>
        <w:rPr/>
        <w:t>Y ESTUDIOS AVANZADOS EN ODONTOLOGÍA “DR. KEISABURO MIYATA”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p>
    <w:p>
      <w:pPr>
        <w:pStyle w:val="BodyText"/>
        <w:spacing w:before="70"/>
        <w:ind w:left="1024" w:right="303"/>
        <w:jc w:val="center"/>
        <w:rPr>
          <w:i/>
        </w:rPr>
      </w:pPr>
      <w:r>
        <w:rPr/>
        <w:t>EFECTO ANTIBACTERIANO DE LAS NANOPARTÍCULAS DE PLATA </w:t>
      </w:r>
      <w:r>
        <w:rPr>
          <w:i/>
        </w:rPr>
        <w:t>VERSUS</w:t>
      </w:r>
    </w:p>
    <w:p>
      <w:pPr>
        <w:spacing w:before="137"/>
        <w:ind w:left="1024" w:right="307" w:firstLine="0"/>
        <w:jc w:val="center"/>
        <w:rPr>
          <w:i/>
          <w:sz w:val="24"/>
        </w:rPr>
      </w:pPr>
      <w:r>
        <w:rPr>
          <w:sz w:val="24"/>
        </w:rPr>
        <w:t>CLORHEXIDINA SOBRE </w:t>
      </w:r>
      <w:r>
        <w:rPr>
          <w:i/>
          <w:sz w:val="24"/>
        </w:rPr>
        <w:t>STREPTOCOCCUS MUTANS </w:t>
      </w:r>
      <w:r>
        <w:rPr>
          <w:sz w:val="24"/>
        </w:rPr>
        <w:t>Y </w:t>
      </w:r>
      <w:r>
        <w:rPr>
          <w:i/>
          <w:sz w:val="24"/>
        </w:rPr>
        <w:t>LACTOBACILLUS CASEI</w:t>
      </w:r>
    </w:p>
    <w:p>
      <w:pPr>
        <w:pStyle w:val="BodyText"/>
        <w:rPr>
          <w:i/>
        </w:rPr>
      </w:pPr>
    </w:p>
    <w:p>
      <w:pPr>
        <w:pStyle w:val="BodyText"/>
        <w:rPr>
          <w:i/>
        </w:rPr>
      </w:pPr>
    </w:p>
    <w:p>
      <w:pPr>
        <w:pStyle w:val="BodyText"/>
        <w:rPr>
          <w:i/>
        </w:rPr>
      </w:pPr>
    </w:p>
    <w:p>
      <w:pPr>
        <w:spacing w:before="140"/>
        <w:ind w:left="2511" w:right="1790" w:firstLine="0"/>
        <w:jc w:val="center"/>
        <w:rPr>
          <w:b/>
          <w:sz w:val="28"/>
        </w:rPr>
      </w:pPr>
      <w:r>
        <w:rPr>
          <w:b/>
          <w:sz w:val="28"/>
        </w:rPr>
        <w:t>TESIS</w:t>
      </w:r>
    </w:p>
    <w:p>
      <w:pPr>
        <w:pStyle w:val="BodyText"/>
        <w:spacing w:line="360" w:lineRule="auto" w:before="162"/>
        <w:ind w:left="3139" w:right="2352" w:hanging="63"/>
        <w:jc w:val="center"/>
      </w:pPr>
      <w:r>
        <w:rPr/>
        <w:t>QUE PARA OBTENER EL GRADO DE: MAESTRA EN CIENCIAS ODONTOLÓGICAS</w:t>
      </w:r>
    </w:p>
    <w:p>
      <w:pPr>
        <w:pStyle w:val="BodyText"/>
      </w:pPr>
    </w:p>
    <w:p>
      <w:pPr>
        <w:pStyle w:val="BodyText"/>
        <w:spacing w:before="142"/>
        <w:ind w:left="2511" w:right="1791"/>
        <w:jc w:val="center"/>
      </w:pPr>
      <w:r>
        <w:rPr/>
        <w:t>PRESENTA:</w:t>
      </w:r>
    </w:p>
    <w:p>
      <w:pPr>
        <w:pStyle w:val="BodyText"/>
      </w:pPr>
    </w:p>
    <w:p>
      <w:pPr>
        <w:pStyle w:val="BodyText"/>
      </w:pPr>
    </w:p>
    <w:p>
      <w:pPr>
        <w:pStyle w:val="BodyText"/>
        <w:ind w:left="2508" w:right="1793"/>
        <w:jc w:val="center"/>
      </w:pPr>
      <w:r>
        <w:rPr/>
        <w:t>SARAI CARMINA GUADARRAMA REYES</w:t>
      </w:r>
    </w:p>
    <w:p>
      <w:pPr>
        <w:pStyle w:val="BodyText"/>
      </w:pPr>
    </w:p>
    <w:p>
      <w:pPr>
        <w:pStyle w:val="BodyText"/>
      </w:pPr>
    </w:p>
    <w:p>
      <w:pPr>
        <w:pStyle w:val="BodyText"/>
        <w:spacing w:before="10"/>
        <w:rPr>
          <w:sz w:val="35"/>
        </w:rPr>
      </w:pPr>
    </w:p>
    <w:p>
      <w:pPr>
        <w:pStyle w:val="BodyText"/>
        <w:ind w:left="2511" w:right="1788"/>
        <w:jc w:val="center"/>
      </w:pPr>
      <w:r>
        <w:rPr/>
        <w:t>TUTOR ACADÉMICO</w:t>
      </w:r>
    </w:p>
    <w:p>
      <w:pPr>
        <w:pStyle w:val="BodyText"/>
        <w:tabs>
          <w:tab w:pos="4296" w:val="left" w:leader="none"/>
        </w:tabs>
        <w:spacing w:line="360" w:lineRule="auto" w:before="137"/>
        <w:ind w:left="2866" w:right="2145"/>
        <w:jc w:val="center"/>
      </w:pPr>
      <w:r>
        <w:rPr/>
        <w:t>Dr. en</w:t>
      </w:r>
      <w:r>
        <w:rPr>
          <w:spacing w:val="-1"/>
        </w:rPr>
        <w:t> </w:t>
      </w:r>
      <w:r>
        <w:rPr/>
        <w:t>C.M.</w:t>
        <w:tab/>
        <w:t>RAÚL ALBERTO</w:t>
      </w:r>
      <w:r>
        <w:rPr>
          <w:spacing w:val="-9"/>
        </w:rPr>
        <w:t> </w:t>
      </w:r>
      <w:r>
        <w:rPr/>
        <w:t>MORALES</w:t>
      </w:r>
      <w:r>
        <w:rPr>
          <w:spacing w:val="-4"/>
        </w:rPr>
        <w:t> </w:t>
      </w:r>
      <w:r>
        <w:rPr/>
        <w:t>LUCKIE TUTOR</w:t>
      </w:r>
      <w:r>
        <w:rPr>
          <w:spacing w:val="-2"/>
        </w:rPr>
        <w:t> </w:t>
      </w:r>
      <w:r>
        <w:rPr/>
        <w:t>ADJUNTO</w:t>
      </w:r>
    </w:p>
    <w:p>
      <w:pPr>
        <w:pStyle w:val="BodyText"/>
        <w:spacing w:before="3"/>
        <w:ind w:left="3471"/>
      </w:pPr>
      <w:r>
        <w:rPr/>
        <w:t>M. en Ed.  LETICIA ROBLES BERMEO</w:t>
      </w:r>
    </w:p>
    <w:p>
      <w:pPr>
        <w:pStyle w:val="BodyText"/>
        <w:rPr>
          <w:sz w:val="20"/>
        </w:rPr>
      </w:pPr>
    </w:p>
    <w:p>
      <w:pPr>
        <w:pStyle w:val="BodyText"/>
        <w:rPr>
          <w:sz w:val="20"/>
        </w:rPr>
      </w:pPr>
    </w:p>
    <w:p>
      <w:pPr>
        <w:pStyle w:val="BodyText"/>
        <w:spacing w:before="4"/>
        <w:rPr>
          <w:sz w:val="13"/>
        </w:rPr>
      </w:pPr>
      <w:r>
        <w:rPr/>
        <w:pict>
          <v:group style="position:absolute;margin-left:42.75pt;margin-top:9.644985pt;width:500.3pt;height:70.95pt;mso-position-horizontal-relative:page;mso-position-vertical-relative:paragraph;z-index:1048;mso-wrap-distance-left:0;mso-wrap-distance-right:0" coordorigin="855,193" coordsize="10006,1419">
            <v:line style="position:absolute" from="1412,1552" to="10831,1552" stroked="true" strokeweight="3.0pt" strokecolor="#612322"/>
            <v:line style="position:absolute" from="1412,1603" to="10831,1603" stroked="true" strokeweight=".71997pt" strokecolor="#612322"/>
            <v:shape style="position:absolute;left:855;top:193;width:840;height:1393" type="#_x0000_t75" stroked="false">
              <v:imagedata r:id="rId8" o:title=""/>
            </v:shape>
            <v:shape style="position:absolute;left:855;top:193;width:10006;height:1418" type="#_x0000_t202" filled="false" stroked="false">
              <v:textbox inset="0,0,0,0">
                <w:txbxContent>
                  <w:p>
                    <w:pPr>
                      <w:spacing w:line="240" w:lineRule="auto" w:before="3"/>
                      <w:rPr>
                        <w:sz w:val="27"/>
                      </w:rPr>
                    </w:pPr>
                  </w:p>
                  <w:p>
                    <w:pPr>
                      <w:spacing w:before="1"/>
                      <w:ind w:left="2697" w:right="0" w:firstLine="0"/>
                      <w:jc w:val="left"/>
                      <w:rPr>
                        <w:sz w:val="24"/>
                      </w:rPr>
                    </w:pPr>
                    <w:r>
                      <w:rPr>
                        <w:sz w:val="24"/>
                      </w:rPr>
                      <w:t>Toluca, Estado de México, 18 de Enero de 2013</w:t>
                    </w:r>
                  </w:p>
                </w:txbxContent>
              </v:textbox>
              <w10:wrap type="none"/>
            </v:shape>
            <w10:wrap type="topAndBottom"/>
          </v:group>
        </w:pict>
      </w:r>
    </w:p>
    <w:p>
      <w:pPr>
        <w:spacing w:after="0"/>
        <w:rPr>
          <w:sz w:val="13"/>
        </w:rPr>
        <w:sectPr>
          <w:headerReference w:type="default" r:id="rId5"/>
          <w:footerReference w:type="default" r:id="rId6"/>
          <w:type w:val="continuous"/>
          <w:pgSz w:w="12240" w:h="15840"/>
          <w:pgMar w:header="736" w:footer="956" w:top="1180" w:bottom="1140" w:left="540" w:right="1260"/>
          <w:pgNumType w:start="1"/>
        </w:sectPr>
      </w:pPr>
    </w:p>
    <w:p>
      <w:pPr>
        <w:pStyle w:val="BodyText"/>
        <w:spacing w:before="2"/>
        <w:rPr>
          <w:sz w:val="17"/>
        </w:rPr>
      </w:pPr>
    </w:p>
    <w:p>
      <w:pPr>
        <w:pStyle w:val="Heading2"/>
        <w:ind w:right="20"/>
        <w:jc w:val="center"/>
      </w:pPr>
      <w:r>
        <w:rPr/>
        <w:t>AGRADECIMIENTOS</w:t>
      </w:r>
    </w:p>
    <w:p>
      <w:pPr>
        <w:pStyle w:val="BodyText"/>
        <w:spacing w:before="1"/>
        <w:rPr>
          <w:b/>
          <w:sz w:val="21"/>
        </w:rPr>
      </w:pPr>
    </w:p>
    <w:p>
      <w:pPr>
        <w:pStyle w:val="BodyText"/>
        <w:spacing w:line="276" w:lineRule="auto"/>
        <w:ind w:right="22"/>
        <w:jc w:val="center"/>
      </w:pPr>
      <w:r>
        <w:rPr/>
        <w:t>Deseo aprovechar esta oportunidad para externar mi gratitud a quienes han tocado positivamente mi vida y han hecho posible la realización de este trabajo.</w:t>
      </w:r>
    </w:p>
    <w:p>
      <w:pPr>
        <w:pStyle w:val="BodyText"/>
      </w:pPr>
    </w:p>
    <w:p>
      <w:pPr>
        <w:pStyle w:val="BodyText"/>
      </w:pPr>
    </w:p>
    <w:p>
      <w:pPr>
        <w:pStyle w:val="BodyText"/>
        <w:spacing w:before="8"/>
        <w:rPr>
          <w:sz w:val="19"/>
        </w:rPr>
      </w:pPr>
    </w:p>
    <w:p>
      <w:pPr>
        <w:spacing w:line="268" w:lineRule="auto" w:before="0"/>
        <w:ind w:left="316" w:right="340" w:firstLine="4"/>
        <w:jc w:val="center"/>
        <w:rPr>
          <w:rFonts w:ascii="Times New Roman" w:hAnsi="Times New Roman"/>
          <w:i/>
          <w:sz w:val="32"/>
        </w:rPr>
      </w:pPr>
      <w:r>
        <w:rPr>
          <w:rFonts w:ascii="Times New Roman" w:hAnsi="Times New Roman"/>
          <w:i/>
          <w:w w:val="90"/>
          <w:sz w:val="32"/>
        </w:rPr>
        <w:t>En</w:t>
      </w:r>
      <w:r>
        <w:rPr>
          <w:rFonts w:ascii="Times New Roman" w:hAnsi="Times New Roman"/>
          <w:i/>
          <w:spacing w:val="-30"/>
          <w:w w:val="90"/>
          <w:sz w:val="32"/>
        </w:rPr>
        <w:t> </w:t>
      </w:r>
      <w:r>
        <w:rPr>
          <w:rFonts w:ascii="Times New Roman" w:hAnsi="Times New Roman"/>
          <w:i/>
          <w:w w:val="90"/>
          <w:sz w:val="32"/>
        </w:rPr>
        <w:t>primer</w:t>
      </w:r>
      <w:r>
        <w:rPr>
          <w:rFonts w:ascii="Times New Roman" w:hAnsi="Times New Roman"/>
          <w:i/>
          <w:spacing w:val="-29"/>
          <w:w w:val="90"/>
          <w:sz w:val="32"/>
        </w:rPr>
        <w:t> </w:t>
      </w:r>
      <w:r>
        <w:rPr>
          <w:rFonts w:ascii="Times New Roman" w:hAnsi="Times New Roman"/>
          <w:i/>
          <w:w w:val="90"/>
          <w:sz w:val="32"/>
        </w:rPr>
        <w:t>lugar</w:t>
      </w:r>
      <w:r>
        <w:rPr>
          <w:rFonts w:ascii="Times New Roman" w:hAnsi="Times New Roman"/>
          <w:i/>
          <w:spacing w:val="-30"/>
          <w:w w:val="90"/>
          <w:sz w:val="32"/>
        </w:rPr>
        <w:t> </w:t>
      </w:r>
      <w:r>
        <w:rPr>
          <w:rFonts w:ascii="Times New Roman" w:hAnsi="Times New Roman"/>
          <w:i/>
          <w:w w:val="90"/>
          <w:sz w:val="32"/>
        </w:rPr>
        <w:t>agradezco</w:t>
      </w:r>
      <w:r>
        <w:rPr>
          <w:rFonts w:ascii="Times New Roman" w:hAnsi="Times New Roman"/>
          <w:i/>
          <w:spacing w:val="-30"/>
          <w:w w:val="90"/>
          <w:sz w:val="32"/>
        </w:rPr>
        <w:t> </w:t>
      </w:r>
      <w:r>
        <w:rPr>
          <w:rFonts w:ascii="Times New Roman" w:hAnsi="Times New Roman"/>
          <w:i/>
          <w:w w:val="90"/>
          <w:sz w:val="32"/>
        </w:rPr>
        <w:t>“</w:t>
      </w:r>
      <w:r>
        <w:rPr>
          <w:rFonts w:ascii="Times New Roman" w:hAnsi="Times New Roman"/>
          <w:b/>
          <w:i/>
          <w:w w:val="90"/>
          <w:sz w:val="32"/>
        </w:rPr>
        <w:t>al</w:t>
      </w:r>
      <w:r>
        <w:rPr>
          <w:rFonts w:ascii="Times New Roman" w:hAnsi="Times New Roman"/>
          <w:b/>
          <w:i/>
          <w:spacing w:val="-29"/>
          <w:w w:val="90"/>
          <w:sz w:val="32"/>
        </w:rPr>
        <w:t> </w:t>
      </w:r>
      <w:r>
        <w:rPr>
          <w:rFonts w:ascii="Times New Roman" w:hAnsi="Times New Roman"/>
          <w:b/>
          <w:i/>
          <w:w w:val="90"/>
          <w:sz w:val="32"/>
        </w:rPr>
        <w:t>dador</w:t>
      </w:r>
      <w:r>
        <w:rPr>
          <w:rFonts w:ascii="Times New Roman" w:hAnsi="Times New Roman"/>
          <w:b/>
          <w:i/>
          <w:spacing w:val="-28"/>
          <w:w w:val="90"/>
          <w:sz w:val="32"/>
        </w:rPr>
        <w:t> </w:t>
      </w:r>
      <w:r>
        <w:rPr>
          <w:rFonts w:ascii="Times New Roman" w:hAnsi="Times New Roman"/>
          <w:b/>
          <w:i/>
          <w:w w:val="90"/>
          <w:sz w:val="32"/>
        </w:rPr>
        <w:t>de</w:t>
      </w:r>
      <w:r>
        <w:rPr>
          <w:rFonts w:ascii="Times New Roman" w:hAnsi="Times New Roman"/>
          <w:b/>
          <w:i/>
          <w:spacing w:val="-29"/>
          <w:w w:val="90"/>
          <w:sz w:val="32"/>
        </w:rPr>
        <w:t> </w:t>
      </w:r>
      <w:r>
        <w:rPr>
          <w:rFonts w:ascii="Times New Roman" w:hAnsi="Times New Roman"/>
          <w:b/>
          <w:i/>
          <w:w w:val="90"/>
          <w:sz w:val="32"/>
        </w:rPr>
        <w:t>todo</w:t>
      </w:r>
      <w:r>
        <w:rPr>
          <w:rFonts w:ascii="Times New Roman" w:hAnsi="Times New Roman"/>
          <w:b/>
          <w:i/>
          <w:spacing w:val="-29"/>
          <w:w w:val="90"/>
          <w:sz w:val="32"/>
        </w:rPr>
        <w:t> </w:t>
      </w:r>
      <w:r>
        <w:rPr>
          <w:rFonts w:ascii="Times New Roman" w:hAnsi="Times New Roman"/>
          <w:b/>
          <w:i/>
          <w:w w:val="90"/>
          <w:sz w:val="32"/>
        </w:rPr>
        <w:t>bien”</w:t>
      </w:r>
      <w:r>
        <w:rPr>
          <w:rFonts w:ascii="Times New Roman" w:hAnsi="Times New Roman"/>
          <w:b/>
          <w:i/>
          <w:spacing w:val="-27"/>
          <w:w w:val="90"/>
          <w:sz w:val="32"/>
        </w:rPr>
        <w:t> </w:t>
      </w:r>
      <w:r>
        <w:rPr>
          <w:rFonts w:ascii="Times New Roman" w:hAnsi="Times New Roman"/>
          <w:i/>
          <w:w w:val="90"/>
          <w:sz w:val="32"/>
        </w:rPr>
        <w:t>por</w:t>
      </w:r>
      <w:r>
        <w:rPr>
          <w:rFonts w:ascii="Times New Roman" w:hAnsi="Times New Roman"/>
          <w:i/>
          <w:spacing w:val="-29"/>
          <w:w w:val="90"/>
          <w:sz w:val="32"/>
        </w:rPr>
        <w:t> </w:t>
      </w:r>
      <w:r>
        <w:rPr>
          <w:rFonts w:ascii="Times New Roman" w:hAnsi="Times New Roman"/>
          <w:i/>
          <w:w w:val="90"/>
          <w:sz w:val="32"/>
        </w:rPr>
        <w:t>su</w:t>
      </w:r>
      <w:r>
        <w:rPr>
          <w:rFonts w:ascii="Times New Roman" w:hAnsi="Times New Roman"/>
          <w:i/>
          <w:spacing w:val="-29"/>
          <w:w w:val="90"/>
          <w:sz w:val="32"/>
        </w:rPr>
        <w:t> </w:t>
      </w:r>
      <w:r>
        <w:rPr>
          <w:rFonts w:ascii="Times New Roman" w:hAnsi="Times New Roman"/>
          <w:i/>
          <w:w w:val="90"/>
          <w:sz w:val="32"/>
        </w:rPr>
        <w:t>infinita</w:t>
      </w:r>
      <w:r>
        <w:rPr>
          <w:rFonts w:ascii="Times New Roman" w:hAnsi="Times New Roman"/>
          <w:i/>
          <w:spacing w:val="-29"/>
          <w:w w:val="90"/>
          <w:sz w:val="32"/>
        </w:rPr>
        <w:t> </w:t>
      </w:r>
      <w:r>
        <w:rPr>
          <w:rFonts w:ascii="Times New Roman" w:hAnsi="Times New Roman"/>
          <w:i/>
          <w:w w:val="90"/>
          <w:sz w:val="32"/>
        </w:rPr>
        <w:t>bondad</w:t>
      </w:r>
      <w:r>
        <w:rPr>
          <w:rFonts w:ascii="Times New Roman" w:hAnsi="Times New Roman"/>
          <w:i/>
          <w:spacing w:val="-29"/>
          <w:w w:val="90"/>
          <w:sz w:val="32"/>
        </w:rPr>
        <w:t> </w:t>
      </w:r>
      <w:r>
        <w:rPr>
          <w:rFonts w:ascii="Times New Roman" w:hAnsi="Times New Roman"/>
          <w:i/>
          <w:w w:val="90"/>
          <w:sz w:val="32"/>
        </w:rPr>
        <w:t>al </w:t>
      </w:r>
      <w:r>
        <w:rPr>
          <w:rFonts w:ascii="Times New Roman" w:hAnsi="Times New Roman"/>
          <w:i/>
          <w:w w:val="90"/>
          <w:sz w:val="32"/>
        </w:rPr>
        <w:t>haberme</w:t>
      </w:r>
      <w:r>
        <w:rPr>
          <w:rFonts w:ascii="Times New Roman" w:hAnsi="Times New Roman"/>
          <w:i/>
          <w:spacing w:val="-29"/>
          <w:w w:val="90"/>
          <w:sz w:val="32"/>
        </w:rPr>
        <w:t> </w:t>
      </w:r>
      <w:r>
        <w:rPr>
          <w:rFonts w:ascii="Times New Roman" w:hAnsi="Times New Roman"/>
          <w:i/>
          <w:w w:val="90"/>
          <w:sz w:val="32"/>
        </w:rPr>
        <w:t>permitido</w:t>
      </w:r>
      <w:r>
        <w:rPr>
          <w:rFonts w:ascii="Times New Roman" w:hAnsi="Times New Roman"/>
          <w:i/>
          <w:spacing w:val="-29"/>
          <w:w w:val="90"/>
          <w:sz w:val="32"/>
        </w:rPr>
        <w:t> </w:t>
      </w:r>
      <w:r>
        <w:rPr>
          <w:rFonts w:ascii="Times New Roman" w:hAnsi="Times New Roman"/>
          <w:i/>
          <w:w w:val="90"/>
          <w:sz w:val="32"/>
        </w:rPr>
        <w:t>la</w:t>
      </w:r>
      <w:r>
        <w:rPr>
          <w:rFonts w:ascii="Times New Roman" w:hAnsi="Times New Roman"/>
          <w:i/>
          <w:spacing w:val="-28"/>
          <w:w w:val="90"/>
          <w:sz w:val="32"/>
        </w:rPr>
        <w:t> </w:t>
      </w:r>
      <w:r>
        <w:rPr>
          <w:rFonts w:ascii="Times New Roman" w:hAnsi="Times New Roman"/>
          <w:i/>
          <w:w w:val="90"/>
          <w:sz w:val="32"/>
        </w:rPr>
        <w:t>vida</w:t>
      </w:r>
      <w:r>
        <w:rPr>
          <w:rFonts w:ascii="Times New Roman" w:hAnsi="Times New Roman"/>
          <w:i/>
          <w:spacing w:val="-29"/>
          <w:w w:val="90"/>
          <w:sz w:val="32"/>
        </w:rPr>
        <w:t> </w:t>
      </w:r>
      <w:r>
        <w:rPr>
          <w:rFonts w:ascii="Times New Roman" w:hAnsi="Times New Roman"/>
          <w:i/>
          <w:w w:val="90"/>
          <w:sz w:val="32"/>
        </w:rPr>
        <w:t>y</w:t>
      </w:r>
      <w:r>
        <w:rPr>
          <w:rFonts w:ascii="Times New Roman" w:hAnsi="Times New Roman"/>
          <w:i/>
          <w:spacing w:val="-30"/>
          <w:w w:val="90"/>
          <w:sz w:val="32"/>
        </w:rPr>
        <w:t> </w:t>
      </w:r>
      <w:r>
        <w:rPr>
          <w:rFonts w:ascii="Times New Roman" w:hAnsi="Times New Roman"/>
          <w:i/>
          <w:w w:val="90"/>
          <w:sz w:val="32"/>
        </w:rPr>
        <w:t>por</w:t>
      </w:r>
      <w:r>
        <w:rPr>
          <w:rFonts w:ascii="Times New Roman" w:hAnsi="Times New Roman"/>
          <w:i/>
          <w:spacing w:val="-29"/>
          <w:w w:val="90"/>
          <w:sz w:val="32"/>
        </w:rPr>
        <w:t> </w:t>
      </w:r>
      <w:r>
        <w:rPr>
          <w:rFonts w:ascii="Times New Roman" w:hAnsi="Times New Roman"/>
          <w:i/>
          <w:w w:val="90"/>
          <w:sz w:val="32"/>
        </w:rPr>
        <w:t>ser</w:t>
      </w:r>
      <w:r>
        <w:rPr>
          <w:rFonts w:ascii="Times New Roman" w:hAnsi="Times New Roman"/>
          <w:i/>
          <w:spacing w:val="-29"/>
          <w:w w:val="90"/>
          <w:sz w:val="32"/>
        </w:rPr>
        <w:t> </w:t>
      </w:r>
      <w:r>
        <w:rPr>
          <w:rFonts w:ascii="Times New Roman" w:hAnsi="Times New Roman"/>
          <w:i/>
          <w:w w:val="90"/>
          <w:sz w:val="32"/>
        </w:rPr>
        <w:t>en</w:t>
      </w:r>
      <w:r>
        <w:rPr>
          <w:rFonts w:ascii="Times New Roman" w:hAnsi="Times New Roman"/>
          <w:i/>
          <w:spacing w:val="-28"/>
          <w:w w:val="90"/>
          <w:sz w:val="32"/>
        </w:rPr>
        <w:t> </w:t>
      </w:r>
      <w:r>
        <w:rPr>
          <w:rFonts w:ascii="Times New Roman" w:hAnsi="Times New Roman"/>
          <w:i/>
          <w:w w:val="90"/>
          <w:sz w:val="32"/>
        </w:rPr>
        <w:t>quien</w:t>
      </w:r>
      <w:r>
        <w:rPr>
          <w:rFonts w:ascii="Times New Roman" w:hAnsi="Times New Roman"/>
          <w:i/>
          <w:spacing w:val="-29"/>
          <w:w w:val="90"/>
          <w:sz w:val="32"/>
        </w:rPr>
        <w:t> </w:t>
      </w:r>
      <w:r>
        <w:rPr>
          <w:rFonts w:ascii="Times New Roman" w:hAnsi="Times New Roman"/>
          <w:i/>
          <w:w w:val="90"/>
          <w:sz w:val="32"/>
        </w:rPr>
        <w:t>confío,</w:t>
      </w:r>
      <w:r>
        <w:rPr>
          <w:rFonts w:ascii="Times New Roman" w:hAnsi="Times New Roman"/>
          <w:i/>
          <w:spacing w:val="-28"/>
          <w:w w:val="90"/>
          <w:sz w:val="32"/>
        </w:rPr>
        <w:t> </w:t>
      </w:r>
      <w:r>
        <w:rPr>
          <w:rFonts w:ascii="Times New Roman" w:hAnsi="Times New Roman"/>
          <w:i/>
          <w:w w:val="90"/>
          <w:sz w:val="32"/>
        </w:rPr>
        <w:t>mi</w:t>
      </w:r>
      <w:r>
        <w:rPr>
          <w:rFonts w:ascii="Times New Roman" w:hAnsi="Times New Roman"/>
          <w:i/>
          <w:spacing w:val="-29"/>
          <w:w w:val="90"/>
          <w:sz w:val="32"/>
        </w:rPr>
        <w:t> </w:t>
      </w:r>
      <w:r>
        <w:rPr>
          <w:rFonts w:ascii="Times New Roman" w:hAnsi="Times New Roman"/>
          <w:i/>
          <w:w w:val="90"/>
          <w:sz w:val="32"/>
        </w:rPr>
        <w:t>luz</w:t>
      </w:r>
      <w:r>
        <w:rPr>
          <w:rFonts w:ascii="Times New Roman" w:hAnsi="Times New Roman"/>
          <w:i/>
          <w:spacing w:val="-28"/>
          <w:w w:val="90"/>
          <w:sz w:val="32"/>
        </w:rPr>
        <w:t> </w:t>
      </w:r>
      <w:r>
        <w:rPr>
          <w:rFonts w:ascii="Times New Roman" w:hAnsi="Times New Roman"/>
          <w:i/>
          <w:w w:val="90"/>
          <w:sz w:val="32"/>
        </w:rPr>
        <w:t>y</w:t>
      </w:r>
      <w:r>
        <w:rPr>
          <w:rFonts w:ascii="Times New Roman" w:hAnsi="Times New Roman"/>
          <w:i/>
          <w:spacing w:val="-29"/>
          <w:w w:val="90"/>
          <w:sz w:val="32"/>
        </w:rPr>
        <w:t> </w:t>
      </w:r>
      <w:r>
        <w:rPr>
          <w:rFonts w:ascii="Times New Roman" w:hAnsi="Times New Roman"/>
          <w:i/>
          <w:w w:val="90"/>
          <w:sz w:val="32"/>
        </w:rPr>
        <w:t>guía</w:t>
      </w:r>
      <w:r>
        <w:rPr>
          <w:rFonts w:ascii="Times New Roman" w:hAnsi="Times New Roman"/>
          <w:i/>
          <w:spacing w:val="-29"/>
          <w:w w:val="90"/>
          <w:sz w:val="32"/>
        </w:rPr>
        <w:t> </w:t>
      </w:r>
      <w:r>
        <w:rPr>
          <w:rFonts w:ascii="Times New Roman" w:hAnsi="Times New Roman"/>
          <w:i/>
          <w:w w:val="90"/>
          <w:sz w:val="32"/>
        </w:rPr>
        <w:t>en</w:t>
      </w:r>
      <w:r>
        <w:rPr>
          <w:rFonts w:ascii="Times New Roman" w:hAnsi="Times New Roman"/>
          <w:i/>
          <w:spacing w:val="-30"/>
          <w:w w:val="90"/>
          <w:sz w:val="32"/>
        </w:rPr>
        <w:t> </w:t>
      </w:r>
      <w:r>
        <w:rPr>
          <w:rFonts w:ascii="Times New Roman" w:hAnsi="Times New Roman"/>
          <w:i/>
          <w:w w:val="90"/>
          <w:sz w:val="32"/>
        </w:rPr>
        <w:t>todo</w:t>
      </w:r>
      <w:r>
        <w:rPr>
          <w:rFonts w:ascii="Times New Roman" w:hAnsi="Times New Roman"/>
          <w:i/>
          <w:spacing w:val="-28"/>
          <w:w w:val="90"/>
          <w:sz w:val="32"/>
        </w:rPr>
        <w:t> </w:t>
      </w:r>
      <w:r>
        <w:rPr>
          <w:rFonts w:ascii="Times New Roman" w:hAnsi="Times New Roman"/>
          <w:i/>
          <w:w w:val="90"/>
          <w:sz w:val="32"/>
        </w:rPr>
        <w:t>camino</w:t>
      </w:r>
    </w:p>
    <w:p>
      <w:pPr>
        <w:spacing w:line="268" w:lineRule="auto" w:before="201"/>
        <w:ind w:left="256" w:right="280" w:firstLine="98"/>
        <w:jc w:val="both"/>
        <w:rPr>
          <w:rFonts w:ascii="Times New Roman" w:hAnsi="Times New Roman"/>
          <w:i/>
          <w:sz w:val="32"/>
        </w:rPr>
      </w:pPr>
      <w:r>
        <w:rPr>
          <w:rFonts w:ascii="Times New Roman" w:hAnsi="Times New Roman"/>
          <w:b/>
          <w:i/>
          <w:w w:val="90"/>
          <w:sz w:val="32"/>
        </w:rPr>
        <w:t>A</w:t>
      </w:r>
      <w:r>
        <w:rPr>
          <w:rFonts w:ascii="Times New Roman" w:hAnsi="Times New Roman"/>
          <w:b/>
          <w:i/>
          <w:spacing w:val="-26"/>
          <w:w w:val="90"/>
          <w:sz w:val="32"/>
        </w:rPr>
        <w:t> </w:t>
      </w:r>
      <w:r>
        <w:rPr>
          <w:rFonts w:ascii="Times New Roman" w:hAnsi="Times New Roman"/>
          <w:b/>
          <w:i/>
          <w:w w:val="90"/>
          <w:sz w:val="32"/>
        </w:rPr>
        <w:t>mis</w:t>
      </w:r>
      <w:r>
        <w:rPr>
          <w:rFonts w:ascii="Times New Roman" w:hAnsi="Times New Roman"/>
          <w:b/>
          <w:i/>
          <w:spacing w:val="-26"/>
          <w:w w:val="90"/>
          <w:sz w:val="32"/>
        </w:rPr>
        <w:t> </w:t>
      </w:r>
      <w:r>
        <w:rPr>
          <w:rFonts w:ascii="Times New Roman" w:hAnsi="Times New Roman"/>
          <w:b/>
          <w:i/>
          <w:w w:val="90"/>
          <w:sz w:val="32"/>
        </w:rPr>
        <w:t>padres</w:t>
      </w:r>
      <w:r>
        <w:rPr>
          <w:rFonts w:ascii="Times New Roman" w:hAnsi="Times New Roman"/>
          <w:i/>
          <w:w w:val="90"/>
          <w:sz w:val="32"/>
        </w:rPr>
        <w:t>:</w:t>
      </w:r>
      <w:r>
        <w:rPr>
          <w:rFonts w:ascii="Times New Roman" w:hAnsi="Times New Roman"/>
          <w:i/>
          <w:spacing w:val="-27"/>
          <w:w w:val="90"/>
          <w:sz w:val="32"/>
        </w:rPr>
        <w:t> </w:t>
      </w:r>
      <w:r>
        <w:rPr>
          <w:rFonts w:ascii="Times New Roman" w:hAnsi="Times New Roman"/>
          <w:i/>
          <w:w w:val="90"/>
          <w:sz w:val="32"/>
        </w:rPr>
        <w:t>Dr.</w:t>
      </w:r>
      <w:r>
        <w:rPr>
          <w:rFonts w:ascii="Times New Roman" w:hAnsi="Times New Roman"/>
          <w:i/>
          <w:spacing w:val="-28"/>
          <w:w w:val="90"/>
          <w:sz w:val="32"/>
        </w:rPr>
        <w:t> </w:t>
      </w:r>
      <w:r>
        <w:rPr>
          <w:rFonts w:ascii="Times New Roman" w:hAnsi="Times New Roman"/>
          <w:i/>
          <w:w w:val="90"/>
          <w:sz w:val="32"/>
        </w:rPr>
        <w:t>Luis</w:t>
      </w:r>
      <w:r>
        <w:rPr>
          <w:rFonts w:ascii="Times New Roman" w:hAnsi="Times New Roman"/>
          <w:i/>
          <w:spacing w:val="-26"/>
          <w:w w:val="90"/>
          <w:sz w:val="32"/>
        </w:rPr>
        <w:t> </w:t>
      </w:r>
      <w:r>
        <w:rPr>
          <w:rFonts w:ascii="Times New Roman" w:hAnsi="Times New Roman"/>
          <w:i/>
          <w:w w:val="90"/>
          <w:sz w:val="32"/>
        </w:rPr>
        <w:t>Guadarrama</w:t>
      </w:r>
      <w:r>
        <w:rPr>
          <w:rFonts w:ascii="Times New Roman" w:hAnsi="Times New Roman"/>
          <w:i/>
          <w:spacing w:val="-26"/>
          <w:w w:val="90"/>
          <w:sz w:val="32"/>
        </w:rPr>
        <w:t> </w:t>
      </w:r>
      <w:r>
        <w:rPr>
          <w:rFonts w:ascii="Times New Roman" w:hAnsi="Times New Roman"/>
          <w:i/>
          <w:w w:val="90"/>
          <w:sz w:val="32"/>
        </w:rPr>
        <w:t>y</w:t>
      </w:r>
      <w:r>
        <w:rPr>
          <w:rFonts w:ascii="Times New Roman" w:hAnsi="Times New Roman"/>
          <w:i/>
          <w:spacing w:val="-27"/>
          <w:w w:val="90"/>
          <w:sz w:val="32"/>
        </w:rPr>
        <w:t> </w:t>
      </w:r>
      <w:r>
        <w:rPr>
          <w:rFonts w:ascii="Times New Roman" w:hAnsi="Times New Roman"/>
          <w:i/>
          <w:w w:val="90"/>
          <w:sz w:val="32"/>
        </w:rPr>
        <w:t>Dra.</w:t>
      </w:r>
      <w:r>
        <w:rPr>
          <w:rFonts w:ascii="Times New Roman" w:hAnsi="Times New Roman"/>
          <w:i/>
          <w:spacing w:val="-26"/>
          <w:w w:val="90"/>
          <w:sz w:val="32"/>
        </w:rPr>
        <w:t> </w:t>
      </w:r>
      <w:r>
        <w:rPr>
          <w:rFonts w:ascii="Times New Roman" w:hAnsi="Times New Roman"/>
          <w:i/>
          <w:w w:val="90"/>
          <w:sz w:val="32"/>
        </w:rPr>
        <w:t>Josefina</w:t>
      </w:r>
      <w:r>
        <w:rPr>
          <w:rFonts w:ascii="Times New Roman" w:hAnsi="Times New Roman"/>
          <w:i/>
          <w:spacing w:val="-26"/>
          <w:w w:val="90"/>
          <w:sz w:val="32"/>
        </w:rPr>
        <w:t> </w:t>
      </w:r>
      <w:r>
        <w:rPr>
          <w:rFonts w:ascii="Times New Roman" w:hAnsi="Times New Roman"/>
          <w:i/>
          <w:w w:val="90"/>
          <w:sz w:val="32"/>
        </w:rPr>
        <w:t>Reyes</w:t>
      </w:r>
      <w:r>
        <w:rPr>
          <w:rFonts w:ascii="Times New Roman" w:hAnsi="Times New Roman"/>
          <w:i/>
          <w:spacing w:val="-27"/>
          <w:w w:val="90"/>
          <w:sz w:val="32"/>
        </w:rPr>
        <w:t> </w:t>
      </w:r>
      <w:r>
        <w:rPr>
          <w:rFonts w:ascii="Times New Roman" w:hAnsi="Times New Roman"/>
          <w:i/>
          <w:w w:val="90"/>
          <w:sz w:val="32"/>
        </w:rPr>
        <w:t>(Luis</w:t>
      </w:r>
      <w:r>
        <w:rPr>
          <w:rFonts w:ascii="Times New Roman" w:hAnsi="Times New Roman"/>
          <w:i/>
          <w:spacing w:val="-27"/>
          <w:w w:val="90"/>
          <w:sz w:val="32"/>
        </w:rPr>
        <w:t> </w:t>
      </w:r>
      <w:r>
        <w:rPr>
          <w:rFonts w:ascii="Times New Roman" w:hAnsi="Times New Roman"/>
          <w:i/>
          <w:w w:val="90"/>
          <w:sz w:val="32"/>
        </w:rPr>
        <w:t>y</w:t>
      </w:r>
      <w:r>
        <w:rPr>
          <w:rFonts w:ascii="Times New Roman" w:hAnsi="Times New Roman"/>
          <w:i/>
          <w:spacing w:val="-27"/>
          <w:w w:val="90"/>
          <w:sz w:val="32"/>
        </w:rPr>
        <w:t> </w:t>
      </w:r>
      <w:r>
        <w:rPr>
          <w:rFonts w:ascii="Times New Roman" w:hAnsi="Times New Roman"/>
          <w:i/>
          <w:w w:val="90"/>
          <w:sz w:val="32"/>
        </w:rPr>
        <w:t>ftina)</w:t>
      </w:r>
      <w:r>
        <w:rPr>
          <w:rFonts w:ascii="Times New Roman" w:hAnsi="Times New Roman"/>
          <w:i/>
          <w:spacing w:val="-28"/>
          <w:w w:val="90"/>
          <w:sz w:val="32"/>
        </w:rPr>
        <w:t> </w:t>
      </w:r>
      <w:r>
        <w:rPr>
          <w:rFonts w:ascii="Times New Roman" w:hAnsi="Times New Roman"/>
          <w:i/>
          <w:w w:val="90"/>
          <w:sz w:val="32"/>
        </w:rPr>
        <w:t>por</w:t>
      </w:r>
      <w:r>
        <w:rPr>
          <w:rFonts w:ascii="Times New Roman" w:hAnsi="Times New Roman"/>
          <w:i/>
          <w:spacing w:val="-27"/>
          <w:w w:val="90"/>
          <w:sz w:val="32"/>
        </w:rPr>
        <w:t> </w:t>
      </w:r>
      <w:r>
        <w:rPr>
          <w:rFonts w:ascii="Times New Roman" w:hAnsi="Times New Roman"/>
          <w:i/>
          <w:w w:val="90"/>
          <w:sz w:val="32"/>
        </w:rPr>
        <w:t>ser, </w:t>
      </w:r>
      <w:r>
        <w:rPr>
          <w:rFonts w:ascii="Times New Roman" w:hAnsi="Times New Roman"/>
          <w:i/>
          <w:w w:val="90"/>
          <w:sz w:val="32"/>
        </w:rPr>
        <w:t>no</w:t>
      </w:r>
      <w:r>
        <w:rPr>
          <w:rFonts w:ascii="Times New Roman" w:hAnsi="Times New Roman"/>
          <w:i/>
          <w:spacing w:val="-29"/>
          <w:w w:val="90"/>
          <w:sz w:val="32"/>
        </w:rPr>
        <w:t> </w:t>
      </w:r>
      <w:r>
        <w:rPr>
          <w:rFonts w:ascii="Times New Roman" w:hAnsi="Times New Roman"/>
          <w:i/>
          <w:w w:val="90"/>
          <w:sz w:val="32"/>
        </w:rPr>
        <w:t>sólo</w:t>
      </w:r>
      <w:r>
        <w:rPr>
          <w:rFonts w:ascii="Times New Roman" w:hAnsi="Times New Roman"/>
          <w:i/>
          <w:spacing w:val="-27"/>
          <w:w w:val="90"/>
          <w:sz w:val="32"/>
        </w:rPr>
        <w:t> </w:t>
      </w:r>
      <w:r>
        <w:rPr>
          <w:rFonts w:ascii="Times New Roman" w:hAnsi="Times New Roman"/>
          <w:i/>
          <w:w w:val="90"/>
          <w:sz w:val="32"/>
        </w:rPr>
        <w:t>mi</w:t>
      </w:r>
      <w:r>
        <w:rPr>
          <w:rFonts w:ascii="Times New Roman" w:hAnsi="Times New Roman"/>
          <w:i/>
          <w:spacing w:val="-27"/>
          <w:w w:val="90"/>
          <w:sz w:val="32"/>
        </w:rPr>
        <w:t> </w:t>
      </w:r>
      <w:r>
        <w:rPr>
          <w:rFonts w:ascii="Times New Roman" w:hAnsi="Times New Roman"/>
          <w:i/>
          <w:w w:val="90"/>
          <w:sz w:val="32"/>
        </w:rPr>
        <w:t>mayor</w:t>
      </w:r>
      <w:r>
        <w:rPr>
          <w:rFonts w:ascii="Times New Roman" w:hAnsi="Times New Roman"/>
          <w:i/>
          <w:spacing w:val="-28"/>
          <w:w w:val="90"/>
          <w:sz w:val="32"/>
        </w:rPr>
        <w:t> </w:t>
      </w:r>
      <w:r>
        <w:rPr>
          <w:rFonts w:ascii="Times New Roman" w:hAnsi="Times New Roman"/>
          <w:i/>
          <w:w w:val="90"/>
          <w:sz w:val="32"/>
        </w:rPr>
        <w:t>ejemplo,</w:t>
      </w:r>
      <w:r>
        <w:rPr>
          <w:rFonts w:ascii="Times New Roman" w:hAnsi="Times New Roman"/>
          <w:i/>
          <w:spacing w:val="-29"/>
          <w:w w:val="90"/>
          <w:sz w:val="32"/>
        </w:rPr>
        <w:t> </w:t>
      </w:r>
      <w:r>
        <w:rPr>
          <w:rFonts w:ascii="Times New Roman" w:hAnsi="Times New Roman"/>
          <w:i/>
          <w:w w:val="90"/>
          <w:sz w:val="32"/>
        </w:rPr>
        <w:t>si</w:t>
      </w:r>
      <w:r>
        <w:rPr>
          <w:rFonts w:ascii="Times New Roman" w:hAnsi="Times New Roman"/>
          <w:i/>
          <w:spacing w:val="-28"/>
          <w:w w:val="90"/>
          <w:sz w:val="32"/>
        </w:rPr>
        <w:t> </w:t>
      </w:r>
      <w:r>
        <w:rPr>
          <w:rFonts w:ascii="Times New Roman" w:hAnsi="Times New Roman"/>
          <w:i/>
          <w:w w:val="90"/>
          <w:sz w:val="32"/>
        </w:rPr>
        <w:t>no</w:t>
      </w:r>
      <w:r>
        <w:rPr>
          <w:rFonts w:ascii="Times New Roman" w:hAnsi="Times New Roman"/>
          <w:i/>
          <w:spacing w:val="-28"/>
          <w:w w:val="90"/>
          <w:sz w:val="32"/>
        </w:rPr>
        <w:t> </w:t>
      </w:r>
      <w:r>
        <w:rPr>
          <w:rFonts w:ascii="Times New Roman" w:hAnsi="Times New Roman"/>
          <w:i/>
          <w:w w:val="90"/>
          <w:sz w:val="32"/>
        </w:rPr>
        <w:t>quienes</w:t>
      </w:r>
      <w:r>
        <w:rPr>
          <w:rFonts w:ascii="Times New Roman" w:hAnsi="Times New Roman"/>
          <w:i/>
          <w:spacing w:val="-26"/>
          <w:w w:val="90"/>
          <w:sz w:val="32"/>
        </w:rPr>
        <w:t> </w:t>
      </w:r>
      <w:r>
        <w:rPr>
          <w:rFonts w:ascii="Times New Roman" w:hAnsi="Times New Roman"/>
          <w:i/>
          <w:w w:val="90"/>
          <w:sz w:val="32"/>
        </w:rPr>
        <w:t>más</w:t>
      </w:r>
      <w:r>
        <w:rPr>
          <w:rFonts w:ascii="Times New Roman" w:hAnsi="Times New Roman"/>
          <w:i/>
          <w:spacing w:val="-27"/>
          <w:w w:val="90"/>
          <w:sz w:val="32"/>
        </w:rPr>
        <w:t> </w:t>
      </w:r>
      <w:r>
        <w:rPr>
          <w:rFonts w:ascii="Times New Roman" w:hAnsi="Times New Roman"/>
          <w:i/>
          <w:w w:val="90"/>
          <w:sz w:val="32"/>
        </w:rPr>
        <w:t>admiro</w:t>
      </w:r>
      <w:r>
        <w:rPr>
          <w:rFonts w:ascii="Times New Roman" w:hAnsi="Times New Roman"/>
          <w:i/>
          <w:spacing w:val="-27"/>
          <w:w w:val="90"/>
          <w:sz w:val="32"/>
        </w:rPr>
        <w:t> </w:t>
      </w:r>
      <w:r>
        <w:rPr>
          <w:rFonts w:ascii="Times New Roman" w:hAnsi="Times New Roman"/>
          <w:i/>
          <w:w w:val="90"/>
          <w:sz w:val="32"/>
        </w:rPr>
        <w:t>en</w:t>
      </w:r>
      <w:r>
        <w:rPr>
          <w:rFonts w:ascii="Times New Roman" w:hAnsi="Times New Roman"/>
          <w:i/>
          <w:spacing w:val="-28"/>
          <w:w w:val="90"/>
          <w:sz w:val="32"/>
        </w:rPr>
        <w:t> </w:t>
      </w:r>
      <w:r>
        <w:rPr>
          <w:rFonts w:ascii="Times New Roman" w:hAnsi="Times New Roman"/>
          <w:i/>
          <w:w w:val="90"/>
          <w:sz w:val="32"/>
        </w:rPr>
        <w:t>este</w:t>
      </w:r>
      <w:r>
        <w:rPr>
          <w:rFonts w:ascii="Times New Roman" w:hAnsi="Times New Roman"/>
          <w:i/>
          <w:spacing w:val="-27"/>
          <w:w w:val="90"/>
          <w:sz w:val="32"/>
        </w:rPr>
        <w:t> </w:t>
      </w:r>
      <w:r>
        <w:rPr>
          <w:rFonts w:ascii="Times New Roman" w:hAnsi="Times New Roman"/>
          <w:i/>
          <w:w w:val="90"/>
          <w:sz w:val="32"/>
        </w:rPr>
        <w:t>mundo.</w:t>
      </w:r>
      <w:r>
        <w:rPr>
          <w:rFonts w:ascii="Times New Roman" w:hAnsi="Times New Roman"/>
          <w:i/>
          <w:spacing w:val="-28"/>
          <w:w w:val="90"/>
          <w:sz w:val="32"/>
        </w:rPr>
        <w:t> </w:t>
      </w:r>
      <w:r>
        <w:rPr>
          <w:rFonts w:ascii="Times New Roman" w:hAnsi="Times New Roman"/>
          <w:i/>
          <w:w w:val="90"/>
          <w:sz w:val="32"/>
        </w:rPr>
        <w:t>Mi</w:t>
      </w:r>
      <w:r>
        <w:rPr>
          <w:rFonts w:ascii="Times New Roman" w:hAnsi="Times New Roman"/>
          <w:i/>
          <w:spacing w:val="-28"/>
          <w:w w:val="90"/>
          <w:sz w:val="32"/>
        </w:rPr>
        <w:t> </w:t>
      </w:r>
      <w:r>
        <w:rPr>
          <w:rFonts w:ascii="Times New Roman" w:hAnsi="Times New Roman"/>
          <w:i/>
          <w:w w:val="90"/>
          <w:sz w:val="32"/>
        </w:rPr>
        <w:t>deuda</w:t>
      </w:r>
      <w:r>
        <w:rPr>
          <w:rFonts w:ascii="Times New Roman" w:hAnsi="Times New Roman"/>
          <w:i/>
          <w:spacing w:val="-28"/>
          <w:w w:val="90"/>
          <w:sz w:val="32"/>
        </w:rPr>
        <w:t> </w:t>
      </w:r>
      <w:r>
        <w:rPr>
          <w:rFonts w:ascii="Times New Roman" w:hAnsi="Times New Roman"/>
          <w:i/>
          <w:w w:val="90"/>
          <w:sz w:val="32"/>
        </w:rPr>
        <w:t>es eterna</w:t>
      </w:r>
      <w:r>
        <w:rPr>
          <w:rFonts w:ascii="Times New Roman" w:hAnsi="Times New Roman"/>
          <w:i/>
          <w:spacing w:val="-31"/>
          <w:w w:val="90"/>
          <w:sz w:val="32"/>
        </w:rPr>
        <w:t> </w:t>
      </w:r>
      <w:r>
        <w:rPr>
          <w:rFonts w:ascii="Times New Roman" w:hAnsi="Times New Roman"/>
          <w:i/>
          <w:w w:val="90"/>
          <w:sz w:val="32"/>
        </w:rPr>
        <w:t>con</w:t>
      </w:r>
      <w:r>
        <w:rPr>
          <w:rFonts w:ascii="Times New Roman" w:hAnsi="Times New Roman"/>
          <w:i/>
          <w:spacing w:val="-32"/>
          <w:w w:val="90"/>
          <w:sz w:val="32"/>
        </w:rPr>
        <w:t> </w:t>
      </w:r>
      <w:r>
        <w:rPr>
          <w:rFonts w:ascii="Times New Roman" w:hAnsi="Times New Roman"/>
          <w:i/>
          <w:w w:val="90"/>
          <w:sz w:val="32"/>
        </w:rPr>
        <w:t>ustedes</w:t>
      </w:r>
      <w:r>
        <w:rPr>
          <w:rFonts w:ascii="Times New Roman" w:hAnsi="Times New Roman"/>
          <w:i/>
          <w:spacing w:val="-31"/>
          <w:w w:val="90"/>
          <w:sz w:val="32"/>
        </w:rPr>
        <w:t> </w:t>
      </w:r>
      <w:r>
        <w:rPr>
          <w:rFonts w:ascii="Times New Roman" w:hAnsi="Times New Roman"/>
          <w:i/>
          <w:w w:val="90"/>
          <w:sz w:val="32"/>
        </w:rPr>
        <w:t>y</w:t>
      </w:r>
      <w:r>
        <w:rPr>
          <w:rFonts w:ascii="Times New Roman" w:hAnsi="Times New Roman"/>
          <w:i/>
          <w:spacing w:val="-31"/>
          <w:w w:val="90"/>
          <w:sz w:val="32"/>
        </w:rPr>
        <w:t> </w:t>
      </w:r>
      <w:r>
        <w:rPr>
          <w:rFonts w:ascii="Times New Roman" w:hAnsi="Times New Roman"/>
          <w:i/>
          <w:w w:val="90"/>
          <w:sz w:val="32"/>
        </w:rPr>
        <w:t>no</w:t>
      </w:r>
      <w:r>
        <w:rPr>
          <w:rFonts w:ascii="Times New Roman" w:hAnsi="Times New Roman"/>
          <w:i/>
          <w:spacing w:val="-32"/>
          <w:w w:val="90"/>
          <w:sz w:val="32"/>
        </w:rPr>
        <w:t> </w:t>
      </w:r>
      <w:r>
        <w:rPr>
          <w:rFonts w:ascii="Times New Roman" w:hAnsi="Times New Roman"/>
          <w:i/>
          <w:w w:val="90"/>
          <w:sz w:val="32"/>
        </w:rPr>
        <w:t>me</w:t>
      </w:r>
      <w:r>
        <w:rPr>
          <w:rFonts w:ascii="Times New Roman" w:hAnsi="Times New Roman"/>
          <w:i/>
          <w:spacing w:val="-32"/>
          <w:w w:val="90"/>
          <w:sz w:val="32"/>
        </w:rPr>
        <w:t> </w:t>
      </w:r>
      <w:r>
        <w:rPr>
          <w:rFonts w:ascii="Times New Roman" w:hAnsi="Times New Roman"/>
          <w:i/>
          <w:w w:val="90"/>
          <w:sz w:val="32"/>
        </w:rPr>
        <w:t>alcanza</w:t>
      </w:r>
      <w:r>
        <w:rPr>
          <w:rFonts w:ascii="Times New Roman" w:hAnsi="Times New Roman"/>
          <w:i/>
          <w:spacing w:val="-31"/>
          <w:w w:val="90"/>
          <w:sz w:val="32"/>
        </w:rPr>
        <w:t> </w:t>
      </w:r>
      <w:r>
        <w:rPr>
          <w:rFonts w:ascii="Times New Roman" w:hAnsi="Times New Roman"/>
          <w:i/>
          <w:w w:val="90"/>
          <w:sz w:val="32"/>
        </w:rPr>
        <w:t>la</w:t>
      </w:r>
      <w:r>
        <w:rPr>
          <w:rFonts w:ascii="Times New Roman" w:hAnsi="Times New Roman"/>
          <w:i/>
          <w:spacing w:val="-31"/>
          <w:w w:val="90"/>
          <w:sz w:val="32"/>
        </w:rPr>
        <w:t> </w:t>
      </w:r>
      <w:r>
        <w:rPr>
          <w:rFonts w:ascii="Times New Roman" w:hAnsi="Times New Roman"/>
          <w:i/>
          <w:w w:val="90"/>
          <w:sz w:val="32"/>
        </w:rPr>
        <w:t>vida</w:t>
      </w:r>
      <w:r>
        <w:rPr>
          <w:rFonts w:ascii="Times New Roman" w:hAnsi="Times New Roman"/>
          <w:i/>
          <w:spacing w:val="-31"/>
          <w:w w:val="90"/>
          <w:sz w:val="32"/>
        </w:rPr>
        <w:t> </w:t>
      </w:r>
      <w:r>
        <w:rPr>
          <w:rFonts w:ascii="Times New Roman" w:hAnsi="Times New Roman"/>
          <w:i/>
          <w:w w:val="90"/>
          <w:sz w:val="32"/>
        </w:rPr>
        <w:t>para</w:t>
      </w:r>
      <w:r>
        <w:rPr>
          <w:rFonts w:ascii="Times New Roman" w:hAnsi="Times New Roman"/>
          <w:i/>
          <w:spacing w:val="-31"/>
          <w:w w:val="90"/>
          <w:sz w:val="32"/>
        </w:rPr>
        <w:t> </w:t>
      </w:r>
      <w:r>
        <w:rPr>
          <w:rFonts w:ascii="Times New Roman" w:hAnsi="Times New Roman"/>
          <w:i/>
          <w:w w:val="90"/>
          <w:sz w:val="32"/>
        </w:rPr>
        <w:t>pagarles</w:t>
      </w:r>
      <w:r>
        <w:rPr>
          <w:rFonts w:ascii="Times New Roman" w:hAnsi="Times New Roman"/>
          <w:i/>
          <w:spacing w:val="-31"/>
          <w:w w:val="90"/>
          <w:sz w:val="32"/>
        </w:rPr>
        <w:t> </w:t>
      </w:r>
      <w:r>
        <w:rPr>
          <w:rFonts w:ascii="Times New Roman" w:hAnsi="Times New Roman"/>
          <w:i/>
          <w:w w:val="90"/>
          <w:sz w:val="32"/>
        </w:rPr>
        <w:t>todo</w:t>
      </w:r>
      <w:r>
        <w:rPr>
          <w:rFonts w:ascii="Times New Roman" w:hAnsi="Times New Roman"/>
          <w:i/>
          <w:spacing w:val="-32"/>
          <w:w w:val="90"/>
          <w:sz w:val="32"/>
        </w:rPr>
        <w:t> </w:t>
      </w:r>
      <w:r>
        <w:rPr>
          <w:rFonts w:ascii="Times New Roman" w:hAnsi="Times New Roman"/>
          <w:i/>
          <w:w w:val="90"/>
          <w:sz w:val="32"/>
        </w:rPr>
        <w:t>lo</w:t>
      </w:r>
      <w:r>
        <w:rPr>
          <w:rFonts w:ascii="Times New Roman" w:hAnsi="Times New Roman"/>
          <w:i/>
          <w:spacing w:val="-31"/>
          <w:w w:val="90"/>
          <w:sz w:val="32"/>
        </w:rPr>
        <w:t> </w:t>
      </w:r>
      <w:r>
        <w:rPr>
          <w:rFonts w:ascii="Times New Roman" w:hAnsi="Times New Roman"/>
          <w:i/>
          <w:w w:val="90"/>
          <w:sz w:val="32"/>
        </w:rPr>
        <w:t>que</w:t>
      </w:r>
      <w:r>
        <w:rPr>
          <w:rFonts w:ascii="Times New Roman" w:hAnsi="Times New Roman"/>
          <w:i/>
          <w:spacing w:val="-31"/>
          <w:w w:val="90"/>
          <w:sz w:val="32"/>
        </w:rPr>
        <w:t> </w:t>
      </w:r>
      <w:r>
        <w:rPr>
          <w:rFonts w:ascii="Times New Roman" w:hAnsi="Times New Roman"/>
          <w:i/>
          <w:w w:val="90"/>
          <w:sz w:val="32"/>
        </w:rPr>
        <w:t>me</w:t>
      </w:r>
      <w:r>
        <w:rPr>
          <w:rFonts w:ascii="Times New Roman" w:hAnsi="Times New Roman"/>
          <w:i/>
          <w:spacing w:val="-31"/>
          <w:w w:val="90"/>
          <w:sz w:val="32"/>
        </w:rPr>
        <w:t> </w:t>
      </w:r>
      <w:r>
        <w:rPr>
          <w:rFonts w:ascii="Times New Roman" w:hAnsi="Times New Roman"/>
          <w:i/>
          <w:w w:val="90"/>
          <w:sz w:val="32"/>
        </w:rPr>
        <w:t>han</w:t>
      </w:r>
      <w:r>
        <w:rPr>
          <w:rFonts w:ascii="Times New Roman" w:hAnsi="Times New Roman"/>
          <w:i/>
          <w:spacing w:val="-31"/>
          <w:w w:val="90"/>
          <w:sz w:val="32"/>
        </w:rPr>
        <w:t> </w:t>
      </w:r>
      <w:r>
        <w:rPr>
          <w:rFonts w:ascii="Times New Roman" w:hAnsi="Times New Roman"/>
          <w:i/>
          <w:w w:val="90"/>
          <w:sz w:val="32"/>
        </w:rPr>
        <w:t>dado.</w:t>
      </w:r>
    </w:p>
    <w:p>
      <w:pPr>
        <w:spacing w:before="2"/>
        <w:ind w:left="0" w:right="18" w:firstLine="0"/>
        <w:jc w:val="center"/>
        <w:rPr>
          <w:rFonts w:ascii="Times New Roman"/>
          <w:i/>
          <w:sz w:val="32"/>
        </w:rPr>
      </w:pPr>
      <w:r>
        <w:rPr>
          <w:rFonts w:ascii="Times New Roman"/>
          <w:i/>
          <w:w w:val="90"/>
          <w:sz w:val="32"/>
        </w:rPr>
        <w:t>Todo lo que soy es gracias a ustedes.</w:t>
      </w:r>
    </w:p>
    <w:p>
      <w:pPr>
        <w:spacing w:before="246"/>
        <w:ind w:left="0" w:right="20" w:firstLine="0"/>
        <w:jc w:val="center"/>
        <w:rPr>
          <w:rFonts w:ascii="Times New Roman" w:hAnsi="Times New Roman"/>
          <w:i/>
          <w:sz w:val="32"/>
        </w:rPr>
      </w:pPr>
      <w:r>
        <w:rPr>
          <w:rFonts w:ascii="Times New Roman" w:hAnsi="Times New Roman"/>
          <w:b/>
          <w:i/>
          <w:w w:val="90"/>
          <w:sz w:val="32"/>
        </w:rPr>
        <w:t>A mi esposo</w:t>
      </w:r>
      <w:r>
        <w:rPr>
          <w:rFonts w:ascii="Times New Roman" w:hAnsi="Times New Roman"/>
          <w:i/>
          <w:w w:val="90"/>
          <w:sz w:val="32"/>
        </w:rPr>
        <w:t>; por su tiempo, por su espera, por motivarme a continuar mi día a día.</w:t>
      </w:r>
    </w:p>
    <w:p>
      <w:pPr>
        <w:spacing w:before="45"/>
        <w:ind w:left="0" w:right="25" w:firstLine="0"/>
        <w:jc w:val="center"/>
        <w:rPr>
          <w:rFonts w:ascii="Times New Roman"/>
          <w:i/>
          <w:sz w:val="32"/>
        </w:rPr>
      </w:pPr>
      <w:r>
        <w:rPr>
          <w:rFonts w:ascii="Times New Roman"/>
          <w:i/>
          <w:w w:val="90"/>
          <w:sz w:val="32"/>
        </w:rPr>
        <w:t>Gracias por compartir la vida conmigo. Yo soy mejor gracias a ti.</w:t>
      </w:r>
    </w:p>
    <w:p>
      <w:pPr>
        <w:spacing w:line="268" w:lineRule="auto" w:before="244"/>
        <w:ind w:left="195" w:right="215" w:firstLine="0"/>
        <w:jc w:val="center"/>
        <w:rPr>
          <w:rFonts w:ascii="Times New Roman" w:hAnsi="Times New Roman"/>
          <w:i/>
          <w:sz w:val="32"/>
        </w:rPr>
      </w:pPr>
      <w:r>
        <w:rPr>
          <w:rFonts w:ascii="Times New Roman" w:hAnsi="Times New Roman"/>
          <w:b/>
          <w:i/>
          <w:w w:val="90"/>
          <w:sz w:val="32"/>
        </w:rPr>
        <w:t>A</w:t>
      </w:r>
      <w:r>
        <w:rPr>
          <w:rFonts w:ascii="Times New Roman" w:hAnsi="Times New Roman"/>
          <w:b/>
          <w:i/>
          <w:spacing w:val="-41"/>
          <w:w w:val="90"/>
          <w:sz w:val="32"/>
        </w:rPr>
        <w:t> </w:t>
      </w:r>
      <w:r>
        <w:rPr>
          <w:rFonts w:ascii="Times New Roman" w:hAnsi="Times New Roman"/>
          <w:b/>
          <w:i/>
          <w:w w:val="90"/>
          <w:sz w:val="32"/>
        </w:rPr>
        <w:t>mis</w:t>
      </w:r>
      <w:r>
        <w:rPr>
          <w:rFonts w:ascii="Times New Roman" w:hAnsi="Times New Roman"/>
          <w:b/>
          <w:i/>
          <w:spacing w:val="-42"/>
          <w:w w:val="90"/>
          <w:sz w:val="32"/>
        </w:rPr>
        <w:t> </w:t>
      </w:r>
      <w:r>
        <w:rPr>
          <w:rFonts w:ascii="Times New Roman" w:hAnsi="Times New Roman"/>
          <w:b/>
          <w:i/>
          <w:w w:val="90"/>
          <w:sz w:val="32"/>
        </w:rPr>
        <w:t>hermanos;</w:t>
      </w:r>
      <w:r>
        <w:rPr>
          <w:rFonts w:ascii="Times New Roman" w:hAnsi="Times New Roman"/>
          <w:b/>
          <w:i/>
          <w:spacing w:val="-43"/>
          <w:w w:val="90"/>
          <w:sz w:val="32"/>
        </w:rPr>
        <w:t> </w:t>
      </w:r>
      <w:r>
        <w:rPr>
          <w:rFonts w:ascii="Times New Roman" w:hAnsi="Times New Roman"/>
          <w:i/>
          <w:w w:val="90"/>
          <w:sz w:val="32"/>
        </w:rPr>
        <w:t>por</w:t>
      </w:r>
      <w:r>
        <w:rPr>
          <w:rFonts w:ascii="Times New Roman" w:hAnsi="Times New Roman"/>
          <w:i/>
          <w:spacing w:val="-42"/>
          <w:w w:val="90"/>
          <w:sz w:val="32"/>
        </w:rPr>
        <w:t> </w:t>
      </w:r>
      <w:r>
        <w:rPr>
          <w:rFonts w:ascii="Times New Roman" w:hAnsi="Times New Roman"/>
          <w:i/>
          <w:w w:val="90"/>
          <w:sz w:val="32"/>
        </w:rPr>
        <w:t>ser</w:t>
      </w:r>
      <w:r>
        <w:rPr>
          <w:rFonts w:ascii="Times New Roman" w:hAnsi="Times New Roman"/>
          <w:i/>
          <w:spacing w:val="-42"/>
          <w:w w:val="90"/>
          <w:sz w:val="32"/>
        </w:rPr>
        <w:t> </w:t>
      </w:r>
      <w:r>
        <w:rPr>
          <w:rFonts w:ascii="Times New Roman" w:hAnsi="Times New Roman"/>
          <w:i/>
          <w:w w:val="90"/>
          <w:sz w:val="32"/>
        </w:rPr>
        <w:t>mi</w:t>
      </w:r>
      <w:r>
        <w:rPr>
          <w:rFonts w:ascii="Times New Roman" w:hAnsi="Times New Roman"/>
          <w:i/>
          <w:spacing w:val="-42"/>
          <w:w w:val="90"/>
          <w:sz w:val="32"/>
        </w:rPr>
        <w:t> </w:t>
      </w:r>
      <w:r>
        <w:rPr>
          <w:rFonts w:ascii="Times New Roman" w:hAnsi="Times New Roman"/>
          <w:i/>
          <w:w w:val="90"/>
          <w:sz w:val="32"/>
        </w:rPr>
        <w:t>alegría,</w:t>
      </w:r>
      <w:r>
        <w:rPr>
          <w:rFonts w:ascii="Times New Roman" w:hAnsi="Times New Roman"/>
          <w:i/>
          <w:spacing w:val="-42"/>
          <w:w w:val="90"/>
          <w:sz w:val="32"/>
        </w:rPr>
        <w:t> </w:t>
      </w:r>
      <w:r>
        <w:rPr>
          <w:rFonts w:ascii="Times New Roman" w:hAnsi="Times New Roman"/>
          <w:i/>
          <w:w w:val="90"/>
          <w:sz w:val="32"/>
        </w:rPr>
        <w:t>mi</w:t>
      </w:r>
      <w:r>
        <w:rPr>
          <w:rFonts w:ascii="Times New Roman" w:hAnsi="Times New Roman"/>
          <w:i/>
          <w:spacing w:val="-42"/>
          <w:w w:val="90"/>
          <w:sz w:val="32"/>
        </w:rPr>
        <w:t> </w:t>
      </w:r>
      <w:r>
        <w:rPr>
          <w:rFonts w:ascii="Times New Roman" w:hAnsi="Times New Roman"/>
          <w:i/>
          <w:w w:val="90"/>
          <w:sz w:val="32"/>
        </w:rPr>
        <w:t>apoyo,</w:t>
      </w:r>
      <w:r>
        <w:rPr>
          <w:rFonts w:ascii="Times New Roman" w:hAnsi="Times New Roman"/>
          <w:i/>
          <w:spacing w:val="-42"/>
          <w:w w:val="90"/>
          <w:sz w:val="32"/>
        </w:rPr>
        <w:t> </w:t>
      </w:r>
      <w:r>
        <w:rPr>
          <w:rFonts w:ascii="Times New Roman" w:hAnsi="Times New Roman"/>
          <w:i/>
          <w:w w:val="90"/>
          <w:sz w:val="32"/>
        </w:rPr>
        <w:t>mis</w:t>
      </w:r>
      <w:r>
        <w:rPr>
          <w:rFonts w:ascii="Times New Roman" w:hAnsi="Times New Roman"/>
          <w:i/>
          <w:spacing w:val="-42"/>
          <w:w w:val="90"/>
          <w:sz w:val="32"/>
        </w:rPr>
        <w:t> </w:t>
      </w:r>
      <w:r>
        <w:rPr>
          <w:rFonts w:ascii="Times New Roman" w:hAnsi="Times New Roman"/>
          <w:i/>
          <w:w w:val="90"/>
          <w:sz w:val="32"/>
        </w:rPr>
        <w:t>cómplices</w:t>
      </w:r>
      <w:r>
        <w:rPr>
          <w:rFonts w:ascii="Times New Roman" w:hAnsi="Times New Roman"/>
          <w:i/>
          <w:spacing w:val="-42"/>
          <w:w w:val="90"/>
          <w:sz w:val="32"/>
        </w:rPr>
        <w:t> </w:t>
      </w:r>
      <w:r>
        <w:rPr>
          <w:rFonts w:ascii="Times New Roman" w:hAnsi="Times New Roman"/>
          <w:i/>
          <w:w w:val="90"/>
          <w:sz w:val="32"/>
        </w:rPr>
        <w:t>en</w:t>
      </w:r>
      <w:r>
        <w:rPr>
          <w:rFonts w:ascii="Times New Roman" w:hAnsi="Times New Roman"/>
          <w:i/>
          <w:spacing w:val="-42"/>
          <w:w w:val="90"/>
          <w:sz w:val="32"/>
        </w:rPr>
        <w:t> </w:t>
      </w:r>
      <w:r>
        <w:rPr>
          <w:rFonts w:ascii="Times New Roman" w:hAnsi="Times New Roman"/>
          <w:i/>
          <w:w w:val="90"/>
          <w:sz w:val="32"/>
        </w:rPr>
        <w:t>esta</w:t>
      </w:r>
      <w:r>
        <w:rPr>
          <w:rFonts w:ascii="Times New Roman" w:hAnsi="Times New Roman"/>
          <w:i/>
          <w:spacing w:val="-42"/>
          <w:w w:val="90"/>
          <w:sz w:val="32"/>
        </w:rPr>
        <w:t> </w:t>
      </w:r>
      <w:r>
        <w:rPr>
          <w:rFonts w:ascii="Times New Roman" w:hAnsi="Times New Roman"/>
          <w:i/>
          <w:w w:val="90"/>
          <w:sz w:val="32"/>
        </w:rPr>
        <w:t>vida</w:t>
      </w:r>
      <w:r>
        <w:rPr>
          <w:rFonts w:ascii="Times New Roman" w:hAnsi="Times New Roman"/>
          <w:i/>
          <w:spacing w:val="-42"/>
          <w:w w:val="90"/>
          <w:sz w:val="32"/>
        </w:rPr>
        <w:t> </w:t>
      </w:r>
      <w:r>
        <w:rPr>
          <w:rFonts w:ascii="Times New Roman" w:hAnsi="Times New Roman"/>
          <w:i/>
          <w:w w:val="90"/>
          <w:sz w:val="32"/>
        </w:rPr>
        <w:t>y</w:t>
      </w:r>
      <w:r>
        <w:rPr>
          <w:rFonts w:ascii="Times New Roman" w:hAnsi="Times New Roman"/>
          <w:i/>
          <w:spacing w:val="-43"/>
          <w:w w:val="90"/>
          <w:sz w:val="32"/>
        </w:rPr>
        <w:t> </w:t>
      </w:r>
      <w:r>
        <w:rPr>
          <w:rFonts w:ascii="Times New Roman" w:hAnsi="Times New Roman"/>
          <w:i/>
          <w:w w:val="90"/>
          <w:sz w:val="32"/>
        </w:rPr>
        <w:t>en </w:t>
      </w:r>
      <w:r>
        <w:rPr>
          <w:rFonts w:ascii="Times New Roman" w:hAnsi="Times New Roman"/>
          <w:i/>
          <w:w w:val="85"/>
          <w:sz w:val="32"/>
        </w:rPr>
        <w:t>quienes</w:t>
      </w:r>
      <w:r>
        <w:rPr>
          <w:rFonts w:ascii="Times New Roman" w:hAnsi="Times New Roman"/>
          <w:i/>
          <w:spacing w:val="-22"/>
          <w:w w:val="85"/>
          <w:sz w:val="32"/>
        </w:rPr>
        <w:t> </w:t>
      </w:r>
      <w:r>
        <w:rPr>
          <w:rFonts w:ascii="Times New Roman" w:hAnsi="Times New Roman"/>
          <w:i/>
          <w:w w:val="85"/>
          <w:sz w:val="32"/>
        </w:rPr>
        <w:t>siempre</w:t>
      </w:r>
      <w:r>
        <w:rPr>
          <w:rFonts w:ascii="Times New Roman" w:hAnsi="Times New Roman"/>
          <w:i/>
          <w:spacing w:val="-22"/>
          <w:w w:val="85"/>
          <w:sz w:val="32"/>
        </w:rPr>
        <w:t> </w:t>
      </w:r>
      <w:r>
        <w:rPr>
          <w:rFonts w:ascii="Times New Roman" w:hAnsi="Times New Roman"/>
          <w:i/>
          <w:w w:val="85"/>
          <w:sz w:val="32"/>
        </w:rPr>
        <w:t>confiaré</w:t>
      </w:r>
      <w:r>
        <w:rPr>
          <w:rFonts w:ascii="Times New Roman" w:hAnsi="Times New Roman"/>
          <w:i/>
          <w:spacing w:val="-22"/>
          <w:w w:val="85"/>
          <w:sz w:val="32"/>
        </w:rPr>
        <w:t> </w:t>
      </w:r>
      <w:r>
        <w:rPr>
          <w:rFonts w:ascii="Times New Roman" w:hAnsi="Times New Roman"/>
          <w:i/>
          <w:w w:val="85"/>
          <w:sz w:val="32"/>
        </w:rPr>
        <w:t>ciegamente.</w:t>
      </w:r>
    </w:p>
    <w:p>
      <w:pPr>
        <w:spacing w:line="268" w:lineRule="auto" w:before="204"/>
        <w:ind w:left="195" w:right="212" w:firstLine="0"/>
        <w:jc w:val="center"/>
        <w:rPr>
          <w:rFonts w:ascii="Times New Roman"/>
          <w:i/>
          <w:sz w:val="32"/>
        </w:rPr>
      </w:pPr>
      <w:r>
        <w:rPr>
          <w:rFonts w:ascii="Times New Roman"/>
          <w:i/>
          <w:w w:val="90"/>
          <w:sz w:val="32"/>
        </w:rPr>
        <w:t>A</w:t>
      </w:r>
      <w:r>
        <w:rPr>
          <w:rFonts w:ascii="Times New Roman"/>
          <w:i/>
          <w:spacing w:val="-37"/>
          <w:w w:val="90"/>
          <w:sz w:val="32"/>
        </w:rPr>
        <w:t> </w:t>
      </w:r>
      <w:r>
        <w:rPr>
          <w:rFonts w:ascii="Times New Roman"/>
          <w:i/>
          <w:w w:val="90"/>
          <w:sz w:val="32"/>
        </w:rPr>
        <w:t>cada</w:t>
      </w:r>
      <w:r>
        <w:rPr>
          <w:rFonts w:ascii="Times New Roman"/>
          <w:i/>
          <w:spacing w:val="-35"/>
          <w:w w:val="90"/>
          <w:sz w:val="32"/>
        </w:rPr>
        <w:t> </w:t>
      </w:r>
      <w:r>
        <w:rPr>
          <w:rFonts w:ascii="Times New Roman"/>
          <w:i/>
          <w:w w:val="90"/>
          <w:sz w:val="32"/>
        </w:rPr>
        <w:t>uno</w:t>
      </w:r>
      <w:r>
        <w:rPr>
          <w:rFonts w:ascii="Times New Roman"/>
          <w:i/>
          <w:spacing w:val="-35"/>
          <w:w w:val="90"/>
          <w:sz w:val="32"/>
        </w:rPr>
        <w:t> </w:t>
      </w:r>
      <w:r>
        <w:rPr>
          <w:rFonts w:ascii="Times New Roman"/>
          <w:i/>
          <w:w w:val="90"/>
          <w:sz w:val="32"/>
        </w:rPr>
        <w:t>de</w:t>
      </w:r>
      <w:r>
        <w:rPr>
          <w:rFonts w:ascii="Times New Roman"/>
          <w:i/>
          <w:spacing w:val="-37"/>
          <w:w w:val="90"/>
          <w:sz w:val="32"/>
        </w:rPr>
        <w:t> </w:t>
      </w:r>
      <w:r>
        <w:rPr>
          <w:rFonts w:ascii="Times New Roman"/>
          <w:b/>
          <w:i/>
          <w:w w:val="90"/>
          <w:sz w:val="32"/>
        </w:rPr>
        <w:t>mis</w:t>
      </w:r>
      <w:r>
        <w:rPr>
          <w:rFonts w:ascii="Times New Roman"/>
          <w:b/>
          <w:i/>
          <w:spacing w:val="-34"/>
          <w:w w:val="90"/>
          <w:sz w:val="32"/>
        </w:rPr>
        <w:t> </w:t>
      </w:r>
      <w:r>
        <w:rPr>
          <w:rFonts w:ascii="Times New Roman"/>
          <w:b/>
          <w:i/>
          <w:w w:val="90"/>
          <w:sz w:val="32"/>
        </w:rPr>
        <w:t>familiares</w:t>
      </w:r>
      <w:r>
        <w:rPr>
          <w:rFonts w:ascii="Times New Roman"/>
          <w:b/>
          <w:i/>
          <w:spacing w:val="-34"/>
          <w:w w:val="90"/>
          <w:sz w:val="32"/>
        </w:rPr>
        <w:t> </w:t>
      </w:r>
      <w:r>
        <w:rPr>
          <w:rFonts w:ascii="Times New Roman"/>
          <w:i/>
          <w:w w:val="90"/>
          <w:sz w:val="32"/>
        </w:rPr>
        <w:t>y</w:t>
      </w:r>
      <w:r>
        <w:rPr>
          <w:rFonts w:ascii="Times New Roman"/>
          <w:i/>
          <w:spacing w:val="-37"/>
          <w:w w:val="90"/>
          <w:sz w:val="32"/>
        </w:rPr>
        <w:t> </w:t>
      </w:r>
      <w:r>
        <w:rPr>
          <w:rFonts w:ascii="Times New Roman"/>
          <w:b/>
          <w:i/>
          <w:w w:val="90"/>
          <w:sz w:val="32"/>
        </w:rPr>
        <w:t>mis</w:t>
      </w:r>
      <w:r>
        <w:rPr>
          <w:rFonts w:ascii="Times New Roman"/>
          <w:b/>
          <w:i/>
          <w:spacing w:val="-35"/>
          <w:w w:val="90"/>
          <w:sz w:val="32"/>
        </w:rPr>
        <w:t> </w:t>
      </w:r>
      <w:r>
        <w:rPr>
          <w:rFonts w:ascii="Times New Roman"/>
          <w:b/>
          <w:i/>
          <w:w w:val="90"/>
          <w:sz w:val="32"/>
        </w:rPr>
        <w:t>amigos</w:t>
      </w:r>
      <w:r>
        <w:rPr>
          <w:rFonts w:ascii="Times New Roman"/>
          <w:b/>
          <w:i/>
          <w:spacing w:val="-36"/>
          <w:w w:val="90"/>
          <w:sz w:val="32"/>
        </w:rPr>
        <w:t> </w:t>
      </w:r>
      <w:r>
        <w:rPr>
          <w:rFonts w:ascii="Times New Roman"/>
          <w:i/>
          <w:w w:val="90"/>
          <w:sz w:val="32"/>
        </w:rPr>
        <w:t>pues</w:t>
      </w:r>
      <w:r>
        <w:rPr>
          <w:rFonts w:ascii="Times New Roman"/>
          <w:i/>
          <w:spacing w:val="-36"/>
          <w:w w:val="90"/>
          <w:sz w:val="32"/>
        </w:rPr>
        <w:t> </w:t>
      </w:r>
      <w:r>
        <w:rPr>
          <w:rFonts w:ascii="Times New Roman"/>
          <w:i/>
          <w:w w:val="90"/>
          <w:sz w:val="32"/>
        </w:rPr>
        <w:t>son</w:t>
      </w:r>
      <w:r>
        <w:rPr>
          <w:rFonts w:ascii="Times New Roman"/>
          <w:i/>
          <w:spacing w:val="-37"/>
          <w:w w:val="90"/>
          <w:sz w:val="32"/>
        </w:rPr>
        <w:t> </w:t>
      </w:r>
      <w:r>
        <w:rPr>
          <w:rFonts w:ascii="Times New Roman"/>
          <w:i/>
          <w:w w:val="90"/>
          <w:sz w:val="32"/>
        </w:rPr>
        <w:t>el</w:t>
      </w:r>
      <w:r>
        <w:rPr>
          <w:rFonts w:ascii="Times New Roman"/>
          <w:i/>
          <w:spacing w:val="-35"/>
          <w:w w:val="90"/>
          <w:sz w:val="32"/>
        </w:rPr>
        <w:t> </w:t>
      </w:r>
      <w:r>
        <w:rPr>
          <w:rFonts w:ascii="Times New Roman"/>
          <w:i/>
          <w:w w:val="90"/>
          <w:sz w:val="32"/>
        </w:rPr>
        <w:t>mayor</w:t>
      </w:r>
      <w:r>
        <w:rPr>
          <w:rFonts w:ascii="Times New Roman"/>
          <w:i/>
          <w:spacing w:val="-36"/>
          <w:w w:val="90"/>
          <w:sz w:val="32"/>
        </w:rPr>
        <w:t> </w:t>
      </w:r>
      <w:r>
        <w:rPr>
          <w:rFonts w:ascii="Times New Roman"/>
          <w:i/>
          <w:w w:val="90"/>
          <w:sz w:val="32"/>
        </w:rPr>
        <w:t>tesoro</w:t>
      </w:r>
      <w:r>
        <w:rPr>
          <w:rFonts w:ascii="Times New Roman"/>
          <w:i/>
          <w:spacing w:val="-37"/>
          <w:w w:val="90"/>
          <w:sz w:val="32"/>
        </w:rPr>
        <w:t> </w:t>
      </w:r>
      <w:r>
        <w:rPr>
          <w:rFonts w:ascii="Times New Roman"/>
          <w:i/>
          <w:w w:val="90"/>
          <w:sz w:val="32"/>
        </w:rPr>
        <w:t>que</w:t>
      </w:r>
      <w:r>
        <w:rPr>
          <w:rFonts w:ascii="Times New Roman"/>
          <w:i/>
          <w:spacing w:val="-37"/>
          <w:w w:val="90"/>
          <w:sz w:val="32"/>
        </w:rPr>
        <w:t> </w:t>
      </w:r>
      <w:r>
        <w:rPr>
          <w:rFonts w:ascii="Times New Roman"/>
          <w:i/>
          <w:w w:val="90"/>
          <w:sz w:val="32"/>
        </w:rPr>
        <w:t>la</w:t>
      </w:r>
      <w:r>
        <w:rPr>
          <w:rFonts w:ascii="Times New Roman"/>
          <w:i/>
          <w:spacing w:val="-36"/>
          <w:w w:val="90"/>
          <w:sz w:val="32"/>
        </w:rPr>
        <w:t> </w:t>
      </w:r>
      <w:r>
        <w:rPr>
          <w:rFonts w:ascii="Times New Roman"/>
          <w:i/>
          <w:w w:val="90"/>
          <w:sz w:val="32"/>
        </w:rPr>
        <w:t>vida</w:t>
      </w:r>
      <w:r>
        <w:rPr>
          <w:rFonts w:ascii="Times New Roman"/>
          <w:i/>
          <w:spacing w:val="-35"/>
          <w:w w:val="90"/>
          <w:sz w:val="32"/>
        </w:rPr>
        <w:t> </w:t>
      </w:r>
      <w:r>
        <w:rPr>
          <w:rFonts w:ascii="Times New Roman"/>
          <w:i/>
          <w:w w:val="90"/>
          <w:sz w:val="32"/>
        </w:rPr>
        <w:t>me </w:t>
      </w:r>
      <w:r>
        <w:rPr>
          <w:rFonts w:ascii="Times New Roman"/>
          <w:i/>
          <w:w w:val="85"/>
          <w:sz w:val="32"/>
        </w:rPr>
        <w:t>ha dado. Gracias</w:t>
      </w:r>
      <w:r>
        <w:rPr>
          <w:rFonts w:ascii="Times New Roman"/>
          <w:i/>
          <w:spacing w:val="10"/>
          <w:w w:val="85"/>
          <w:sz w:val="32"/>
        </w:rPr>
        <w:t> </w:t>
      </w:r>
      <w:r>
        <w:rPr>
          <w:rFonts w:ascii="Times New Roman"/>
          <w:i/>
          <w:w w:val="85"/>
          <w:sz w:val="32"/>
        </w:rPr>
        <w:t>Xochilita.</w:t>
      </w:r>
    </w:p>
    <w:p>
      <w:pPr>
        <w:spacing w:line="268" w:lineRule="auto" w:before="201"/>
        <w:ind w:left="0" w:right="24" w:firstLine="0"/>
        <w:jc w:val="center"/>
        <w:rPr>
          <w:rFonts w:ascii="Times New Roman" w:hAnsi="Times New Roman"/>
          <w:i/>
          <w:sz w:val="32"/>
        </w:rPr>
      </w:pPr>
      <w:r>
        <w:rPr>
          <w:rFonts w:ascii="Times New Roman" w:hAnsi="Times New Roman"/>
          <w:i/>
          <w:w w:val="90"/>
          <w:sz w:val="32"/>
        </w:rPr>
        <w:t>ftor</w:t>
      </w:r>
      <w:r>
        <w:rPr>
          <w:rFonts w:ascii="Times New Roman" w:hAnsi="Times New Roman"/>
          <w:i/>
          <w:spacing w:val="-37"/>
          <w:w w:val="90"/>
          <w:sz w:val="32"/>
        </w:rPr>
        <w:t> </w:t>
      </w:r>
      <w:r>
        <w:rPr>
          <w:rFonts w:ascii="Times New Roman" w:hAnsi="Times New Roman"/>
          <w:i/>
          <w:w w:val="90"/>
          <w:sz w:val="32"/>
        </w:rPr>
        <w:t>último</w:t>
      </w:r>
      <w:r>
        <w:rPr>
          <w:rFonts w:ascii="Times New Roman" w:hAnsi="Times New Roman"/>
          <w:i/>
          <w:spacing w:val="-37"/>
          <w:w w:val="90"/>
          <w:sz w:val="32"/>
        </w:rPr>
        <w:t> </w:t>
      </w:r>
      <w:r>
        <w:rPr>
          <w:rFonts w:ascii="Times New Roman" w:hAnsi="Times New Roman"/>
          <w:i/>
          <w:w w:val="90"/>
          <w:sz w:val="32"/>
        </w:rPr>
        <w:t>agradezco</w:t>
      </w:r>
      <w:r>
        <w:rPr>
          <w:rFonts w:ascii="Times New Roman" w:hAnsi="Times New Roman"/>
          <w:i/>
          <w:spacing w:val="-36"/>
          <w:w w:val="90"/>
          <w:sz w:val="32"/>
        </w:rPr>
        <w:t> </w:t>
      </w:r>
      <w:r>
        <w:rPr>
          <w:rFonts w:ascii="Times New Roman" w:hAnsi="Times New Roman"/>
          <w:i/>
          <w:w w:val="90"/>
          <w:sz w:val="32"/>
        </w:rPr>
        <w:t>a</w:t>
      </w:r>
      <w:r>
        <w:rPr>
          <w:rFonts w:ascii="Times New Roman" w:hAnsi="Times New Roman"/>
          <w:i/>
          <w:spacing w:val="-37"/>
          <w:w w:val="90"/>
          <w:sz w:val="32"/>
        </w:rPr>
        <w:t> </w:t>
      </w:r>
      <w:r>
        <w:rPr>
          <w:rFonts w:ascii="Times New Roman" w:hAnsi="Times New Roman"/>
          <w:i/>
          <w:w w:val="90"/>
          <w:sz w:val="32"/>
        </w:rPr>
        <w:t>los</w:t>
      </w:r>
      <w:r>
        <w:rPr>
          <w:rFonts w:ascii="Times New Roman" w:hAnsi="Times New Roman"/>
          <w:i/>
          <w:spacing w:val="-36"/>
          <w:w w:val="90"/>
          <w:sz w:val="32"/>
        </w:rPr>
        <w:t> </w:t>
      </w:r>
      <w:r>
        <w:rPr>
          <w:rFonts w:ascii="Times New Roman" w:hAnsi="Times New Roman"/>
          <w:b/>
          <w:i/>
          <w:w w:val="90"/>
          <w:sz w:val="32"/>
        </w:rPr>
        <w:t>profesores</w:t>
      </w:r>
      <w:r>
        <w:rPr>
          <w:rFonts w:ascii="Times New Roman" w:hAnsi="Times New Roman"/>
          <w:b/>
          <w:i/>
          <w:spacing w:val="-35"/>
          <w:w w:val="90"/>
          <w:sz w:val="32"/>
        </w:rPr>
        <w:t> </w:t>
      </w:r>
      <w:r>
        <w:rPr>
          <w:rFonts w:ascii="Times New Roman" w:hAnsi="Times New Roman"/>
          <w:i/>
          <w:w w:val="90"/>
          <w:sz w:val="32"/>
        </w:rPr>
        <w:t>que</w:t>
      </w:r>
      <w:r>
        <w:rPr>
          <w:rFonts w:ascii="Times New Roman" w:hAnsi="Times New Roman"/>
          <w:i/>
          <w:spacing w:val="-38"/>
          <w:w w:val="90"/>
          <w:sz w:val="32"/>
        </w:rPr>
        <w:t> </w:t>
      </w:r>
      <w:r>
        <w:rPr>
          <w:rFonts w:ascii="Times New Roman" w:hAnsi="Times New Roman"/>
          <w:i/>
          <w:w w:val="90"/>
          <w:sz w:val="32"/>
        </w:rPr>
        <w:t>me</w:t>
      </w:r>
      <w:r>
        <w:rPr>
          <w:rFonts w:ascii="Times New Roman" w:hAnsi="Times New Roman"/>
          <w:i/>
          <w:spacing w:val="-37"/>
          <w:w w:val="90"/>
          <w:sz w:val="32"/>
        </w:rPr>
        <w:t> </w:t>
      </w:r>
      <w:r>
        <w:rPr>
          <w:rFonts w:ascii="Times New Roman" w:hAnsi="Times New Roman"/>
          <w:i/>
          <w:w w:val="90"/>
          <w:sz w:val="32"/>
        </w:rPr>
        <w:t>han</w:t>
      </w:r>
      <w:r>
        <w:rPr>
          <w:rFonts w:ascii="Times New Roman" w:hAnsi="Times New Roman"/>
          <w:i/>
          <w:spacing w:val="-36"/>
          <w:w w:val="90"/>
          <w:sz w:val="32"/>
        </w:rPr>
        <w:t> </w:t>
      </w:r>
      <w:r>
        <w:rPr>
          <w:rFonts w:ascii="Times New Roman" w:hAnsi="Times New Roman"/>
          <w:i/>
          <w:w w:val="90"/>
          <w:sz w:val="32"/>
        </w:rPr>
        <w:t>formado,</w:t>
      </w:r>
      <w:r>
        <w:rPr>
          <w:rFonts w:ascii="Times New Roman" w:hAnsi="Times New Roman"/>
          <w:i/>
          <w:spacing w:val="-38"/>
          <w:w w:val="90"/>
          <w:sz w:val="32"/>
        </w:rPr>
        <w:t> </w:t>
      </w:r>
      <w:r>
        <w:rPr>
          <w:rFonts w:ascii="Times New Roman" w:hAnsi="Times New Roman"/>
          <w:i/>
          <w:w w:val="90"/>
          <w:sz w:val="32"/>
        </w:rPr>
        <w:t>a</w:t>
      </w:r>
      <w:r>
        <w:rPr>
          <w:rFonts w:ascii="Times New Roman" w:hAnsi="Times New Roman"/>
          <w:i/>
          <w:spacing w:val="-36"/>
          <w:w w:val="90"/>
          <w:sz w:val="32"/>
        </w:rPr>
        <w:t> </w:t>
      </w:r>
      <w:r>
        <w:rPr>
          <w:rFonts w:ascii="Times New Roman" w:hAnsi="Times New Roman"/>
          <w:i/>
          <w:w w:val="90"/>
          <w:sz w:val="32"/>
        </w:rPr>
        <w:t>mis</w:t>
      </w:r>
      <w:r>
        <w:rPr>
          <w:rFonts w:ascii="Times New Roman" w:hAnsi="Times New Roman"/>
          <w:i/>
          <w:spacing w:val="-37"/>
          <w:w w:val="90"/>
          <w:sz w:val="32"/>
        </w:rPr>
        <w:t> </w:t>
      </w:r>
      <w:r>
        <w:rPr>
          <w:rFonts w:ascii="Times New Roman" w:hAnsi="Times New Roman"/>
          <w:i/>
          <w:w w:val="90"/>
          <w:sz w:val="32"/>
        </w:rPr>
        <w:t>autoridades</w:t>
      </w:r>
      <w:r>
        <w:rPr>
          <w:rFonts w:ascii="Times New Roman" w:hAnsi="Times New Roman"/>
          <w:i/>
          <w:spacing w:val="-37"/>
          <w:w w:val="90"/>
          <w:sz w:val="32"/>
        </w:rPr>
        <w:t> </w:t>
      </w:r>
      <w:r>
        <w:rPr>
          <w:rFonts w:ascii="Times New Roman" w:hAnsi="Times New Roman"/>
          <w:i/>
          <w:w w:val="90"/>
          <w:sz w:val="32"/>
        </w:rPr>
        <w:t>y</w:t>
      </w:r>
      <w:r>
        <w:rPr>
          <w:rFonts w:ascii="Times New Roman" w:hAnsi="Times New Roman"/>
          <w:i/>
          <w:spacing w:val="-38"/>
          <w:w w:val="90"/>
          <w:sz w:val="32"/>
        </w:rPr>
        <w:t> </w:t>
      </w:r>
      <w:r>
        <w:rPr>
          <w:rFonts w:ascii="Times New Roman" w:hAnsi="Times New Roman"/>
          <w:i/>
          <w:w w:val="90"/>
          <w:sz w:val="32"/>
        </w:rPr>
        <w:t>a</w:t>
      </w:r>
      <w:r>
        <w:rPr>
          <w:rFonts w:ascii="Times New Roman" w:hAnsi="Times New Roman"/>
          <w:i/>
          <w:spacing w:val="-37"/>
          <w:w w:val="90"/>
          <w:sz w:val="32"/>
        </w:rPr>
        <w:t> </w:t>
      </w:r>
      <w:r>
        <w:rPr>
          <w:rFonts w:ascii="Times New Roman" w:hAnsi="Times New Roman"/>
          <w:i/>
          <w:w w:val="90"/>
          <w:sz w:val="32"/>
        </w:rPr>
        <w:t>mi </w:t>
      </w:r>
      <w:r>
        <w:rPr>
          <w:rFonts w:ascii="Times New Roman" w:hAnsi="Times New Roman"/>
          <w:i/>
          <w:w w:val="90"/>
          <w:sz w:val="32"/>
        </w:rPr>
        <w:t>Universidad</w:t>
      </w:r>
      <w:r>
        <w:rPr>
          <w:rFonts w:ascii="Times New Roman" w:hAnsi="Times New Roman"/>
          <w:i/>
          <w:spacing w:val="-39"/>
          <w:w w:val="90"/>
          <w:sz w:val="32"/>
        </w:rPr>
        <w:t> </w:t>
      </w:r>
      <w:r>
        <w:rPr>
          <w:rFonts w:ascii="Times New Roman" w:hAnsi="Times New Roman"/>
          <w:i/>
          <w:w w:val="90"/>
          <w:sz w:val="32"/>
        </w:rPr>
        <w:t>pues</w:t>
      </w:r>
      <w:r>
        <w:rPr>
          <w:rFonts w:ascii="Times New Roman" w:hAnsi="Times New Roman"/>
          <w:i/>
          <w:spacing w:val="-40"/>
          <w:w w:val="90"/>
          <w:sz w:val="32"/>
        </w:rPr>
        <w:t> </w:t>
      </w:r>
      <w:r>
        <w:rPr>
          <w:rFonts w:ascii="Times New Roman" w:hAnsi="Times New Roman"/>
          <w:i/>
          <w:w w:val="90"/>
          <w:sz w:val="32"/>
        </w:rPr>
        <w:t>gracias</w:t>
      </w:r>
      <w:r>
        <w:rPr>
          <w:rFonts w:ascii="Times New Roman" w:hAnsi="Times New Roman"/>
          <w:i/>
          <w:spacing w:val="-40"/>
          <w:w w:val="90"/>
          <w:sz w:val="32"/>
        </w:rPr>
        <w:t> </w:t>
      </w:r>
      <w:r>
        <w:rPr>
          <w:rFonts w:ascii="Times New Roman" w:hAnsi="Times New Roman"/>
          <w:i/>
          <w:w w:val="90"/>
          <w:sz w:val="32"/>
        </w:rPr>
        <w:t>a</w:t>
      </w:r>
      <w:r>
        <w:rPr>
          <w:rFonts w:ascii="Times New Roman" w:hAnsi="Times New Roman"/>
          <w:i/>
          <w:spacing w:val="-40"/>
          <w:w w:val="90"/>
          <w:sz w:val="32"/>
        </w:rPr>
        <w:t> </w:t>
      </w:r>
      <w:r>
        <w:rPr>
          <w:rFonts w:ascii="Times New Roman" w:hAnsi="Times New Roman"/>
          <w:i/>
          <w:w w:val="90"/>
          <w:sz w:val="32"/>
        </w:rPr>
        <w:t>ellos</w:t>
      </w:r>
      <w:r>
        <w:rPr>
          <w:rFonts w:ascii="Times New Roman" w:hAnsi="Times New Roman"/>
          <w:i/>
          <w:spacing w:val="-39"/>
          <w:w w:val="90"/>
          <w:sz w:val="32"/>
        </w:rPr>
        <w:t> </w:t>
      </w:r>
      <w:r>
        <w:rPr>
          <w:rFonts w:ascii="Times New Roman" w:hAnsi="Times New Roman"/>
          <w:i/>
          <w:w w:val="90"/>
          <w:sz w:val="32"/>
        </w:rPr>
        <w:t>me</w:t>
      </w:r>
      <w:r>
        <w:rPr>
          <w:rFonts w:ascii="Times New Roman" w:hAnsi="Times New Roman"/>
          <w:i/>
          <w:spacing w:val="-40"/>
          <w:w w:val="90"/>
          <w:sz w:val="32"/>
        </w:rPr>
        <w:t> </w:t>
      </w:r>
      <w:r>
        <w:rPr>
          <w:rFonts w:ascii="Times New Roman" w:hAnsi="Times New Roman"/>
          <w:i/>
          <w:w w:val="90"/>
          <w:sz w:val="32"/>
        </w:rPr>
        <w:t>he</w:t>
      </w:r>
      <w:r>
        <w:rPr>
          <w:rFonts w:ascii="Times New Roman" w:hAnsi="Times New Roman"/>
          <w:i/>
          <w:spacing w:val="-39"/>
          <w:w w:val="90"/>
          <w:sz w:val="32"/>
        </w:rPr>
        <w:t> </w:t>
      </w:r>
      <w:r>
        <w:rPr>
          <w:rFonts w:ascii="Times New Roman" w:hAnsi="Times New Roman"/>
          <w:i/>
          <w:w w:val="90"/>
          <w:sz w:val="32"/>
        </w:rPr>
        <w:t>convertido</w:t>
      </w:r>
      <w:r>
        <w:rPr>
          <w:rFonts w:ascii="Times New Roman" w:hAnsi="Times New Roman"/>
          <w:i/>
          <w:spacing w:val="-40"/>
          <w:w w:val="90"/>
          <w:sz w:val="32"/>
        </w:rPr>
        <w:t> </w:t>
      </w:r>
      <w:r>
        <w:rPr>
          <w:rFonts w:ascii="Times New Roman" w:hAnsi="Times New Roman"/>
          <w:i/>
          <w:w w:val="90"/>
          <w:sz w:val="32"/>
        </w:rPr>
        <w:t>en</w:t>
      </w:r>
      <w:r>
        <w:rPr>
          <w:rFonts w:ascii="Times New Roman" w:hAnsi="Times New Roman"/>
          <w:i/>
          <w:spacing w:val="-40"/>
          <w:w w:val="90"/>
          <w:sz w:val="32"/>
        </w:rPr>
        <w:t> </w:t>
      </w:r>
      <w:r>
        <w:rPr>
          <w:rFonts w:ascii="Times New Roman" w:hAnsi="Times New Roman"/>
          <w:i/>
          <w:w w:val="90"/>
          <w:sz w:val="32"/>
        </w:rPr>
        <w:t>quien</w:t>
      </w:r>
      <w:r>
        <w:rPr>
          <w:rFonts w:ascii="Times New Roman" w:hAnsi="Times New Roman"/>
          <w:i/>
          <w:spacing w:val="-40"/>
          <w:w w:val="90"/>
          <w:sz w:val="32"/>
        </w:rPr>
        <w:t> </w:t>
      </w:r>
      <w:r>
        <w:rPr>
          <w:rFonts w:ascii="Times New Roman" w:hAnsi="Times New Roman"/>
          <w:i/>
          <w:w w:val="90"/>
          <w:sz w:val="32"/>
        </w:rPr>
        <w:t>hoy</w:t>
      </w:r>
      <w:r>
        <w:rPr>
          <w:rFonts w:ascii="Times New Roman" w:hAnsi="Times New Roman"/>
          <w:i/>
          <w:spacing w:val="-40"/>
          <w:w w:val="90"/>
          <w:sz w:val="32"/>
        </w:rPr>
        <w:t> </w:t>
      </w:r>
      <w:r>
        <w:rPr>
          <w:rFonts w:ascii="Times New Roman" w:hAnsi="Times New Roman"/>
          <w:i/>
          <w:w w:val="90"/>
          <w:sz w:val="32"/>
        </w:rPr>
        <w:t>soy.</w:t>
      </w:r>
    </w:p>
    <w:p>
      <w:pPr>
        <w:pStyle w:val="BodyText"/>
        <w:rPr>
          <w:rFonts w:ascii="Times New Roman"/>
          <w:i/>
          <w:sz w:val="32"/>
        </w:rPr>
      </w:pPr>
    </w:p>
    <w:p>
      <w:pPr>
        <w:pStyle w:val="BodyText"/>
        <w:spacing w:before="10"/>
        <w:rPr>
          <w:rFonts w:ascii="Times New Roman"/>
          <w:i/>
          <w:sz w:val="38"/>
        </w:rPr>
      </w:pPr>
    </w:p>
    <w:p>
      <w:pPr>
        <w:spacing w:line="268" w:lineRule="auto" w:before="1"/>
        <w:ind w:left="0" w:right="18" w:firstLine="0"/>
        <w:jc w:val="center"/>
        <w:rPr>
          <w:rFonts w:ascii="Times New Roman" w:hAnsi="Times New Roman"/>
          <w:i/>
          <w:sz w:val="32"/>
        </w:rPr>
      </w:pPr>
      <w:r>
        <w:rPr>
          <w:rFonts w:ascii="Times New Roman" w:hAnsi="Times New Roman"/>
          <w:i/>
          <w:w w:val="90"/>
          <w:sz w:val="32"/>
        </w:rPr>
        <w:t>En</w:t>
      </w:r>
      <w:r>
        <w:rPr>
          <w:rFonts w:ascii="Times New Roman" w:hAnsi="Times New Roman"/>
          <w:i/>
          <w:spacing w:val="-48"/>
          <w:w w:val="90"/>
          <w:sz w:val="32"/>
        </w:rPr>
        <w:t> </w:t>
      </w:r>
      <w:r>
        <w:rPr>
          <w:rFonts w:ascii="Times New Roman" w:hAnsi="Times New Roman"/>
          <w:i/>
          <w:w w:val="90"/>
          <w:sz w:val="32"/>
        </w:rPr>
        <w:t>especial:</w:t>
      </w:r>
      <w:r>
        <w:rPr>
          <w:rFonts w:ascii="Times New Roman" w:hAnsi="Times New Roman"/>
          <w:i/>
          <w:spacing w:val="-48"/>
          <w:w w:val="90"/>
          <w:sz w:val="32"/>
        </w:rPr>
        <w:t> </w:t>
      </w:r>
      <w:r>
        <w:rPr>
          <w:rFonts w:ascii="Times New Roman" w:hAnsi="Times New Roman"/>
          <w:i/>
          <w:w w:val="90"/>
          <w:sz w:val="32"/>
        </w:rPr>
        <w:t>gracias</w:t>
      </w:r>
      <w:r>
        <w:rPr>
          <w:rFonts w:ascii="Times New Roman" w:hAnsi="Times New Roman"/>
          <w:i/>
          <w:spacing w:val="-47"/>
          <w:w w:val="90"/>
          <w:sz w:val="32"/>
        </w:rPr>
        <w:t> </w:t>
      </w:r>
      <w:r>
        <w:rPr>
          <w:rFonts w:ascii="Times New Roman" w:hAnsi="Times New Roman"/>
          <w:b/>
          <w:i/>
          <w:w w:val="90"/>
          <w:sz w:val="32"/>
        </w:rPr>
        <w:t>Dra.</w:t>
      </w:r>
      <w:r>
        <w:rPr>
          <w:rFonts w:ascii="Times New Roman" w:hAnsi="Times New Roman"/>
          <w:b/>
          <w:i/>
          <w:spacing w:val="-48"/>
          <w:w w:val="90"/>
          <w:sz w:val="32"/>
        </w:rPr>
        <w:t> </w:t>
      </w:r>
      <w:r>
        <w:rPr>
          <w:rFonts w:ascii="Times New Roman" w:hAnsi="Times New Roman"/>
          <w:b/>
          <w:i/>
          <w:w w:val="90"/>
          <w:sz w:val="32"/>
        </w:rPr>
        <w:t>Leti</w:t>
      </w:r>
      <w:r>
        <w:rPr>
          <w:rFonts w:ascii="Times New Roman" w:hAnsi="Times New Roman"/>
          <w:b/>
          <w:i/>
          <w:spacing w:val="-48"/>
          <w:w w:val="90"/>
          <w:sz w:val="32"/>
        </w:rPr>
        <w:t> </w:t>
      </w:r>
      <w:r>
        <w:rPr>
          <w:rFonts w:ascii="Times New Roman" w:hAnsi="Times New Roman"/>
          <w:b/>
          <w:i/>
          <w:w w:val="90"/>
          <w:sz w:val="32"/>
        </w:rPr>
        <w:t>Robles</w:t>
      </w:r>
      <w:r>
        <w:rPr>
          <w:rFonts w:ascii="Times New Roman" w:hAnsi="Times New Roman"/>
          <w:b/>
          <w:i/>
          <w:spacing w:val="-48"/>
          <w:w w:val="90"/>
          <w:sz w:val="32"/>
        </w:rPr>
        <w:t> </w:t>
      </w:r>
      <w:r>
        <w:rPr>
          <w:rFonts w:ascii="Times New Roman" w:hAnsi="Times New Roman"/>
          <w:b/>
          <w:i/>
          <w:w w:val="90"/>
          <w:sz w:val="32"/>
        </w:rPr>
        <w:t>Bermeo</w:t>
      </w:r>
      <w:r>
        <w:rPr>
          <w:rFonts w:ascii="Times New Roman" w:hAnsi="Times New Roman"/>
          <w:b/>
          <w:i/>
          <w:spacing w:val="-48"/>
          <w:w w:val="90"/>
          <w:sz w:val="32"/>
        </w:rPr>
        <w:t> </w:t>
      </w:r>
      <w:r>
        <w:rPr>
          <w:rFonts w:ascii="Times New Roman" w:hAnsi="Times New Roman"/>
          <w:i/>
          <w:w w:val="90"/>
          <w:sz w:val="32"/>
        </w:rPr>
        <w:t>por</w:t>
      </w:r>
      <w:r>
        <w:rPr>
          <w:rFonts w:ascii="Times New Roman" w:hAnsi="Times New Roman"/>
          <w:i/>
          <w:spacing w:val="-48"/>
          <w:w w:val="90"/>
          <w:sz w:val="32"/>
        </w:rPr>
        <w:t> </w:t>
      </w:r>
      <w:r>
        <w:rPr>
          <w:rFonts w:ascii="Times New Roman" w:hAnsi="Times New Roman"/>
          <w:i/>
          <w:w w:val="90"/>
          <w:sz w:val="32"/>
        </w:rPr>
        <w:t>creer</w:t>
      </w:r>
      <w:r>
        <w:rPr>
          <w:rFonts w:ascii="Times New Roman" w:hAnsi="Times New Roman"/>
          <w:i/>
          <w:spacing w:val="-48"/>
          <w:w w:val="90"/>
          <w:sz w:val="32"/>
        </w:rPr>
        <w:t> </w:t>
      </w:r>
      <w:r>
        <w:rPr>
          <w:rFonts w:ascii="Times New Roman" w:hAnsi="Times New Roman"/>
          <w:i/>
          <w:w w:val="90"/>
          <w:sz w:val="32"/>
        </w:rPr>
        <w:t>en</w:t>
      </w:r>
      <w:r>
        <w:rPr>
          <w:rFonts w:ascii="Times New Roman" w:hAnsi="Times New Roman"/>
          <w:i/>
          <w:spacing w:val="-48"/>
          <w:w w:val="90"/>
          <w:sz w:val="32"/>
        </w:rPr>
        <w:t> </w:t>
      </w:r>
      <w:r>
        <w:rPr>
          <w:rFonts w:ascii="Times New Roman" w:hAnsi="Times New Roman"/>
          <w:i/>
          <w:w w:val="90"/>
          <w:sz w:val="32"/>
        </w:rPr>
        <w:t>mí,</w:t>
      </w:r>
      <w:r>
        <w:rPr>
          <w:rFonts w:ascii="Times New Roman" w:hAnsi="Times New Roman"/>
          <w:i/>
          <w:spacing w:val="-48"/>
          <w:w w:val="90"/>
          <w:sz w:val="32"/>
        </w:rPr>
        <w:t> </w:t>
      </w:r>
      <w:r>
        <w:rPr>
          <w:rFonts w:ascii="Times New Roman" w:hAnsi="Times New Roman"/>
          <w:i/>
          <w:w w:val="90"/>
          <w:sz w:val="32"/>
        </w:rPr>
        <w:t>por</w:t>
      </w:r>
      <w:r>
        <w:rPr>
          <w:rFonts w:ascii="Times New Roman" w:hAnsi="Times New Roman"/>
          <w:i/>
          <w:spacing w:val="-48"/>
          <w:w w:val="90"/>
          <w:sz w:val="32"/>
        </w:rPr>
        <w:t> </w:t>
      </w:r>
      <w:r>
        <w:rPr>
          <w:rFonts w:ascii="Times New Roman" w:hAnsi="Times New Roman"/>
          <w:i/>
          <w:w w:val="90"/>
          <w:sz w:val="32"/>
        </w:rPr>
        <w:t>motivarme,</w:t>
      </w:r>
      <w:r>
        <w:rPr>
          <w:rFonts w:ascii="Times New Roman" w:hAnsi="Times New Roman"/>
          <w:i/>
          <w:spacing w:val="-48"/>
          <w:w w:val="90"/>
          <w:sz w:val="32"/>
        </w:rPr>
        <w:t> </w:t>
      </w:r>
      <w:r>
        <w:rPr>
          <w:rFonts w:ascii="Times New Roman" w:hAnsi="Times New Roman"/>
          <w:i/>
          <w:w w:val="90"/>
          <w:sz w:val="32"/>
        </w:rPr>
        <w:t>por </w:t>
      </w:r>
      <w:r>
        <w:rPr>
          <w:rFonts w:ascii="Times New Roman" w:hAnsi="Times New Roman"/>
          <w:i/>
          <w:w w:val="90"/>
          <w:sz w:val="32"/>
        </w:rPr>
        <w:t>escucharme</w:t>
      </w:r>
      <w:r>
        <w:rPr>
          <w:rFonts w:ascii="Times New Roman" w:hAnsi="Times New Roman"/>
          <w:i/>
          <w:spacing w:val="-46"/>
          <w:w w:val="90"/>
          <w:sz w:val="32"/>
        </w:rPr>
        <w:t> </w:t>
      </w:r>
      <w:r>
        <w:rPr>
          <w:rFonts w:ascii="Times New Roman" w:hAnsi="Times New Roman"/>
          <w:i/>
          <w:w w:val="90"/>
          <w:sz w:val="32"/>
        </w:rPr>
        <w:t>y</w:t>
      </w:r>
      <w:r>
        <w:rPr>
          <w:rFonts w:ascii="Times New Roman" w:hAnsi="Times New Roman"/>
          <w:i/>
          <w:spacing w:val="-45"/>
          <w:w w:val="90"/>
          <w:sz w:val="32"/>
        </w:rPr>
        <w:t> </w:t>
      </w:r>
      <w:r>
        <w:rPr>
          <w:rFonts w:ascii="Times New Roman" w:hAnsi="Times New Roman"/>
          <w:i/>
          <w:w w:val="90"/>
          <w:sz w:val="32"/>
        </w:rPr>
        <w:t>guiarme</w:t>
      </w:r>
      <w:r>
        <w:rPr>
          <w:rFonts w:ascii="Times New Roman" w:hAnsi="Times New Roman"/>
          <w:i/>
          <w:spacing w:val="-45"/>
          <w:w w:val="90"/>
          <w:sz w:val="32"/>
        </w:rPr>
        <w:t> </w:t>
      </w:r>
      <w:r>
        <w:rPr>
          <w:rFonts w:ascii="Times New Roman" w:hAnsi="Times New Roman"/>
          <w:i/>
          <w:w w:val="90"/>
          <w:sz w:val="32"/>
        </w:rPr>
        <w:t>atinadamente.</w:t>
      </w:r>
      <w:r>
        <w:rPr>
          <w:rFonts w:ascii="Times New Roman" w:hAnsi="Times New Roman"/>
          <w:i/>
          <w:spacing w:val="-47"/>
          <w:w w:val="90"/>
          <w:sz w:val="32"/>
        </w:rPr>
        <w:t> </w:t>
      </w:r>
      <w:r>
        <w:rPr>
          <w:rFonts w:ascii="Times New Roman" w:hAnsi="Times New Roman"/>
          <w:i/>
          <w:w w:val="90"/>
          <w:sz w:val="32"/>
        </w:rPr>
        <w:t>Le</w:t>
      </w:r>
      <w:r>
        <w:rPr>
          <w:rFonts w:ascii="Times New Roman" w:hAnsi="Times New Roman"/>
          <w:i/>
          <w:spacing w:val="-46"/>
          <w:w w:val="90"/>
          <w:sz w:val="32"/>
        </w:rPr>
        <w:t> </w:t>
      </w:r>
      <w:r>
        <w:rPr>
          <w:rFonts w:ascii="Times New Roman" w:hAnsi="Times New Roman"/>
          <w:i/>
          <w:w w:val="90"/>
          <w:sz w:val="32"/>
        </w:rPr>
        <w:t>llevo</w:t>
      </w:r>
      <w:r>
        <w:rPr>
          <w:rFonts w:ascii="Times New Roman" w:hAnsi="Times New Roman"/>
          <w:i/>
          <w:spacing w:val="-46"/>
          <w:w w:val="90"/>
          <w:sz w:val="32"/>
        </w:rPr>
        <w:t> </w:t>
      </w:r>
      <w:r>
        <w:rPr>
          <w:rFonts w:ascii="Times New Roman" w:hAnsi="Times New Roman"/>
          <w:i/>
          <w:w w:val="90"/>
          <w:sz w:val="32"/>
        </w:rPr>
        <w:t>en</w:t>
      </w:r>
      <w:r>
        <w:rPr>
          <w:rFonts w:ascii="Times New Roman" w:hAnsi="Times New Roman"/>
          <w:i/>
          <w:spacing w:val="-46"/>
          <w:w w:val="90"/>
          <w:sz w:val="32"/>
        </w:rPr>
        <w:t> </w:t>
      </w:r>
      <w:r>
        <w:rPr>
          <w:rFonts w:ascii="Times New Roman" w:hAnsi="Times New Roman"/>
          <w:i/>
          <w:w w:val="90"/>
          <w:sz w:val="32"/>
        </w:rPr>
        <w:t>el</w:t>
      </w:r>
      <w:r>
        <w:rPr>
          <w:rFonts w:ascii="Times New Roman" w:hAnsi="Times New Roman"/>
          <w:i/>
          <w:spacing w:val="-46"/>
          <w:w w:val="90"/>
          <w:sz w:val="32"/>
        </w:rPr>
        <w:t> </w:t>
      </w:r>
      <w:r>
        <w:rPr>
          <w:rFonts w:ascii="Times New Roman" w:hAnsi="Times New Roman"/>
          <w:i/>
          <w:w w:val="90"/>
          <w:sz w:val="32"/>
        </w:rPr>
        <w:t>corazón.</w:t>
      </w:r>
    </w:p>
    <w:p>
      <w:pPr>
        <w:pStyle w:val="BodyText"/>
        <w:rPr>
          <w:rFonts w:ascii="Times New Roman"/>
          <w:i/>
          <w:sz w:val="32"/>
        </w:rPr>
      </w:pPr>
    </w:p>
    <w:p>
      <w:pPr>
        <w:pStyle w:val="BodyText"/>
        <w:rPr>
          <w:rFonts w:ascii="Times New Roman"/>
          <w:i/>
          <w:sz w:val="39"/>
        </w:rPr>
      </w:pPr>
    </w:p>
    <w:p>
      <w:pPr>
        <w:spacing w:line="292" w:lineRule="auto" w:before="0"/>
        <w:ind w:left="195" w:right="214" w:firstLine="0"/>
        <w:jc w:val="center"/>
        <w:rPr>
          <w:sz w:val="32"/>
        </w:rPr>
      </w:pPr>
      <w:r>
        <w:rPr>
          <w:rFonts w:ascii="Times New Roman" w:hAnsi="Times New Roman"/>
          <w:i/>
          <w:w w:val="90"/>
          <w:sz w:val="32"/>
        </w:rPr>
        <w:t>Muy</w:t>
      </w:r>
      <w:r>
        <w:rPr>
          <w:rFonts w:ascii="Times New Roman" w:hAnsi="Times New Roman"/>
          <w:i/>
          <w:spacing w:val="-44"/>
          <w:w w:val="90"/>
          <w:sz w:val="32"/>
        </w:rPr>
        <w:t> </w:t>
      </w:r>
      <w:r>
        <w:rPr>
          <w:rFonts w:ascii="Times New Roman" w:hAnsi="Times New Roman"/>
          <w:i/>
          <w:w w:val="90"/>
          <w:sz w:val="32"/>
        </w:rPr>
        <w:t>especialmente</w:t>
      </w:r>
      <w:r>
        <w:rPr>
          <w:rFonts w:ascii="Times New Roman" w:hAnsi="Times New Roman"/>
          <w:i/>
          <w:spacing w:val="-43"/>
          <w:w w:val="90"/>
          <w:sz w:val="32"/>
        </w:rPr>
        <w:t> </w:t>
      </w:r>
      <w:r>
        <w:rPr>
          <w:rFonts w:ascii="Times New Roman" w:hAnsi="Times New Roman"/>
          <w:i/>
          <w:w w:val="90"/>
          <w:sz w:val="32"/>
        </w:rPr>
        <w:t>agradezco</w:t>
      </w:r>
      <w:r>
        <w:rPr>
          <w:rFonts w:ascii="Times New Roman" w:hAnsi="Times New Roman"/>
          <w:i/>
          <w:spacing w:val="-44"/>
          <w:w w:val="90"/>
          <w:sz w:val="32"/>
        </w:rPr>
        <w:t> </w:t>
      </w:r>
      <w:r>
        <w:rPr>
          <w:rFonts w:ascii="Times New Roman" w:hAnsi="Times New Roman"/>
          <w:i/>
          <w:w w:val="90"/>
          <w:sz w:val="32"/>
        </w:rPr>
        <w:t>al</w:t>
      </w:r>
      <w:r>
        <w:rPr>
          <w:rFonts w:ascii="Times New Roman" w:hAnsi="Times New Roman"/>
          <w:i/>
          <w:spacing w:val="-43"/>
          <w:w w:val="90"/>
          <w:sz w:val="32"/>
        </w:rPr>
        <w:t> </w:t>
      </w:r>
      <w:r>
        <w:rPr>
          <w:rFonts w:ascii="Times New Roman" w:hAnsi="Times New Roman"/>
          <w:b/>
          <w:i/>
          <w:w w:val="90"/>
          <w:sz w:val="32"/>
        </w:rPr>
        <w:t>Dr.</w:t>
      </w:r>
      <w:r>
        <w:rPr>
          <w:rFonts w:ascii="Times New Roman" w:hAnsi="Times New Roman"/>
          <w:b/>
          <w:i/>
          <w:spacing w:val="-45"/>
          <w:w w:val="90"/>
          <w:sz w:val="32"/>
        </w:rPr>
        <w:t> </w:t>
      </w:r>
      <w:r>
        <w:rPr>
          <w:rFonts w:ascii="Times New Roman" w:hAnsi="Times New Roman"/>
          <w:b/>
          <w:i/>
          <w:w w:val="90"/>
          <w:sz w:val="32"/>
        </w:rPr>
        <w:t>Raúl</w:t>
      </w:r>
      <w:r>
        <w:rPr>
          <w:rFonts w:ascii="Times New Roman" w:hAnsi="Times New Roman"/>
          <w:b/>
          <w:i/>
          <w:spacing w:val="-44"/>
          <w:w w:val="90"/>
          <w:sz w:val="32"/>
        </w:rPr>
        <w:t> </w:t>
      </w:r>
      <w:r>
        <w:rPr>
          <w:rFonts w:ascii="Times New Roman" w:hAnsi="Times New Roman"/>
          <w:b/>
          <w:i/>
          <w:w w:val="90"/>
          <w:sz w:val="32"/>
        </w:rPr>
        <w:t>Alberto</w:t>
      </w:r>
      <w:r>
        <w:rPr>
          <w:rFonts w:ascii="Times New Roman" w:hAnsi="Times New Roman"/>
          <w:b/>
          <w:i/>
          <w:spacing w:val="-43"/>
          <w:w w:val="90"/>
          <w:sz w:val="32"/>
        </w:rPr>
        <w:t> </w:t>
      </w:r>
      <w:r>
        <w:rPr>
          <w:rFonts w:ascii="Times New Roman" w:hAnsi="Times New Roman"/>
          <w:b/>
          <w:i/>
          <w:w w:val="90"/>
          <w:sz w:val="32"/>
        </w:rPr>
        <w:t>Morales</w:t>
      </w:r>
      <w:r>
        <w:rPr>
          <w:rFonts w:ascii="Times New Roman" w:hAnsi="Times New Roman"/>
          <w:b/>
          <w:i/>
          <w:spacing w:val="-44"/>
          <w:w w:val="90"/>
          <w:sz w:val="32"/>
        </w:rPr>
        <w:t> </w:t>
      </w:r>
      <w:r>
        <w:rPr>
          <w:rFonts w:ascii="Times New Roman" w:hAnsi="Times New Roman"/>
          <w:b/>
          <w:i/>
          <w:w w:val="90"/>
          <w:sz w:val="32"/>
        </w:rPr>
        <w:t>Luckie</w:t>
      </w:r>
      <w:r>
        <w:rPr>
          <w:rFonts w:ascii="Times New Roman" w:hAnsi="Times New Roman"/>
          <w:b/>
          <w:i/>
          <w:spacing w:val="-42"/>
          <w:w w:val="90"/>
          <w:sz w:val="32"/>
        </w:rPr>
        <w:t> </w:t>
      </w:r>
      <w:r>
        <w:rPr>
          <w:rFonts w:ascii="Times New Roman" w:hAnsi="Times New Roman"/>
          <w:i/>
          <w:w w:val="90"/>
          <w:sz w:val="32"/>
        </w:rPr>
        <w:t>por</w:t>
      </w:r>
      <w:r>
        <w:rPr>
          <w:rFonts w:ascii="Times New Roman" w:hAnsi="Times New Roman"/>
          <w:i/>
          <w:spacing w:val="-44"/>
          <w:w w:val="90"/>
          <w:sz w:val="32"/>
        </w:rPr>
        <w:t> </w:t>
      </w:r>
      <w:r>
        <w:rPr>
          <w:rFonts w:ascii="Times New Roman" w:hAnsi="Times New Roman"/>
          <w:i/>
          <w:w w:val="90"/>
          <w:sz w:val="32"/>
        </w:rPr>
        <w:t>su</w:t>
      </w:r>
      <w:r>
        <w:rPr>
          <w:rFonts w:ascii="Times New Roman" w:hAnsi="Times New Roman"/>
          <w:i/>
          <w:spacing w:val="-44"/>
          <w:w w:val="90"/>
          <w:sz w:val="32"/>
        </w:rPr>
        <w:t> </w:t>
      </w:r>
      <w:r>
        <w:rPr>
          <w:rFonts w:ascii="Times New Roman" w:hAnsi="Times New Roman"/>
          <w:i/>
          <w:w w:val="90"/>
          <w:sz w:val="32"/>
        </w:rPr>
        <w:t>acertada </w:t>
      </w:r>
      <w:r>
        <w:rPr>
          <w:rFonts w:ascii="Times New Roman" w:hAnsi="Times New Roman"/>
          <w:i/>
          <w:w w:val="90"/>
          <w:sz w:val="32"/>
        </w:rPr>
        <w:t>guía</w:t>
      </w:r>
      <w:r>
        <w:rPr>
          <w:rFonts w:ascii="Times New Roman" w:hAnsi="Times New Roman"/>
          <w:i/>
          <w:spacing w:val="-43"/>
          <w:w w:val="90"/>
          <w:sz w:val="32"/>
        </w:rPr>
        <w:t> </w:t>
      </w:r>
      <w:r>
        <w:rPr>
          <w:rFonts w:ascii="Times New Roman" w:hAnsi="Times New Roman"/>
          <w:i/>
          <w:w w:val="90"/>
          <w:sz w:val="32"/>
        </w:rPr>
        <w:t>y</w:t>
      </w:r>
      <w:r>
        <w:rPr>
          <w:rFonts w:ascii="Times New Roman" w:hAnsi="Times New Roman"/>
          <w:i/>
          <w:spacing w:val="-42"/>
          <w:w w:val="90"/>
          <w:sz w:val="32"/>
        </w:rPr>
        <w:t> </w:t>
      </w:r>
      <w:r>
        <w:rPr>
          <w:rFonts w:ascii="Times New Roman" w:hAnsi="Times New Roman"/>
          <w:i/>
          <w:w w:val="90"/>
          <w:sz w:val="32"/>
        </w:rPr>
        <w:t>por</w:t>
      </w:r>
      <w:r>
        <w:rPr>
          <w:rFonts w:ascii="Times New Roman" w:hAnsi="Times New Roman"/>
          <w:i/>
          <w:spacing w:val="-43"/>
          <w:w w:val="90"/>
          <w:sz w:val="32"/>
        </w:rPr>
        <w:t> </w:t>
      </w:r>
      <w:r>
        <w:rPr>
          <w:rFonts w:ascii="Times New Roman" w:hAnsi="Times New Roman"/>
          <w:i/>
          <w:w w:val="90"/>
          <w:sz w:val="32"/>
        </w:rPr>
        <w:t>compartir</w:t>
      </w:r>
      <w:r>
        <w:rPr>
          <w:rFonts w:ascii="Times New Roman" w:hAnsi="Times New Roman"/>
          <w:i/>
          <w:spacing w:val="-43"/>
          <w:w w:val="90"/>
          <w:sz w:val="32"/>
        </w:rPr>
        <w:t> </w:t>
      </w:r>
      <w:r>
        <w:rPr>
          <w:rFonts w:ascii="Times New Roman" w:hAnsi="Times New Roman"/>
          <w:i/>
          <w:w w:val="90"/>
          <w:sz w:val="32"/>
        </w:rPr>
        <w:t>sin</w:t>
      </w:r>
      <w:r>
        <w:rPr>
          <w:rFonts w:ascii="Times New Roman" w:hAnsi="Times New Roman"/>
          <w:i/>
          <w:spacing w:val="-43"/>
          <w:w w:val="90"/>
          <w:sz w:val="32"/>
        </w:rPr>
        <w:t> </w:t>
      </w:r>
      <w:r>
        <w:rPr>
          <w:rFonts w:ascii="Times New Roman" w:hAnsi="Times New Roman"/>
          <w:i/>
          <w:w w:val="90"/>
          <w:sz w:val="32"/>
        </w:rPr>
        <w:t>medida</w:t>
      </w:r>
      <w:r>
        <w:rPr>
          <w:rFonts w:ascii="Times New Roman" w:hAnsi="Times New Roman"/>
          <w:i/>
          <w:spacing w:val="-43"/>
          <w:w w:val="90"/>
          <w:sz w:val="32"/>
        </w:rPr>
        <w:t> </w:t>
      </w:r>
      <w:r>
        <w:rPr>
          <w:rFonts w:ascii="Times New Roman" w:hAnsi="Times New Roman"/>
          <w:i/>
          <w:w w:val="90"/>
          <w:sz w:val="32"/>
        </w:rPr>
        <w:t>su</w:t>
      </w:r>
      <w:r>
        <w:rPr>
          <w:rFonts w:ascii="Times New Roman" w:hAnsi="Times New Roman"/>
          <w:i/>
          <w:spacing w:val="-43"/>
          <w:w w:val="90"/>
          <w:sz w:val="32"/>
        </w:rPr>
        <w:t> </w:t>
      </w:r>
      <w:r>
        <w:rPr>
          <w:rFonts w:ascii="Times New Roman" w:hAnsi="Times New Roman"/>
          <w:i/>
          <w:w w:val="90"/>
          <w:sz w:val="32"/>
        </w:rPr>
        <w:t>saber</w:t>
      </w:r>
      <w:r>
        <w:rPr>
          <w:rFonts w:ascii="Times New Roman" w:hAnsi="Times New Roman"/>
          <w:i/>
          <w:spacing w:val="-42"/>
          <w:w w:val="90"/>
          <w:sz w:val="32"/>
        </w:rPr>
        <w:t> </w:t>
      </w:r>
      <w:r>
        <w:rPr>
          <w:rFonts w:ascii="Times New Roman" w:hAnsi="Times New Roman"/>
          <w:i/>
          <w:w w:val="90"/>
          <w:sz w:val="32"/>
        </w:rPr>
        <w:t>conmigo.</w:t>
      </w:r>
      <w:r>
        <w:rPr>
          <w:rFonts w:ascii="Times New Roman" w:hAnsi="Times New Roman"/>
          <w:i/>
          <w:spacing w:val="-43"/>
          <w:w w:val="90"/>
          <w:sz w:val="32"/>
        </w:rPr>
        <w:t> </w:t>
      </w:r>
      <w:r>
        <w:rPr>
          <w:rFonts w:ascii="Times New Roman" w:hAnsi="Times New Roman"/>
          <w:i/>
          <w:w w:val="90"/>
          <w:sz w:val="32"/>
        </w:rPr>
        <w:t>Gracias</w:t>
      </w:r>
      <w:r>
        <w:rPr>
          <w:rFonts w:ascii="Times New Roman" w:hAnsi="Times New Roman"/>
          <w:i/>
          <w:spacing w:val="-42"/>
          <w:w w:val="90"/>
          <w:sz w:val="32"/>
        </w:rPr>
        <w:t> </w:t>
      </w:r>
      <w:r>
        <w:rPr>
          <w:rFonts w:ascii="Times New Roman" w:hAnsi="Times New Roman"/>
          <w:i/>
          <w:w w:val="90"/>
          <w:sz w:val="32"/>
        </w:rPr>
        <w:t>por</w:t>
      </w:r>
      <w:r>
        <w:rPr>
          <w:rFonts w:ascii="Times New Roman" w:hAnsi="Times New Roman"/>
          <w:i/>
          <w:spacing w:val="-42"/>
          <w:w w:val="90"/>
          <w:sz w:val="32"/>
        </w:rPr>
        <w:t> </w:t>
      </w:r>
      <w:r>
        <w:rPr>
          <w:rFonts w:ascii="Times New Roman" w:hAnsi="Times New Roman"/>
          <w:i/>
          <w:w w:val="90"/>
          <w:sz w:val="32"/>
        </w:rPr>
        <w:t>confiar</w:t>
      </w:r>
      <w:r>
        <w:rPr>
          <w:rFonts w:ascii="Times New Roman" w:hAnsi="Times New Roman"/>
          <w:i/>
          <w:spacing w:val="-43"/>
          <w:w w:val="90"/>
          <w:sz w:val="32"/>
        </w:rPr>
        <w:t> </w:t>
      </w:r>
      <w:r>
        <w:rPr>
          <w:rFonts w:ascii="Times New Roman" w:hAnsi="Times New Roman"/>
          <w:i/>
          <w:w w:val="90"/>
          <w:sz w:val="32"/>
        </w:rPr>
        <w:t>en</w:t>
      </w:r>
      <w:r>
        <w:rPr>
          <w:rFonts w:ascii="Times New Roman" w:hAnsi="Times New Roman"/>
          <w:i/>
          <w:spacing w:val="-43"/>
          <w:w w:val="90"/>
          <w:sz w:val="32"/>
        </w:rPr>
        <w:t> </w:t>
      </w:r>
      <w:r>
        <w:rPr>
          <w:rFonts w:ascii="Times New Roman" w:hAnsi="Times New Roman"/>
          <w:i/>
          <w:w w:val="90"/>
          <w:sz w:val="32"/>
        </w:rPr>
        <w:t>mí</w:t>
      </w:r>
      <w:r>
        <w:rPr>
          <w:w w:val="90"/>
          <w:sz w:val="32"/>
        </w:rPr>
        <w:t>.</w:t>
      </w:r>
    </w:p>
    <w:p>
      <w:pPr>
        <w:spacing w:after="0" w:line="292" w:lineRule="auto"/>
        <w:jc w:val="center"/>
        <w:rPr>
          <w:sz w:val="32"/>
        </w:rPr>
        <w:sectPr>
          <w:footerReference w:type="default" r:id="rId9"/>
          <w:pgSz w:w="12240" w:h="15840"/>
          <w:pgMar w:footer="1024" w:header="736" w:top="1180" w:bottom="1220" w:left="1280" w:right="1260"/>
          <w:pgNumType w:start="2"/>
        </w:sectPr>
      </w:pPr>
    </w:p>
    <w:p>
      <w:pPr>
        <w:pStyle w:val="BodyText"/>
        <w:spacing w:before="2"/>
        <w:rPr>
          <w:sz w:val="17"/>
        </w:rPr>
      </w:pPr>
    </w:p>
    <w:p>
      <w:pPr>
        <w:pStyle w:val="Heading2"/>
        <w:ind w:right="18"/>
        <w:jc w:val="center"/>
      </w:pPr>
      <w:r>
        <w:rPr/>
        <w:t>INDICE</w:t>
      </w:r>
    </w:p>
    <w:p>
      <w:pPr>
        <w:pStyle w:val="BodyText"/>
        <w:spacing w:before="10"/>
        <w:rPr>
          <w:b/>
          <w:sz w:val="20"/>
        </w:rPr>
      </w:pPr>
    </w:p>
    <w:p>
      <w:pPr>
        <w:tabs>
          <w:tab w:pos="8081" w:val="left" w:leader="none"/>
        </w:tabs>
        <w:spacing w:before="0"/>
        <w:ind w:left="429" w:right="270" w:firstLine="0"/>
        <w:jc w:val="left"/>
        <w:rPr>
          <w:b/>
          <w:sz w:val="24"/>
        </w:rPr>
      </w:pPr>
      <w:r>
        <w:rPr>
          <w:b/>
          <w:sz w:val="24"/>
        </w:rPr>
        <w:t>Contenido</w:t>
        <w:tab/>
        <w:t>Página</w:t>
      </w:r>
    </w:p>
    <w:p>
      <w:pPr>
        <w:spacing w:after="0"/>
        <w:jc w:val="left"/>
        <w:rPr>
          <w:sz w:val="24"/>
        </w:rPr>
        <w:sectPr>
          <w:pgSz w:w="12240" w:h="15840"/>
          <w:pgMar w:header="736" w:footer="1024" w:top="1180" w:bottom="1657" w:left="1280" w:right="1260"/>
        </w:sectPr>
      </w:pPr>
    </w:p>
    <w:sdt>
      <w:sdtPr>
        <w:docPartObj>
          <w:docPartGallery w:val="Table of Contents"/>
          <w:docPartUnique/>
        </w:docPartObj>
      </w:sdtPr>
      <w:sdtEndPr/>
      <w:sdtContent>
        <w:p>
          <w:pPr>
            <w:pStyle w:val="TOC2"/>
            <w:numPr>
              <w:ilvl w:val="0"/>
              <w:numId w:val="1"/>
            </w:numPr>
            <w:tabs>
              <w:tab w:pos="1240" w:val="left" w:leader="none"/>
              <w:tab w:pos="1241" w:val="left" w:leader="none"/>
              <w:tab w:pos="8801" w:val="left" w:leader="none"/>
            </w:tabs>
            <w:spacing w:line="240" w:lineRule="auto" w:before="276" w:after="0"/>
            <w:ind w:left="1240" w:right="0" w:hanging="720"/>
            <w:jc w:val="left"/>
            <w:rPr>
              <w:b w:val="0"/>
              <w:i w:val="0"/>
              <w:sz w:val="24"/>
            </w:rPr>
          </w:pPr>
          <w:r>
            <w:rPr>
              <w:i w:val="0"/>
              <w:sz w:val="24"/>
            </w:rPr>
            <w:t>RESUMEN</w:t>
          </w:r>
          <w:r>
            <w:rPr>
              <w:b w:val="0"/>
              <w:i w:val="0"/>
              <w:sz w:val="24"/>
            </w:rPr>
            <w:tab/>
            <w:t>5</w:t>
          </w:r>
        </w:p>
        <w:p>
          <w:pPr>
            <w:pStyle w:val="TOC1"/>
            <w:numPr>
              <w:ilvl w:val="0"/>
              <w:numId w:val="1"/>
            </w:numPr>
            <w:tabs>
              <w:tab w:pos="1240" w:val="left" w:leader="none"/>
              <w:tab w:pos="1241" w:val="left" w:leader="none"/>
              <w:tab w:pos="8801" w:val="left" w:leader="none"/>
            </w:tabs>
            <w:spacing w:line="240" w:lineRule="auto" w:before="276" w:after="0"/>
            <w:ind w:left="1240" w:right="0" w:hanging="720"/>
            <w:jc w:val="left"/>
            <w:rPr>
              <w:b w:val="0"/>
            </w:rPr>
          </w:pPr>
          <w:hyperlink w:history="true" w:anchor="_TOC_250015">
            <w:r>
              <w:rPr/>
              <w:t>INTRODUCCIÓN</w:t>
            </w:r>
            <w:r>
              <w:rPr>
                <w:b w:val="0"/>
              </w:rPr>
              <w:tab/>
              <w:t>8</w:t>
            </w:r>
          </w:hyperlink>
        </w:p>
        <w:p>
          <w:pPr>
            <w:pStyle w:val="TOC1"/>
            <w:numPr>
              <w:ilvl w:val="0"/>
              <w:numId w:val="1"/>
            </w:numPr>
            <w:tabs>
              <w:tab w:pos="1240" w:val="left" w:leader="none"/>
              <w:tab w:pos="1241" w:val="left" w:leader="none"/>
              <w:tab w:pos="8801" w:val="left" w:leader="none"/>
            </w:tabs>
            <w:spacing w:line="240" w:lineRule="auto" w:before="276" w:after="0"/>
            <w:ind w:left="1240" w:right="0" w:hanging="720"/>
            <w:jc w:val="left"/>
            <w:rPr>
              <w:b w:val="0"/>
            </w:rPr>
          </w:pPr>
          <w:hyperlink w:history="true" w:anchor="_TOC_250014">
            <w:r>
              <w:rPr/>
              <w:t>MARCO</w:t>
            </w:r>
            <w:r>
              <w:rPr>
                <w:spacing w:val="-2"/>
              </w:rPr>
              <w:t> </w:t>
            </w:r>
            <w:r>
              <w:rPr/>
              <w:t>TEÓRICO</w:t>
            </w:r>
            <w:r>
              <w:rPr>
                <w:b w:val="0"/>
              </w:rPr>
              <w:tab/>
              <w:t>12</w:t>
            </w:r>
          </w:hyperlink>
        </w:p>
        <w:p>
          <w:pPr>
            <w:pStyle w:val="TOC7"/>
            <w:numPr>
              <w:ilvl w:val="1"/>
              <w:numId w:val="1"/>
            </w:numPr>
            <w:tabs>
              <w:tab w:pos="1601" w:val="left" w:leader="none"/>
              <w:tab w:pos="8801" w:val="left" w:leader="none"/>
            </w:tabs>
            <w:spacing w:line="240" w:lineRule="auto" w:before="276" w:after="0"/>
            <w:ind w:left="1240" w:right="0" w:firstLine="0"/>
            <w:jc w:val="left"/>
            <w:rPr>
              <w:b w:val="0"/>
            </w:rPr>
          </w:pPr>
          <w:hyperlink w:history="true" w:anchor="_TOC_250013">
            <w:r>
              <w:rPr/>
              <w:t>MICROBIOLOGÍA DE LA</w:t>
            </w:r>
            <w:r>
              <w:rPr>
                <w:spacing w:val="-12"/>
              </w:rPr>
              <w:t> </w:t>
            </w:r>
            <w:r>
              <w:rPr/>
              <w:t>CARIES</w:t>
            </w:r>
            <w:r>
              <w:rPr>
                <w:spacing w:val="-1"/>
              </w:rPr>
              <w:t> </w:t>
            </w:r>
            <w:r>
              <w:rPr/>
              <w:t>DENTAL</w:t>
            </w:r>
            <w:r>
              <w:rPr>
                <w:b w:val="0"/>
              </w:rPr>
              <w:tab/>
              <w:t>13</w:t>
            </w:r>
          </w:hyperlink>
        </w:p>
        <w:p>
          <w:pPr>
            <w:pStyle w:val="TOC9"/>
            <w:numPr>
              <w:ilvl w:val="2"/>
              <w:numId w:val="1"/>
            </w:numPr>
            <w:tabs>
              <w:tab w:pos="1843" w:val="left" w:leader="none"/>
              <w:tab w:pos="8801" w:val="left" w:leader="none"/>
            </w:tabs>
            <w:spacing w:line="240" w:lineRule="auto" w:before="273" w:after="0"/>
            <w:ind w:left="1842" w:right="0" w:hanging="602"/>
            <w:jc w:val="left"/>
            <w:rPr>
              <w:i w:val="0"/>
            </w:rPr>
          </w:pPr>
          <w:r>
            <w:rPr>
              <w:i/>
            </w:rPr>
            <w:t>Streptococcus</w:t>
          </w:r>
          <w:r>
            <w:rPr>
              <w:i/>
              <w:spacing w:val="-3"/>
            </w:rPr>
            <w:t> </w:t>
          </w:r>
          <w:r>
            <w:rPr>
              <w:i/>
            </w:rPr>
            <w:t>mutans</w:t>
          </w:r>
          <w:r>
            <w:rPr>
              <w:i w:val="0"/>
            </w:rPr>
            <w:tab/>
            <w:t>14</w:t>
          </w:r>
        </w:p>
        <w:p>
          <w:pPr>
            <w:pStyle w:val="ListParagraph"/>
            <w:numPr>
              <w:ilvl w:val="3"/>
              <w:numId w:val="1"/>
            </w:numPr>
            <w:tabs>
              <w:tab w:pos="2402" w:val="left" w:leader="none"/>
              <w:tab w:pos="8801" w:val="left" w:leader="none"/>
            </w:tabs>
            <w:spacing w:line="240" w:lineRule="auto" w:before="279" w:after="0"/>
            <w:ind w:left="2401" w:right="0" w:hanging="801"/>
            <w:jc w:val="left"/>
            <w:rPr>
              <w:sz w:val="24"/>
            </w:rPr>
          </w:pPr>
          <w:r>
            <w:rPr>
              <w:sz w:val="24"/>
            </w:rPr>
            <w:t>Transmisión</w:t>
            <w:tab/>
            <w:t>14</w:t>
          </w:r>
        </w:p>
        <w:p>
          <w:pPr>
            <w:pStyle w:val="ListParagraph"/>
            <w:numPr>
              <w:ilvl w:val="3"/>
              <w:numId w:val="1"/>
            </w:numPr>
            <w:tabs>
              <w:tab w:pos="2402" w:val="left" w:leader="none"/>
              <w:tab w:pos="8801" w:val="left" w:leader="none"/>
            </w:tabs>
            <w:spacing w:line="240" w:lineRule="auto" w:before="273" w:after="0"/>
            <w:ind w:left="2401" w:right="0" w:hanging="801"/>
            <w:jc w:val="left"/>
            <w:rPr>
              <w:sz w:val="24"/>
            </w:rPr>
          </w:pPr>
          <w:r>
            <w:rPr>
              <w:sz w:val="24"/>
            </w:rPr>
            <w:t>Localización</w:t>
            <w:tab/>
            <w:t>15</w:t>
          </w:r>
        </w:p>
        <w:p>
          <w:pPr>
            <w:pStyle w:val="ListParagraph"/>
            <w:numPr>
              <w:ilvl w:val="3"/>
              <w:numId w:val="1"/>
            </w:numPr>
            <w:tabs>
              <w:tab w:pos="2402" w:val="left" w:leader="none"/>
              <w:tab w:pos="8801" w:val="left" w:leader="none"/>
            </w:tabs>
            <w:spacing w:line="240" w:lineRule="auto" w:before="276" w:after="0"/>
            <w:ind w:left="2401" w:right="0" w:hanging="801"/>
            <w:jc w:val="left"/>
            <w:rPr>
              <w:sz w:val="24"/>
            </w:rPr>
          </w:pPr>
          <w:r>
            <w:rPr>
              <w:sz w:val="24"/>
            </w:rPr>
            <w:t>Virulencia</w:t>
            <w:tab/>
            <w:t>15</w:t>
          </w:r>
        </w:p>
        <w:p>
          <w:pPr>
            <w:pStyle w:val="ListParagraph"/>
            <w:numPr>
              <w:ilvl w:val="3"/>
              <w:numId w:val="1"/>
            </w:numPr>
            <w:tabs>
              <w:tab w:pos="2402" w:val="left" w:leader="none"/>
              <w:tab w:pos="8801" w:val="left" w:leader="none"/>
            </w:tabs>
            <w:spacing w:line="240" w:lineRule="auto" w:before="276" w:after="0"/>
            <w:ind w:left="2401" w:right="0" w:hanging="801"/>
            <w:jc w:val="left"/>
            <w:rPr>
              <w:sz w:val="24"/>
            </w:rPr>
          </w:pPr>
          <w:r>
            <w:rPr>
              <w:sz w:val="24"/>
            </w:rPr>
            <w:t>Genotipo</w:t>
          </w:r>
          <w:r>
            <w:rPr>
              <w:spacing w:val="-3"/>
              <w:sz w:val="24"/>
            </w:rPr>
            <w:t> </w:t>
          </w:r>
          <w:r>
            <w:rPr>
              <w:sz w:val="24"/>
            </w:rPr>
            <w:t>y</w:t>
          </w:r>
          <w:r>
            <w:rPr>
              <w:spacing w:val="-3"/>
              <w:sz w:val="24"/>
            </w:rPr>
            <w:t> </w:t>
          </w:r>
          <w:r>
            <w:rPr>
              <w:sz w:val="24"/>
            </w:rPr>
            <w:t>fenotipo</w:t>
            <w:tab/>
            <w:t>17</w:t>
          </w:r>
        </w:p>
        <w:p>
          <w:pPr>
            <w:pStyle w:val="TOC9"/>
            <w:numPr>
              <w:ilvl w:val="2"/>
              <w:numId w:val="1"/>
            </w:numPr>
            <w:tabs>
              <w:tab w:pos="1843" w:val="left" w:leader="none"/>
              <w:tab w:pos="8801" w:val="left" w:leader="none"/>
            </w:tabs>
            <w:spacing w:line="240" w:lineRule="auto" w:before="273" w:after="0"/>
            <w:ind w:left="1842" w:right="0" w:hanging="602"/>
            <w:jc w:val="left"/>
            <w:rPr>
              <w:i w:val="0"/>
            </w:rPr>
          </w:pPr>
          <w:r>
            <w:rPr>
              <w:i/>
            </w:rPr>
            <w:t>Lactobacillus</w:t>
          </w:r>
          <w:r>
            <w:rPr>
              <w:i/>
              <w:spacing w:val="-3"/>
            </w:rPr>
            <w:t> </w:t>
          </w:r>
          <w:r>
            <w:rPr>
              <w:i/>
            </w:rPr>
            <w:t>casei</w:t>
          </w:r>
          <w:r>
            <w:rPr>
              <w:i w:val="0"/>
            </w:rPr>
            <w:tab/>
            <w:t>18</w:t>
          </w:r>
        </w:p>
        <w:p>
          <w:pPr>
            <w:pStyle w:val="ListParagraph"/>
            <w:numPr>
              <w:ilvl w:val="3"/>
              <w:numId w:val="1"/>
            </w:numPr>
            <w:tabs>
              <w:tab w:pos="2402" w:val="left" w:leader="none"/>
              <w:tab w:pos="8801" w:val="left" w:leader="none"/>
            </w:tabs>
            <w:spacing w:line="240" w:lineRule="auto" w:before="278" w:after="0"/>
            <w:ind w:left="2401" w:right="0" w:hanging="801"/>
            <w:jc w:val="left"/>
            <w:rPr>
              <w:sz w:val="24"/>
            </w:rPr>
          </w:pPr>
          <w:r>
            <w:rPr>
              <w:sz w:val="24"/>
            </w:rPr>
            <w:t>Transmisión</w:t>
            <w:tab/>
            <w:t>18</w:t>
          </w:r>
        </w:p>
        <w:p>
          <w:pPr>
            <w:pStyle w:val="ListParagraph"/>
            <w:numPr>
              <w:ilvl w:val="3"/>
              <w:numId w:val="1"/>
            </w:numPr>
            <w:tabs>
              <w:tab w:pos="2402" w:val="left" w:leader="none"/>
              <w:tab w:pos="8801" w:val="left" w:leader="none"/>
            </w:tabs>
            <w:spacing w:line="240" w:lineRule="auto" w:before="276" w:after="0"/>
            <w:ind w:left="2401" w:right="0" w:hanging="801"/>
            <w:jc w:val="left"/>
            <w:rPr>
              <w:sz w:val="24"/>
            </w:rPr>
          </w:pPr>
          <w:r>
            <w:rPr>
              <w:sz w:val="24"/>
            </w:rPr>
            <w:t>Localización</w:t>
            <w:tab/>
            <w:t>19</w:t>
          </w:r>
        </w:p>
        <w:p>
          <w:pPr>
            <w:pStyle w:val="ListParagraph"/>
            <w:numPr>
              <w:ilvl w:val="3"/>
              <w:numId w:val="1"/>
            </w:numPr>
            <w:tabs>
              <w:tab w:pos="2402" w:val="left" w:leader="none"/>
              <w:tab w:pos="8801" w:val="left" w:leader="none"/>
            </w:tabs>
            <w:spacing w:line="240" w:lineRule="auto" w:before="276" w:after="0"/>
            <w:ind w:left="2401" w:right="0" w:hanging="801"/>
            <w:jc w:val="left"/>
            <w:rPr>
              <w:sz w:val="24"/>
            </w:rPr>
          </w:pPr>
          <w:r>
            <w:rPr>
              <w:sz w:val="24"/>
            </w:rPr>
            <w:t>Virulencia</w:t>
            <w:tab/>
            <w:t>19</w:t>
          </w:r>
        </w:p>
        <w:p>
          <w:pPr>
            <w:pStyle w:val="ListParagraph"/>
            <w:numPr>
              <w:ilvl w:val="3"/>
              <w:numId w:val="1"/>
            </w:numPr>
            <w:tabs>
              <w:tab w:pos="2402" w:val="left" w:leader="none"/>
              <w:tab w:pos="8801" w:val="left" w:leader="none"/>
            </w:tabs>
            <w:spacing w:line="240" w:lineRule="auto" w:before="276" w:after="0"/>
            <w:ind w:left="2401" w:right="0" w:hanging="801"/>
            <w:jc w:val="left"/>
            <w:rPr>
              <w:sz w:val="24"/>
            </w:rPr>
          </w:pPr>
          <w:r>
            <w:rPr>
              <w:sz w:val="24"/>
            </w:rPr>
            <w:t>Genotipo</w:t>
          </w:r>
          <w:r>
            <w:rPr>
              <w:spacing w:val="-3"/>
              <w:sz w:val="24"/>
            </w:rPr>
            <w:t> </w:t>
          </w:r>
          <w:r>
            <w:rPr>
              <w:sz w:val="24"/>
            </w:rPr>
            <w:t>y</w:t>
          </w:r>
          <w:r>
            <w:rPr>
              <w:spacing w:val="-3"/>
              <w:sz w:val="24"/>
            </w:rPr>
            <w:t> </w:t>
          </w:r>
          <w:r>
            <w:rPr>
              <w:sz w:val="24"/>
            </w:rPr>
            <w:t>fenotipo</w:t>
            <w:tab/>
            <w:t>19</w:t>
          </w:r>
        </w:p>
        <w:p>
          <w:pPr>
            <w:pStyle w:val="TOC7"/>
            <w:numPr>
              <w:ilvl w:val="1"/>
              <w:numId w:val="1"/>
            </w:numPr>
            <w:tabs>
              <w:tab w:pos="1897" w:val="left" w:leader="none"/>
              <w:tab w:pos="1898" w:val="left" w:leader="none"/>
              <w:tab w:pos="3830" w:val="left" w:leader="none"/>
              <w:tab w:pos="5715" w:val="left" w:leader="none"/>
              <w:tab w:pos="8340" w:val="left" w:leader="none"/>
              <w:tab w:pos="8801" w:val="left" w:leader="none"/>
              <w:tab w:pos="8994" w:val="left" w:leader="none"/>
            </w:tabs>
            <w:spacing w:line="480" w:lineRule="auto" w:before="276" w:after="0"/>
            <w:ind w:left="1240" w:right="182" w:firstLine="0"/>
            <w:jc w:val="left"/>
            <w:rPr>
              <w:b w:val="0"/>
            </w:rPr>
          </w:pPr>
          <w:hyperlink w:history="true" w:anchor="_TOC_250012">
            <w:r>
              <w:rPr/>
              <w:t>PRINCIPALES</w:t>
              <w:tab/>
              <w:t>SUSTANCIAS</w:t>
              <w:tab/>
              <w:t>ANTIBACTERIANAS</w:t>
              <w:tab/>
              <w:t>DE</w:t>
              <w:tab/>
              <w:tab/>
              <w:t>USO ODONTOLÓGICO</w:t>
            </w:r>
            <w:r>
              <w:rPr>
                <w:b w:val="0"/>
              </w:rPr>
              <w:tab/>
              <w:tab/>
              <w:tab/>
              <w:tab/>
              <w:t>20</w:t>
            </w:r>
          </w:hyperlink>
        </w:p>
        <w:p>
          <w:pPr>
            <w:pStyle w:val="TOC8"/>
            <w:numPr>
              <w:ilvl w:val="2"/>
              <w:numId w:val="1"/>
            </w:numPr>
            <w:tabs>
              <w:tab w:pos="1961" w:val="left" w:leader="none"/>
              <w:tab w:pos="8801" w:val="left" w:leader="none"/>
            </w:tabs>
            <w:spacing w:line="240" w:lineRule="auto" w:before="8" w:after="0"/>
            <w:ind w:left="1960" w:right="0" w:hanging="720"/>
            <w:jc w:val="left"/>
          </w:pPr>
          <w:r>
            <w:rPr/>
            <w:t>Antecedentes de</w:t>
          </w:r>
          <w:r>
            <w:rPr>
              <w:spacing w:val="-9"/>
            </w:rPr>
            <w:t> </w:t>
          </w:r>
          <w:r>
            <w:rPr/>
            <w:t>la</w:t>
          </w:r>
          <w:r>
            <w:rPr>
              <w:spacing w:val="-2"/>
            </w:rPr>
            <w:t> </w:t>
          </w:r>
          <w:r>
            <w:rPr/>
            <w:t>Clorhexidina</w:t>
            <w:tab/>
            <w:t>20</w:t>
          </w:r>
        </w:p>
        <w:p>
          <w:pPr>
            <w:pStyle w:val="ListParagraph"/>
            <w:numPr>
              <w:ilvl w:val="3"/>
              <w:numId w:val="1"/>
            </w:numPr>
            <w:tabs>
              <w:tab w:pos="2860" w:val="left" w:leader="none"/>
              <w:tab w:pos="2861" w:val="left" w:leader="none"/>
              <w:tab w:pos="8801" w:val="left" w:leader="none"/>
            </w:tabs>
            <w:spacing w:line="240" w:lineRule="auto" w:before="276" w:after="0"/>
            <w:ind w:left="2861" w:right="0" w:hanging="1081"/>
            <w:jc w:val="left"/>
            <w:rPr>
              <w:sz w:val="24"/>
            </w:rPr>
          </w:pPr>
          <w:r>
            <w:rPr>
              <w:sz w:val="24"/>
            </w:rPr>
            <w:t>Composición química y mecanismo</w:t>
          </w:r>
          <w:r>
            <w:rPr>
              <w:spacing w:val="-10"/>
              <w:sz w:val="24"/>
            </w:rPr>
            <w:t> </w:t>
          </w:r>
          <w:r>
            <w:rPr>
              <w:sz w:val="24"/>
            </w:rPr>
            <w:t>de</w:t>
          </w:r>
          <w:r>
            <w:rPr>
              <w:spacing w:val="-2"/>
              <w:sz w:val="24"/>
            </w:rPr>
            <w:t> </w:t>
          </w:r>
          <w:r>
            <w:rPr>
              <w:sz w:val="24"/>
            </w:rPr>
            <w:t>acción</w:t>
            <w:tab/>
            <w:t>21</w:t>
          </w:r>
        </w:p>
        <w:p>
          <w:pPr>
            <w:pStyle w:val="ListParagraph"/>
            <w:numPr>
              <w:ilvl w:val="3"/>
              <w:numId w:val="1"/>
            </w:numPr>
            <w:tabs>
              <w:tab w:pos="2860" w:val="left" w:leader="none"/>
              <w:tab w:pos="2861" w:val="left" w:leader="none"/>
              <w:tab w:pos="8801" w:val="left" w:leader="none"/>
            </w:tabs>
            <w:spacing w:line="240" w:lineRule="auto" w:before="276" w:after="0"/>
            <w:ind w:left="2861" w:right="0" w:hanging="1081"/>
            <w:jc w:val="left"/>
            <w:rPr>
              <w:sz w:val="24"/>
            </w:rPr>
          </w:pPr>
          <w:r>
            <w:rPr>
              <w:sz w:val="24"/>
            </w:rPr>
            <w:t>Principales</w:t>
          </w:r>
          <w:r>
            <w:rPr>
              <w:spacing w:val="-2"/>
              <w:sz w:val="24"/>
            </w:rPr>
            <w:t> </w:t>
          </w:r>
          <w:r>
            <w:rPr>
              <w:sz w:val="24"/>
            </w:rPr>
            <w:t>usos</w:t>
            <w:tab/>
            <w:t>23</w:t>
          </w:r>
        </w:p>
        <w:p>
          <w:pPr>
            <w:pStyle w:val="ListParagraph"/>
            <w:numPr>
              <w:ilvl w:val="3"/>
              <w:numId w:val="1"/>
            </w:numPr>
            <w:tabs>
              <w:tab w:pos="2860" w:val="left" w:leader="none"/>
              <w:tab w:pos="2861" w:val="left" w:leader="none"/>
              <w:tab w:pos="8801" w:val="left" w:leader="none"/>
            </w:tabs>
            <w:spacing w:line="240" w:lineRule="auto" w:before="276" w:after="0"/>
            <w:ind w:left="2861" w:right="0" w:hanging="1081"/>
            <w:jc w:val="left"/>
            <w:rPr>
              <w:sz w:val="24"/>
            </w:rPr>
          </w:pPr>
          <w:r>
            <w:rPr>
              <w:sz w:val="24"/>
            </w:rPr>
            <w:t>Ventajas</w:t>
          </w:r>
          <w:r>
            <w:rPr>
              <w:spacing w:val="-3"/>
              <w:sz w:val="24"/>
            </w:rPr>
            <w:t> </w:t>
          </w:r>
          <w:r>
            <w:rPr>
              <w:sz w:val="24"/>
            </w:rPr>
            <w:t>y</w:t>
          </w:r>
          <w:r>
            <w:rPr>
              <w:spacing w:val="-5"/>
              <w:sz w:val="24"/>
            </w:rPr>
            <w:t> </w:t>
          </w:r>
          <w:r>
            <w:rPr>
              <w:sz w:val="24"/>
            </w:rPr>
            <w:t>desventajas</w:t>
            <w:tab/>
            <w:t>24</w:t>
          </w:r>
        </w:p>
        <w:p>
          <w:pPr>
            <w:pStyle w:val="TOC5"/>
            <w:numPr>
              <w:ilvl w:val="1"/>
              <w:numId w:val="2"/>
            </w:numPr>
            <w:tabs>
              <w:tab w:pos="1570" w:val="left" w:leader="none"/>
              <w:tab w:pos="8801" w:val="left" w:leader="none"/>
            </w:tabs>
            <w:spacing w:line="240" w:lineRule="auto" w:before="276" w:after="0"/>
            <w:ind w:left="1569" w:right="0" w:hanging="401"/>
            <w:jc w:val="left"/>
            <w:rPr>
              <w:b w:val="0"/>
            </w:rPr>
          </w:pPr>
          <w:hyperlink w:history="true" w:anchor="_TOC_250011">
            <w:r>
              <w:rPr/>
              <w:t>INTRODUCCIÓN A</w:t>
            </w:r>
            <w:r>
              <w:rPr>
                <w:spacing w:val="-2"/>
              </w:rPr>
              <w:t> </w:t>
            </w:r>
            <w:r>
              <w:rPr/>
              <w:t>LA</w:t>
            </w:r>
            <w:r>
              <w:rPr>
                <w:spacing w:val="-5"/>
              </w:rPr>
              <w:t> </w:t>
            </w:r>
            <w:r>
              <w:rPr/>
              <w:t>NANOTECNOLOGÍA</w:t>
            </w:r>
            <w:r>
              <w:rPr>
                <w:b w:val="0"/>
              </w:rPr>
              <w:tab/>
              <w:t>27</w:t>
            </w:r>
          </w:hyperlink>
        </w:p>
        <w:p>
          <w:pPr>
            <w:pStyle w:val="TOC6"/>
            <w:numPr>
              <w:ilvl w:val="2"/>
              <w:numId w:val="2"/>
            </w:numPr>
            <w:tabs>
              <w:tab w:pos="1749" w:val="left" w:leader="none"/>
              <w:tab w:pos="8801" w:val="left" w:leader="none"/>
            </w:tabs>
            <w:spacing w:line="240" w:lineRule="auto" w:before="264" w:after="0"/>
            <w:ind w:left="1748" w:right="0" w:hanging="599"/>
            <w:jc w:val="left"/>
          </w:pPr>
          <w:r>
            <w:rPr/>
            <w:t>Antecedentes de la nanociencia y</w:t>
          </w:r>
          <w:r>
            <w:rPr>
              <w:spacing w:val="-12"/>
            </w:rPr>
            <w:t> </w:t>
          </w:r>
          <w:r>
            <w:rPr/>
            <w:t>la</w:t>
          </w:r>
          <w:r>
            <w:rPr>
              <w:spacing w:val="-2"/>
            </w:rPr>
            <w:t> </w:t>
          </w:r>
          <w:r>
            <w:rPr/>
            <w:t>nanotecnología</w:t>
            <w:tab/>
            <w:t>29</w:t>
          </w:r>
        </w:p>
        <w:p>
          <w:pPr>
            <w:pStyle w:val="ListParagraph"/>
            <w:numPr>
              <w:ilvl w:val="3"/>
              <w:numId w:val="2"/>
            </w:numPr>
            <w:tabs>
              <w:tab w:pos="2537" w:val="left" w:leader="none"/>
              <w:tab w:pos="8801" w:val="left" w:leader="none"/>
            </w:tabs>
            <w:spacing w:line="240" w:lineRule="auto" w:before="276" w:after="0"/>
            <w:ind w:left="2536" w:right="0" w:hanging="869"/>
            <w:jc w:val="left"/>
            <w:rPr>
              <w:sz w:val="24"/>
            </w:rPr>
          </w:pPr>
          <w:r>
            <w:rPr>
              <w:sz w:val="24"/>
            </w:rPr>
            <w:t>Principales usos y aplicaciones de</w:t>
          </w:r>
          <w:r>
            <w:rPr>
              <w:spacing w:val="-15"/>
              <w:sz w:val="24"/>
            </w:rPr>
            <w:t> </w:t>
          </w:r>
          <w:r>
            <w:rPr>
              <w:sz w:val="24"/>
            </w:rPr>
            <w:t>la</w:t>
          </w:r>
          <w:r>
            <w:rPr>
              <w:spacing w:val="-4"/>
              <w:sz w:val="24"/>
            </w:rPr>
            <w:t> </w:t>
          </w:r>
          <w:r>
            <w:rPr>
              <w:sz w:val="24"/>
            </w:rPr>
            <w:t>nanotecnología</w:t>
            <w:tab/>
            <w:t>32</w:t>
          </w:r>
        </w:p>
        <w:p>
          <w:pPr>
            <w:pStyle w:val="TOC8"/>
            <w:numPr>
              <w:ilvl w:val="2"/>
              <w:numId w:val="2"/>
            </w:numPr>
            <w:tabs>
              <w:tab w:pos="1813" w:val="left" w:leader="none"/>
              <w:tab w:pos="8801" w:val="left" w:leader="none"/>
            </w:tabs>
            <w:spacing w:line="240" w:lineRule="auto" w:before="276" w:after="0"/>
            <w:ind w:left="1812" w:right="0" w:hanging="601"/>
            <w:jc w:val="left"/>
          </w:pPr>
          <w:r>
            <w:rPr/>
            <w:t>Nanopartículas de</w:t>
          </w:r>
          <w:r>
            <w:rPr>
              <w:spacing w:val="-6"/>
            </w:rPr>
            <w:t> </w:t>
          </w:r>
          <w:r>
            <w:rPr/>
            <w:t>plata</w:t>
          </w:r>
          <w:r>
            <w:rPr>
              <w:spacing w:val="-2"/>
            </w:rPr>
            <w:t> </w:t>
          </w:r>
          <w:r>
            <w:rPr/>
            <w:t>(Np-Ag)</w:t>
            <w:tab/>
            <w:t>34</w:t>
          </w:r>
        </w:p>
        <w:p>
          <w:pPr>
            <w:tabs>
              <w:tab w:pos="8801" w:val="left" w:leader="none"/>
            </w:tabs>
            <w:spacing w:before="276"/>
            <w:ind w:left="1667" w:right="270" w:firstLine="0"/>
            <w:jc w:val="left"/>
            <w:rPr>
              <w:sz w:val="24"/>
            </w:rPr>
          </w:pPr>
          <w:r>
            <w:rPr>
              <w:sz w:val="24"/>
            </w:rPr>
            <w:t>3.3.2.1 Propiedades y mecanismo</w:t>
          </w:r>
          <w:r>
            <w:rPr>
              <w:spacing w:val="-7"/>
              <w:sz w:val="24"/>
            </w:rPr>
            <w:t> </w:t>
          </w:r>
          <w:r>
            <w:rPr>
              <w:sz w:val="24"/>
            </w:rPr>
            <w:t>de</w:t>
          </w:r>
          <w:r>
            <w:rPr>
              <w:spacing w:val="-3"/>
              <w:sz w:val="24"/>
            </w:rPr>
            <w:t> </w:t>
          </w:r>
          <w:r>
            <w:rPr>
              <w:sz w:val="24"/>
            </w:rPr>
            <w:t>acción</w:t>
            <w:tab/>
            <w:t>35</w:t>
          </w:r>
        </w:p>
        <w:p>
          <w:pPr>
            <w:pStyle w:val="TOC8"/>
            <w:numPr>
              <w:ilvl w:val="2"/>
              <w:numId w:val="2"/>
            </w:numPr>
            <w:tabs>
              <w:tab w:pos="1813" w:val="left" w:leader="none"/>
              <w:tab w:pos="8801" w:val="left" w:leader="none"/>
            </w:tabs>
            <w:spacing w:line="240" w:lineRule="auto" w:before="276" w:after="0"/>
            <w:ind w:left="1812" w:right="0" w:hanging="601"/>
            <w:jc w:val="left"/>
          </w:pPr>
          <w:r>
            <w:rPr/>
            <w:t>Nanoquímica</w:t>
            <w:tab/>
            <w:t>37</w:t>
          </w:r>
        </w:p>
        <w:p>
          <w:pPr>
            <w:pStyle w:val="TOC8"/>
            <w:numPr>
              <w:ilvl w:val="2"/>
              <w:numId w:val="2"/>
            </w:numPr>
            <w:tabs>
              <w:tab w:pos="1813" w:val="left" w:leader="none"/>
              <w:tab w:pos="8801" w:val="left" w:leader="none"/>
            </w:tabs>
            <w:spacing w:line="240" w:lineRule="auto" w:before="276" w:after="0"/>
            <w:ind w:left="1812" w:right="0" w:hanging="601"/>
            <w:jc w:val="left"/>
          </w:pPr>
          <w:r>
            <w:rPr/>
            <w:t>Métodos</w:t>
          </w:r>
          <w:r>
            <w:rPr>
              <w:spacing w:val="-4"/>
            </w:rPr>
            <w:t> </w:t>
          </w:r>
          <w:r>
            <w:rPr/>
            <w:t>de</w:t>
          </w:r>
          <w:r>
            <w:rPr>
              <w:spacing w:val="-3"/>
            </w:rPr>
            <w:t> </w:t>
          </w:r>
          <w:r>
            <w:rPr/>
            <w:t>síntesis</w:t>
            <w:tab/>
            <w:t>38</w:t>
          </w:r>
        </w:p>
        <w:p>
          <w:pPr>
            <w:pStyle w:val="ListParagraph"/>
            <w:numPr>
              <w:ilvl w:val="3"/>
              <w:numId w:val="3"/>
            </w:numPr>
            <w:tabs>
              <w:tab w:pos="2468" w:val="left" w:leader="none"/>
              <w:tab w:pos="8801" w:val="left" w:leader="none"/>
            </w:tabs>
            <w:spacing w:line="240" w:lineRule="auto" w:before="276" w:after="0"/>
            <w:ind w:left="2468" w:right="0" w:hanging="801"/>
            <w:jc w:val="left"/>
            <w:rPr>
              <w:sz w:val="24"/>
            </w:rPr>
          </w:pPr>
          <w:r>
            <w:rPr>
              <w:sz w:val="24"/>
            </w:rPr>
            <w:t>Método de reducción química</w:t>
          </w:r>
          <w:r>
            <w:rPr>
              <w:spacing w:val="-11"/>
              <w:sz w:val="24"/>
            </w:rPr>
            <w:t> </w:t>
          </w:r>
          <w:r>
            <w:rPr>
              <w:sz w:val="24"/>
            </w:rPr>
            <w:t>en</w:t>
          </w:r>
          <w:r>
            <w:rPr>
              <w:spacing w:val="-2"/>
              <w:sz w:val="24"/>
            </w:rPr>
            <w:t> </w:t>
          </w:r>
          <w:r>
            <w:rPr>
              <w:sz w:val="24"/>
            </w:rPr>
            <w:t>sales</w:t>
            <w:tab/>
            <w:t>38</w:t>
          </w:r>
        </w:p>
        <w:p>
          <w:pPr>
            <w:pStyle w:val="ListParagraph"/>
            <w:numPr>
              <w:ilvl w:val="3"/>
              <w:numId w:val="3"/>
            </w:numPr>
            <w:tabs>
              <w:tab w:pos="2468" w:val="left" w:leader="none"/>
              <w:tab w:pos="8801" w:val="left" w:leader="none"/>
            </w:tabs>
            <w:spacing w:line="240" w:lineRule="auto" w:before="276" w:after="0"/>
            <w:ind w:left="2468" w:right="0" w:hanging="801"/>
            <w:jc w:val="left"/>
            <w:rPr>
              <w:sz w:val="24"/>
            </w:rPr>
          </w:pPr>
          <w:r>
            <w:rPr>
              <w:sz w:val="24"/>
            </w:rPr>
            <w:t>Reducción por métodos</w:t>
          </w:r>
          <w:r>
            <w:rPr>
              <w:spacing w:val="-9"/>
              <w:sz w:val="24"/>
            </w:rPr>
            <w:t> </w:t>
          </w:r>
          <w:r>
            <w:rPr>
              <w:sz w:val="24"/>
            </w:rPr>
            <w:t>verdes-</w:t>
          </w:r>
          <w:r>
            <w:rPr>
              <w:spacing w:val="-3"/>
              <w:sz w:val="24"/>
            </w:rPr>
            <w:t> </w:t>
          </w:r>
          <w:r>
            <w:rPr>
              <w:sz w:val="24"/>
            </w:rPr>
            <w:t>ecoamigables</w:t>
            <w:tab/>
            <w:t>39</w:t>
          </w:r>
        </w:p>
        <w:p>
          <w:pPr>
            <w:pStyle w:val="TOC3"/>
            <w:numPr>
              <w:ilvl w:val="1"/>
              <w:numId w:val="3"/>
            </w:numPr>
            <w:tabs>
              <w:tab w:pos="1283" w:val="left" w:leader="none"/>
              <w:tab w:pos="8801" w:val="left" w:leader="none"/>
            </w:tabs>
            <w:spacing w:line="240" w:lineRule="auto" w:before="276" w:after="0"/>
            <w:ind w:left="1282" w:right="0" w:hanging="402"/>
            <w:jc w:val="left"/>
            <w:rPr>
              <w:b w:val="0"/>
            </w:rPr>
          </w:pPr>
          <w:hyperlink w:history="true" w:anchor="_TOC_250010">
            <w:r>
              <w:rPr/>
              <w:t>TÉCNICAS</w:t>
            </w:r>
            <w:r>
              <w:rPr>
                <w:spacing w:val="-4"/>
              </w:rPr>
              <w:t> </w:t>
            </w:r>
            <w:r>
              <w:rPr/>
              <w:t>DE</w:t>
            </w:r>
            <w:r>
              <w:rPr>
                <w:spacing w:val="-3"/>
              </w:rPr>
              <w:t> </w:t>
            </w:r>
            <w:r>
              <w:rPr/>
              <w:t>CARACTERIZACIÓN</w:t>
            </w:r>
            <w:r>
              <w:rPr>
                <w:b w:val="0"/>
              </w:rPr>
              <w:tab/>
              <w:t>42</w:t>
            </w:r>
          </w:hyperlink>
        </w:p>
        <w:p>
          <w:pPr>
            <w:pStyle w:val="TOC4"/>
            <w:numPr>
              <w:ilvl w:val="2"/>
              <w:numId w:val="4"/>
            </w:numPr>
            <w:tabs>
              <w:tab w:pos="1601" w:val="left" w:leader="none"/>
              <w:tab w:pos="8801" w:val="left" w:leader="none"/>
            </w:tabs>
            <w:spacing w:line="240" w:lineRule="auto" w:before="276" w:after="0"/>
            <w:ind w:left="1600" w:right="0" w:hanging="720"/>
            <w:jc w:val="left"/>
          </w:pPr>
          <w:r>
            <w:rPr/>
            <w:t>Espectrofotometría ultravioleta</w:t>
          </w:r>
          <w:r>
            <w:rPr>
              <w:spacing w:val="-2"/>
            </w:rPr>
            <w:t> </w:t>
          </w:r>
          <w:r>
            <w:rPr/>
            <w:t>visible</w:t>
          </w:r>
          <w:r>
            <w:rPr>
              <w:spacing w:val="-3"/>
            </w:rPr>
            <w:t> </w:t>
          </w:r>
          <w:r>
            <w:rPr/>
            <w:t>(UV-Vis)</w:t>
            <w:tab/>
            <w:t>42</w:t>
          </w:r>
        </w:p>
        <w:p>
          <w:pPr>
            <w:pStyle w:val="TOC4"/>
            <w:numPr>
              <w:ilvl w:val="2"/>
              <w:numId w:val="4"/>
            </w:numPr>
            <w:tabs>
              <w:tab w:pos="1483" w:val="left" w:leader="none"/>
              <w:tab w:pos="8801" w:val="left" w:leader="none"/>
            </w:tabs>
            <w:spacing w:line="240" w:lineRule="auto" w:before="276" w:after="0"/>
            <w:ind w:left="1482" w:right="0" w:hanging="602"/>
            <w:jc w:val="left"/>
          </w:pPr>
          <w:r>
            <w:rPr/>
            <w:t>Microscopía electrónica de barrido y de transmisión (MEB</w:t>
          </w:r>
          <w:r>
            <w:rPr>
              <w:spacing w:val="-6"/>
            </w:rPr>
            <w:t> </w:t>
          </w:r>
          <w:r>
            <w:rPr/>
            <w:t>y</w:t>
          </w:r>
          <w:r>
            <w:rPr>
              <w:spacing w:val="-3"/>
            </w:rPr>
            <w:t> </w:t>
          </w:r>
          <w:r>
            <w:rPr/>
            <w:t>MET)</w:t>
            <w:tab/>
            <w:t>43</w:t>
          </w:r>
        </w:p>
        <w:p>
          <w:pPr>
            <w:pStyle w:val="TOC1"/>
            <w:numPr>
              <w:ilvl w:val="0"/>
              <w:numId w:val="1"/>
            </w:numPr>
            <w:tabs>
              <w:tab w:pos="1240" w:val="left" w:leader="none"/>
              <w:tab w:pos="1241" w:val="left" w:leader="none"/>
              <w:tab w:pos="8801" w:val="left" w:leader="none"/>
            </w:tabs>
            <w:spacing w:line="240" w:lineRule="auto" w:before="278" w:after="0"/>
            <w:ind w:left="1240" w:right="0" w:hanging="720"/>
            <w:jc w:val="left"/>
            <w:rPr>
              <w:b w:val="0"/>
            </w:rPr>
          </w:pPr>
          <w:hyperlink w:history="true" w:anchor="_TOC_250009">
            <w:r>
              <w:rPr/>
              <w:t>PLANTEAMIENTO</w:t>
            </w:r>
            <w:r>
              <w:rPr>
                <w:spacing w:val="-2"/>
              </w:rPr>
              <w:t> </w:t>
            </w:r>
            <w:r>
              <w:rPr/>
              <w:t>DEL</w:t>
            </w:r>
            <w:r>
              <w:rPr>
                <w:spacing w:val="-2"/>
              </w:rPr>
              <w:t> </w:t>
            </w:r>
            <w:r>
              <w:rPr/>
              <w:t>PROBLEMA</w:t>
            </w:r>
            <w:r>
              <w:rPr>
                <w:b w:val="0"/>
              </w:rPr>
              <w:tab/>
              <w:t>46</w:t>
            </w:r>
          </w:hyperlink>
        </w:p>
        <w:p>
          <w:pPr>
            <w:pStyle w:val="TOC1"/>
            <w:numPr>
              <w:ilvl w:val="0"/>
              <w:numId w:val="1"/>
            </w:numPr>
            <w:tabs>
              <w:tab w:pos="1240" w:val="left" w:leader="none"/>
              <w:tab w:pos="1241" w:val="left" w:leader="none"/>
              <w:tab w:pos="8801" w:val="left" w:leader="none"/>
            </w:tabs>
            <w:spacing w:line="240" w:lineRule="auto" w:before="137" w:after="0"/>
            <w:ind w:left="1240" w:right="0" w:hanging="720"/>
            <w:jc w:val="left"/>
            <w:rPr>
              <w:b w:val="0"/>
            </w:rPr>
          </w:pPr>
          <w:hyperlink w:history="true" w:anchor="_TOC_250008">
            <w:r>
              <w:rPr/>
              <w:t>JUSTIFICACIÓN</w:t>
            </w:r>
            <w:r>
              <w:rPr>
                <w:b w:val="0"/>
              </w:rPr>
              <w:tab/>
              <w:t>49</w:t>
            </w:r>
          </w:hyperlink>
        </w:p>
        <w:p>
          <w:pPr>
            <w:pStyle w:val="TOC2"/>
            <w:numPr>
              <w:ilvl w:val="0"/>
              <w:numId w:val="1"/>
            </w:numPr>
            <w:tabs>
              <w:tab w:pos="1240" w:val="left" w:leader="none"/>
              <w:tab w:pos="1241" w:val="left" w:leader="none"/>
              <w:tab w:pos="8801" w:val="left" w:leader="none"/>
            </w:tabs>
            <w:spacing w:line="240" w:lineRule="auto" w:before="139" w:after="0"/>
            <w:ind w:left="1240" w:right="0" w:hanging="720"/>
            <w:jc w:val="left"/>
            <w:rPr>
              <w:b w:val="0"/>
              <w:i w:val="0"/>
              <w:sz w:val="24"/>
            </w:rPr>
          </w:pPr>
          <w:hyperlink w:history="true" w:anchor="_TOC_250007">
            <w:r>
              <w:rPr>
                <w:i w:val="0"/>
                <w:sz w:val="24"/>
              </w:rPr>
              <w:t>HIPÓTESIS</w:t>
            </w:r>
            <w:r>
              <w:rPr>
                <w:b w:val="0"/>
                <w:i w:val="0"/>
                <w:sz w:val="24"/>
              </w:rPr>
              <w:tab/>
              <w:t>51</w:t>
            </w:r>
          </w:hyperlink>
        </w:p>
        <w:p>
          <w:pPr>
            <w:pStyle w:val="TOC2"/>
            <w:numPr>
              <w:ilvl w:val="0"/>
              <w:numId w:val="1"/>
            </w:numPr>
            <w:tabs>
              <w:tab w:pos="1240" w:val="left" w:leader="none"/>
              <w:tab w:pos="1241" w:val="left" w:leader="none"/>
              <w:tab w:pos="8801" w:val="left" w:leader="none"/>
            </w:tabs>
            <w:spacing w:line="240" w:lineRule="auto" w:before="137" w:after="0"/>
            <w:ind w:left="1240" w:right="0" w:hanging="720"/>
            <w:jc w:val="left"/>
            <w:rPr>
              <w:b w:val="0"/>
              <w:i w:val="0"/>
              <w:sz w:val="24"/>
            </w:rPr>
          </w:pPr>
          <w:hyperlink w:history="true" w:anchor="_TOC_250006">
            <w:r>
              <w:rPr>
                <w:i w:val="0"/>
                <w:sz w:val="24"/>
              </w:rPr>
              <w:t>OBJETIVOS</w:t>
            </w:r>
            <w:r>
              <w:rPr>
                <w:b w:val="0"/>
                <w:i w:val="0"/>
                <w:sz w:val="24"/>
              </w:rPr>
              <w:tab/>
              <w:t>53</w:t>
            </w:r>
          </w:hyperlink>
        </w:p>
        <w:p>
          <w:pPr>
            <w:pStyle w:val="TOC1"/>
            <w:numPr>
              <w:ilvl w:val="0"/>
              <w:numId w:val="1"/>
            </w:numPr>
            <w:tabs>
              <w:tab w:pos="1240" w:val="left" w:leader="none"/>
              <w:tab w:pos="1241" w:val="left" w:leader="none"/>
              <w:tab w:pos="8801" w:val="left" w:leader="none"/>
            </w:tabs>
            <w:spacing w:line="240" w:lineRule="auto" w:before="139" w:after="0"/>
            <w:ind w:left="1240" w:right="0" w:hanging="720"/>
            <w:jc w:val="left"/>
            <w:rPr>
              <w:b w:val="0"/>
            </w:rPr>
          </w:pPr>
          <w:hyperlink w:history="true" w:anchor="_TOC_250005">
            <w:r>
              <w:rPr/>
              <w:t>MARCO</w:t>
            </w:r>
            <w:r>
              <w:rPr>
                <w:spacing w:val="-2"/>
              </w:rPr>
              <w:t> </w:t>
            </w:r>
            <w:r>
              <w:rPr/>
              <w:t>METODOLÓGICO</w:t>
            </w:r>
            <w:r>
              <w:rPr>
                <w:b w:val="0"/>
              </w:rPr>
              <w:tab/>
              <w:t>55</w:t>
            </w:r>
          </w:hyperlink>
        </w:p>
        <w:p>
          <w:pPr>
            <w:pStyle w:val="TOC8"/>
            <w:numPr>
              <w:ilvl w:val="1"/>
              <w:numId w:val="1"/>
            </w:numPr>
            <w:tabs>
              <w:tab w:pos="1601" w:val="left" w:leader="none"/>
              <w:tab w:pos="8801" w:val="left" w:leader="none"/>
            </w:tabs>
            <w:spacing w:line="240" w:lineRule="auto" w:before="137" w:after="0"/>
            <w:ind w:left="1600" w:right="0" w:hanging="360"/>
            <w:jc w:val="left"/>
          </w:pPr>
          <w:r>
            <w:rPr/>
            <w:t>DISEÑO DE</w:t>
          </w:r>
          <w:r>
            <w:rPr>
              <w:spacing w:val="-2"/>
            </w:rPr>
            <w:t> </w:t>
          </w:r>
          <w:r>
            <w:rPr/>
            <w:t>LA</w:t>
          </w:r>
          <w:r>
            <w:rPr>
              <w:spacing w:val="1"/>
            </w:rPr>
            <w:t> </w:t>
          </w:r>
          <w:r>
            <w:rPr/>
            <w:t>INVESTIGACIÓN</w:t>
            <w:tab/>
            <w:t>56</w:t>
          </w:r>
        </w:p>
        <w:p>
          <w:pPr>
            <w:pStyle w:val="TOC8"/>
            <w:numPr>
              <w:ilvl w:val="1"/>
              <w:numId w:val="1"/>
            </w:numPr>
            <w:tabs>
              <w:tab w:pos="1601" w:val="left" w:leader="none"/>
              <w:tab w:pos="8801" w:val="left" w:leader="none"/>
            </w:tabs>
            <w:spacing w:line="240" w:lineRule="auto" w:before="137" w:after="0"/>
            <w:ind w:left="1600" w:right="0" w:hanging="360"/>
            <w:jc w:val="left"/>
          </w:pPr>
          <w:r>
            <w:rPr/>
            <w:t>MATERIALES</w:t>
          </w:r>
          <w:r>
            <w:rPr>
              <w:spacing w:val="-3"/>
            </w:rPr>
            <w:t> </w:t>
          </w:r>
          <w:r>
            <w:rPr/>
            <w:t>Y</w:t>
          </w:r>
          <w:r>
            <w:rPr>
              <w:spacing w:val="-3"/>
            </w:rPr>
            <w:t> </w:t>
          </w:r>
          <w:r>
            <w:rPr/>
            <w:t>MÉTODOS</w:t>
            <w:tab/>
            <w:t>60</w:t>
          </w:r>
        </w:p>
        <w:p>
          <w:pPr>
            <w:pStyle w:val="TOC2"/>
            <w:numPr>
              <w:ilvl w:val="0"/>
              <w:numId w:val="1"/>
            </w:numPr>
            <w:tabs>
              <w:tab w:pos="1240" w:val="left" w:leader="none"/>
              <w:tab w:pos="1241" w:val="left" w:leader="none"/>
              <w:tab w:pos="8801" w:val="left" w:leader="none"/>
            </w:tabs>
            <w:spacing w:line="240" w:lineRule="auto" w:before="276" w:after="0"/>
            <w:ind w:left="1240" w:right="0" w:hanging="720"/>
            <w:jc w:val="left"/>
            <w:rPr>
              <w:b w:val="0"/>
              <w:i w:val="0"/>
              <w:sz w:val="24"/>
            </w:rPr>
          </w:pPr>
          <w:hyperlink w:history="true" w:anchor="_TOC_250004">
            <w:r>
              <w:rPr>
                <w:i w:val="0"/>
                <w:sz w:val="24"/>
              </w:rPr>
              <w:t>RESULTADOS</w:t>
            </w:r>
            <w:r>
              <w:rPr>
                <w:b w:val="0"/>
                <w:i w:val="0"/>
                <w:sz w:val="24"/>
              </w:rPr>
              <w:tab/>
              <w:t>86</w:t>
            </w:r>
          </w:hyperlink>
        </w:p>
        <w:p>
          <w:pPr>
            <w:pStyle w:val="TOC8"/>
            <w:numPr>
              <w:ilvl w:val="1"/>
              <w:numId w:val="1"/>
            </w:numPr>
            <w:tabs>
              <w:tab w:pos="1601" w:val="left" w:leader="none"/>
              <w:tab w:pos="8801" w:val="left" w:leader="none"/>
            </w:tabs>
            <w:spacing w:line="240" w:lineRule="auto" w:before="276" w:after="0"/>
            <w:ind w:left="1600" w:right="0" w:hanging="360"/>
            <w:jc w:val="left"/>
          </w:pPr>
          <w:r>
            <w:rPr/>
            <w:t>ARTÍCULO</w:t>
            <w:tab/>
            <w:t>87</w:t>
          </w:r>
        </w:p>
        <w:p>
          <w:pPr>
            <w:pStyle w:val="TOC8"/>
            <w:numPr>
              <w:ilvl w:val="1"/>
              <w:numId w:val="1"/>
            </w:numPr>
            <w:tabs>
              <w:tab w:pos="1601" w:val="left" w:leader="none"/>
              <w:tab w:pos="8801" w:val="left" w:leader="none"/>
            </w:tabs>
            <w:spacing w:line="240" w:lineRule="auto" w:before="276" w:after="0"/>
            <w:ind w:left="1600" w:right="0" w:hanging="360"/>
            <w:jc w:val="left"/>
          </w:pPr>
          <w:r>
            <w:rPr/>
            <w:t>TABLAS</w:t>
          </w:r>
          <w:r>
            <w:rPr>
              <w:spacing w:val="-3"/>
            </w:rPr>
            <w:t> </w:t>
          </w:r>
          <w:r>
            <w:rPr/>
            <w:t>Y</w:t>
          </w:r>
          <w:r>
            <w:rPr>
              <w:spacing w:val="-1"/>
            </w:rPr>
            <w:t> </w:t>
          </w:r>
          <w:r>
            <w:rPr/>
            <w:t>GRÁFICAS</w:t>
            <w:tab/>
            <w:t>113</w:t>
          </w:r>
        </w:p>
        <w:p>
          <w:pPr>
            <w:pStyle w:val="TOC2"/>
            <w:numPr>
              <w:ilvl w:val="0"/>
              <w:numId w:val="1"/>
            </w:numPr>
            <w:tabs>
              <w:tab w:pos="1240" w:val="left" w:leader="none"/>
              <w:tab w:pos="1241" w:val="left" w:leader="none"/>
              <w:tab w:pos="8801" w:val="left" w:leader="none"/>
            </w:tabs>
            <w:spacing w:line="240" w:lineRule="auto" w:before="279" w:after="0"/>
            <w:ind w:left="1240" w:right="0" w:hanging="720"/>
            <w:jc w:val="left"/>
            <w:rPr>
              <w:b w:val="0"/>
              <w:i w:val="0"/>
              <w:sz w:val="24"/>
            </w:rPr>
          </w:pPr>
          <w:hyperlink w:history="true" w:anchor="_TOC_250003">
            <w:r>
              <w:rPr>
                <w:i w:val="0"/>
                <w:sz w:val="24"/>
              </w:rPr>
              <w:t>DISCUSIÓN</w:t>
            </w:r>
            <w:r>
              <w:rPr>
                <w:b w:val="0"/>
                <w:i w:val="0"/>
                <w:sz w:val="24"/>
              </w:rPr>
              <w:tab/>
              <w:t>114</w:t>
            </w:r>
          </w:hyperlink>
        </w:p>
        <w:p>
          <w:pPr>
            <w:pStyle w:val="TOC2"/>
            <w:numPr>
              <w:ilvl w:val="0"/>
              <w:numId w:val="1"/>
            </w:numPr>
            <w:tabs>
              <w:tab w:pos="1240" w:val="left" w:leader="none"/>
              <w:tab w:pos="1241" w:val="left" w:leader="none"/>
              <w:tab w:pos="8801" w:val="left" w:leader="none"/>
            </w:tabs>
            <w:spacing w:line="240" w:lineRule="auto" w:before="137" w:after="0"/>
            <w:ind w:left="1240" w:right="0" w:hanging="720"/>
            <w:jc w:val="left"/>
            <w:rPr>
              <w:b w:val="0"/>
              <w:i w:val="0"/>
              <w:sz w:val="24"/>
            </w:rPr>
          </w:pPr>
          <w:hyperlink w:history="true" w:anchor="_TOC_250002">
            <w:r>
              <w:rPr>
                <w:i w:val="0"/>
                <w:sz w:val="24"/>
              </w:rPr>
              <w:t>CONCLUSIONES</w:t>
            </w:r>
            <w:r>
              <w:rPr>
                <w:b w:val="0"/>
                <w:i w:val="0"/>
                <w:sz w:val="24"/>
              </w:rPr>
              <w:tab/>
              <w:t>120</w:t>
            </w:r>
          </w:hyperlink>
        </w:p>
        <w:p>
          <w:pPr>
            <w:pStyle w:val="TOC2"/>
            <w:numPr>
              <w:ilvl w:val="0"/>
              <w:numId w:val="1"/>
            </w:numPr>
            <w:tabs>
              <w:tab w:pos="1240" w:val="left" w:leader="none"/>
              <w:tab w:pos="1241" w:val="left" w:leader="none"/>
              <w:tab w:pos="8801" w:val="left" w:leader="none"/>
            </w:tabs>
            <w:spacing w:line="240" w:lineRule="auto" w:before="139" w:after="0"/>
            <w:ind w:left="1240" w:right="0" w:hanging="720"/>
            <w:jc w:val="left"/>
            <w:rPr>
              <w:b w:val="0"/>
              <w:i w:val="0"/>
              <w:sz w:val="24"/>
            </w:rPr>
          </w:pPr>
          <w:hyperlink w:history="true" w:anchor="_TOC_250001">
            <w:r>
              <w:rPr>
                <w:i w:val="0"/>
                <w:sz w:val="24"/>
              </w:rPr>
              <w:t>SUGERENCIAS</w:t>
            </w:r>
            <w:r>
              <w:rPr>
                <w:b w:val="0"/>
                <w:i w:val="0"/>
                <w:sz w:val="24"/>
              </w:rPr>
              <w:tab/>
              <w:t>124</w:t>
            </w:r>
          </w:hyperlink>
        </w:p>
        <w:p>
          <w:pPr>
            <w:pStyle w:val="TOC2"/>
            <w:numPr>
              <w:ilvl w:val="0"/>
              <w:numId w:val="1"/>
            </w:numPr>
            <w:tabs>
              <w:tab w:pos="1240" w:val="left" w:leader="none"/>
              <w:tab w:pos="1241" w:val="left" w:leader="none"/>
              <w:tab w:pos="8801" w:val="left" w:leader="none"/>
            </w:tabs>
            <w:spacing w:line="240" w:lineRule="auto" w:before="137" w:after="0"/>
            <w:ind w:left="1240" w:right="0" w:hanging="720"/>
            <w:jc w:val="left"/>
            <w:rPr>
              <w:b w:val="0"/>
              <w:i w:val="0"/>
              <w:sz w:val="24"/>
            </w:rPr>
          </w:pPr>
          <w:hyperlink w:history="true" w:anchor="_TOC_250000">
            <w:r>
              <w:rPr>
                <w:i w:val="0"/>
                <w:sz w:val="24"/>
              </w:rPr>
              <w:t>REFERENCIAS</w:t>
            </w:r>
            <w:r>
              <w:rPr>
                <w:b w:val="0"/>
                <w:i w:val="0"/>
                <w:sz w:val="24"/>
              </w:rPr>
              <w:tab/>
              <w:t>127</w:t>
            </w:r>
          </w:hyperlink>
        </w:p>
        <w:p>
          <w:pPr>
            <w:pStyle w:val="TOC1"/>
            <w:numPr>
              <w:ilvl w:val="0"/>
              <w:numId w:val="1"/>
            </w:numPr>
            <w:tabs>
              <w:tab w:pos="1240" w:val="left" w:leader="none"/>
              <w:tab w:pos="1241" w:val="left" w:leader="none"/>
              <w:tab w:pos="8801" w:val="left" w:leader="none"/>
            </w:tabs>
            <w:spacing w:line="240" w:lineRule="auto" w:before="139" w:after="0"/>
            <w:ind w:left="1240" w:right="0" w:hanging="720"/>
            <w:jc w:val="left"/>
            <w:rPr>
              <w:b w:val="0"/>
            </w:rPr>
          </w:pPr>
          <w:r>
            <w:rPr/>
            <w:t>ANEXOS Y</w:t>
          </w:r>
          <w:r>
            <w:rPr>
              <w:spacing w:val="-3"/>
            </w:rPr>
            <w:t> </w:t>
          </w:r>
          <w:r>
            <w:rPr/>
            <w:t>RECONOCIMIENTOS</w:t>
          </w:r>
          <w:r>
            <w:rPr>
              <w:b w:val="0"/>
            </w:rPr>
            <w:tab/>
            <w:t>145</w:t>
          </w:r>
        </w:p>
      </w:sdtContent>
    </w:sdt>
    <w:p>
      <w:pPr>
        <w:spacing w:after="0" w:line="240" w:lineRule="auto"/>
        <w:jc w:val="left"/>
        <w:sectPr>
          <w:type w:val="continuous"/>
          <w:pgSz w:w="12240" w:h="15840"/>
          <w:pgMar w:top="1198" w:bottom="1657" w:left="1280" w:right="1260"/>
        </w:sectPr>
      </w:pPr>
    </w:p>
    <w:p>
      <w:pPr>
        <w:pStyle w:val="BodyText"/>
        <w:rPr>
          <w:sz w:val="96"/>
        </w:rPr>
      </w:pPr>
    </w:p>
    <w:p>
      <w:pPr>
        <w:pStyle w:val="BodyText"/>
        <w:rPr>
          <w:sz w:val="96"/>
        </w:rPr>
      </w:pPr>
    </w:p>
    <w:p>
      <w:pPr>
        <w:pStyle w:val="BodyText"/>
        <w:rPr>
          <w:sz w:val="96"/>
        </w:rPr>
      </w:pPr>
    </w:p>
    <w:p>
      <w:pPr>
        <w:pStyle w:val="BodyText"/>
        <w:rPr>
          <w:sz w:val="96"/>
        </w:rPr>
      </w:pPr>
    </w:p>
    <w:p>
      <w:pPr>
        <w:pStyle w:val="BodyText"/>
        <w:spacing w:before="10"/>
        <w:rPr>
          <w:sz w:val="119"/>
        </w:rPr>
      </w:pPr>
    </w:p>
    <w:p>
      <w:pPr>
        <w:pStyle w:val="ListParagraph"/>
        <w:numPr>
          <w:ilvl w:val="0"/>
          <w:numId w:val="5"/>
        </w:numPr>
        <w:tabs>
          <w:tab w:pos="3159" w:val="left" w:leader="none"/>
        </w:tabs>
        <w:spacing w:line="240" w:lineRule="auto" w:before="0" w:after="0"/>
        <w:ind w:left="3206" w:right="0" w:hanging="1128"/>
        <w:jc w:val="left"/>
        <w:rPr>
          <w:b/>
          <w:sz w:val="96"/>
        </w:rPr>
      </w:pPr>
      <w:r>
        <w:rPr>
          <w:b/>
          <w:sz w:val="96"/>
        </w:rPr>
        <w:t>RESUMEN</w:t>
      </w:r>
    </w:p>
    <w:p>
      <w:pPr>
        <w:spacing w:after="0" w:line="240" w:lineRule="auto"/>
        <w:jc w:val="left"/>
        <w:rPr>
          <w:sz w:val="96"/>
        </w:rPr>
        <w:sectPr>
          <w:pgSz w:w="12240" w:h="15840"/>
          <w:pgMar w:header="736" w:footer="1024" w:top="1180" w:bottom="1220" w:left="1280" w:right="1260"/>
        </w:sectPr>
      </w:pPr>
    </w:p>
    <w:p>
      <w:pPr>
        <w:pStyle w:val="BodyText"/>
        <w:spacing w:before="2"/>
        <w:rPr>
          <w:b/>
          <w:sz w:val="17"/>
        </w:rPr>
      </w:pPr>
    </w:p>
    <w:p>
      <w:pPr>
        <w:pStyle w:val="Heading2"/>
        <w:ind w:right="13"/>
        <w:jc w:val="center"/>
      </w:pPr>
      <w:r>
        <w:rPr/>
        <w:t>Resumen</w:t>
      </w:r>
    </w:p>
    <w:p>
      <w:pPr>
        <w:pStyle w:val="BodyText"/>
        <w:rPr>
          <w:b/>
        </w:rPr>
      </w:pPr>
    </w:p>
    <w:p>
      <w:pPr>
        <w:spacing w:line="480" w:lineRule="auto" w:before="197"/>
        <w:ind w:left="160" w:right="173" w:firstLine="0"/>
        <w:jc w:val="both"/>
        <w:rPr>
          <w:sz w:val="24"/>
        </w:rPr>
      </w:pPr>
      <w:r>
        <w:rPr>
          <w:sz w:val="24"/>
        </w:rPr>
        <w:t>El </w:t>
      </w:r>
      <w:r>
        <w:rPr>
          <w:b/>
          <w:sz w:val="24"/>
        </w:rPr>
        <w:t>objetivo </w:t>
      </w:r>
      <w:r>
        <w:rPr>
          <w:sz w:val="24"/>
        </w:rPr>
        <w:t>del presente estudio fue evaluar el efecto antibacteriano de nanopartículas de plata (Ag-Np) versus Clorhexidina (CHX) sobre </w:t>
      </w:r>
      <w:r>
        <w:rPr>
          <w:i/>
          <w:sz w:val="24"/>
        </w:rPr>
        <w:t>Streptococcus mutans </w:t>
      </w:r>
      <w:r>
        <w:rPr>
          <w:sz w:val="24"/>
        </w:rPr>
        <w:t>y </w:t>
      </w:r>
      <w:r>
        <w:rPr>
          <w:i/>
          <w:sz w:val="24"/>
        </w:rPr>
        <w:t>Lactobacillus</w:t>
      </w:r>
      <w:r>
        <w:rPr>
          <w:i/>
          <w:spacing w:val="-5"/>
          <w:sz w:val="24"/>
        </w:rPr>
        <w:t> </w:t>
      </w:r>
      <w:r>
        <w:rPr>
          <w:i/>
          <w:sz w:val="24"/>
        </w:rPr>
        <w:t>casei</w:t>
      </w:r>
      <w:r>
        <w:rPr>
          <w:sz w:val="24"/>
        </w:rPr>
        <w:t>.</w:t>
      </w:r>
    </w:p>
    <w:p>
      <w:pPr>
        <w:pStyle w:val="BodyText"/>
        <w:spacing w:line="480" w:lineRule="auto" w:before="209"/>
        <w:ind w:left="160" w:right="173"/>
        <w:jc w:val="both"/>
      </w:pPr>
      <w:r>
        <w:rPr>
          <w:b/>
        </w:rPr>
        <w:t>Material y métodos: </w:t>
      </w:r>
      <w:r>
        <w:rPr/>
        <w:t>para la síntesis de Ag-Np, se utilizaron por separado tres agentes reductores distintos: Borohidruro de sodio, (NaBH</w:t>
      </w:r>
      <w:r>
        <w:rPr>
          <w:position w:val="-2"/>
          <w:sz w:val="16"/>
        </w:rPr>
        <w:t>4</w:t>
      </w:r>
      <w:r>
        <w:rPr/>
        <w:t>), </w:t>
      </w:r>
      <w:r>
        <w:rPr>
          <w:i/>
        </w:rPr>
        <w:t>Camellia sinensis </w:t>
      </w:r>
      <w:r>
        <w:rPr/>
        <w:t>(</w:t>
      </w:r>
      <w:r>
        <w:rPr>
          <w:i/>
        </w:rPr>
        <w:t>Cs</w:t>
      </w:r>
      <w:r>
        <w:rPr/>
        <w:t>) y </w:t>
      </w:r>
      <w:r>
        <w:rPr>
          <w:i/>
        </w:rPr>
        <w:t>Heterotheca inuloides </w:t>
      </w:r>
      <w:r>
        <w:rPr/>
        <w:t>(</w:t>
      </w:r>
      <w:r>
        <w:rPr>
          <w:i/>
        </w:rPr>
        <w:t>Hi</w:t>
      </w:r>
      <w:r>
        <w:rPr/>
        <w:t>)</w:t>
      </w:r>
      <w:r>
        <w:rPr>
          <w:i/>
        </w:rPr>
        <w:t>, </w:t>
      </w:r>
      <w:r>
        <w:rPr/>
        <w:t>siendo un método químico y dos ecoamigables respectivamente</w:t>
      </w:r>
      <w:r>
        <w:rPr>
          <w:i/>
        </w:rPr>
        <w:t>. </w:t>
      </w:r>
      <w:r>
        <w:rPr/>
        <w:t>Para la caracterización, la substancia sintetizada se depositó en dientes temporales para evaluar, mediante Microscopía Electrónica de Barrido (MEB), su comportamiento con los diferentes tejidos dentales. Para caracterizar en cuanto a forma, tamaño y polidispersión, las Ag-Np sintetizadas por los tres agentes, se realizó un análisis de Espectrofotometría de luz visible ultravioleta (Uv-Vis), así como Microscopía Electrónica de Transmisión (MET). Finalmente se realizó un análisis microbiológico mediante el aislamiento y cultivo de las cepas </w:t>
      </w:r>
      <w:r>
        <w:rPr>
          <w:i/>
        </w:rPr>
        <w:t>S. mutans </w:t>
      </w:r>
      <w:r>
        <w:rPr/>
        <w:t>y </w:t>
      </w:r>
      <w:r>
        <w:rPr>
          <w:i/>
        </w:rPr>
        <w:t>L. casei</w:t>
      </w:r>
      <w:r>
        <w:rPr/>
        <w:t>, depositándose en cajas de Petri diferentes concentraciones de Ag-Np sintetizadas por </w:t>
      </w:r>
      <w:r>
        <w:rPr>
          <w:i/>
        </w:rPr>
        <w:t>Hi</w:t>
      </w:r>
      <w:r>
        <w:rPr/>
        <w:t>, Ag-Np sintetizadas por </w:t>
      </w:r>
      <w:r>
        <w:rPr>
          <w:i/>
        </w:rPr>
        <w:t>Cs versus </w:t>
      </w:r>
      <w:r>
        <w:rPr/>
        <w:t>CHX, y se evalúo su efecto antibacteriano mediante el análisis de los halos de inhibición.</w:t>
      </w:r>
    </w:p>
    <w:p>
      <w:pPr>
        <w:pStyle w:val="BodyText"/>
        <w:spacing w:line="480" w:lineRule="auto" w:before="204"/>
        <w:ind w:left="160" w:right="174"/>
        <w:jc w:val="both"/>
      </w:pPr>
      <w:r>
        <w:rPr>
          <w:b/>
        </w:rPr>
        <w:t>Resultados: </w:t>
      </w:r>
      <w:r>
        <w:rPr/>
        <w:t>Mediante el análisis de Uv-Vis y MET se determinó que la síntesis con </w:t>
      </w:r>
      <w:r>
        <w:rPr>
          <w:i/>
          <w:spacing w:val="-3"/>
        </w:rPr>
        <w:t>Hi </w:t>
      </w:r>
      <w:r>
        <w:rPr/>
        <w:t>mostró Ag-Np más pequeñas, estables y en mayor cantidad. Mediante MEB se observó una media de absorción de plata a los tejidos propios del diente de 6.25%.  Las mayores  zonas  de  inhibición  fueron  obtenidas  a  una  dosis  de  20µl  de       </w:t>
      </w:r>
      <w:r>
        <w:rPr>
          <w:spacing w:val="22"/>
        </w:rPr>
        <w:t> </w:t>
      </w:r>
      <w:r>
        <w:rPr/>
        <w:t>Ag-Np</w:t>
      </w:r>
    </w:p>
    <w:p>
      <w:pPr>
        <w:spacing w:after="0" w:line="480" w:lineRule="auto"/>
        <w:jc w:val="both"/>
        <w:sectPr>
          <w:pgSz w:w="12240" w:h="15840"/>
          <w:pgMar w:header="736" w:footer="1024" w:top="1180" w:bottom="1220" w:left="1280" w:right="1260"/>
        </w:sectPr>
      </w:pPr>
    </w:p>
    <w:p>
      <w:pPr>
        <w:pStyle w:val="BodyText"/>
        <w:spacing w:before="8"/>
        <w:rPr>
          <w:sz w:val="16"/>
        </w:rPr>
      </w:pPr>
    </w:p>
    <w:p>
      <w:pPr>
        <w:pStyle w:val="BodyText"/>
        <w:spacing w:line="482" w:lineRule="auto" w:before="70"/>
        <w:ind w:left="160" w:right="181"/>
        <w:jc w:val="both"/>
        <w:rPr>
          <w:i/>
        </w:rPr>
      </w:pPr>
      <w:r>
        <w:rPr/>
        <w:t>sintetizadas por </w:t>
      </w:r>
      <w:r>
        <w:rPr>
          <w:i/>
        </w:rPr>
        <w:t>Hi</w:t>
      </w:r>
      <w:r>
        <w:rPr/>
        <w:t>, en comparación con CHX, siendo estadísticamente significativas (p&lt;0.05) para ambas cepas</w:t>
      </w:r>
      <w:r>
        <w:rPr>
          <w:i/>
        </w:rPr>
        <w:t>.</w:t>
      </w:r>
    </w:p>
    <w:p>
      <w:pPr>
        <w:pStyle w:val="BodyText"/>
        <w:spacing w:line="480" w:lineRule="auto" w:before="169"/>
        <w:ind w:left="160" w:right="179"/>
        <w:jc w:val="both"/>
      </w:pPr>
      <w:r>
        <w:rPr>
          <w:b/>
        </w:rPr>
        <w:t>Discusión: </w:t>
      </w:r>
      <w:r>
        <w:rPr/>
        <w:t>La concentración de 1x10</w:t>
      </w:r>
      <w:r>
        <w:rPr>
          <w:position w:val="11"/>
          <w:sz w:val="16"/>
        </w:rPr>
        <w:t>-3 </w:t>
      </w:r>
      <w:r>
        <w:rPr/>
        <w:t>de Ag-Np (que contiene 10mg de plata) mostró mayor efecto antibacteriano comparado con CHX al 2%, que contiene 20mg de gluconato de CHX, lo que representa un efecto antibacteriano mayor a una dosis mínima.</w:t>
      </w:r>
    </w:p>
    <w:p>
      <w:pPr>
        <w:pStyle w:val="BodyText"/>
        <w:spacing w:line="482" w:lineRule="auto" w:before="207"/>
        <w:ind w:left="160" w:right="178"/>
        <w:jc w:val="both"/>
      </w:pPr>
      <w:r>
        <w:rPr>
          <w:b/>
        </w:rPr>
        <w:t>Conclusiones: </w:t>
      </w:r>
      <w:r>
        <w:rPr/>
        <w:t>Ag-Np sintetizadas por reductores ecoamigables presentaron un efecto antibacteriano mayor que CHX para ambas cepas.</w:t>
      </w:r>
    </w:p>
    <w:p>
      <w:pPr>
        <w:spacing w:after="0" w:line="482" w:lineRule="auto"/>
        <w:jc w:val="both"/>
        <w:sectPr>
          <w:pgSz w:w="12240" w:h="15840"/>
          <w:pgMar w:header="736" w:footer="1024" w:top="1180" w:bottom="1220" w:left="128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pStyle w:val="Heading1"/>
        <w:numPr>
          <w:ilvl w:val="0"/>
          <w:numId w:val="5"/>
        </w:numPr>
        <w:tabs>
          <w:tab w:pos="2268" w:val="left" w:leader="none"/>
        </w:tabs>
        <w:spacing w:line="917" w:lineRule="exact" w:before="0" w:after="0"/>
        <w:ind w:left="2267" w:right="0" w:hanging="720"/>
        <w:jc w:val="left"/>
      </w:pPr>
      <w:bookmarkStart w:name="_TOC_250015" w:id="1"/>
      <w:bookmarkEnd w:id="1"/>
      <w:r>
        <w:rPr/>
        <w:t>INTRODUCCIÓN</w:t>
      </w:r>
    </w:p>
    <w:p>
      <w:pPr>
        <w:spacing w:after="0" w:line="917" w:lineRule="exact"/>
        <w:jc w:val="left"/>
        <w:sectPr>
          <w:pgSz w:w="12240" w:h="15840"/>
          <w:pgMar w:header="736" w:footer="1024" w:top="1180" w:bottom="1220" w:left="1280" w:right="1260"/>
        </w:sectPr>
      </w:pPr>
    </w:p>
    <w:p>
      <w:pPr>
        <w:pStyle w:val="BodyText"/>
        <w:spacing w:before="2"/>
        <w:rPr>
          <w:b/>
          <w:sz w:val="17"/>
        </w:rPr>
      </w:pPr>
    </w:p>
    <w:p>
      <w:pPr>
        <w:pStyle w:val="Heading2"/>
        <w:ind w:right="18"/>
        <w:jc w:val="center"/>
      </w:pPr>
      <w:r>
        <w:rPr/>
        <w:t>INTRODUCCION</w:t>
      </w:r>
    </w:p>
    <w:p>
      <w:pPr>
        <w:pStyle w:val="BodyText"/>
        <w:spacing w:before="1"/>
        <w:rPr>
          <w:b/>
          <w:sz w:val="21"/>
        </w:rPr>
      </w:pPr>
    </w:p>
    <w:p>
      <w:pPr>
        <w:pStyle w:val="BodyText"/>
        <w:spacing w:line="360" w:lineRule="auto"/>
        <w:ind w:left="160" w:right="177"/>
        <w:jc w:val="both"/>
      </w:pPr>
      <w:r>
        <w:rPr/>
        <w:t>La salud es un derecho de los mexicanos y representa un bien estratégico para el desarrollo del país, por esto existen programas preventivos reorientados a la nueva estrategia de Prevención de la Enfermedad y Promoción de la Salud. Esta labor está relacionada en gran parte con el papel del Odontólogo, ya que en el informe sobre la salud en el mundo 2002, la Organización Mundial de la Salud (OMS) expone que en la mayor parte de los países, algunos factores de riesgo son responsables de la carga mundial  de  morbilidad,  mortalidad  y  discapacidad  por  enfermedades  crónicas      y</w:t>
      </w:r>
    </w:p>
    <w:p>
      <w:pPr>
        <w:pStyle w:val="BodyText"/>
        <w:spacing w:line="279" w:lineRule="exact"/>
        <w:ind w:left="160"/>
        <w:jc w:val="both"/>
        <w:rPr>
          <w:sz w:val="16"/>
        </w:rPr>
      </w:pPr>
      <w:r>
        <w:rPr/>
        <w:t>bucales. </w:t>
      </w:r>
      <w:r>
        <w:rPr>
          <w:position w:val="11"/>
          <w:sz w:val="16"/>
        </w:rPr>
        <w:t>1</w:t>
      </w:r>
    </w:p>
    <w:p>
      <w:pPr>
        <w:pStyle w:val="BodyText"/>
        <w:rPr>
          <w:sz w:val="28"/>
        </w:rPr>
      </w:pPr>
    </w:p>
    <w:p>
      <w:pPr>
        <w:pStyle w:val="BodyText"/>
        <w:spacing w:line="350" w:lineRule="auto" w:before="230"/>
        <w:ind w:left="160" w:right="173"/>
        <w:jc w:val="both"/>
        <w:rPr>
          <w:sz w:val="16"/>
        </w:rPr>
      </w:pPr>
      <w:r>
        <w:rPr/>
        <w:t>La caries dental sigue siendo un problema de salud oral prevalente en la mayoría de  los países industrializados, afectando entre el 60 y 90% de la población escolar. Es también la enfermedad bucal más frecuente de varios países asiáticos y latinoamericanos.</w:t>
      </w:r>
      <w:r>
        <w:rPr>
          <w:spacing w:val="-2"/>
        </w:rPr>
        <w:t> </w:t>
      </w:r>
      <w:r>
        <w:rPr>
          <w:position w:val="11"/>
          <w:sz w:val="16"/>
        </w:rPr>
        <w:t>2</w:t>
      </w:r>
    </w:p>
    <w:p>
      <w:pPr>
        <w:pStyle w:val="BodyText"/>
        <w:spacing w:before="8"/>
        <w:rPr>
          <w:sz w:val="35"/>
        </w:rPr>
      </w:pPr>
    </w:p>
    <w:p>
      <w:pPr>
        <w:pStyle w:val="BodyText"/>
        <w:spacing w:line="352" w:lineRule="auto" w:before="1"/>
        <w:ind w:left="160" w:right="174"/>
        <w:jc w:val="both"/>
        <w:rPr>
          <w:sz w:val="16"/>
        </w:rPr>
      </w:pPr>
      <w:r>
        <w:rPr/>
        <w:t>Es por esto que alrededor del mundo y en nuestro país; se promueven y desarrollan modelos de mejores prácticas, para aumentar y mejorar el acceso a la salud bucal, especialmente mediante acciones enfocadas a la población infantil, pues de acuerdo a algunos reportes acerca de su vulnerabilidad, los niños se encuentran en mayor riesgo de padecer esta enfermedad. </w:t>
      </w:r>
      <w:r>
        <w:rPr>
          <w:position w:val="11"/>
          <w:sz w:val="16"/>
        </w:rPr>
        <w:t>3</w:t>
      </w:r>
    </w:p>
    <w:p>
      <w:pPr>
        <w:pStyle w:val="BodyText"/>
        <w:spacing w:before="5"/>
        <w:rPr>
          <w:sz w:val="35"/>
        </w:rPr>
      </w:pPr>
    </w:p>
    <w:p>
      <w:pPr>
        <w:pStyle w:val="BodyText"/>
        <w:spacing w:line="360" w:lineRule="auto" w:before="1"/>
        <w:ind w:left="160" w:right="177"/>
        <w:jc w:val="both"/>
      </w:pPr>
      <w:r>
        <w:rPr/>
        <w:t>A pesar de que se procure por todos los medios la conservación de la estructura dental y al mismo tiempo, la eliminación de los microorganismos que destruyen los tejidos dentarios, es innegable que ninguna técnica restaurativa puede garantizar que será infalible, pues la cavidad bucal se encuentra colonizada por organismos vivos con potencial altamente cariogénico, además de estar expuesta a diversos factores que desequilibran la microflora bucal.</w:t>
      </w:r>
    </w:p>
    <w:p>
      <w:pPr>
        <w:pStyle w:val="BodyText"/>
        <w:spacing w:line="328" w:lineRule="auto" w:before="204"/>
        <w:ind w:left="160" w:right="174"/>
        <w:jc w:val="both"/>
      </w:pPr>
      <w:r>
        <w:rPr/>
        <w:t>Tanto las técnicas de prevención como las de rehabilitación tienen el potencial de proveer restauraciones efectivas, a una gran parte de la población, </w:t>
      </w:r>
      <w:r>
        <w:rPr>
          <w:position w:val="11"/>
          <w:sz w:val="16"/>
        </w:rPr>
        <w:t>4  </w:t>
      </w:r>
      <w:r>
        <w:rPr/>
        <w:t>sin embargo traen</w:t>
      </w:r>
    </w:p>
    <w:p>
      <w:pPr>
        <w:spacing w:after="0" w:line="328" w:lineRule="auto"/>
        <w:jc w:val="both"/>
        <w:sectPr>
          <w:pgSz w:w="12240" w:h="15840"/>
          <w:pgMar w:header="736" w:footer="1024" w:top="1180" w:bottom="1220" w:left="1280" w:right="1260"/>
        </w:sectPr>
      </w:pPr>
    </w:p>
    <w:p>
      <w:pPr>
        <w:pStyle w:val="BodyText"/>
        <w:spacing w:before="2"/>
        <w:rPr>
          <w:sz w:val="17"/>
        </w:rPr>
      </w:pPr>
    </w:p>
    <w:p>
      <w:pPr>
        <w:pStyle w:val="BodyText"/>
        <w:spacing w:line="362" w:lineRule="auto" w:before="69"/>
        <w:ind w:left="160" w:right="180"/>
        <w:jc w:val="both"/>
      </w:pPr>
      <w:r>
        <w:rPr/>
        <w:t>consigo la creciente interrogante acerca de; ¿qué tan protegido se encuentra el órgano dentario contra los agentes del medio bucal?.</w:t>
      </w:r>
    </w:p>
    <w:p>
      <w:pPr>
        <w:pStyle w:val="BodyText"/>
        <w:spacing w:line="338" w:lineRule="auto" w:before="199"/>
        <w:ind w:left="160" w:right="174"/>
        <w:jc w:val="both"/>
        <w:rPr>
          <w:sz w:val="16"/>
        </w:rPr>
      </w:pPr>
      <w:r>
        <w:rPr/>
        <w:t>Desde hace algún tiempo, se ha utilizado de manera regular la Clorhexidina como antiséptico en prácticamente todas las áreas de la odontología debido a su efecto sobre microorganismos Gram positivos y Gram negativos. </w:t>
      </w:r>
      <w:r>
        <w:rPr>
          <w:position w:val="11"/>
          <w:sz w:val="16"/>
        </w:rPr>
        <w:t>5,6 </w:t>
      </w:r>
      <w:r>
        <w:rPr/>
        <w:t>Sin embargo CHX presenta un periodo de substantividad limitado,</w:t>
      </w:r>
      <w:r>
        <w:rPr>
          <w:position w:val="11"/>
          <w:sz w:val="16"/>
        </w:rPr>
        <w:t>7 </w:t>
      </w:r>
      <w:r>
        <w:rPr/>
        <w:t>además de que se ha reportado que </w:t>
      </w:r>
      <w:r>
        <w:rPr>
          <w:i/>
        </w:rPr>
        <w:t>L. casei </w:t>
      </w:r>
      <w:r>
        <w:rPr/>
        <w:t>muestra cierta resistencia a dicho agente.</w:t>
      </w:r>
      <w:r>
        <w:rPr>
          <w:spacing w:val="60"/>
        </w:rPr>
        <w:t> </w:t>
      </w:r>
      <w:r>
        <w:rPr>
          <w:position w:val="11"/>
          <w:sz w:val="16"/>
        </w:rPr>
        <w:t>8</w:t>
      </w:r>
    </w:p>
    <w:p>
      <w:pPr>
        <w:pStyle w:val="BodyText"/>
        <w:spacing w:line="360" w:lineRule="auto" w:before="213"/>
        <w:ind w:left="160" w:right="175"/>
        <w:jc w:val="both"/>
      </w:pPr>
      <w:r>
        <w:rPr/>
        <w:t>Para solventar la problemática anterior, nos hemos interrogado acerca de la pertinencia de utilizar materiales que ejerzan una acción antibacteriana mayor, mediante su permanencia por un tiempo más prolongado en la cavidad dental. Para esto, consideramos necesaria la contribución de la química y la ciencia de los materiales a nivel nanométrico, mediante el uso de la nanotecnología, la cual involucra la utilización de materiales en el rango de 1-100nm para obtener propiedades únicas y mejoradas,</w:t>
      </w:r>
    </w:p>
    <w:p>
      <w:pPr>
        <w:pStyle w:val="BodyText"/>
        <w:spacing w:line="331" w:lineRule="auto" w:before="2"/>
        <w:ind w:left="160" w:right="181"/>
        <w:jc w:val="both"/>
        <w:rPr>
          <w:sz w:val="16"/>
        </w:rPr>
      </w:pPr>
      <w:r>
        <w:rPr/>
        <w:t>diferentes al estado másico-volumétrico y que no se encuentran actualmente en ningún material dental de uso convencional. </w:t>
      </w:r>
      <w:r>
        <w:rPr>
          <w:position w:val="11"/>
          <w:sz w:val="16"/>
        </w:rPr>
        <w:t>9</w:t>
      </w:r>
    </w:p>
    <w:p>
      <w:pPr>
        <w:pStyle w:val="BodyText"/>
        <w:spacing w:line="345" w:lineRule="auto" w:before="220"/>
        <w:ind w:left="160" w:right="184"/>
        <w:jc w:val="both"/>
        <w:rPr>
          <w:sz w:val="16"/>
        </w:rPr>
      </w:pPr>
      <w:r>
        <w:rPr/>
        <w:t>La mayoría de los procesos naturales ocurren a un nivel nanométrico, por ello es que la unión de la biología y la nanotecnología, puede dirigirse a varios problemas médicos llegando incluso a revolucionar el campo de la medicina y la salud. </w:t>
      </w:r>
      <w:r>
        <w:rPr>
          <w:position w:val="11"/>
          <w:sz w:val="16"/>
        </w:rPr>
        <w:t>10</w:t>
      </w:r>
    </w:p>
    <w:p>
      <w:pPr>
        <w:pStyle w:val="BodyText"/>
        <w:spacing w:line="345" w:lineRule="auto" w:before="204"/>
        <w:ind w:left="160" w:right="184"/>
        <w:jc w:val="both"/>
        <w:rPr>
          <w:sz w:val="16"/>
        </w:rPr>
      </w:pPr>
      <w:r>
        <w:rPr/>
        <w:t>Mediante la nanotecnología se pretende, no sólo disponer de agentes antisépticos con amplio espectro, sino que además, sean preparados en condiciones de biosíntesis para disminuir su toxicidad y el daño al medio ambiente. </w:t>
      </w:r>
      <w:r>
        <w:rPr>
          <w:position w:val="11"/>
          <w:sz w:val="16"/>
        </w:rPr>
        <w:t>11</w:t>
      </w:r>
    </w:p>
    <w:p>
      <w:pPr>
        <w:pStyle w:val="BodyText"/>
        <w:spacing w:line="360" w:lineRule="auto" w:before="204"/>
        <w:ind w:left="160" w:right="175"/>
        <w:jc w:val="both"/>
      </w:pPr>
      <w:r>
        <w:rPr/>
        <w:t>Debido a lo planteado anteriormente, en el presente trabajo de investigación se presentan los resultados obtenidos a partir de un estudio experimental </w:t>
      </w:r>
      <w:r>
        <w:rPr>
          <w:i/>
        </w:rPr>
        <w:t>in vitro </w:t>
      </w:r>
      <w:r>
        <w:rPr/>
        <w:t>en el que con la ayuda de la ciencia química se creó un agente antibacteriano a base de nanopartículas de plata, en condiciones ecoamigables y que reúne las bondades de la nanotecnología; siendo el objetivo comparar dicha sustancia contra la Clorhexidina  para evaluar su efecto antibacteriano versus </w:t>
      </w:r>
      <w:r>
        <w:rPr>
          <w:i/>
        </w:rPr>
        <w:t>Streptococcus mutans y Lactobacillus </w:t>
      </w:r>
      <w:r>
        <w:rPr>
          <w:i/>
        </w:rPr>
        <w:t>casei </w:t>
      </w:r>
      <w:r>
        <w:rPr/>
        <w:t>y con los datos obtenidos poder recomendar el uso de las nanopartículas de</w:t>
      </w:r>
      <w:r>
        <w:rPr>
          <w:spacing w:val="-13"/>
        </w:rPr>
        <w:t> </w:t>
      </w:r>
      <w:r>
        <w:rPr/>
        <w:t>plata</w:t>
      </w:r>
    </w:p>
    <w:p>
      <w:pPr>
        <w:spacing w:after="0" w:line="360" w:lineRule="auto"/>
        <w:jc w:val="both"/>
        <w:sectPr>
          <w:footerReference w:type="default" r:id="rId10"/>
          <w:pgSz w:w="12240" w:h="15840"/>
          <w:pgMar w:footer="1024" w:header="736" w:top="1180" w:bottom="1220" w:left="1280" w:right="1260"/>
        </w:sectPr>
      </w:pPr>
    </w:p>
    <w:p>
      <w:pPr>
        <w:pStyle w:val="BodyText"/>
        <w:spacing w:before="2"/>
        <w:rPr>
          <w:sz w:val="17"/>
        </w:rPr>
      </w:pPr>
    </w:p>
    <w:p>
      <w:pPr>
        <w:pStyle w:val="BodyText"/>
        <w:spacing w:line="362" w:lineRule="auto" w:before="69"/>
        <w:ind w:left="160" w:right="270"/>
      </w:pPr>
      <w:r>
        <w:rPr/>
        <w:t>en el área odontológica y de esta manera contribuir con las necesidades de la comunidad que ha sido afectada por la caries dental.</w:t>
      </w:r>
    </w:p>
    <w:p>
      <w:pPr>
        <w:spacing w:after="0" w:line="362" w:lineRule="auto"/>
        <w:sectPr>
          <w:footerReference w:type="default" r:id="rId11"/>
          <w:pgSz w:w="12240" w:h="15840"/>
          <w:pgMar w:footer="1024" w:header="736" w:top="1180" w:bottom="1220" w:left="1280" w:right="1260"/>
          <w:pgNumType w:start="1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pStyle w:val="Heading1"/>
        <w:numPr>
          <w:ilvl w:val="0"/>
          <w:numId w:val="5"/>
        </w:numPr>
        <w:tabs>
          <w:tab w:pos="1937" w:val="left" w:leader="none"/>
        </w:tabs>
        <w:spacing w:line="917" w:lineRule="exact" w:before="0" w:after="0"/>
        <w:ind w:left="1936" w:right="0" w:hanging="720"/>
        <w:jc w:val="left"/>
      </w:pPr>
      <w:bookmarkStart w:name="_TOC_250014" w:id="2"/>
      <w:r>
        <w:rPr/>
        <w:t>MARCO</w:t>
      </w:r>
      <w:r>
        <w:rPr>
          <w:spacing w:val="-4"/>
        </w:rPr>
        <w:t> </w:t>
      </w:r>
      <w:bookmarkEnd w:id="2"/>
      <w:r>
        <w:rPr/>
        <w:t>TEÓRICO</w:t>
      </w:r>
    </w:p>
    <w:p>
      <w:pPr>
        <w:spacing w:after="0" w:line="917" w:lineRule="exact"/>
        <w:jc w:val="left"/>
        <w:sectPr>
          <w:pgSz w:w="12240" w:h="15840"/>
          <w:pgMar w:header="736" w:footer="1024" w:top="1180" w:bottom="1220" w:left="1280" w:right="1260"/>
        </w:sectPr>
      </w:pPr>
    </w:p>
    <w:p>
      <w:pPr>
        <w:pStyle w:val="BodyText"/>
        <w:spacing w:before="2"/>
        <w:rPr>
          <w:b/>
          <w:sz w:val="17"/>
        </w:rPr>
      </w:pPr>
    </w:p>
    <w:p>
      <w:pPr>
        <w:pStyle w:val="Heading2"/>
        <w:numPr>
          <w:ilvl w:val="1"/>
          <w:numId w:val="5"/>
        </w:numPr>
        <w:tabs>
          <w:tab w:pos="1601" w:val="left" w:leader="none"/>
        </w:tabs>
        <w:spacing w:line="240" w:lineRule="auto" w:before="69" w:after="0"/>
        <w:ind w:left="1600" w:right="0" w:hanging="360"/>
        <w:jc w:val="left"/>
      </w:pPr>
      <w:bookmarkStart w:name="_TOC_250013" w:id="3"/>
      <w:r>
        <w:rPr/>
        <w:t>MICROBIOLOGÍA DE LA CARIES</w:t>
      </w:r>
      <w:r>
        <w:rPr>
          <w:spacing w:val="-11"/>
        </w:rPr>
        <w:t> </w:t>
      </w:r>
      <w:bookmarkEnd w:id="3"/>
      <w:r>
        <w:rPr/>
        <w:t>DENTAL</w:t>
      </w:r>
    </w:p>
    <w:p>
      <w:pPr>
        <w:pStyle w:val="BodyText"/>
        <w:rPr>
          <w:b/>
        </w:rPr>
      </w:pPr>
    </w:p>
    <w:p>
      <w:pPr>
        <w:pStyle w:val="BodyText"/>
        <w:rPr>
          <w:b/>
        </w:rPr>
      </w:pPr>
    </w:p>
    <w:p>
      <w:pPr>
        <w:pStyle w:val="BodyText"/>
        <w:spacing w:line="345" w:lineRule="auto"/>
        <w:ind w:left="160" w:right="176"/>
        <w:jc w:val="both"/>
        <w:rPr>
          <w:sz w:val="16"/>
        </w:rPr>
      </w:pPr>
      <w:r>
        <w:rPr/>
        <w:t>La caries dental es una enfermedad multifactorial y una de las infecciones crónicas más comunes en el ser humano</w:t>
      </w:r>
      <w:r>
        <w:rPr>
          <w:position w:val="11"/>
          <w:sz w:val="16"/>
        </w:rPr>
        <w:t>, 12,13,14,15,16 </w:t>
      </w:r>
      <w:r>
        <w:rPr/>
        <w:t>y representa un problema de salud pública en muchas ciudades. </w:t>
      </w:r>
      <w:r>
        <w:rPr>
          <w:position w:val="11"/>
          <w:sz w:val="16"/>
        </w:rPr>
        <w:t>17 </w:t>
      </w:r>
      <w:r>
        <w:rPr/>
        <w:t>Anteriormente se consideraba que su naturaleza no ponía en riesgo la vida, por lo que su importancia llegó a ser minimizada; sin embargo, la progresión e inadecuado tratamiento de esta, pueden llevar a complicaciones más severas, además de que los costos económicos que implica han hecho que se implementen programas dirigidos no sólo al tratamiento sino a la prevención. </w:t>
      </w:r>
      <w:r>
        <w:rPr>
          <w:position w:val="11"/>
          <w:sz w:val="16"/>
        </w:rPr>
        <w:t>18</w:t>
      </w:r>
    </w:p>
    <w:p>
      <w:pPr>
        <w:pStyle w:val="BodyText"/>
        <w:spacing w:before="4"/>
        <w:rPr>
          <w:sz w:val="36"/>
        </w:rPr>
      </w:pPr>
    </w:p>
    <w:p>
      <w:pPr>
        <w:pStyle w:val="BodyText"/>
        <w:spacing w:line="352" w:lineRule="auto"/>
        <w:ind w:left="160" w:right="176"/>
        <w:jc w:val="both"/>
      </w:pPr>
      <w:r>
        <w:rPr/>
        <w:t>El concepto de una etiología no específica para el desarrollo de la caries dental, ha sido reemplazado en años recientes debido a una mejor comprensión de los diversos factores que contribuyen a su desarrollo y a un conocimiento cada vez más especializado de la flora bacteriana. </w:t>
      </w:r>
      <w:r>
        <w:rPr>
          <w:position w:val="11"/>
          <w:sz w:val="16"/>
        </w:rPr>
        <w:t>19 </w:t>
      </w:r>
      <w:r>
        <w:rPr/>
        <w:t>La Comisión de Investigación de la Asociación Dental Americana en su consenso publicado en 1939, explica que no sólo la ingesta de</w:t>
      </w:r>
    </w:p>
    <w:p>
      <w:pPr>
        <w:pStyle w:val="BodyText"/>
        <w:spacing w:line="360" w:lineRule="auto" w:before="11"/>
        <w:ind w:left="160" w:right="174"/>
        <w:jc w:val="both"/>
      </w:pPr>
      <w:r>
        <w:rPr/>
        <w:t>azúcares produce caries, sino que existen factores “directos e indirectos”. Así mismo, la teoría quimioparasitaria de la desmineralización de Miller, en donde la producción de ácidos bacterianos provenía de organismos no identificados, fue dando paso a teorías que describían el proceso de la caries dental como resultado de la interacción entre comunidades de bacterias, sustrato, agente y tiempo (esquema de Keyes), mientras</w:t>
      </w:r>
    </w:p>
    <w:p>
      <w:pPr>
        <w:pStyle w:val="BodyText"/>
        <w:spacing w:line="328" w:lineRule="auto" w:before="5"/>
        <w:ind w:left="160" w:right="177"/>
        <w:jc w:val="both"/>
        <w:rPr>
          <w:sz w:val="16"/>
        </w:rPr>
      </w:pPr>
      <w:r>
        <w:rPr/>
        <w:t>que los estudios de Fitzgerald demostraban que no se produce caries en ausencia de bacterias. </w:t>
      </w:r>
      <w:r>
        <w:rPr>
          <w:position w:val="11"/>
          <w:sz w:val="16"/>
        </w:rPr>
        <w:t>20</w:t>
      </w:r>
    </w:p>
    <w:p>
      <w:pPr>
        <w:pStyle w:val="BodyText"/>
        <w:spacing w:before="1"/>
        <w:rPr>
          <w:sz w:val="38"/>
        </w:rPr>
      </w:pPr>
    </w:p>
    <w:p>
      <w:pPr>
        <w:pStyle w:val="BodyText"/>
        <w:spacing w:line="350" w:lineRule="auto" w:before="1"/>
        <w:ind w:left="160" w:right="175"/>
        <w:jc w:val="both"/>
        <w:rPr>
          <w:sz w:val="16"/>
        </w:rPr>
      </w:pPr>
      <w:r>
        <w:rPr/>
        <w:t>La cavidad oral se encuentra colonizada por una diversa comunidad de bacterias. La mayoría de las bacterias existentes en la boca, se presenta como agregados  complejos, conocidos como </w:t>
      </w:r>
      <w:r>
        <w:rPr>
          <w:i/>
        </w:rPr>
        <w:t>biofilm</w:t>
      </w:r>
      <w:r>
        <w:rPr/>
        <w:t>, biopelícula o película dental, que se encuentra adherida sobre la superficie de los dientes.</w:t>
      </w:r>
      <w:r>
        <w:rPr>
          <w:spacing w:val="-12"/>
        </w:rPr>
        <w:t> </w:t>
      </w:r>
      <w:r>
        <w:rPr>
          <w:position w:val="11"/>
          <w:sz w:val="16"/>
        </w:rPr>
        <w:t>21</w:t>
      </w:r>
    </w:p>
    <w:p>
      <w:pPr>
        <w:pStyle w:val="BodyText"/>
        <w:spacing w:before="8"/>
        <w:rPr>
          <w:sz w:val="35"/>
        </w:rPr>
      </w:pPr>
    </w:p>
    <w:p>
      <w:pPr>
        <w:pStyle w:val="BodyText"/>
        <w:spacing w:line="360" w:lineRule="auto" w:before="1"/>
        <w:ind w:left="160" w:right="184"/>
        <w:jc w:val="both"/>
      </w:pPr>
      <w:r>
        <w:rPr/>
        <w:t>La biopelícula se define como la población o comunidad de bacterias, que viven en estructuras organizadas, en una interfase entre el líquido y el sólido. Las bacterias   del</w:t>
      </w:r>
    </w:p>
    <w:p>
      <w:pPr>
        <w:spacing w:after="0" w:line="360" w:lineRule="auto"/>
        <w:jc w:val="both"/>
        <w:sectPr>
          <w:pgSz w:w="12240" w:h="15840"/>
          <w:pgMar w:header="736" w:footer="1024" w:top="1180" w:bottom="1220" w:left="1280" w:right="1260"/>
        </w:sectPr>
      </w:pPr>
    </w:p>
    <w:p>
      <w:pPr>
        <w:pStyle w:val="BodyText"/>
        <w:spacing w:before="11"/>
        <w:rPr>
          <w:sz w:val="16"/>
        </w:rPr>
      </w:pPr>
    </w:p>
    <w:p>
      <w:pPr>
        <w:pStyle w:val="BodyText"/>
        <w:spacing w:line="333" w:lineRule="auto" w:before="69"/>
        <w:ind w:left="160" w:right="175"/>
        <w:jc w:val="both"/>
        <w:rPr>
          <w:sz w:val="16"/>
        </w:rPr>
      </w:pPr>
      <w:r>
        <w:rPr>
          <w:i/>
        </w:rPr>
        <w:t>biofilm </w:t>
      </w:r>
      <w:r>
        <w:rPr/>
        <w:t>viven en microcolonias encapsuladas en una matriz de substancias poliméricas extracelulares. </w:t>
      </w:r>
      <w:r>
        <w:rPr>
          <w:position w:val="11"/>
          <w:sz w:val="16"/>
        </w:rPr>
        <w:t>13</w:t>
      </w:r>
    </w:p>
    <w:p>
      <w:pPr>
        <w:pStyle w:val="BodyText"/>
        <w:spacing w:before="7"/>
        <w:rPr>
          <w:sz w:val="37"/>
        </w:rPr>
      </w:pPr>
    </w:p>
    <w:p>
      <w:pPr>
        <w:pStyle w:val="BodyText"/>
        <w:spacing w:line="350" w:lineRule="auto"/>
        <w:ind w:left="160" w:right="176"/>
        <w:jc w:val="both"/>
        <w:rPr>
          <w:sz w:val="16"/>
        </w:rPr>
      </w:pPr>
      <w:r>
        <w:rPr/>
        <w:t>Los estudios de Loesche y Von Houte en los años 80, permitieron comprender que existe un grupo de bacterias formadoras de placa, responsables de la instalación y la progresión de la caries; desde entonces se ha relacionado al grupo </w:t>
      </w:r>
      <w:r>
        <w:rPr>
          <w:i/>
        </w:rPr>
        <w:t>Streptococci </w:t>
      </w:r>
      <w:r>
        <w:rPr/>
        <w:t>no sólo como una amenaza odontolítica, </w:t>
      </w:r>
      <w:r>
        <w:rPr>
          <w:position w:val="11"/>
          <w:sz w:val="16"/>
        </w:rPr>
        <w:t>19 </w:t>
      </w:r>
      <w:r>
        <w:rPr/>
        <w:t>sino como los principales colonizadores de la cavidad bucal, mientras que el grupo </w:t>
      </w:r>
      <w:r>
        <w:rPr>
          <w:i/>
        </w:rPr>
        <w:t>Lactobacilli </w:t>
      </w:r>
      <w:r>
        <w:rPr/>
        <w:t>es conocido por su instalación posterior. El grupo </w:t>
      </w:r>
      <w:r>
        <w:rPr>
          <w:i/>
        </w:rPr>
        <w:t>Streptococci </w:t>
      </w:r>
      <w:r>
        <w:rPr/>
        <w:t>es el primero en colonizar la superficie de la cavidad oral y puede consistir en el 70% de las bacterias cultivables de la placa. </w:t>
      </w:r>
      <w:r>
        <w:rPr>
          <w:position w:val="11"/>
          <w:sz w:val="16"/>
        </w:rPr>
        <w:t>12, 16, 18, 21, 22, </w:t>
      </w:r>
      <w:r>
        <w:rPr>
          <w:spacing w:val="27"/>
          <w:position w:val="11"/>
          <w:sz w:val="16"/>
        </w:rPr>
        <w:t> </w:t>
      </w:r>
      <w:r>
        <w:rPr>
          <w:position w:val="11"/>
          <w:sz w:val="16"/>
        </w:rPr>
        <w:t>23,</w:t>
      </w:r>
    </w:p>
    <w:p>
      <w:pPr>
        <w:spacing w:line="147" w:lineRule="exact" w:before="0"/>
        <w:ind w:left="160" w:right="0" w:firstLine="0"/>
        <w:jc w:val="both"/>
        <w:rPr>
          <w:sz w:val="16"/>
        </w:rPr>
      </w:pPr>
      <w:r>
        <w:rPr>
          <w:sz w:val="16"/>
        </w:rPr>
        <w:t>24, 25</w:t>
      </w:r>
    </w:p>
    <w:p>
      <w:pPr>
        <w:pStyle w:val="BodyText"/>
        <w:rPr>
          <w:sz w:val="16"/>
        </w:rPr>
      </w:pPr>
    </w:p>
    <w:p>
      <w:pPr>
        <w:pStyle w:val="BodyText"/>
        <w:rPr>
          <w:sz w:val="16"/>
        </w:rPr>
      </w:pPr>
    </w:p>
    <w:p>
      <w:pPr>
        <w:pStyle w:val="BodyText"/>
        <w:rPr>
          <w:sz w:val="16"/>
        </w:rPr>
      </w:pPr>
    </w:p>
    <w:p>
      <w:pPr>
        <w:pStyle w:val="ListParagraph"/>
        <w:numPr>
          <w:ilvl w:val="2"/>
          <w:numId w:val="5"/>
        </w:numPr>
        <w:tabs>
          <w:tab w:pos="1843" w:val="left" w:leader="none"/>
        </w:tabs>
        <w:spacing w:line="240" w:lineRule="auto" w:before="122" w:after="0"/>
        <w:ind w:left="1842" w:right="0" w:hanging="602"/>
        <w:jc w:val="left"/>
        <w:rPr>
          <w:i/>
          <w:sz w:val="24"/>
        </w:rPr>
      </w:pPr>
      <w:r>
        <w:rPr>
          <w:i/>
          <w:sz w:val="24"/>
        </w:rPr>
        <w:t>Streptococcus</w:t>
      </w:r>
      <w:r>
        <w:rPr>
          <w:i/>
          <w:spacing w:val="-7"/>
          <w:sz w:val="24"/>
        </w:rPr>
        <w:t> </w:t>
      </w:r>
      <w:r>
        <w:rPr>
          <w:i/>
          <w:sz w:val="24"/>
        </w:rPr>
        <w:t>mutans</w:t>
      </w:r>
    </w:p>
    <w:p>
      <w:pPr>
        <w:pStyle w:val="BodyText"/>
        <w:rPr>
          <w:i/>
        </w:rPr>
      </w:pPr>
    </w:p>
    <w:p>
      <w:pPr>
        <w:pStyle w:val="BodyText"/>
        <w:rPr>
          <w:i/>
        </w:rPr>
      </w:pPr>
    </w:p>
    <w:p>
      <w:pPr>
        <w:pStyle w:val="BodyText"/>
        <w:spacing w:before="2"/>
        <w:rPr>
          <w:i/>
        </w:rPr>
      </w:pPr>
    </w:p>
    <w:p>
      <w:pPr>
        <w:spacing w:line="345" w:lineRule="auto" w:before="0"/>
        <w:ind w:left="160" w:right="174" w:firstLine="0"/>
        <w:jc w:val="both"/>
        <w:rPr>
          <w:sz w:val="16"/>
        </w:rPr>
      </w:pPr>
      <w:r>
        <w:rPr>
          <w:sz w:val="24"/>
        </w:rPr>
        <w:t>En este apartado nos referiremos al </w:t>
      </w:r>
      <w:r>
        <w:rPr>
          <w:i/>
          <w:sz w:val="24"/>
        </w:rPr>
        <w:t>Streptococcus mutans </w:t>
      </w:r>
      <w:r>
        <w:rPr>
          <w:sz w:val="24"/>
        </w:rPr>
        <w:t>(</w:t>
      </w:r>
      <w:r>
        <w:rPr>
          <w:i/>
          <w:sz w:val="24"/>
        </w:rPr>
        <w:t>S. mutans</w:t>
      </w:r>
      <w:r>
        <w:rPr>
          <w:sz w:val="24"/>
        </w:rPr>
        <w:t>), conocido como el más importante odontopatógeno presente en la placa supragingival y el principal agente etiológico en la caries dental </w:t>
      </w:r>
      <w:r>
        <w:rPr>
          <w:position w:val="11"/>
          <w:sz w:val="16"/>
        </w:rPr>
        <w:t>15, 16, 18, 21, 26, 27, 28</w:t>
      </w:r>
    </w:p>
    <w:p>
      <w:pPr>
        <w:pStyle w:val="BodyText"/>
        <w:spacing w:before="1"/>
        <w:rPr>
          <w:sz w:val="36"/>
        </w:rPr>
      </w:pPr>
    </w:p>
    <w:p>
      <w:pPr>
        <w:pStyle w:val="BodyText"/>
        <w:spacing w:line="350" w:lineRule="auto"/>
        <w:ind w:left="160" w:right="174"/>
        <w:jc w:val="both"/>
        <w:rPr>
          <w:sz w:val="16"/>
        </w:rPr>
      </w:pPr>
      <w:r>
        <w:rPr/>
        <w:t>La virulencia de </w:t>
      </w:r>
      <w:r>
        <w:rPr>
          <w:i/>
        </w:rPr>
        <w:t>Streptococcus mutans </w:t>
      </w:r>
      <w:r>
        <w:rPr/>
        <w:t>ha sido ampliamente estudiada, encontramos referencias explicando que coloniza al huésped sólo después de que los primeros dientes erupcionan y recientemente se ha reportado su presencia en la cavidad bucal incluso antes de la erupción dental. </w:t>
      </w:r>
      <w:r>
        <w:rPr>
          <w:position w:val="11"/>
          <w:sz w:val="16"/>
        </w:rPr>
        <w:t>29</w:t>
      </w:r>
    </w:p>
    <w:p>
      <w:pPr>
        <w:pStyle w:val="BodyText"/>
        <w:spacing w:before="8"/>
        <w:rPr>
          <w:sz w:val="35"/>
        </w:rPr>
      </w:pPr>
    </w:p>
    <w:p>
      <w:pPr>
        <w:pStyle w:val="ListParagraph"/>
        <w:numPr>
          <w:ilvl w:val="3"/>
          <w:numId w:val="5"/>
        </w:numPr>
        <w:tabs>
          <w:tab w:pos="2320" w:val="left" w:leader="none"/>
          <w:tab w:pos="2321" w:val="left" w:leader="none"/>
        </w:tabs>
        <w:spacing w:line="240" w:lineRule="auto" w:before="1" w:after="0"/>
        <w:ind w:left="2320" w:right="0" w:hanging="1080"/>
        <w:jc w:val="left"/>
        <w:rPr>
          <w:sz w:val="24"/>
        </w:rPr>
      </w:pPr>
      <w:r>
        <w:rPr>
          <w:sz w:val="24"/>
        </w:rPr>
        <w:t>Transmisión</w:t>
      </w:r>
    </w:p>
    <w:p>
      <w:pPr>
        <w:pStyle w:val="BodyText"/>
      </w:pPr>
    </w:p>
    <w:p>
      <w:pPr>
        <w:pStyle w:val="BodyText"/>
        <w:spacing w:before="9"/>
        <w:rPr>
          <w:sz w:val="23"/>
        </w:rPr>
      </w:pPr>
    </w:p>
    <w:p>
      <w:pPr>
        <w:pStyle w:val="BodyText"/>
        <w:spacing w:line="345" w:lineRule="auto"/>
        <w:ind w:left="160" w:right="172"/>
        <w:jc w:val="both"/>
        <w:rPr>
          <w:sz w:val="16"/>
        </w:rPr>
      </w:pPr>
      <w:r>
        <w:rPr/>
        <w:t>El reservorio principal del cual los niños adquieren </w:t>
      </w:r>
      <w:r>
        <w:rPr>
          <w:i/>
        </w:rPr>
        <w:t>S. mutans </w:t>
      </w:r>
      <w:r>
        <w:rPr/>
        <w:t>es su madre o la persona que se encuentre a su cargo. </w:t>
      </w:r>
      <w:r>
        <w:rPr>
          <w:position w:val="11"/>
          <w:sz w:val="16"/>
        </w:rPr>
        <w:t>17, 20. </w:t>
      </w:r>
      <w:r>
        <w:rPr/>
        <w:t>La evidencia de este concepto proviene de varios estudios clínicos en los que cepas de </w:t>
      </w:r>
      <w:r>
        <w:rPr>
          <w:i/>
        </w:rPr>
        <w:t>S. mutans </w:t>
      </w:r>
      <w:r>
        <w:rPr/>
        <w:t>aisladas de las madres y sus bebés mostraron perfiles de bacteriocina similares y patrones de ADN o cromosomas  </w:t>
      </w:r>
      <w:r>
        <w:rPr>
          <w:position w:val="-10"/>
        </w:rPr>
        <w:t>idénticos </w:t>
      </w:r>
      <w:r>
        <w:rPr>
          <w:sz w:val="16"/>
        </w:rPr>
        <w:t>17, 20, 30,</w:t>
      </w:r>
      <w:r>
        <w:rPr>
          <w:spacing w:val="-7"/>
          <w:sz w:val="16"/>
        </w:rPr>
        <w:t> </w:t>
      </w:r>
      <w:r>
        <w:rPr>
          <w:sz w:val="16"/>
        </w:rPr>
        <w:t>31</w:t>
      </w:r>
    </w:p>
    <w:p>
      <w:pPr>
        <w:spacing w:after="0" w:line="345" w:lineRule="auto"/>
        <w:jc w:val="both"/>
        <w:rPr>
          <w:sz w:val="16"/>
        </w:rPr>
        <w:sectPr>
          <w:pgSz w:w="12240" w:h="15840"/>
          <w:pgMar w:header="736" w:footer="1024" w:top="1180" w:bottom="1220" w:left="1280" w:right="1260"/>
        </w:sectPr>
      </w:pPr>
    </w:p>
    <w:p>
      <w:pPr>
        <w:pStyle w:val="BodyText"/>
        <w:spacing w:before="2"/>
        <w:rPr>
          <w:sz w:val="17"/>
        </w:rPr>
      </w:pPr>
    </w:p>
    <w:p>
      <w:pPr>
        <w:pStyle w:val="BodyText"/>
        <w:spacing w:line="343" w:lineRule="auto" w:before="69"/>
        <w:ind w:left="160" w:right="174"/>
        <w:jc w:val="both"/>
      </w:pPr>
      <w:r>
        <w:rPr/>
        <w:t>La adquisición se produce durante un intervalo de edades distintas: una "ventana de infectividad" o "período de ventana", entre los 19 y 31 meses; en los que la proporción de </w:t>
      </w:r>
      <w:r>
        <w:rPr>
          <w:i/>
        </w:rPr>
        <w:t>Mutans Streptococci (MS) </w:t>
      </w:r>
      <w:r>
        <w:rPr/>
        <w:t>en niños, aumenta de un 25% a un 75%. </w:t>
      </w:r>
      <w:r>
        <w:rPr>
          <w:position w:val="11"/>
          <w:sz w:val="16"/>
        </w:rPr>
        <w:t>20  </w:t>
      </w:r>
      <w:r>
        <w:rPr/>
        <w:t>Una  segunda</w:t>
      </w:r>
    </w:p>
    <w:p>
      <w:pPr>
        <w:pStyle w:val="BodyText"/>
        <w:spacing w:line="352" w:lineRule="auto" w:before="10"/>
        <w:ind w:left="160" w:right="174"/>
        <w:jc w:val="both"/>
      </w:pPr>
      <w:r>
        <w:rPr/>
        <w:t>"ventana" puede aparecer entre las edades de 6 y 12 años, con la erupción de la dentición permanente. Se ha descrito en algunas poblaciones, que el 42% de los niños de 5 años, aún no ha sido colonizado por el grupo </w:t>
      </w:r>
      <w:r>
        <w:rPr>
          <w:i/>
        </w:rPr>
        <w:t>MS </w:t>
      </w:r>
      <w:r>
        <w:rPr/>
        <w:t>y que puede existir una correlación entre los niños que no han sido colonizados o que lo hicieron tardíamente (después de los 5 años), con niveles más bajos de caries. </w:t>
      </w:r>
      <w:r>
        <w:rPr>
          <w:position w:val="11"/>
          <w:sz w:val="16"/>
        </w:rPr>
        <w:t>26, 28</w:t>
      </w:r>
      <w:r>
        <w:rPr/>
        <w:t>. Se menciona que los</w:t>
      </w:r>
    </w:p>
    <w:p>
      <w:pPr>
        <w:pStyle w:val="BodyText"/>
        <w:spacing w:line="345" w:lineRule="auto"/>
        <w:ind w:left="160" w:right="182"/>
        <w:jc w:val="both"/>
        <w:rPr>
          <w:sz w:val="16"/>
        </w:rPr>
      </w:pPr>
      <w:r>
        <w:rPr/>
        <w:t>niveles de </w:t>
      </w:r>
      <w:r>
        <w:rPr>
          <w:i/>
        </w:rPr>
        <w:t>S</w:t>
      </w:r>
      <w:r>
        <w:rPr/>
        <w:t>. </w:t>
      </w:r>
      <w:r>
        <w:rPr>
          <w:i/>
        </w:rPr>
        <w:t>mutans </w:t>
      </w:r>
      <w:r>
        <w:rPr/>
        <w:t>en cavidad oral se relacionan con los niveles de caries en los individuos, por lo que puede considerarse un factor predictivo o indicador del riesgo a desarrollar caries. </w:t>
      </w:r>
      <w:r>
        <w:rPr>
          <w:position w:val="11"/>
          <w:sz w:val="16"/>
        </w:rPr>
        <w:t>19, 32</w:t>
      </w:r>
    </w:p>
    <w:p>
      <w:pPr>
        <w:pStyle w:val="BodyText"/>
        <w:spacing w:before="1"/>
        <w:rPr>
          <w:sz w:val="36"/>
        </w:rPr>
      </w:pPr>
    </w:p>
    <w:p>
      <w:pPr>
        <w:pStyle w:val="ListParagraph"/>
        <w:numPr>
          <w:ilvl w:val="3"/>
          <w:numId w:val="5"/>
        </w:numPr>
        <w:tabs>
          <w:tab w:pos="2320" w:val="left" w:leader="none"/>
          <w:tab w:pos="2321" w:val="left" w:leader="none"/>
        </w:tabs>
        <w:spacing w:line="240" w:lineRule="auto" w:before="0" w:after="0"/>
        <w:ind w:left="2320" w:right="0" w:hanging="1080"/>
        <w:jc w:val="left"/>
        <w:rPr>
          <w:sz w:val="24"/>
        </w:rPr>
      </w:pPr>
      <w:r>
        <w:rPr>
          <w:sz w:val="24"/>
        </w:rPr>
        <w:t>Localización</w:t>
      </w:r>
    </w:p>
    <w:p>
      <w:pPr>
        <w:pStyle w:val="BodyText"/>
      </w:pPr>
    </w:p>
    <w:p>
      <w:pPr>
        <w:pStyle w:val="BodyText"/>
      </w:pPr>
    </w:p>
    <w:p>
      <w:pPr>
        <w:pStyle w:val="BodyText"/>
        <w:spacing w:before="2"/>
      </w:pPr>
    </w:p>
    <w:p>
      <w:pPr>
        <w:pStyle w:val="BodyText"/>
        <w:spacing w:line="338" w:lineRule="auto"/>
        <w:ind w:left="160" w:right="174"/>
        <w:jc w:val="both"/>
        <w:rPr>
          <w:sz w:val="16"/>
        </w:rPr>
      </w:pPr>
      <w:r>
        <w:rPr/>
        <w:t>El sitio preferido para la colonización es la superficie dental y se encuentra sobre todo en la placa de las lesiones iniciales o “de mancha blanca”. </w:t>
      </w:r>
      <w:r>
        <w:rPr>
          <w:position w:val="11"/>
          <w:sz w:val="16"/>
        </w:rPr>
        <w:t>12, 19, 20 </w:t>
      </w:r>
      <w:r>
        <w:rPr>
          <w:i/>
        </w:rPr>
        <w:t>S. mutans </w:t>
      </w:r>
      <w:r>
        <w:rPr/>
        <w:t>se encuentra principalmente en los sitios de retención, tales como las lesiones de caries, fosas, fisuras, así como las superficies oclusales y proximales. </w:t>
      </w:r>
      <w:r>
        <w:rPr>
          <w:position w:val="11"/>
          <w:sz w:val="16"/>
        </w:rPr>
        <w:t>32, 33</w:t>
      </w:r>
    </w:p>
    <w:p>
      <w:pPr>
        <w:pStyle w:val="BodyText"/>
        <w:spacing w:before="10"/>
        <w:rPr>
          <w:sz w:val="36"/>
        </w:rPr>
      </w:pPr>
    </w:p>
    <w:p>
      <w:pPr>
        <w:pStyle w:val="ListParagraph"/>
        <w:numPr>
          <w:ilvl w:val="3"/>
          <w:numId w:val="5"/>
        </w:numPr>
        <w:tabs>
          <w:tab w:pos="2320" w:val="left" w:leader="none"/>
          <w:tab w:pos="2321" w:val="left" w:leader="none"/>
        </w:tabs>
        <w:spacing w:line="240" w:lineRule="auto" w:before="0" w:after="0"/>
        <w:ind w:left="2320" w:right="0" w:hanging="1080"/>
        <w:jc w:val="left"/>
        <w:rPr>
          <w:sz w:val="24"/>
        </w:rPr>
      </w:pPr>
      <w:r>
        <w:rPr>
          <w:sz w:val="24"/>
        </w:rPr>
        <w:t>Virulencia</w:t>
      </w:r>
    </w:p>
    <w:p>
      <w:pPr>
        <w:pStyle w:val="BodyText"/>
      </w:pPr>
    </w:p>
    <w:p>
      <w:pPr>
        <w:pStyle w:val="BodyText"/>
      </w:pPr>
    </w:p>
    <w:p>
      <w:pPr>
        <w:pStyle w:val="BodyText"/>
        <w:spacing w:before="2"/>
      </w:pPr>
    </w:p>
    <w:p>
      <w:pPr>
        <w:pStyle w:val="BodyText"/>
        <w:spacing w:line="345" w:lineRule="auto"/>
        <w:ind w:left="160" w:right="175"/>
        <w:jc w:val="both"/>
        <w:rPr>
          <w:sz w:val="16"/>
        </w:rPr>
      </w:pPr>
      <w:r>
        <w:rPr/>
        <w:t>Este microorganismo posee una variedad de mecanismos para colonizar la superficie dental. </w:t>
      </w:r>
      <w:r>
        <w:rPr>
          <w:position w:val="11"/>
          <w:sz w:val="16"/>
        </w:rPr>
        <w:t>16, 26 </w:t>
      </w:r>
      <w:r>
        <w:rPr/>
        <w:t>Los principales factores de virulencia asociados con su cariogenicidad incluyen adhesión, acidogenicidad, y acidotolerancia. </w:t>
      </w:r>
      <w:r>
        <w:rPr>
          <w:position w:val="11"/>
          <w:sz w:val="16"/>
        </w:rPr>
        <w:t>27 </w:t>
      </w:r>
      <w:r>
        <w:rPr/>
        <w:t>Cada una de  estas  propiedades trabaja coordinadamente para alterar la ecología de la placa dental. La flora cariogénica aumenta la magnitud de la caída en el pH (potencial de hidrógeno) después de la fermentación de hidratos de carbono provenientes de la dieta, dando como resultado la desmineralización del esmalte.</w:t>
      </w:r>
      <w:r>
        <w:rPr>
          <w:spacing w:val="-11"/>
        </w:rPr>
        <w:t> </w:t>
      </w:r>
      <w:r>
        <w:rPr>
          <w:position w:val="11"/>
          <w:sz w:val="16"/>
        </w:rPr>
        <w:t>34</w:t>
      </w:r>
    </w:p>
    <w:p>
      <w:pPr>
        <w:spacing w:after="0" w:line="345" w:lineRule="auto"/>
        <w:jc w:val="both"/>
        <w:rPr>
          <w:sz w:val="16"/>
        </w:rPr>
        <w:sectPr>
          <w:pgSz w:w="12240" w:h="15840"/>
          <w:pgMar w:header="736" w:footer="1024" w:top="1180" w:bottom="1220" w:left="1280" w:right="1260"/>
        </w:sectPr>
      </w:pPr>
    </w:p>
    <w:p>
      <w:pPr>
        <w:pStyle w:val="BodyText"/>
        <w:spacing w:before="11"/>
        <w:rPr>
          <w:sz w:val="16"/>
        </w:rPr>
      </w:pPr>
    </w:p>
    <w:p>
      <w:pPr>
        <w:pStyle w:val="BodyText"/>
        <w:spacing w:line="345" w:lineRule="auto" w:before="69"/>
        <w:ind w:left="160" w:right="173"/>
        <w:jc w:val="both"/>
        <w:rPr>
          <w:sz w:val="16"/>
        </w:rPr>
      </w:pPr>
      <w:r>
        <w:rPr/>
        <w:t>Una de las características de </w:t>
      </w:r>
      <w:r>
        <w:rPr>
          <w:i/>
        </w:rPr>
        <w:t>Sm. </w:t>
      </w:r>
      <w:r>
        <w:rPr/>
        <w:t>es que sintetiza macromoléculas a partir de sacarosa, lo que favorece su unión a la superficie dental. Es un rápido productor de ácido a partir de carbohidratos simples, incluyendo sacarosa. </w:t>
      </w:r>
      <w:r>
        <w:rPr>
          <w:position w:val="11"/>
          <w:sz w:val="16"/>
        </w:rPr>
        <w:t>20 </w:t>
      </w:r>
      <w:r>
        <w:rPr/>
        <w:t>El mecanismo principal para la adhesión de </w:t>
      </w:r>
      <w:r>
        <w:rPr>
          <w:i/>
        </w:rPr>
        <w:t>S. mutans </w:t>
      </w:r>
      <w:r>
        <w:rPr/>
        <w:t>es la producción de glucano a partir de sacarosa por medio de glucosil-transferasas (gtfs).</w:t>
      </w:r>
      <w:r>
        <w:rPr>
          <w:spacing w:val="-7"/>
        </w:rPr>
        <w:t> </w:t>
      </w:r>
      <w:r>
        <w:rPr>
          <w:position w:val="11"/>
          <w:sz w:val="16"/>
        </w:rPr>
        <w:t>27</w:t>
      </w:r>
    </w:p>
    <w:p>
      <w:pPr>
        <w:pStyle w:val="BodyText"/>
        <w:spacing w:before="3"/>
        <w:rPr>
          <w:sz w:val="36"/>
        </w:rPr>
      </w:pPr>
    </w:p>
    <w:p>
      <w:pPr>
        <w:pStyle w:val="BodyText"/>
        <w:spacing w:line="352" w:lineRule="auto"/>
        <w:ind w:left="160" w:right="174"/>
        <w:jc w:val="both"/>
      </w:pPr>
      <w:r>
        <w:rPr/>
        <w:t>El metabolismo de la sacarosa es complejo, pero no hay duda de que la vía principal tiene que ver con el metabolismo energético y sus resultados, cuando la sacarosa en la dieta es superior, en la producción de ácido láctico. </w:t>
      </w:r>
      <w:r>
        <w:rPr>
          <w:position w:val="11"/>
          <w:sz w:val="16"/>
        </w:rPr>
        <w:t>18, 35 </w:t>
      </w:r>
      <w:r>
        <w:rPr/>
        <w:t>Existen estudios </w:t>
      </w:r>
      <w:r>
        <w:rPr>
          <w:position w:val="11"/>
          <w:sz w:val="16"/>
        </w:rPr>
        <w:t>32, 36 </w:t>
      </w:r>
      <w:r>
        <w:rPr/>
        <w:t>en los que </w:t>
      </w:r>
      <w:r>
        <w:rPr>
          <w:i/>
        </w:rPr>
        <w:t>Streptococcus mutans </w:t>
      </w:r>
      <w:r>
        <w:rPr/>
        <w:t>ha sido asociado con lesiones en diversas superficies dentales tanto en roedores como en humanos alimentados con sacarosa. No obstante, en  los  animales  libres  de  microorganismos,  no  se  desarrolló  caries  a  pesar   </w:t>
      </w:r>
      <w:r>
        <w:rPr>
          <w:spacing w:val="61"/>
        </w:rPr>
        <w:t> </w:t>
      </w:r>
      <w:r>
        <w:rPr/>
        <w:t>del</w:t>
      </w:r>
    </w:p>
    <w:p>
      <w:pPr>
        <w:pStyle w:val="BodyText"/>
        <w:spacing w:line="343" w:lineRule="auto" w:before="13"/>
        <w:ind w:left="160" w:right="177"/>
        <w:jc w:val="both"/>
        <w:rPr>
          <w:sz w:val="16"/>
        </w:rPr>
      </w:pPr>
      <w:r>
        <w:rPr/>
        <w:t>consumo de sacarosa en la dieta, por lo que la caries es resultado de un proceso infeccioso multifactorial y no de la sola presencia de microorganismos patógenos como el </w:t>
      </w:r>
      <w:r>
        <w:rPr>
          <w:i/>
        </w:rPr>
        <w:t>mutans</w:t>
      </w:r>
      <w:r>
        <w:rPr/>
        <w:t>, ni exclusivo del consumo de carbohidratos. </w:t>
      </w:r>
      <w:r>
        <w:rPr>
          <w:position w:val="11"/>
          <w:sz w:val="16"/>
        </w:rPr>
        <w:t>20</w:t>
      </w:r>
    </w:p>
    <w:p>
      <w:pPr>
        <w:pStyle w:val="BodyText"/>
        <w:spacing w:before="9"/>
        <w:rPr>
          <w:sz w:val="36"/>
        </w:rPr>
      </w:pPr>
    </w:p>
    <w:p>
      <w:pPr>
        <w:pStyle w:val="BodyText"/>
        <w:spacing w:line="345" w:lineRule="auto"/>
        <w:ind w:left="160" w:right="176"/>
        <w:jc w:val="both"/>
        <w:rPr>
          <w:sz w:val="16"/>
        </w:rPr>
      </w:pPr>
      <w:r>
        <w:rPr/>
        <w:t>Estos organismos sintetizan dextranos extracelulares de la sacarosa, y se ha postulado que los polímeros son responsables de la capacidad de estos </w:t>
      </w:r>
      <w:r>
        <w:rPr>
          <w:i/>
        </w:rPr>
        <w:t>Streptococci </w:t>
      </w:r>
      <w:r>
        <w:rPr/>
        <w:t>para formar placas gelatinosas en las superficies de los dientes </w:t>
      </w:r>
      <w:r>
        <w:rPr>
          <w:position w:val="11"/>
          <w:sz w:val="16"/>
        </w:rPr>
        <w:t>32, 37</w:t>
      </w:r>
    </w:p>
    <w:p>
      <w:pPr>
        <w:pStyle w:val="BodyText"/>
        <w:spacing w:before="1"/>
        <w:rPr>
          <w:sz w:val="36"/>
        </w:rPr>
      </w:pPr>
    </w:p>
    <w:p>
      <w:pPr>
        <w:pStyle w:val="BodyText"/>
        <w:spacing w:line="340" w:lineRule="auto"/>
        <w:ind w:left="160" w:right="174"/>
        <w:jc w:val="both"/>
        <w:rPr>
          <w:sz w:val="16"/>
        </w:rPr>
      </w:pPr>
      <w:r>
        <w:rPr/>
        <w:t>Se sabe que </w:t>
      </w:r>
      <w:r>
        <w:rPr>
          <w:i/>
        </w:rPr>
        <w:t>Streptococcus mutans </w:t>
      </w:r>
      <w:r>
        <w:rPr/>
        <w:t>contiene una vía glicolítica y puede producir  lactato,   formiato,   acetato   y    etanol    como    productos    de    fermentación.    </w:t>
      </w:r>
      <w:r>
        <w:rPr>
          <w:position w:val="11"/>
          <w:sz w:val="16"/>
        </w:rPr>
        <w:t>38   </w:t>
      </w:r>
      <w:r>
        <w:rPr/>
        <w:t>La conversión de la sacarosa dietética a los polímeros es una propiedad cariogénica importante </w:t>
      </w:r>
      <w:r>
        <w:rPr>
          <w:position w:val="11"/>
          <w:sz w:val="16"/>
        </w:rPr>
        <w:t>39</w:t>
      </w:r>
      <w:r>
        <w:rPr/>
        <w:t>. En particular, la producción de glucano insoluble se ha demostrado </w:t>
      </w:r>
      <w:r>
        <w:rPr>
          <w:spacing w:val="-2"/>
        </w:rPr>
        <w:t>que </w:t>
      </w:r>
      <w:r>
        <w:rPr/>
        <w:t>aumenta enormemente la capacidad de estos organismos para colonizar las superficies de los dientes.</w:t>
      </w:r>
      <w:r>
        <w:rPr>
          <w:spacing w:val="-3"/>
        </w:rPr>
        <w:t> </w:t>
      </w:r>
      <w:r>
        <w:rPr>
          <w:position w:val="11"/>
          <w:sz w:val="16"/>
        </w:rPr>
        <w:t>40</w:t>
      </w:r>
    </w:p>
    <w:p>
      <w:pPr>
        <w:pStyle w:val="BodyText"/>
        <w:spacing w:before="10"/>
        <w:rPr>
          <w:sz w:val="36"/>
        </w:rPr>
      </w:pPr>
    </w:p>
    <w:p>
      <w:pPr>
        <w:pStyle w:val="BodyText"/>
        <w:spacing w:line="360" w:lineRule="auto"/>
        <w:ind w:left="160" w:right="174"/>
        <w:jc w:val="both"/>
      </w:pPr>
      <w:r>
        <w:rPr/>
        <w:t>La capacidad de las bacterias para sobrevivir y persistir en un medio ambiente específico, dependerá de su plasticidad genética inherente, lo que determina su capacidad para responder a las fluctuaciones de las condiciones ambientales locales; las  bacterias  de  la  biopelícula  son  sometidas  a  muchas  presiones      ambientales,</w:t>
      </w:r>
    </w:p>
    <w:p>
      <w:pPr>
        <w:spacing w:after="0" w:line="360" w:lineRule="auto"/>
        <w:jc w:val="both"/>
        <w:sectPr>
          <w:pgSz w:w="12240" w:h="15840"/>
          <w:pgMar w:header="736" w:footer="1024" w:top="1180" w:bottom="1220" w:left="1280" w:right="1260"/>
        </w:sectPr>
      </w:pPr>
    </w:p>
    <w:p>
      <w:pPr>
        <w:pStyle w:val="BodyText"/>
        <w:spacing w:before="2"/>
        <w:rPr>
          <w:sz w:val="17"/>
        </w:rPr>
      </w:pPr>
    </w:p>
    <w:p>
      <w:pPr>
        <w:pStyle w:val="BodyText"/>
        <w:spacing w:line="331" w:lineRule="auto" w:before="69"/>
        <w:ind w:left="160" w:right="174"/>
        <w:jc w:val="both"/>
        <w:rPr>
          <w:sz w:val="16"/>
        </w:rPr>
      </w:pPr>
      <w:r>
        <w:rPr/>
        <w:t>incluyendo la disponibilidad o la falta de nutrientes, pH ácido, y la exposición a los ácidos orgánicos. </w:t>
      </w:r>
      <w:r>
        <w:rPr>
          <w:position w:val="11"/>
          <w:sz w:val="16"/>
        </w:rPr>
        <w:t>41</w:t>
      </w:r>
    </w:p>
    <w:p>
      <w:pPr>
        <w:pStyle w:val="BodyText"/>
        <w:spacing w:before="8"/>
        <w:rPr>
          <w:sz w:val="37"/>
        </w:rPr>
      </w:pPr>
    </w:p>
    <w:p>
      <w:pPr>
        <w:pStyle w:val="ListParagraph"/>
        <w:numPr>
          <w:ilvl w:val="3"/>
          <w:numId w:val="5"/>
        </w:numPr>
        <w:tabs>
          <w:tab w:pos="2320" w:val="left" w:leader="none"/>
          <w:tab w:pos="2321" w:val="left" w:leader="none"/>
        </w:tabs>
        <w:spacing w:line="240" w:lineRule="auto" w:before="0" w:after="0"/>
        <w:ind w:left="2320" w:right="0" w:hanging="1080"/>
        <w:jc w:val="left"/>
        <w:rPr>
          <w:sz w:val="24"/>
        </w:rPr>
      </w:pPr>
      <w:r>
        <w:rPr>
          <w:sz w:val="24"/>
        </w:rPr>
        <w:t>Genotipo y</w:t>
      </w:r>
      <w:r>
        <w:rPr>
          <w:spacing w:val="-8"/>
          <w:sz w:val="24"/>
        </w:rPr>
        <w:t> </w:t>
      </w:r>
      <w:r>
        <w:rPr>
          <w:sz w:val="24"/>
        </w:rPr>
        <w:t>fenotipo</w:t>
      </w:r>
    </w:p>
    <w:p>
      <w:pPr>
        <w:pStyle w:val="BodyText"/>
      </w:pPr>
    </w:p>
    <w:p>
      <w:pPr>
        <w:pStyle w:val="BodyText"/>
      </w:pPr>
    </w:p>
    <w:p>
      <w:pPr>
        <w:pStyle w:val="BodyText"/>
        <w:spacing w:before="11"/>
        <w:rPr>
          <w:sz w:val="20"/>
        </w:rPr>
      </w:pPr>
    </w:p>
    <w:p>
      <w:pPr>
        <w:spacing w:line="350" w:lineRule="auto" w:before="0"/>
        <w:ind w:left="160" w:right="172" w:firstLine="0"/>
        <w:jc w:val="both"/>
        <w:rPr>
          <w:sz w:val="16"/>
        </w:rPr>
      </w:pPr>
      <w:r>
        <w:rPr>
          <w:sz w:val="24"/>
        </w:rPr>
        <w:t>De acuerdo con la clasificación del Manual Bergey de Bacteriología determinante, </w:t>
      </w:r>
      <w:r>
        <w:rPr>
          <w:position w:val="11"/>
          <w:sz w:val="16"/>
        </w:rPr>
        <w:t>42 </w:t>
      </w:r>
      <w:r>
        <w:rPr>
          <w:sz w:val="24"/>
        </w:rPr>
        <w:t>el género </w:t>
      </w:r>
      <w:r>
        <w:rPr>
          <w:i/>
          <w:sz w:val="24"/>
        </w:rPr>
        <w:t>Streptococcus </w:t>
      </w:r>
      <w:r>
        <w:rPr>
          <w:sz w:val="24"/>
        </w:rPr>
        <w:t>incluye los grupos </w:t>
      </w:r>
      <w:r>
        <w:rPr>
          <w:i/>
          <w:sz w:val="24"/>
        </w:rPr>
        <w:t>piógenes, oralis, viridans, faecalis, salivarius, </w:t>
      </w:r>
      <w:r>
        <w:rPr>
          <w:i/>
          <w:sz w:val="24"/>
        </w:rPr>
        <w:t>mitis, sanguinis </w:t>
      </w:r>
      <w:r>
        <w:rPr>
          <w:sz w:val="24"/>
        </w:rPr>
        <w:t>y </w:t>
      </w:r>
      <w:r>
        <w:rPr>
          <w:i/>
          <w:sz w:val="24"/>
        </w:rPr>
        <w:t>lactis</w:t>
      </w:r>
      <w:r>
        <w:rPr>
          <w:sz w:val="24"/>
        </w:rPr>
        <w:t>. Se ha clasificado en tres serotipos: C, E y F debido a la diferente composición química del serotipo específico de polisacáridos. </w:t>
      </w:r>
      <w:r>
        <w:rPr>
          <w:position w:val="11"/>
          <w:sz w:val="16"/>
        </w:rPr>
        <w:t>16</w:t>
      </w:r>
    </w:p>
    <w:p>
      <w:pPr>
        <w:pStyle w:val="BodyText"/>
        <w:spacing w:before="8"/>
        <w:rPr>
          <w:sz w:val="35"/>
        </w:rPr>
      </w:pPr>
    </w:p>
    <w:p>
      <w:pPr>
        <w:pStyle w:val="BodyText"/>
        <w:spacing w:line="360" w:lineRule="auto" w:before="1"/>
        <w:ind w:left="160" w:right="175"/>
        <w:jc w:val="both"/>
      </w:pPr>
      <w:r>
        <w:rPr/>
        <w:t>Se ha encontrado que los sujetos con mayor actividad de caries presentan más genotipos que los individuos libres de caries, sin embargo, pocos estudios afirman que existe una correlación negativa entre la actividad de caries y la diversidad genotípica. En  estudios  realizados  en  adultos  jóvenes,  se  encontraron  de  7  a  8   </w:t>
      </w:r>
      <w:r>
        <w:rPr>
          <w:spacing w:val="65"/>
        </w:rPr>
        <w:t> </w:t>
      </w:r>
      <w:r>
        <w:rPr/>
        <w:t>genotipos,</w:t>
      </w:r>
    </w:p>
    <w:p>
      <w:pPr>
        <w:pStyle w:val="BodyText"/>
        <w:spacing w:line="328" w:lineRule="auto" w:before="5"/>
        <w:ind w:left="160" w:right="175"/>
        <w:jc w:val="both"/>
        <w:rPr>
          <w:sz w:val="16"/>
        </w:rPr>
      </w:pPr>
      <w:r>
        <w:rPr/>
        <w:t>especialmente en los que habían tenido experiencia previa de caries, mientras que en los niños se observa de 1 hasta 5 genotipos distintos. </w:t>
      </w:r>
      <w:r>
        <w:rPr>
          <w:position w:val="11"/>
          <w:sz w:val="16"/>
        </w:rPr>
        <w:t>17, 26</w:t>
      </w:r>
    </w:p>
    <w:p>
      <w:pPr>
        <w:pStyle w:val="BodyText"/>
        <w:spacing w:before="2"/>
        <w:rPr>
          <w:sz w:val="38"/>
        </w:rPr>
      </w:pPr>
    </w:p>
    <w:p>
      <w:pPr>
        <w:pStyle w:val="BodyText"/>
        <w:spacing w:line="360" w:lineRule="auto"/>
        <w:ind w:left="160" w:right="173"/>
        <w:jc w:val="both"/>
      </w:pPr>
      <w:r>
        <w:rPr/>
        <w:t>Las células son de forma esférica u ovoide, con 0.5 - 2.0 micras de diámetro, que se producen en pares o cadenas cuando se cultivan en medios líquidos, y son Gram positivos. Su metabolismo es fermentativo, produce lactato, y no gas. Los miembros  del grupo </w:t>
      </w:r>
      <w:r>
        <w:rPr>
          <w:i/>
        </w:rPr>
        <w:t>Streptococci </w:t>
      </w:r>
      <w:r>
        <w:rPr/>
        <w:t>son catalasa-negativos y suelen atacar a las células rojas de la sangre con β-hemólisis. La temperatura óptima de crecimiento es de 37° C. El grupo  </w:t>
      </w:r>
      <w:r>
        <w:rPr>
          <w:i/>
        </w:rPr>
        <w:t>MS </w:t>
      </w:r>
      <w:r>
        <w:rPr/>
        <w:t>constituye una población importante en la cavidad oral, con diferentes especies colonizando  los  nichos  ecológicos  de  la  boca.  La  diferenciación  entre  los  </w:t>
      </w:r>
      <w:r>
        <w:rPr>
          <w:spacing w:val="15"/>
        </w:rPr>
        <w:t> </w:t>
      </w:r>
      <w:r>
        <w:rPr/>
        <w:t>grupos</w:t>
      </w:r>
    </w:p>
    <w:p>
      <w:pPr>
        <w:pStyle w:val="BodyText"/>
        <w:spacing w:line="328" w:lineRule="auto" w:before="5"/>
        <w:ind w:left="160" w:right="174"/>
        <w:jc w:val="both"/>
        <w:rPr>
          <w:sz w:val="16"/>
        </w:rPr>
      </w:pPr>
      <w:r>
        <w:rPr/>
        <w:t>piógeno, oral y anaeróbico puede ser laboriosa, y se requiere mucha información para la clasificación.</w:t>
      </w:r>
      <w:r>
        <w:rPr>
          <w:spacing w:val="-3"/>
        </w:rPr>
        <w:t> </w:t>
      </w:r>
      <w:r>
        <w:rPr>
          <w:position w:val="11"/>
          <w:sz w:val="16"/>
        </w:rPr>
        <w:t>42</w:t>
      </w:r>
    </w:p>
    <w:p>
      <w:pPr>
        <w:pStyle w:val="BodyText"/>
        <w:spacing w:before="11"/>
        <w:rPr>
          <w:sz w:val="37"/>
        </w:rPr>
      </w:pPr>
    </w:p>
    <w:p>
      <w:pPr>
        <w:pStyle w:val="BodyText"/>
        <w:spacing w:line="360" w:lineRule="auto"/>
        <w:ind w:left="160" w:right="174"/>
        <w:jc w:val="both"/>
        <w:rPr>
          <w:i/>
        </w:rPr>
      </w:pPr>
      <w:r>
        <w:rPr/>
        <w:t>Por otra parte, es sabido que algunos miembros del grupo </w:t>
      </w:r>
      <w:r>
        <w:rPr>
          <w:i/>
        </w:rPr>
        <w:t>no mutans Strepcocci </w:t>
      </w:r>
      <w:r>
        <w:rPr/>
        <w:t>pueden llegar a atenuar la virulencia del </w:t>
      </w:r>
      <w:r>
        <w:rPr>
          <w:i/>
        </w:rPr>
        <w:t>S. mutans </w:t>
      </w:r>
      <w:r>
        <w:rPr/>
        <w:t>e incluso ser un factor protector. No se  encuentran  datos  que  afirmen  un  papel  causante  de  caries  por  parte  del   </w:t>
      </w:r>
      <w:r>
        <w:rPr>
          <w:spacing w:val="45"/>
        </w:rPr>
        <w:t> </w:t>
      </w:r>
      <w:r>
        <w:rPr>
          <w:i/>
        </w:rPr>
        <w:t>S.</w:t>
      </w:r>
    </w:p>
    <w:p>
      <w:pPr>
        <w:spacing w:after="0" w:line="360" w:lineRule="auto"/>
        <w:jc w:val="both"/>
        <w:sectPr>
          <w:pgSz w:w="12240" w:h="15840"/>
          <w:pgMar w:header="736" w:footer="1024" w:top="1180" w:bottom="1220" w:left="1280" w:right="1260"/>
        </w:sectPr>
      </w:pPr>
    </w:p>
    <w:p>
      <w:pPr>
        <w:pStyle w:val="BodyText"/>
        <w:spacing w:before="11"/>
        <w:rPr>
          <w:i/>
          <w:sz w:val="16"/>
        </w:rPr>
      </w:pPr>
    </w:p>
    <w:p>
      <w:pPr>
        <w:spacing w:line="331" w:lineRule="auto" w:before="69"/>
        <w:ind w:left="160" w:right="184" w:firstLine="0"/>
        <w:jc w:val="both"/>
        <w:rPr>
          <w:sz w:val="16"/>
        </w:rPr>
      </w:pPr>
      <w:r>
        <w:rPr>
          <w:i/>
          <w:sz w:val="24"/>
        </w:rPr>
        <w:t>sanguinis </w:t>
      </w:r>
      <w:r>
        <w:rPr>
          <w:sz w:val="24"/>
        </w:rPr>
        <w:t>o </w:t>
      </w:r>
      <w:r>
        <w:rPr>
          <w:i/>
          <w:sz w:val="24"/>
        </w:rPr>
        <w:t>salivarius</w:t>
      </w:r>
      <w:r>
        <w:rPr>
          <w:sz w:val="24"/>
        </w:rPr>
        <w:t>, de hecho, algunos datos sugieren una relación inversa entre la presencia de </w:t>
      </w:r>
      <w:r>
        <w:rPr>
          <w:i/>
          <w:sz w:val="24"/>
        </w:rPr>
        <w:t>sanguinis </w:t>
      </w:r>
      <w:r>
        <w:rPr>
          <w:sz w:val="24"/>
        </w:rPr>
        <w:t>y </w:t>
      </w:r>
      <w:r>
        <w:rPr>
          <w:i/>
          <w:sz w:val="24"/>
        </w:rPr>
        <w:t>mutans</w:t>
      </w:r>
      <w:r>
        <w:rPr>
          <w:sz w:val="24"/>
        </w:rPr>
        <w:t>. </w:t>
      </w:r>
      <w:r>
        <w:rPr>
          <w:position w:val="11"/>
          <w:sz w:val="16"/>
        </w:rPr>
        <w:t>27</w:t>
      </w:r>
    </w:p>
    <w:p>
      <w:pPr>
        <w:pStyle w:val="BodyText"/>
        <w:spacing w:before="1"/>
        <w:rPr>
          <w:sz w:val="38"/>
        </w:rPr>
      </w:pPr>
    </w:p>
    <w:p>
      <w:pPr>
        <w:pStyle w:val="BodyText"/>
        <w:spacing w:line="357" w:lineRule="auto"/>
        <w:ind w:left="160" w:right="175"/>
        <w:jc w:val="both"/>
      </w:pPr>
      <w:r>
        <w:rPr/>
        <w:t>Es importante conocer, además de los agentes iniciadores de la caries, a aquellos que de manera secundaria contribuyen al avance de las lesiones. Mientras que en la última mitad del siglo pasado los investigadores dieron gran importancia al grupo </w:t>
      </w:r>
      <w:r>
        <w:rPr>
          <w:i/>
        </w:rPr>
        <w:t>MS</w:t>
      </w:r>
      <w:r>
        <w:rPr/>
        <w:t>, en los</w:t>
      </w:r>
    </w:p>
    <w:p>
      <w:pPr>
        <w:pStyle w:val="BodyText"/>
        <w:spacing w:line="326" w:lineRule="auto" w:before="10"/>
        <w:ind w:left="160" w:right="183"/>
        <w:jc w:val="both"/>
        <w:rPr>
          <w:sz w:val="16"/>
        </w:rPr>
      </w:pPr>
      <w:r>
        <w:rPr/>
        <w:t>inicios de este siglo XXI la mayoría de las investigaciones se enfocaron al mejor conocimiento del grupo </w:t>
      </w:r>
      <w:r>
        <w:rPr>
          <w:i/>
        </w:rPr>
        <w:t>Lactobacilli. </w:t>
      </w:r>
      <w:r>
        <w:rPr>
          <w:position w:val="11"/>
          <w:sz w:val="16"/>
        </w:rPr>
        <w:t>13</w:t>
      </w:r>
    </w:p>
    <w:p>
      <w:pPr>
        <w:pStyle w:val="BodyText"/>
        <w:rPr>
          <w:sz w:val="28"/>
        </w:rPr>
      </w:pPr>
    </w:p>
    <w:p>
      <w:pPr>
        <w:pStyle w:val="BodyText"/>
        <w:rPr>
          <w:sz w:val="28"/>
        </w:rPr>
      </w:pPr>
    </w:p>
    <w:p>
      <w:pPr>
        <w:pStyle w:val="ListParagraph"/>
        <w:numPr>
          <w:ilvl w:val="2"/>
          <w:numId w:val="6"/>
        </w:numPr>
        <w:tabs>
          <w:tab w:pos="1843" w:val="left" w:leader="none"/>
        </w:tabs>
        <w:spacing w:line="240" w:lineRule="auto" w:before="214" w:after="0"/>
        <w:ind w:left="1842" w:right="0" w:hanging="602"/>
        <w:jc w:val="left"/>
        <w:rPr>
          <w:b/>
          <w:i/>
          <w:sz w:val="24"/>
        </w:rPr>
      </w:pPr>
      <w:r>
        <w:rPr>
          <w:b/>
          <w:i/>
          <w:sz w:val="24"/>
        </w:rPr>
        <w:t>Lactobacillus</w:t>
      </w:r>
      <w:r>
        <w:rPr>
          <w:b/>
          <w:i/>
          <w:spacing w:val="-7"/>
          <w:sz w:val="24"/>
        </w:rPr>
        <w:t> </w:t>
      </w:r>
      <w:r>
        <w:rPr>
          <w:b/>
          <w:i/>
          <w:sz w:val="24"/>
        </w:rPr>
        <w:t>casei</w:t>
      </w:r>
    </w:p>
    <w:p>
      <w:pPr>
        <w:pStyle w:val="BodyText"/>
        <w:rPr>
          <w:b/>
          <w:i/>
        </w:rPr>
      </w:pPr>
    </w:p>
    <w:p>
      <w:pPr>
        <w:pStyle w:val="BodyText"/>
        <w:spacing w:before="10"/>
        <w:rPr>
          <w:b/>
          <w:i/>
          <w:sz w:val="35"/>
        </w:rPr>
      </w:pPr>
    </w:p>
    <w:p>
      <w:pPr>
        <w:pStyle w:val="BodyText"/>
        <w:spacing w:line="345" w:lineRule="auto"/>
        <w:ind w:left="160" w:right="174"/>
        <w:jc w:val="both"/>
        <w:rPr>
          <w:sz w:val="16"/>
        </w:rPr>
      </w:pPr>
      <w:r>
        <w:rPr/>
        <w:t>Mientras que </w:t>
      </w:r>
      <w:r>
        <w:rPr>
          <w:i/>
        </w:rPr>
        <w:t>S. mutans </w:t>
      </w:r>
      <w:r>
        <w:rPr/>
        <w:t>desempeña un papel importante en el inicio de la caries dental, el grupo </w:t>
      </w:r>
      <w:r>
        <w:rPr>
          <w:i/>
        </w:rPr>
        <w:t>Lactobacilli</w:t>
      </w:r>
      <w:r>
        <w:rPr/>
        <w:t>, se considera importante invasor secundario, pues contribuye a la progresión de la caries. </w:t>
      </w:r>
      <w:r>
        <w:rPr>
          <w:position w:val="11"/>
          <w:sz w:val="16"/>
        </w:rPr>
        <w:t>16, 25, 27, 32, 43 </w:t>
      </w:r>
      <w:r>
        <w:rPr/>
        <w:t>El género </w:t>
      </w:r>
      <w:r>
        <w:rPr>
          <w:i/>
        </w:rPr>
        <w:t>Lactobacillus </w:t>
      </w:r>
      <w:r>
        <w:rPr/>
        <w:t>incluye más de 80 especies, su taxonomía no es sencilla, debido a que existen muchos bacilos Gram positivos agrupados bajo el mismo nombre. </w:t>
      </w:r>
      <w:r>
        <w:rPr>
          <w:position w:val="11"/>
          <w:sz w:val="16"/>
        </w:rPr>
        <w:t>16,</w:t>
      </w:r>
      <w:r>
        <w:rPr>
          <w:spacing w:val="-12"/>
          <w:position w:val="11"/>
          <w:sz w:val="16"/>
        </w:rPr>
        <w:t> </w:t>
      </w:r>
      <w:r>
        <w:rPr>
          <w:position w:val="11"/>
          <w:sz w:val="16"/>
        </w:rPr>
        <w:t>44</w:t>
      </w:r>
    </w:p>
    <w:p>
      <w:pPr>
        <w:pStyle w:val="BodyText"/>
        <w:spacing w:before="1"/>
        <w:rPr>
          <w:sz w:val="36"/>
        </w:rPr>
      </w:pPr>
    </w:p>
    <w:p>
      <w:pPr>
        <w:pStyle w:val="ListParagraph"/>
        <w:numPr>
          <w:ilvl w:val="3"/>
          <w:numId w:val="6"/>
        </w:numPr>
        <w:tabs>
          <w:tab w:pos="2402" w:val="left" w:leader="none"/>
        </w:tabs>
        <w:spacing w:line="240" w:lineRule="auto" w:before="0" w:after="0"/>
        <w:ind w:left="2401" w:right="0" w:hanging="801"/>
        <w:jc w:val="left"/>
        <w:rPr>
          <w:sz w:val="24"/>
        </w:rPr>
      </w:pPr>
      <w:r>
        <w:rPr>
          <w:sz w:val="24"/>
        </w:rPr>
        <w:t>Transmisión</w:t>
      </w:r>
    </w:p>
    <w:p>
      <w:pPr>
        <w:pStyle w:val="BodyText"/>
      </w:pPr>
    </w:p>
    <w:p>
      <w:pPr>
        <w:pStyle w:val="BodyText"/>
      </w:pPr>
    </w:p>
    <w:p>
      <w:pPr>
        <w:pStyle w:val="BodyText"/>
        <w:spacing w:before="2"/>
      </w:pPr>
    </w:p>
    <w:p>
      <w:pPr>
        <w:pStyle w:val="BodyText"/>
        <w:spacing w:line="348" w:lineRule="auto"/>
        <w:ind w:left="160" w:right="180"/>
        <w:jc w:val="both"/>
        <w:rPr>
          <w:sz w:val="16"/>
        </w:rPr>
      </w:pPr>
      <w:r>
        <w:rPr/>
        <w:t>Se ha reportado que estos microorganismos no se encuentran presentes al momento del nacimiento, ya que se transmiten en los primeros años de vida. Existen reportes en donde se muestra una clara relación entre los niveles de </w:t>
      </w:r>
      <w:r>
        <w:rPr>
          <w:i/>
        </w:rPr>
        <w:t>Lactobacillus </w:t>
      </w:r>
      <w:r>
        <w:rPr/>
        <w:t>en saliva y la presencia de caries dental, lo que lleva a pensar que se transmiten entre individuos cercanos. </w:t>
      </w:r>
      <w:r>
        <w:rPr>
          <w:position w:val="11"/>
          <w:sz w:val="16"/>
        </w:rPr>
        <w:t>16 </w:t>
      </w:r>
      <w:r>
        <w:rPr/>
        <w:t>Sin embargo, y de manera transitoria, pueden encontrarse en la cavidad bucal aún antes de la erupción dental. </w:t>
      </w:r>
      <w:r>
        <w:rPr>
          <w:position w:val="11"/>
          <w:sz w:val="16"/>
        </w:rPr>
        <w:t>20</w:t>
      </w:r>
    </w:p>
    <w:p>
      <w:pPr>
        <w:spacing w:after="0" w:line="348" w:lineRule="auto"/>
        <w:jc w:val="both"/>
        <w:rPr>
          <w:sz w:val="16"/>
        </w:rPr>
        <w:sectPr>
          <w:pgSz w:w="12240" w:h="15840"/>
          <w:pgMar w:header="736" w:footer="1024" w:top="1180" w:bottom="1220" w:left="1280" w:right="1260"/>
        </w:sectPr>
      </w:pPr>
    </w:p>
    <w:p>
      <w:pPr>
        <w:pStyle w:val="BodyText"/>
        <w:spacing w:before="11"/>
        <w:rPr>
          <w:sz w:val="16"/>
        </w:rPr>
      </w:pPr>
    </w:p>
    <w:p>
      <w:pPr>
        <w:pStyle w:val="ListParagraph"/>
        <w:numPr>
          <w:ilvl w:val="3"/>
          <w:numId w:val="6"/>
        </w:numPr>
        <w:tabs>
          <w:tab w:pos="2402" w:val="left" w:leader="none"/>
        </w:tabs>
        <w:spacing w:line="240" w:lineRule="auto" w:before="69" w:after="0"/>
        <w:ind w:left="2401" w:right="0" w:hanging="801"/>
        <w:jc w:val="left"/>
        <w:rPr>
          <w:sz w:val="24"/>
        </w:rPr>
      </w:pPr>
      <w:r>
        <w:rPr>
          <w:sz w:val="24"/>
        </w:rPr>
        <w:t>Localización</w:t>
      </w:r>
    </w:p>
    <w:p>
      <w:pPr>
        <w:pStyle w:val="BodyText"/>
      </w:pPr>
    </w:p>
    <w:p>
      <w:pPr>
        <w:pStyle w:val="BodyText"/>
      </w:pPr>
    </w:p>
    <w:p>
      <w:pPr>
        <w:pStyle w:val="BodyText"/>
        <w:spacing w:line="360" w:lineRule="auto" w:before="142"/>
        <w:ind w:left="160" w:right="175"/>
        <w:jc w:val="both"/>
      </w:pPr>
      <w:r>
        <w:rPr/>
        <w:t>De manera preferencial colonizan el dorso de la lengua y se transmiten hacia la saliva a través del desprendimiento del epitelio, encontrándose comúnmente en lesiones establecidas. Su localización depende del tamaño de las cavidades, por lo que se encuentran en cavidades que van de medianas a grandes, además en las raíces y en lesiones dentinales asociadas con pulpitis. Las fosas y fisuras, así como los terceros molares parcialmente erupcionados, proporcionan un lugar retentivo favorable para   su</w:t>
      </w:r>
    </w:p>
    <w:p>
      <w:pPr>
        <w:pStyle w:val="BodyText"/>
        <w:spacing w:line="279" w:lineRule="exact"/>
        <w:ind w:left="160"/>
        <w:jc w:val="both"/>
        <w:rPr>
          <w:sz w:val="16"/>
        </w:rPr>
      </w:pPr>
      <w:r>
        <w:rPr/>
        <w:t>crecimiento. </w:t>
      </w:r>
      <w:r>
        <w:rPr>
          <w:position w:val="11"/>
          <w:sz w:val="16"/>
        </w:rPr>
        <w:t>20</w:t>
      </w:r>
    </w:p>
    <w:p>
      <w:pPr>
        <w:pStyle w:val="BodyText"/>
        <w:rPr>
          <w:sz w:val="28"/>
        </w:rPr>
      </w:pPr>
    </w:p>
    <w:p>
      <w:pPr>
        <w:pStyle w:val="BodyText"/>
        <w:spacing w:line="328" w:lineRule="auto" w:before="230"/>
        <w:ind w:left="160" w:right="184"/>
        <w:jc w:val="both"/>
        <w:rPr>
          <w:sz w:val="16"/>
        </w:rPr>
      </w:pPr>
      <w:r>
        <w:rPr/>
        <w:t>Conforme la caries progresa hacia la dentina, el microambiente es selectivo para organismos acidúricos como el grupo </w:t>
      </w:r>
      <w:r>
        <w:rPr>
          <w:i/>
        </w:rPr>
        <w:t>Lactobacilli</w:t>
      </w:r>
      <w:r>
        <w:rPr/>
        <w:t>. </w:t>
      </w:r>
      <w:r>
        <w:rPr>
          <w:position w:val="11"/>
          <w:sz w:val="16"/>
        </w:rPr>
        <w:t>32</w:t>
      </w:r>
    </w:p>
    <w:p>
      <w:pPr>
        <w:pStyle w:val="BodyText"/>
        <w:spacing w:before="1"/>
        <w:rPr>
          <w:sz w:val="38"/>
        </w:rPr>
      </w:pPr>
    </w:p>
    <w:p>
      <w:pPr>
        <w:pStyle w:val="ListParagraph"/>
        <w:numPr>
          <w:ilvl w:val="3"/>
          <w:numId w:val="6"/>
        </w:numPr>
        <w:tabs>
          <w:tab w:pos="2402" w:val="left" w:leader="none"/>
        </w:tabs>
        <w:spacing w:line="240" w:lineRule="auto" w:before="1" w:after="0"/>
        <w:ind w:left="2401" w:right="0" w:hanging="801"/>
        <w:jc w:val="left"/>
        <w:rPr>
          <w:sz w:val="24"/>
        </w:rPr>
      </w:pPr>
      <w:r>
        <w:rPr>
          <w:sz w:val="24"/>
        </w:rPr>
        <w:t>Virulencia</w:t>
      </w:r>
    </w:p>
    <w:p>
      <w:pPr>
        <w:pStyle w:val="BodyText"/>
      </w:pPr>
    </w:p>
    <w:p>
      <w:pPr>
        <w:pStyle w:val="BodyText"/>
      </w:pPr>
    </w:p>
    <w:p>
      <w:pPr>
        <w:pStyle w:val="BodyText"/>
        <w:spacing w:before="2"/>
      </w:pPr>
    </w:p>
    <w:p>
      <w:pPr>
        <w:pStyle w:val="BodyText"/>
        <w:spacing w:line="360" w:lineRule="auto"/>
        <w:ind w:left="160" w:right="174"/>
        <w:jc w:val="both"/>
      </w:pPr>
      <w:r>
        <w:rPr/>
        <w:t>Este grupo es altamente acidogénico a partir de carbohidratos y es ácido tolerante. Algunos datos muestran que tienen la habilidad de colonizar lesiones cuando existe la colonización previa del grupo </w:t>
      </w:r>
      <w:r>
        <w:rPr>
          <w:i/>
        </w:rPr>
        <w:t>MS </w:t>
      </w:r>
      <w:r>
        <w:rPr/>
        <w:t>como el </w:t>
      </w:r>
      <w:r>
        <w:rPr>
          <w:i/>
        </w:rPr>
        <w:t>S. sobrinus</w:t>
      </w:r>
      <w:r>
        <w:rPr/>
        <w:t>, por lo que no son requisito para el   desarrollo   inicial   de   caries   pero   pueden   contribuir   potencialmente   a        la</w:t>
      </w:r>
    </w:p>
    <w:p>
      <w:pPr>
        <w:pStyle w:val="BodyText"/>
        <w:spacing w:line="328" w:lineRule="auto" w:before="5"/>
        <w:ind w:left="160" w:right="186"/>
        <w:jc w:val="both"/>
        <w:rPr>
          <w:sz w:val="16"/>
        </w:rPr>
      </w:pPr>
      <w:r>
        <w:rPr/>
        <w:t>desmineralización dental una vez que las lesiones se establecen tanto en corona como en raíz. </w:t>
      </w:r>
      <w:r>
        <w:rPr>
          <w:position w:val="11"/>
          <w:sz w:val="16"/>
        </w:rPr>
        <w:t>20</w:t>
      </w:r>
    </w:p>
    <w:p>
      <w:pPr>
        <w:pStyle w:val="BodyText"/>
        <w:spacing w:before="11"/>
        <w:rPr>
          <w:sz w:val="37"/>
        </w:rPr>
      </w:pPr>
    </w:p>
    <w:p>
      <w:pPr>
        <w:pStyle w:val="ListParagraph"/>
        <w:numPr>
          <w:ilvl w:val="3"/>
          <w:numId w:val="6"/>
        </w:numPr>
        <w:tabs>
          <w:tab w:pos="2402" w:val="left" w:leader="none"/>
        </w:tabs>
        <w:spacing w:line="240" w:lineRule="auto" w:before="0" w:after="0"/>
        <w:ind w:left="2401" w:right="0" w:hanging="801"/>
        <w:jc w:val="left"/>
        <w:rPr>
          <w:sz w:val="24"/>
        </w:rPr>
      </w:pPr>
      <w:r>
        <w:rPr>
          <w:sz w:val="24"/>
        </w:rPr>
        <w:t>Genotipo y</w:t>
      </w:r>
      <w:r>
        <w:rPr>
          <w:spacing w:val="-8"/>
          <w:sz w:val="24"/>
        </w:rPr>
        <w:t> </w:t>
      </w:r>
      <w:r>
        <w:rPr>
          <w:sz w:val="24"/>
        </w:rPr>
        <w:t>fenotipo</w:t>
      </w:r>
    </w:p>
    <w:p>
      <w:pPr>
        <w:pStyle w:val="BodyText"/>
      </w:pPr>
    </w:p>
    <w:p>
      <w:pPr>
        <w:pStyle w:val="BodyText"/>
      </w:pPr>
    </w:p>
    <w:p>
      <w:pPr>
        <w:pStyle w:val="BodyText"/>
      </w:pPr>
    </w:p>
    <w:p>
      <w:pPr>
        <w:spacing w:line="360" w:lineRule="auto" w:before="0"/>
        <w:ind w:left="160" w:right="173" w:firstLine="0"/>
        <w:jc w:val="both"/>
        <w:rPr>
          <w:sz w:val="24"/>
        </w:rPr>
      </w:pPr>
      <w:r>
        <w:rPr>
          <w:sz w:val="24"/>
        </w:rPr>
        <w:t>Los </w:t>
      </w:r>
      <w:r>
        <w:rPr>
          <w:i/>
          <w:sz w:val="24"/>
        </w:rPr>
        <w:t>Lactobacilli </w:t>
      </w:r>
      <w:r>
        <w:rPr>
          <w:sz w:val="24"/>
        </w:rPr>
        <w:t>orales son: </w:t>
      </w:r>
      <w:r>
        <w:rPr>
          <w:i/>
          <w:sz w:val="24"/>
        </w:rPr>
        <w:t>acidophillus, salivarius, plantarum, fermentum, cellobiosus, </w:t>
      </w:r>
      <w:r>
        <w:rPr>
          <w:i/>
          <w:sz w:val="24"/>
        </w:rPr>
        <w:t>brevis, buchneri </w:t>
      </w:r>
      <w:r>
        <w:rPr>
          <w:sz w:val="24"/>
        </w:rPr>
        <w:t>y </w:t>
      </w:r>
      <w:r>
        <w:rPr>
          <w:i/>
          <w:sz w:val="24"/>
        </w:rPr>
        <w:t>casei</w:t>
      </w:r>
      <w:r>
        <w:rPr>
          <w:sz w:val="24"/>
        </w:rPr>
        <w:t>, siendo el producto estricto final de la fermentación de carbohidratos el ácido láctico. Existen también diversas especies de </w:t>
      </w:r>
      <w:r>
        <w:rPr>
          <w:i/>
          <w:sz w:val="24"/>
        </w:rPr>
        <w:t>L. casei, </w:t>
      </w:r>
      <w:r>
        <w:rPr>
          <w:sz w:val="24"/>
        </w:rPr>
        <w:t>se sabe que son Gram positivos, anaerobios facultativos, no móviles y no formadores de esporas, con forma de bastón, con un tamaño de 0.7 - 1.1 x 2.0 - 4.0 micrómetros. Al</w:t>
      </w:r>
    </w:p>
    <w:p>
      <w:pPr>
        <w:spacing w:after="0" w:line="360" w:lineRule="auto"/>
        <w:jc w:val="both"/>
        <w:rPr>
          <w:sz w:val="24"/>
        </w:rPr>
        <w:sectPr>
          <w:pgSz w:w="12240" w:h="15840"/>
          <w:pgMar w:header="736" w:footer="1024" w:top="1180" w:bottom="1220" w:left="1280" w:right="1260"/>
        </w:sectPr>
      </w:pPr>
    </w:p>
    <w:p>
      <w:pPr>
        <w:pStyle w:val="BodyText"/>
        <w:spacing w:before="11"/>
        <w:rPr>
          <w:sz w:val="16"/>
        </w:rPr>
      </w:pPr>
    </w:p>
    <w:p>
      <w:pPr>
        <w:pStyle w:val="BodyText"/>
        <w:spacing w:line="345" w:lineRule="auto" w:before="69"/>
        <w:ind w:left="160" w:right="174"/>
        <w:jc w:val="both"/>
        <w:rPr>
          <w:sz w:val="16"/>
        </w:rPr>
      </w:pPr>
      <w:r>
        <w:rPr/>
        <w:t>igual que otras bacterias de ácido láctico, </w:t>
      </w:r>
      <w:r>
        <w:rPr>
          <w:i/>
        </w:rPr>
        <w:t>L. casei </w:t>
      </w:r>
      <w:r>
        <w:rPr/>
        <w:t>es ácido tolerante, no puede  sintetizar porfirinas y forma parte del grupo de especies facultativas que producen ácido láctico a partir de azúcares de hexosa.</w:t>
      </w:r>
      <w:r>
        <w:rPr>
          <w:spacing w:val="-10"/>
        </w:rPr>
        <w:t> </w:t>
      </w:r>
      <w:r>
        <w:rPr>
          <w:position w:val="11"/>
          <w:sz w:val="16"/>
        </w:rPr>
        <w:t>44</w:t>
      </w:r>
    </w:p>
    <w:p>
      <w:pPr>
        <w:pStyle w:val="BodyText"/>
        <w:rPr>
          <w:sz w:val="28"/>
        </w:rPr>
      </w:pPr>
    </w:p>
    <w:p>
      <w:pPr>
        <w:pStyle w:val="BodyText"/>
        <w:rPr>
          <w:sz w:val="28"/>
        </w:rPr>
      </w:pPr>
    </w:p>
    <w:p>
      <w:pPr>
        <w:pStyle w:val="BodyText"/>
        <w:spacing w:line="360" w:lineRule="auto" w:before="174"/>
        <w:ind w:left="160" w:right="174"/>
        <w:jc w:val="both"/>
      </w:pPr>
      <w:r>
        <w:rPr/>
        <w:t>Una vez que se ha identificado el mecanismo de acción de los principales microorganismos responsables del proceso de la caries dental y como parte del esfuerzo para brindar un tratamiento acertado y oportuno, es necesario conocer  algunas de las principales sustancias que pueden contribuir al manejo adecuado de los microorganismos</w:t>
      </w:r>
      <w:r>
        <w:rPr>
          <w:spacing w:val="-10"/>
        </w:rPr>
        <w:t> </w:t>
      </w:r>
      <w:r>
        <w:rPr/>
        <w:t>cariogénicos.</w:t>
      </w:r>
    </w:p>
    <w:p>
      <w:pPr>
        <w:pStyle w:val="BodyText"/>
      </w:pPr>
    </w:p>
    <w:p>
      <w:pPr>
        <w:pStyle w:val="BodyText"/>
      </w:pPr>
    </w:p>
    <w:p>
      <w:pPr>
        <w:pStyle w:val="BodyText"/>
        <w:spacing w:before="9"/>
        <w:rPr>
          <w:sz w:val="22"/>
        </w:rPr>
      </w:pPr>
    </w:p>
    <w:p>
      <w:pPr>
        <w:pStyle w:val="Heading2"/>
        <w:numPr>
          <w:ilvl w:val="1"/>
          <w:numId w:val="6"/>
        </w:numPr>
        <w:tabs>
          <w:tab w:pos="1897" w:val="left" w:leader="none"/>
          <w:tab w:pos="1898" w:val="left" w:leader="none"/>
          <w:tab w:pos="3830" w:val="left" w:leader="none"/>
          <w:tab w:pos="5715" w:val="left" w:leader="none"/>
          <w:tab w:pos="8340" w:val="left" w:leader="none"/>
          <w:tab w:pos="8994" w:val="left" w:leader="none"/>
        </w:tabs>
        <w:spacing w:line="480" w:lineRule="auto" w:before="0" w:after="0"/>
        <w:ind w:left="1240" w:right="182" w:firstLine="0"/>
        <w:jc w:val="left"/>
      </w:pPr>
      <w:bookmarkStart w:name="_TOC_250012" w:id="4"/>
      <w:bookmarkEnd w:id="4"/>
      <w:r>
        <w:rPr/>
        <w:t>PRINCIPALES</w:t>
        <w:tab/>
        <w:t>SUSTANCIAS</w:t>
        <w:tab/>
        <w:t>ANTIBACTERIANAS</w:t>
        <w:tab/>
        <w:t>DE</w:t>
        <w:tab/>
        <w:t>USO ODONTOLÓGICO</w:t>
      </w:r>
    </w:p>
    <w:p>
      <w:pPr>
        <w:pStyle w:val="BodyText"/>
        <w:rPr>
          <w:b/>
        </w:rPr>
      </w:pPr>
    </w:p>
    <w:p>
      <w:pPr>
        <w:pStyle w:val="BodyText"/>
        <w:spacing w:line="360" w:lineRule="auto" w:before="149"/>
        <w:ind w:left="160" w:right="174"/>
        <w:jc w:val="both"/>
      </w:pPr>
      <w:r>
        <w:rPr/>
        <w:t>En la actualidad existen sustancias antisépticas que permiten brindarle al operador una alternativa de tratamiento para combatir o eliminar, en lo posible, los microorganismos que colonizan la cavidad bucal y atacan al órgano dentario. Un ejemplo de lo anterior es la Clorhexidina, actualmente muy utilizada en el campo de la</w:t>
      </w:r>
      <w:r>
        <w:rPr>
          <w:spacing w:val="-20"/>
        </w:rPr>
        <w:t> </w:t>
      </w:r>
      <w:r>
        <w:rPr/>
        <w:t>odontología.</w:t>
      </w:r>
    </w:p>
    <w:p>
      <w:pPr>
        <w:pStyle w:val="BodyText"/>
      </w:pPr>
    </w:p>
    <w:p>
      <w:pPr>
        <w:pStyle w:val="BodyText"/>
        <w:spacing w:before="139"/>
        <w:ind w:left="1240" w:right="270"/>
      </w:pPr>
      <w:r>
        <w:rPr/>
        <w:t>3.2.1   Antecedentes de la Clorhexidina</w:t>
      </w:r>
    </w:p>
    <w:p>
      <w:pPr>
        <w:pStyle w:val="BodyText"/>
      </w:pPr>
    </w:p>
    <w:p>
      <w:pPr>
        <w:pStyle w:val="BodyText"/>
        <w:spacing w:before="2"/>
      </w:pPr>
    </w:p>
    <w:p>
      <w:pPr>
        <w:pStyle w:val="BodyText"/>
        <w:spacing w:line="360" w:lineRule="auto"/>
        <w:ind w:left="160" w:right="173"/>
        <w:jc w:val="both"/>
      </w:pPr>
      <w:r>
        <w:rPr/>
        <w:t>Cerca de 1940, algunos científicos buscaban desarrollar un agente que combatiera la malaria, formulado a partir de un grupo de compuestos llamados poliguanidas que habían demostrado un amplio espectro antibacteriano. La Clorhexidina (CHX) fue entonces desarrollada por las Industrias Químicas Imperiales de Inglaterra. Más tarde Davis </w:t>
      </w:r>
      <w:r>
        <w:rPr>
          <w:i/>
        </w:rPr>
        <w:t>et al</w:t>
      </w:r>
      <w:r>
        <w:rPr/>
        <w:t>, en 1954, realizaron un estudio en poliguanidas, encontrando que ciertas bisbiguanidas  poseían  un  espectro  antibacteriano  amplio.  Debido  a  una   variación</w:t>
      </w:r>
    </w:p>
    <w:p>
      <w:pPr>
        <w:pStyle w:val="BodyText"/>
        <w:spacing w:line="328" w:lineRule="auto" w:before="2"/>
        <w:ind w:left="160" w:right="173"/>
        <w:jc w:val="both"/>
        <w:rPr>
          <w:sz w:val="16"/>
        </w:rPr>
      </w:pPr>
      <w:r>
        <w:rPr/>
        <w:t>estructural, ellos se aproximaron a este agente con propiedades bacteriostáticas y bactericidas, un detergente catiónico sintético, referido como la Clorhexidina. </w:t>
      </w:r>
      <w:r>
        <w:rPr>
          <w:position w:val="11"/>
          <w:sz w:val="16"/>
        </w:rPr>
        <w:t>6, 45, 46, 47</w:t>
      </w:r>
    </w:p>
    <w:p>
      <w:pPr>
        <w:spacing w:after="0" w:line="328" w:lineRule="auto"/>
        <w:jc w:val="both"/>
        <w:rPr>
          <w:sz w:val="16"/>
        </w:rPr>
        <w:sectPr>
          <w:footerReference w:type="default" r:id="rId12"/>
          <w:pgSz w:w="12240" w:h="15840"/>
          <w:pgMar w:footer="1024" w:header="736" w:top="1180" w:bottom="1220" w:left="1280" w:right="1260"/>
        </w:sectPr>
      </w:pPr>
    </w:p>
    <w:p>
      <w:pPr>
        <w:pStyle w:val="BodyText"/>
        <w:spacing w:before="2"/>
        <w:rPr>
          <w:sz w:val="17"/>
        </w:rPr>
      </w:pPr>
    </w:p>
    <w:p>
      <w:pPr>
        <w:pStyle w:val="BodyText"/>
        <w:spacing w:line="348" w:lineRule="auto" w:before="69"/>
        <w:ind w:left="160" w:right="175"/>
        <w:jc w:val="both"/>
        <w:rPr>
          <w:sz w:val="16"/>
        </w:rPr>
      </w:pPr>
      <w:r>
        <w:rPr/>
        <w:t>Utilizado desde 1957 en Estados Unidos, este desinfectante alcanzó su auge de uso hacia 1970. </w:t>
      </w:r>
      <w:r>
        <w:rPr>
          <w:position w:val="11"/>
          <w:sz w:val="16"/>
        </w:rPr>
        <w:t>47, 48 </w:t>
      </w:r>
      <w:r>
        <w:rPr/>
        <w:t>Aproximadamente desde 1988 se ha utilizado en Europa. </w:t>
      </w:r>
      <w:r>
        <w:rPr>
          <w:position w:val="11"/>
          <w:sz w:val="16"/>
        </w:rPr>
        <w:t>6 </w:t>
      </w:r>
      <w:r>
        <w:rPr/>
        <w:t>La primera investigación realizada sobre CHX fue en 1969, pero el estudio definitivo fue realizado por Loe y Schiott, el cual mostró que al realizar enjuagues bucales por 60 segundos, a una dosis del 0.2%, se inhibía el crecimiento de placa dentobacteriana y la formación  de gingivitis. </w:t>
      </w:r>
      <w:r>
        <w:rPr>
          <w:position w:val="11"/>
          <w:sz w:val="16"/>
        </w:rPr>
        <w:t>47,</w:t>
      </w:r>
      <w:r>
        <w:rPr>
          <w:spacing w:val="-3"/>
          <w:position w:val="11"/>
          <w:sz w:val="16"/>
        </w:rPr>
        <w:t> </w:t>
      </w:r>
      <w:r>
        <w:rPr>
          <w:position w:val="11"/>
          <w:sz w:val="16"/>
        </w:rPr>
        <w:t>49</w:t>
      </w:r>
    </w:p>
    <w:p>
      <w:pPr>
        <w:pStyle w:val="BodyText"/>
        <w:rPr>
          <w:sz w:val="36"/>
        </w:rPr>
      </w:pPr>
    </w:p>
    <w:p>
      <w:pPr>
        <w:pStyle w:val="BodyText"/>
        <w:spacing w:line="338" w:lineRule="auto"/>
        <w:ind w:left="160" w:right="176"/>
        <w:jc w:val="both"/>
        <w:rPr>
          <w:sz w:val="16"/>
        </w:rPr>
      </w:pPr>
      <w:r>
        <w:rPr/>
        <w:t>La Clorhexidina (CHX) ha sido reconocida como el más efectivo compuesto químico para el control de la placa dentobacteriana. </w:t>
      </w:r>
      <w:r>
        <w:rPr>
          <w:position w:val="11"/>
          <w:sz w:val="16"/>
        </w:rPr>
        <w:t>47, 50, 51, 52, 53 </w:t>
      </w:r>
      <w:r>
        <w:rPr/>
        <w:t>Posee un amplio espectro antiséptico con efecto antimicrobiano sobre bacterias Gram negativas y Gram positivas, </w:t>
      </w:r>
      <w:r>
        <w:rPr>
          <w:position w:val="11"/>
          <w:sz w:val="16"/>
        </w:rPr>
        <w:t>5, 6, 47, 48, 49 </w:t>
      </w:r>
      <w:r>
        <w:rPr/>
        <w:t>por lo que desde hace más de tres décadas es considerada como el “estándar de oro” en la práctica odontológica. </w:t>
      </w:r>
      <w:r>
        <w:rPr>
          <w:position w:val="11"/>
          <w:sz w:val="16"/>
        </w:rPr>
        <w:t>47, 48, 51, 54</w:t>
      </w:r>
    </w:p>
    <w:p>
      <w:pPr>
        <w:pStyle w:val="BodyText"/>
        <w:spacing w:before="10"/>
        <w:rPr>
          <w:sz w:val="36"/>
        </w:rPr>
      </w:pPr>
    </w:p>
    <w:p>
      <w:pPr>
        <w:pStyle w:val="BodyText"/>
        <w:tabs>
          <w:tab w:pos="2860" w:val="left" w:leader="none"/>
        </w:tabs>
        <w:ind w:left="1780" w:right="270"/>
      </w:pPr>
      <w:r>
        <w:rPr/>
        <w:t>3.2.1.1</w:t>
        <w:tab/>
        <w:t>Composición química y mecanismo de</w:t>
      </w:r>
      <w:r>
        <w:rPr>
          <w:spacing w:val="-17"/>
        </w:rPr>
        <w:t> </w:t>
      </w:r>
      <w:r>
        <w:rPr/>
        <w:t>acción</w:t>
      </w:r>
    </w:p>
    <w:p>
      <w:pPr>
        <w:pStyle w:val="BodyText"/>
        <w:rPr>
          <w:sz w:val="20"/>
        </w:rPr>
      </w:pPr>
    </w:p>
    <w:p>
      <w:pPr>
        <w:pStyle w:val="BodyText"/>
        <w:rPr>
          <w:sz w:val="20"/>
        </w:rPr>
      </w:pPr>
    </w:p>
    <w:p>
      <w:pPr>
        <w:pStyle w:val="BodyText"/>
        <w:rPr>
          <w:sz w:val="17"/>
        </w:rPr>
      </w:pPr>
      <w:r>
        <w:rPr/>
        <w:drawing>
          <wp:anchor distT="0" distB="0" distL="0" distR="0" allowOverlap="1" layoutInCell="1" locked="0" behindDoc="0" simplePos="0" relativeHeight="1120">
            <wp:simplePos x="0" y="0"/>
            <wp:positionH relativeFrom="page">
              <wp:posOffset>2519426</wp:posOffset>
            </wp:positionH>
            <wp:positionV relativeFrom="paragraph">
              <wp:posOffset>148957</wp:posOffset>
            </wp:positionV>
            <wp:extent cx="2729323" cy="2414016"/>
            <wp:effectExtent l="0" t="0" r="0" b="0"/>
            <wp:wrapTopAndBottom/>
            <wp:docPr id="3" name="image3.png" descr=""/>
            <wp:cNvGraphicFramePr>
              <a:graphicFrameLocks noChangeAspect="1"/>
            </wp:cNvGraphicFramePr>
            <a:graphic>
              <a:graphicData uri="http://schemas.openxmlformats.org/drawingml/2006/picture">
                <pic:pic>
                  <pic:nvPicPr>
                    <pic:cNvPr id="4" name="image3.png"/>
                    <pic:cNvPicPr/>
                  </pic:nvPicPr>
                  <pic:blipFill>
                    <a:blip r:embed="rId14" cstate="print"/>
                    <a:stretch>
                      <a:fillRect/>
                    </a:stretch>
                  </pic:blipFill>
                  <pic:spPr>
                    <a:xfrm>
                      <a:off x="0" y="0"/>
                      <a:ext cx="2729323" cy="2414016"/>
                    </a:xfrm>
                    <a:prstGeom prst="rect">
                      <a:avLst/>
                    </a:prstGeom>
                  </pic:spPr>
                </pic:pic>
              </a:graphicData>
            </a:graphic>
          </wp:anchor>
        </w:drawing>
      </w:r>
    </w:p>
    <w:p>
      <w:pPr>
        <w:pStyle w:val="BodyText"/>
        <w:spacing w:before="6"/>
        <w:rPr>
          <w:sz w:val="27"/>
        </w:rPr>
      </w:pPr>
    </w:p>
    <w:p>
      <w:pPr>
        <w:pStyle w:val="BodyText"/>
        <w:spacing w:line="451" w:lineRule="auto"/>
        <w:ind w:left="160" w:right="2621" w:firstLine="2457"/>
        <w:rPr>
          <w:sz w:val="16"/>
        </w:rPr>
      </w:pPr>
      <w:r>
        <w:rPr>
          <w:b/>
        </w:rPr>
        <w:t>Figura 1</w:t>
      </w:r>
      <w:r>
        <w:rPr/>
        <w:t>. Fórmula condensada para CHX La fórmula molecular para CHX es: C</w:t>
      </w:r>
      <w:r>
        <w:rPr>
          <w:position w:val="-2"/>
          <w:sz w:val="16"/>
        </w:rPr>
        <w:t>22</w:t>
      </w:r>
      <w:r>
        <w:rPr/>
        <w:t>H</w:t>
      </w:r>
      <w:r>
        <w:rPr>
          <w:position w:val="-2"/>
          <w:sz w:val="16"/>
        </w:rPr>
        <w:t>30</w:t>
      </w:r>
      <w:r>
        <w:rPr/>
        <w:t>Cl</w:t>
      </w:r>
      <w:r>
        <w:rPr>
          <w:position w:val="-2"/>
          <w:sz w:val="16"/>
        </w:rPr>
        <w:t>2</w:t>
      </w:r>
      <w:r>
        <w:rPr/>
        <w:t>N</w:t>
      </w:r>
      <w:r>
        <w:rPr>
          <w:position w:val="-2"/>
          <w:sz w:val="16"/>
        </w:rPr>
        <w:t>10</w:t>
      </w:r>
    </w:p>
    <w:p>
      <w:pPr>
        <w:pStyle w:val="BodyText"/>
        <w:rPr>
          <w:sz w:val="26"/>
        </w:rPr>
      </w:pPr>
    </w:p>
    <w:p>
      <w:pPr>
        <w:pStyle w:val="BodyText"/>
        <w:spacing w:line="360" w:lineRule="auto" w:before="164"/>
        <w:ind w:left="160" w:right="175"/>
        <w:jc w:val="both"/>
      </w:pPr>
      <w:r>
        <w:rPr/>
        <w:t>El gluconato de Clorhexidina es una sustancia aniónica, </w:t>
      </w:r>
      <w:r>
        <w:rPr>
          <w:position w:val="11"/>
          <w:sz w:val="16"/>
        </w:rPr>
        <w:t>55 </w:t>
      </w:r>
      <w:r>
        <w:rPr/>
        <w:t>que pertenece al grupo de las</w:t>
      </w:r>
      <w:r>
        <w:rPr>
          <w:spacing w:val="44"/>
        </w:rPr>
        <w:t> </w:t>
      </w:r>
      <w:hyperlink r:id="rId15">
        <w:r>
          <w:rPr/>
          <w:t>biguanidas</w:t>
        </w:r>
      </w:hyperlink>
      <w:r>
        <w:rPr/>
        <w:t>.</w:t>
      </w:r>
      <w:r>
        <w:rPr>
          <w:spacing w:val="44"/>
        </w:rPr>
        <w:t> </w:t>
      </w:r>
      <w:r>
        <w:rPr/>
        <w:t>Esta</w:t>
      </w:r>
      <w:r>
        <w:rPr>
          <w:spacing w:val="43"/>
        </w:rPr>
        <w:t> </w:t>
      </w:r>
      <w:r>
        <w:rPr/>
        <w:t>molécula</w:t>
      </w:r>
      <w:r>
        <w:rPr>
          <w:spacing w:val="44"/>
        </w:rPr>
        <w:t> </w:t>
      </w:r>
      <w:r>
        <w:rPr/>
        <w:t>es</w:t>
      </w:r>
      <w:r>
        <w:rPr>
          <w:spacing w:val="44"/>
        </w:rPr>
        <w:t> </w:t>
      </w:r>
      <w:r>
        <w:rPr/>
        <w:t>soluble</w:t>
      </w:r>
      <w:r>
        <w:rPr>
          <w:spacing w:val="44"/>
        </w:rPr>
        <w:t> </w:t>
      </w:r>
      <w:r>
        <w:rPr/>
        <w:t>en</w:t>
      </w:r>
      <w:r>
        <w:rPr>
          <w:spacing w:val="44"/>
        </w:rPr>
        <w:t> </w:t>
      </w:r>
      <w:r>
        <w:rPr/>
        <w:t>agua</w:t>
      </w:r>
      <w:r>
        <w:rPr>
          <w:spacing w:val="44"/>
        </w:rPr>
        <w:t> </w:t>
      </w:r>
      <w:r>
        <w:rPr/>
        <w:t>y</w:t>
      </w:r>
      <w:r>
        <w:rPr>
          <w:spacing w:val="41"/>
        </w:rPr>
        <w:t> </w:t>
      </w:r>
      <w:r>
        <w:rPr/>
        <w:t>en</w:t>
      </w:r>
      <w:r>
        <w:rPr>
          <w:spacing w:val="44"/>
        </w:rPr>
        <w:t> </w:t>
      </w:r>
      <w:r>
        <w:rPr/>
        <w:t>alcohol,</w:t>
      </w:r>
      <w:r>
        <w:rPr>
          <w:spacing w:val="41"/>
        </w:rPr>
        <w:t> </w:t>
      </w:r>
      <w:r>
        <w:rPr/>
        <w:t>lo</w:t>
      </w:r>
      <w:r>
        <w:rPr>
          <w:spacing w:val="44"/>
        </w:rPr>
        <w:t> </w:t>
      </w:r>
      <w:r>
        <w:rPr/>
        <w:t>que</w:t>
      </w:r>
      <w:r>
        <w:rPr>
          <w:spacing w:val="44"/>
        </w:rPr>
        <w:t> </w:t>
      </w:r>
      <w:r>
        <w:rPr/>
        <w:t>aumenta</w:t>
      </w:r>
      <w:r>
        <w:rPr>
          <w:spacing w:val="45"/>
        </w:rPr>
        <w:t> </w:t>
      </w:r>
      <w:r>
        <w:rPr/>
        <w:t>su</w:t>
      </w:r>
    </w:p>
    <w:p>
      <w:pPr>
        <w:spacing w:after="0" w:line="360" w:lineRule="auto"/>
        <w:jc w:val="both"/>
        <w:sectPr>
          <w:footerReference w:type="default" r:id="rId13"/>
          <w:pgSz w:w="12240" w:h="15840"/>
          <w:pgMar w:footer="1024" w:header="736" w:top="1180" w:bottom="1220" w:left="1280" w:right="1260"/>
          <w:pgNumType w:start="21"/>
        </w:sectPr>
      </w:pPr>
    </w:p>
    <w:p>
      <w:pPr>
        <w:pStyle w:val="BodyText"/>
        <w:spacing w:before="2"/>
        <w:rPr>
          <w:sz w:val="17"/>
        </w:rPr>
      </w:pPr>
    </w:p>
    <w:p>
      <w:pPr>
        <w:pStyle w:val="BodyText"/>
        <w:spacing w:line="331" w:lineRule="auto" w:before="69"/>
        <w:ind w:left="160" w:right="176"/>
        <w:jc w:val="both"/>
        <w:rPr>
          <w:sz w:val="16"/>
        </w:rPr>
      </w:pPr>
      <w:r>
        <w:rPr/>
        <w:t>efectividad. Una biguanida es un fármaco que reduce la glucogenólisis. Clorhexidina es un inhibidor de la proteasa. </w:t>
      </w:r>
      <w:r>
        <w:rPr>
          <w:position w:val="11"/>
          <w:sz w:val="16"/>
        </w:rPr>
        <w:t>47, 53</w:t>
      </w:r>
    </w:p>
    <w:p>
      <w:pPr>
        <w:pStyle w:val="BodyText"/>
        <w:spacing w:before="2"/>
        <w:rPr>
          <w:sz w:val="26"/>
        </w:rPr>
      </w:pPr>
    </w:p>
    <w:p>
      <w:pPr>
        <w:pStyle w:val="BodyText"/>
        <w:spacing w:line="350" w:lineRule="auto"/>
        <w:ind w:left="160" w:right="175"/>
        <w:jc w:val="both"/>
        <w:rPr>
          <w:sz w:val="16"/>
        </w:rPr>
      </w:pPr>
      <w:r>
        <w:rPr/>
        <w:t>La Clorhexidina es una molécula catiónica simétrica que consta de dos anillos de </w:t>
      </w:r>
      <w:r>
        <w:rPr>
          <w:spacing w:val="5"/>
        </w:rPr>
        <w:t>4- </w:t>
      </w:r>
      <w:r>
        <w:rPr/>
        <w:t>clorofenil y dos grupos biguánidos unidos por un anillo central de hexatemileno. Es una base fuerte y es más estable en forma de sales. La preparación más común es la sal  de digluconato por su alta solubilidad en agua. </w:t>
      </w:r>
      <w:r>
        <w:rPr>
          <w:position w:val="11"/>
          <w:sz w:val="16"/>
        </w:rPr>
        <w:t>47,</w:t>
      </w:r>
      <w:r>
        <w:rPr>
          <w:spacing w:val="-13"/>
          <w:position w:val="11"/>
          <w:sz w:val="16"/>
        </w:rPr>
        <w:t> </w:t>
      </w:r>
      <w:r>
        <w:rPr>
          <w:position w:val="11"/>
          <w:sz w:val="16"/>
        </w:rPr>
        <w:t>56</w:t>
      </w:r>
    </w:p>
    <w:p>
      <w:pPr>
        <w:pStyle w:val="BodyText"/>
        <w:spacing w:before="1"/>
      </w:pPr>
    </w:p>
    <w:p>
      <w:pPr>
        <w:pStyle w:val="BodyText"/>
        <w:spacing w:line="345" w:lineRule="auto"/>
        <w:ind w:left="160" w:right="180"/>
        <w:jc w:val="both"/>
        <w:rPr>
          <w:sz w:val="16"/>
        </w:rPr>
      </w:pPr>
      <w:r>
        <w:rPr/>
        <w:t>Su persistencia en la superficie dental y en las mucosas orales se atribuye a la naturaleza dicatiónica de su molécula. Posee una parte hidrofílica y una hidrofóbica, que son responsables de su eficiencia. </w:t>
      </w:r>
      <w:r>
        <w:rPr>
          <w:position w:val="11"/>
          <w:sz w:val="16"/>
        </w:rPr>
        <w:t>6, 47, 50,</w:t>
      </w:r>
      <w:r>
        <w:rPr>
          <w:spacing w:val="9"/>
          <w:position w:val="11"/>
          <w:sz w:val="16"/>
        </w:rPr>
        <w:t> </w:t>
      </w:r>
      <w:r>
        <w:rPr>
          <w:position w:val="11"/>
          <w:sz w:val="16"/>
        </w:rPr>
        <w:t>52</w:t>
      </w:r>
    </w:p>
    <w:p>
      <w:pPr>
        <w:pStyle w:val="BodyText"/>
        <w:spacing w:line="328" w:lineRule="auto" w:before="4"/>
        <w:ind w:left="160" w:right="181"/>
        <w:jc w:val="both"/>
        <w:rPr>
          <w:sz w:val="16"/>
        </w:rPr>
      </w:pPr>
      <w:r>
        <w:rPr/>
        <w:t>El hexano 4-clorofenil-diguano es un detergente catiónico sintético, usualmente llamado Clorhexidina. </w:t>
      </w:r>
      <w:r>
        <w:rPr>
          <w:position w:val="11"/>
          <w:sz w:val="16"/>
        </w:rPr>
        <w:t>47</w:t>
      </w:r>
    </w:p>
    <w:p>
      <w:pPr>
        <w:pStyle w:val="BodyText"/>
        <w:spacing w:before="1"/>
        <w:rPr>
          <w:sz w:val="38"/>
        </w:rPr>
      </w:pPr>
    </w:p>
    <w:p>
      <w:pPr>
        <w:pStyle w:val="BodyText"/>
        <w:spacing w:line="348" w:lineRule="auto" w:before="1"/>
        <w:ind w:left="160" w:right="178"/>
        <w:jc w:val="both"/>
        <w:rPr>
          <w:sz w:val="16"/>
        </w:rPr>
      </w:pPr>
      <w:r>
        <w:rPr/>
        <w:t>Respecto al mecanismo de acción, la eficiencia química de CHX se debe a su liberación y disponibilidad en el sitio de acción, durante un tiempo considerable, lo que se conoce como periodo de substantividad. </w:t>
      </w:r>
      <w:r>
        <w:rPr>
          <w:position w:val="11"/>
          <w:sz w:val="16"/>
        </w:rPr>
        <w:t>5, 47, 49 </w:t>
      </w:r>
      <w:r>
        <w:rPr/>
        <w:t>La substantividad es definida como  la habilidad del agente para adherirse al tejido dental duro y a tejidos blandos, para luego ser liberada hacia los fluidos orales, durante varias horas y/o días, manteniendo su potencial de acción. </w:t>
      </w:r>
      <w:r>
        <w:rPr>
          <w:position w:val="11"/>
          <w:sz w:val="16"/>
        </w:rPr>
        <w:t>5, 6,</w:t>
      </w:r>
      <w:r>
        <w:rPr>
          <w:spacing w:val="-5"/>
          <w:position w:val="11"/>
          <w:sz w:val="16"/>
        </w:rPr>
        <w:t> </w:t>
      </w:r>
      <w:r>
        <w:rPr>
          <w:position w:val="11"/>
          <w:sz w:val="16"/>
        </w:rPr>
        <w:t>47</w:t>
      </w:r>
    </w:p>
    <w:p>
      <w:pPr>
        <w:pStyle w:val="BodyText"/>
        <w:rPr>
          <w:sz w:val="36"/>
        </w:rPr>
      </w:pPr>
    </w:p>
    <w:p>
      <w:pPr>
        <w:pStyle w:val="BodyText"/>
        <w:spacing w:line="336" w:lineRule="auto"/>
        <w:ind w:left="160" w:right="175"/>
        <w:jc w:val="both"/>
        <w:rPr>
          <w:sz w:val="16"/>
        </w:rPr>
      </w:pPr>
      <w:r>
        <w:rPr/>
        <w:t>La substantividad de CHX en la hidroxiapatita de la dentina ocurre por la formación de una sal de fosfato y la unión con la colágena tipo 1, además las glicoproteínas salivales tienen un papel primordial en la retención. </w:t>
      </w:r>
      <w:r>
        <w:rPr>
          <w:position w:val="11"/>
          <w:sz w:val="16"/>
        </w:rPr>
        <w:t>49 </w:t>
      </w:r>
      <w:r>
        <w:rPr/>
        <w:t>El efecto inhibitorio de CHX en la  formación de ácidos en la placa, reduce el crecimiento bacteriano en la biopelícula. </w:t>
      </w:r>
      <w:r>
        <w:rPr>
          <w:position w:val="11"/>
          <w:sz w:val="16"/>
        </w:rPr>
        <w:t>45,  </w:t>
      </w:r>
      <w:r>
        <w:rPr>
          <w:sz w:val="16"/>
        </w:rPr>
        <w:t>51</w:t>
      </w:r>
    </w:p>
    <w:p>
      <w:pPr>
        <w:pStyle w:val="BodyText"/>
        <w:rPr>
          <w:sz w:val="16"/>
        </w:rPr>
      </w:pPr>
    </w:p>
    <w:p>
      <w:pPr>
        <w:pStyle w:val="BodyText"/>
        <w:rPr>
          <w:sz w:val="16"/>
        </w:rPr>
      </w:pPr>
    </w:p>
    <w:p>
      <w:pPr>
        <w:pStyle w:val="BodyText"/>
        <w:spacing w:line="360" w:lineRule="auto" w:before="106"/>
        <w:ind w:left="160" w:right="175"/>
        <w:jc w:val="both"/>
      </w:pPr>
      <w:r>
        <w:rPr/>
        <w:t>La naturaleza dicatiónica de CHX, como se mencionó anteriormente, está relacionada con la acción antibacteriana y la substantividad. CHX es una bisbiguanida cargada positivamente, lo que le permite adsorberse a lugares cargados negativamente como la membrana mucosa, y a varios componentes de la biopelícula en la superficie dental como  son:  las  bacterias,  polisacáridos  extracelulares  y glicoproteínas.  Debido  a su</w:t>
      </w:r>
    </w:p>
    <w:p>
      <w:pPr>
        <w:spacing w:after="0" w:line="360" w:lineRule="auto"/>
        <w:jc w:val="both"/>
        <w:sectPr>
          <w:pgSz w:w="12240" w:h="15840"/>
          <w:pgMar w:header="736" w:footer="1024" w:top="1180" w:bottom="1220" w:left="1280" w:right="1260"/>
        </w:sectPr>
      </w:pPr>
    </w:p>
    <w:p>
      <w:pPr>
        <w:pStyle w:val="BodyText"/>
        <w:spacing w:before="2"/>
        <w:rPr>
          <w:sz w:val="17"/>
        </w:rPr>
      </w:pPr>
    </w:p>
    <w:p>
      <w:pPr>
        <w:pStyle w:val="BodyText"/>
        <w:spacing w:line="350" w:lineRule="auto" w:before="69"/>
        <w:ind w:left="160" w:right="176"/>
        <w:jc w:val="both"/>
        <w:rPr>
          <w:sz w:val="16"/>
        </w:rPr>
      </w:pPr>
      <w:r>
        <w:rPr/>
        <w:t>carga dicatiónica es posible que uno de sus extremos se adhiera a la superficie dental y el otro permanece disponible para interactuar con la membrana bacteriana cuando el microorganismo se aproxime a la superficie dental, logrando así un periodo de substantividad má6 prolongado.  </w:t>
      </w:r>
      <w:r>
        <w:rPr>
          <w:position w:val="11"/>
          <w:sz w:val="16"/>
        </w:rPr>
        <w:t>46, 49</w:t>
      </w:r>
    </w:p>
    <w:p>
      <w:pPr>
        <w:pStyle w:val="BodyText"/>
        <w:spacing w:before="1"/>
      </w:pPr>
    </w:p>
    <w:p>
      <w:pPr>
        <w:pStyle w:val="BodyText"/>
        <w:spacing w:line="360" w:lineRule="auto"/>
        <w:ind w:left="160" w:right="173"/>
        <w:jc w:val="both"/>
      </w:pPr>
      <w:r>
        <w:rPr/>
        <w:t>Por lo anterior podemos explicar el mecanismo de acción bacteriostático y bactericida que ejerce CHX sobre las bacterias cariogénicas. Se sabe que la célula bacteriana está cargada negativamente, por lo que la molécula catiónica de CHX es atraída rápidamente por la carga negativa de la superficie celular de la bacteria con absorción  a los compuestos fosfatos. Esto altera la integridad de la membrana celular bacteriana  y CHX es atraída al interior de la membrana, adhiriéndose a fosfolípidos y aumentando la permeabilidad de la membrana, permitiendo así, que fluyan compuestos moleculares de bajo peso como los iones potasio. La carga positiva de la molécula y la carga negativa de los grupos fosfato en la pared celular bacteriana, le permite a CHX penetrar en el interior de la bacteria actuando como detergente con efectos tóxicos. En este momento, el daño es reversible (acción bacteriostática) mientras que al aumentar la dosis, el daño producido sobre la membrana es mayor ya que el fluir de los componentes de bajo peso molecular, origina una coagulación y precipitación del citoplasma por la formación de complejos fosfatados como adenosin trifosfato y </w:t>
      </w:r>
      <w:r>
        <w:rPr>
          <w:spacing w:val="45"/>
        </w:rPr>
        <w:t> </w:t>
      </w:r>
      <w:r>
        <w:rPr/>
        <w:t>ácidos</w:t>
      </w:r>
    </w:p>
    <w:p>
      <w:pPr>
        <w:spacing w:line="279" w:lineRule="exact" w:before="0"/>
        <w:ind w:left="160" w:right="0" w:firstLine="0"/>
        <w:jc w:val="both"/>
        <w:rPr>
          <w:sz w:val="16"/>
        </w:rPr>
      </w:pPr>
      <w:r>
        <w:rPr>
          <w:sz w:val="24"/>
        </w:rPr>
        <w:t>nucleicos, llegando finalmente a un estado irreversible (acción bactericida). </w:t>
      </w:r>
      <w:r>
        <w:rPr>
          <w:position w:val="11"/>
          <w:sz w:val="16"/>
        </w:rPr>
        <w:t>5,  6, 47, 49,   50,</w:t>
      </w:r>
    </w:p>
    <w:p>
      <w:pPr>
        <w:spacing w:before="104"/>
        <w:ind w:left="160" w:right="0" w:firstLine="0"/>
        <w:jc w:val="both"/>
        <w:rPr>
          <w:sz w:val="16"/>
        </w:rPr>
      </w:pPr>
      <w:r>
        <w:rPr>
          <w:sz w:val="16"/>
        </w:rPr>
        <w:t>51, 55</w:t>
      </w:r>
    </w:p>
    <w:p>
      <w:pPr>
        <w:pStyle w:val="BodyText"/>
        <w:rPr>
          <w:sz w:val="16"/>
        </w:rPr>
      </w:pPr>
    </w:p>
    <w:p>
      <w:pPr>
        <w:pStyle w:val="BodyText"/>
        <w:rPr>
          <w:sz w:val="16"/>
        </w:rPr>
      </w:pPr>
    </w:p>
    <w:p>
      <w:pPr>
        <w:pStyle w:val="BodyText"/>
        <w:spacing w:before="2"/>
        <w:rPr>
          <w:sz w:val="15"/>
        </w:rPr>
      </w:pPr>
    </w:p>
    <w:p>
      <w:pPr>
        <w:pStyle w:val="ListParagraph"/>
        <w:numPr>
          <w:ilvl w:val="3"/>
          <w:numId w:val="7"/>
        </w:numPr>
        <w:tabs>
          <w:tab w:pos="2860" w:val="left" w:leader="none"/>
          <w:tab w:pos="2861" w:val="left" w:leader="none"/>
        </w:tabs>
        <w:spacing w:line="240" w:lineRule="auto" w:before="0" w:after="0"/>
        <w:ind w:left="2861" w:right="0" w:hanging="1081"/>
        <w:jc w:val="left"/>
        <w:rPr>
          <w:sz w:val="24"/>
        </w:rPr>
      </w:pPr>
      <w:r>
        <w:rPr>
          <w:sz w:val="24"/>
        </w:rPr>
        <w:t>Principales</w:t>
      </w:r>
      <w:r>
        <w:rPr>
          <w:spacing w:val="-5"/>
          <w:sz w:val="24"/>
        </w:rPr>
        <w:t> </w:t>
      </w:r>
      <w:r>
        <w:rPr>
          <w:sz w:val="24"/>
        </w:rPr>
        <w:t>usos</w:t>
      </w:r>
    </w:p>
    <w:p>
      <w:pPr>
        <w:pStyle w:val="BodyText"/>
      </w:pPr>
    </w:p>
    <w:p>
      <w:pPr>
        <w:pStyle w:val="BodyText"/>
      </w:pPr>
    </w:p>
    <w:p>
      <w:pPr>
        <w:pStyle w:val="BodyText"/>
        <w:spacing w:before="2"/>
      </w:pPr>
    </w:p>
    <w:p>
      <w:pPr>
        <w:pStyle w:val="BodyText"/>
        <w:spacing w:line="360" w:lineRule="auto"/>
        <w:ind w:left="160" w:right="174"/>
        <w:jc w:val="both"/>
      </w:pPr>
      <w:r>
        <w:rPr/>
        <w:t>Podemos mencionar los usos específicos que, desde hace más de tres décadas, la Clorhexidina ha demostrado en diversas áreas de la práctica odontológica. Entre los más comunes a corto término, se encuentra su uso en la endodoncia para la irrigación de conductos radiculares con acción lubricante y antibacteriana, especialmente   contra</w:t>
      </w:r>
    </w:p>
    <w:p>
      <w:pPr>
        <w:spacing w:line="276" w:lineRule="exact" w:before="0"/>
        <w:ind w:left="160" w:right="0" w:firstLine="0"/>
        <w:jc w:val="both"/>
        <w:rPr>
          <w:sz w:val="16"/>
        </w:rPr>
      </w:pPr>
      <w:r>
        <w:rPr>
          <w:i/>
          <w:sz w:val="24"/>
        </w:rPr>
        <w:t>Enterococcus faecalis. </w:t>
      </w:r>
      <w:r>
        <w:rPr>
          <w:position w:val="11"/>
          <w:sz w:val="16"/>
        </w:rPr>
        <w:t>47, 55, 56, 57</w:t>
      </w:r>
    </w:p>
    <w:p>
      <w:pPr>
        <w:pStyle w:val="BodyText"/>
        <w:spacing w:before="7"/>
        <w:rPr>
          <w:sz w:val="29"/>
        </w:rPr>
      </w:pPr>
    </w:p>
    <w:p>
      <w:pPr>
        <w:pStyle w:val="BodyText"/>
        <w:spacing w:line="360" w:lineRule="auto"/>
        <w:ind w:left="160" w:right="178"/>
        <w:jc w:val="both"/>
      </w:pPr>
      <w:r>
        <w:rPr/>
        <w:t>En el área de la periodontología actúa como coadyuvante en el tratamiento de la gingivitis  y la enfermedad periodontal mediante la inhibición de   </w:t>
      </w:r>
      <w:r>
        <w:rPr>
          <w:spacing w:val="59"/>
        </w:rPr>
        <w:t> </w:t>
      </w:r>
      <w:r>
        <w:rPr/>
        <w:t>los  microorganismos</w:t>
      </w:r>
    </w:p>
    <w:p>
      <w:pPr>
        <w:spacing w:after="0" w:line="360" w:lineRule="auto"/>
        <w:jc w:val="both"/>
        <w:sectPr>
          <w:pgSz w:w="12240" w:h="15840"/>
          <w:pgMar w:header="736" w:footer="1024" w:top="1180" w:bottom="1220" w:left="1280" w:right="1260"/>
        </w:sectPr>
      </w:pPr>
    </w:p>
    <w:p>
      <w:pPr>
        <w:pStyle w:val="BodyText"/>
        <w:spacing w:before="2"/>
        <w:rPr>
          <w:sz w:val="17"/>
        </w:rPr>
      </w:pPr>
    </w:p>
    <w:p>
      <w:pPr>
        <w:spacing w:line="331" w:lineRule="auto" w:before="69"/>
        <w:ind w:left="160" w:right="180" w:firstLine="0"/>
        <w:jc w:val="both"/>
        <w:rPr>
          <w:sz w:val="16"/>
        </w:rPr>
      </w:pPr>
      <w:r>
        <w:rPr>
          <w:sz w:val="24"/>
        </w:rPr>
        <w:t>que forman la placa dentobacteriana. Puede coadyuvar en el tratamiento de lesiones </w:t>
      </w:r>
      <w:r>
        <w:rPr>
          <w:position w:val="-10"/>
          <w:sz w:val="24"/>
        </w:rPr>
        <w:t>ulcerativas recurrentes. </w:t>
      </w:r>
      <w:r>
        <w:rPr>
          <w:sz w:val="16"/>
        </w:rPr>
        <w:t>45, 47, 48, 49, 50, 51, 52, 54, 56</w:t>
      </w:r>
    </w:p>
    <w:p>
      <w:pPr>
        <w:pStyle w:val="BodyText"/>
        <w:spacing w:line="331" w:lineRule="auto" w:before="220"/>
        <w:ind w:left="160" w:right="179"/>
        <w:jc w:val="both"/>
        <w:rPr>
          <w:sz w:val="16"/>
        </w:rPr>
      </w:pPr>
      <w:r>
        <w:rPr/>
        <w:t>Es importante mencionar su efecto postquirúrgico al término de tratamientos de  diversas cirugías bucales y maxilofaciales así como postextracciones dentales. </w:t>
      </w:r>
      <w:r>
        <w:rPr>
          <w:position w:val="11"/>
          <w:sz w:val="16"/>
        </w:rPr>
        <w:t>47,</w:t>
      </w:r>
      <w:r>
        <w:rPr>
          <w:spacing w:val="-19"/>
          <w:position w:val="11"/>
          <w:sz w:val="16"/>
        </w:rPr>
        <w:t> </w:t>
      </w:r>
      <w:r>
        <w:rPr>
          <w:position w:val="11"/>
          <w:sz w:val="16"/>
        </w:rPr>
        <w:t>48</w:t>
      </w:r>
    </w:p>
    <w:p>
      <w:pPr>
        <w:pStyle w:val="BodyText"/>
        <w:spacing w:line="352" w:lineRule="auto" w:before="222"/>
        <w:ind w:left="160" w:right="177"/>
        <w:jc w:val="both"/>
        <w:rPr>
          <w:sz w:val="16"/>
        </w:rPr>
      </w:pPr>
      <w:r>
        <w:rPr/>
        <w:t>Entre los usos a mediano término podemos destacar su ayuda para mantener la salud gingival en los pacientes discapacitados. Es de suma utilidad en individuos médicamente comprometidos con predisposición a desarrollar infecciones. Mientras  que ha sido benéfica en pacientes con un alto riesgo a caries o portadores de aparatología ortodóntica, así como de implantes. </w:t>
      </w:r>
      <w:r>
        <w:rPr>
          <w:position w:val="11"/>
          <w:sz w:val="16"/>
        </w:rPr>
        <w:t>47,</w:t>
      </w:r>
      <w:r>
        <w:rPr>
          <w:spacing w:val="-15"/>
          <w:position w:val="11"/>
          <w:sz w:val="16"/>
        </w:rPr>
        <w:t> </w:t>
      </w:r>
      <w:r>
        <w:rPr>
          <w:position w:val="11"/>
          <w:sz w:val="16"/>
        </w:rPr>
        <w:t>48</w:t>
      </w:r>
    </w:p>
    <w:p>
      <w:pPr>
        <w:pStyle w:val="BodyText"/>
        <w:spacing w:line="360" w:lineRule="auto" w:before="192"/>
        <w:ind w:left="160" w:right="174"/>
        <w:jc w:val="both"/>
      </w:pPr>
      <w:r>
        <w:rPr/>
        <w:t>Las aplicaciones a largo término pueden incluir a pacientes cuya patología sistémica  les predispone a desarrollar infecciones que comprometan su estado general de salud; un ejemplo de ello son los pacientes que cursan con agranulocitosis, leucemia, hemofília, trombocitopenia, enfermedades renales, alergias, transplantes,  pacientes con candidiasis o  virus de inmudeficiencia adquirida.  Pacientes que son  sometidos  </w:t>
      </w:r>
      <w:r>
        <w:rPr>
          <w:spacing w:val="11"/>
        </w:rPr>
        <w:t> </w:t>
      </w:r>
      <w:r>
        <w:rPr/>
        <w:t>a</w:t>
      </w:r>
    </w:p>
    <w:p>
      <w:pPr>
        <w:pStyle w:val="BodyText"/>
        <w:spacing w:line="328" w:lineRule="auto" w:before="5"/>
        <w:ind w:left="160" w:right="181"/>
        <w:jc w:val="both"/>
        <w:rPr>
          <w:sz w:val="16"/>
        </w:rPr>
      </w:pPr>
      <w:r>
        <w:rPr/>
        <w:t>radio y quimioterapias y a drogas inmunosupresivas. Además es útil en pacientes postraumáticos con fijación intermaxilar y en pacientes geriátricos. </w:t>
      </w:r>
      <w:r>
        <w:rPr>
          <w:position w:val="11"/>
          <w:sz w:val="16"/>
        </w:rPr>
        <w:t>47, 48</w:t>
      </w:r>
    </w:p>
    <w:p>
      <w:pPr>
        <w:pStyle w:val="BodyText"/>
        <w:rPr>
          <w:sz w:val="28"/>
        </w:rPr>
      </w:pPr>
    </w:p>
    <w:p>
      <w:pPr>
        <w:pStyle w:val="BodyText"/>
        <w:rPr>
          <w:sz w:val="28"/>
        </w:rPr>
      </w:pPr>
    </w:p>
    <w:p>
      <w:pPr>
        <w:pStyle w:val="ListParagraph"/>
        <w:numPr>
          <w:ilvl w:val="3"/>
          <w:numId w:val="7"/>
        </w:numPr>
        <w:tabs>
          <w:tab w:pos="2860" w:val="left" w:leader="none"/>
          <w:tab w:pos="2861" w:val="left" w:leader="none"/>
        </w:tabs>
        <w:spacing w:line="240" w:lineRule="auto" w:before="193" w:after="0"/>
        <w:ind w:left="2861" w:right="0" w:hanging="1081"/>
        <w:jc w:val="left"/>
        <w:rPr>
          <w:sz w:val="24"/>
        </w:rPr>
      </w:pPr>
      <w:r>
        <w:rPr>
          <w:sz w:val="24"/>
        </w:rPr>
        <w:t>Ventajas y</w:t>
      </w:r>
      <w:r>
        <w:rPr>
          <w:spacing w:val="-12"/>
          <w:sz w:val="24"/>
        </w:rPr>
        <w:t> </w:t>
      </w:r>
      <w:r>
        <w:rPr>
          <w:sz w:val="24"/>
        </w:rPr>
        <w:t>desventajas</w:t>
      </w:r>
    </w:p>
    <w:p>
      <w:pPr>
        <w:pStyle w:val="BodyText"/>
      </w:pPr>
    </w:p>
    <w:p>
      <w:pPr>
        <w:pStyle w:val="BodyText"/>
        <w:spacing w:before="7"/>
      </w:pPr>
    </w:p>
    <w:p>
      <w:pPr>
        <w:pStyle w:val="BodyText"/>
        <w:spacing w:line="350" w:lineRule="auto"/>
        <w:ind w:left="160" w:right="174"/>
        <w:jc w:val="both"/>
        <w:rPr>
          <w:sz w:val="16"/>
        </w:rPr>
      </w:pPr>
      <w:r>
        <w:rPr/>
        <w:t>La principal propiedad que posee la CHX es la substantividad, ya que el gluconato de Clorhexidina es adsorbido por la hidroxiapatita de la superficie dental y de las proteínas salivales y es subsecuentemente liberado cuando disminuye la cantidad del mismo en el medio bucal, sin embargo su periodo es limitado. </w:t>
      </w:r>
      <w:r>
        <w:rPr>
          <w:position w:val="11"/>
          <w:sz w:val="16"/>
        </w:rPr>
        <w:t>5, 6, 45, 47, 49, 51, 56,</w:t>
      </w:r>
      <w:r>
        <w:rPr>
          <w:spacing w:val="-24"/>
          <w:position w:val="11"/>
          <w:sz w:val="16"/>
        </w:rPr>
        <w:t> </w:t>
      </w:r>
      <w:r>
        <w:rPr>
          <w:position w:val="11"/>
          <w:sz w:val="16"/>
        </w:rPr>
        <w:t>57</w:t>
      </w:r>
    </w:p>
    <w:p>
      <w:pPr>
        <w:pStyle w:val="BodyText"/>
        <w:spacing w:before="1"/>
      </w:pPr>
    </w:p>
    <w:p>
      <w:pPr>
        <w:pStyle w:val="BodyText"/>
        <w:spacing w:line="350" w:lineRule="auto"/>
        <w:ind w:left="160" w:right="177"/>
        <w:jc w:val="both"/>
        <w:rPr>
          <w:sz w:val="16"/>
        </w:rPr>
      </w:pPr>
      <w:r>
        <w:rPr/>
        <w:t>Dentro de las principales ventajas, ya anteriormente descritas en este trabajo, se encuentra la disminución de la progresión de la gingivitis, pues CHX retrasa la formación de la placa dentobacteriana; sin embrago no es útil en placa dental ya instalada o madura. </w:t>
      </w:r>
      <w:r>
        <w:rPr>
          <w:position w:val="11"/>
          <w:sz w:val="16"/>
        </w:rPr>
        <w:t>47, 50, 52, 54, 56</w:t>
      </w:r>
    </w:p>
    <w:p>
      <w:pPr>
        <w:spacing w:after="0" w:line="350" w:lineRule="auto"/>
        <w:jc w:val="both"/>
        <w:rPr>
          <w:sz w:val="16"/>
        </w:rPr>
        <w:sectPr>
          <w:pgSz w:w="12240" w:h="15840"/>
          <w:pgMar w:header="736" w:footer="1024" w:top="1180" w:bottom="1220" w:left="1280" w:right="1260"/>
        </w:sectPr>
      </w:pPr>
    </w:p>
    <w:p>
      <w:pPr>
        <w:pStyle w:val="BodyText"/>
        <w:spacing w:before="2"/>
        <w:rPr>
          <w:sz w:val="17"/>
        </w:rPr>
      </w:pPr>
    </w:p>
    <w:p>
      <w:pPr>
        <w:pStyle w:val="BodyText"/>
        <w:spacing w:line="360" w:lineRule="auto" w:before="69"/>
        <w:ind w:left="160" w:right="174"/>
        <w:jc w:val="both"/>
      </w:pPr>
      <w:r>
        <w:rPr/>
        <w:t>Otra de las ventajas es la irrigación intraconducto para la prevención de reinfecciones como la periodontitis apical. Las bacterias como el </w:t>
      </w:r>
      <w:r>
        <w:rPr>
          <w:i/>
        </w:rPr>
        <w:t>Enterococcus faecalis </w:t>
      </w:r>
      <w:r>
        <w:rPr/>
        <w:t>pueden persistir dentro del sistema de conductos radiculares y provocar el fracaso de los tratamientos de endodoncia, mientras que    </w:t>
      </w:r>
      <w:r>
        <w:rPr>
          <w:i/>
        </w:rPr>
        <w:t>S. mutans </w:t>
      </w:r>
      <w:r>
        <w:rPr/>
        <w:t>ha mostrado ser sensible a este</w:t>
      </w:r>
    </w:p>
    <w:p>
      <w:pPr>
        <w:pStyle w:val="BodyText"/>
        <w:spacing w:line="328" w:lineRule="auto" w:before="5"/>
        <w:ind w:left="160" w:right="174"/>
        <w:jc w:val="both"/>
        <w:rPr>
          <w:sz w:val="16"/>
        </w:rPr>
      </w:pPr>
      <w:r>
        <w:rPr/>
        <w:t>agente. Algunos reportes indican que las raíces tratadas con Clorhexidina parecen adquirir sustantividad antimicrobiana desde 7 días, 21 días y hasta 22 semanas.   </w:t>
      </w:r>
      <w:r>
        <w:rPr>
          <w:position w:val="11"/>
          <w:sz w:val="16"/>
        </w:rPr>
        <w:t>5, 7, 45,</w:t>
      </w:r>
    </w:p>
    <w:p>
      <w:pPr>
        <w:spacing w:line="175" w:lineRule="exact" w:before="0"/>
        <w:ind w:left="160" w:right="0" w:firstLine="0"/>
        <w:jc w:val="both"/>
        <w:rPr>
          <w:sz w:val="16"/>
        </w:rPr>
      </w:pPr>
      <w:r>
        <w:rPr>
          <w:sz w:val="16"/>
        </w:rPr>
        <w:t>55, 56, 57</w:t>
      </w:r>
    </w:p>
    <w:p>
      <w:pPr>
        <w:pStyle w:val="BodyText"/>
        <w:rPr>
          <w:sz w:val="16"/>
        </w:rPr>
      </w:pPr>
    </w:p>
    <w:p>
      <w:pPr>
        <w:pStyle w:val="BodyText"/>
        <w:rPr>
          <w:sz w:val="16"/>
        </w:rPr>
      </w:pPr>
    </w:p>
    <w:p>
      <w:pPr>
        <w:pStyle w:val="BodyText"/>
        <w:rPr>
          <w:sz w:val="16"/>
        </w:rPr>
      </w:pPr>
    </w:p>
    <w:p>
      <w:pPr>
        <w:pStyle w:val="BodyText"/>
        <w:spacing w:line="345" w:lineRule="auto" w:before="127"/>
        <w:ind w:left="160" w:right="185"/>
        <w:jc w:val="both"/>
        <w:rPr>
          <w:sz w:val="16"/>
        </w:rPr>
      </w:pPr>
      <w:r>
        <w:rPr/>
        <w:t>Debido a la variedad de sus presentaciones (gel, barniz, spray, colutorio y pasta) puede aplicarse en sitios predilectos para el desarrollo de caries y con diferentes propósitos, sin embargo cada uso conlleva diferentes riesgos perjudiciales para la salud. </w:t>
      </w:r>
      <w:r>
        <w:rPr>
          <w:position w:val="11"/>
          <w:sz w:val="16"/>
        </w:rPr>
        <w:t>45, 47</w:t>
      </w:r>
    </w:p>
    <w:p>
      <w:pPr>
        <w:pStyle w:val="BodyText"/>
        <w:spacing w:before="3"/>
        <w:rPr>
          <w:sz w:val="36"/>
        </w:rPr>
      </w:pPr>
    </w:p>
    <w:p>
      <w:pPr>
        <w:pStyle w:val="BodyText"/>
        <w:spacing w:line="352" w:lineRule="auto"/>
        <w:ind w:left="160" w:right="176"/>
        <w:jc w:val="both"/>
      </w:pPr>
      <w:r>
        <w:rPr/>
        <w:t>A pesar de lo anterior, paradójicamente, dos de las propiedades de CHX, como la substantividad y su acción antiplaca, forman parte de algunas de sus principales desventajas, ya que el periodo de substantividad, de acuerdo a los reportes se limita tan sólo a 7 días, aunque en estudios recientes se ha encontrado una duración de hasta 21 días, por lo que este agente tiene un efecto limitado. </w:t>
      </w:r>
      <w:r>
        <w:rPr>
          <w:position w:val="11"/>
          <w:sz w:val="16"/>
        </w:rPr>
        <w:t>56, 57 </w:t>
      </w:r>
      <w:r>
        <w:rPr/>
        <w:t>Por otra parte CHX ha demostrado que no remueve la placa dentobacteriana establecida o   madura y  </w:t>
      </w:r>
      <w:r>
        <w:rPr>
          <w:spacing w:val="60"/>
        </w:rPr>
        <w:t> </w:t>
      </w:r>
      <w:r>
        <w:rPr/>
        <w:t>los</w:t>
      </w:r>
    </w:p>
    <w:p>
      <w:pPr>
        <w:pStyle w:val="BodyText"/>
        <w:spacing w:line="345" w:lineRule="auto" w:before="13"/>
        <w:ind w:left="160" w:right="177"/>
        <w:jc w:val="both"/>
        <w:rPr>
          <w:sz w:val="16"/>
        </w:rPr>
      </w:pPr>
      <w:r>
        <w:rPr/>
        <w:t>estudios reportan que para que sea realmente efectiva en el tratamiento de pacientes que cursan con gingivitis y/o enfermedad periodontal, es necesario realizar primero profilaxis y detartrajes en el consultorio dental. </w:t>
      </w:r>
      <w:r>
        <w:rPr>
          <w:position w:val="11"/>
          <w:sz w:val="16"/>
        </w:rPr>
        <w:t>47, 50, 52, 54, 56</w:t>
      </w:r>
    </w:p>
    <w:p>
      <w:pPr>
        <w:pStyle w:val="BodyText"/>
        <w:spacing w:before="7"/>
      </w:pPr>
    </w:p>
    <w:p>
      <w:pPr>
        <w:pStyle w:val="BodyText"/>
        <w:spacing w:line="360" w:lineRule="auto"/>
        <w:ind w:left="160" w:right="176"/>
        <w:jc w:val="both"/>
      </w:pPr>
      <w:r>
        <w:rPr/>
        <w:t>En endodoncia se recomienda el uso cuidadoso de CHX como solución irrigadora, evitando su salida al periápice, ya que puede reducir la adhesión de los macrófagos modulando los mecanismos de reparación y las reacciones inflamatorias e inmunológicas a nivel de los tejidos periradiculares. Los macrófagos juegan un papel esencial  en  la  respuesta  inmunológica  del  huésped  ante  el  proceso  infeccioso   e</w:t>
      </w:r>
    </w:p>
    <w:p>
      <w:pPr>
        <w:pStyle w:val="BodyText"/>
        <w:spacing w:line="279" w:lineRule="exact"/>
        <w:ind w:left="160"/>
        <w:jc w:val="both"/>
        <w:rPr>
          <w:sz w:val="16"/>
        </w:rPr>
      </w:pPr>
      <w:r>
        <w:rPr/>
        <w:t>inflamatorio. </w:t>
      </w:r>
      <w:r>
        <w:rPr>
          <w:position w:val="11"/>
          <w:sz w:val="16"/>
        </w:rPr>
        <w:t>57</w:t>
      </w:r>
    </w:p>
    <w:p>
      <w:pPr>
        <w:pStyle w:val="BodyText"/>
        <w:spacing w:before="3"/>
        <w:rPr>
          <w:sz w:val="36"/>
        </w:rPr>
      </w:pPr>
    </w:p>
    <w:p>
      <w:pPr>
        <w:pStyle w:val="BodyText"/>
        <w:spacing w:line="360" w:lineRule="auto"/>
        <w:ind w:left="160" w:right="187"/>
        <w:jc w:val="both"/>
      </w:pPr>
      <w:r>
        <w:rPr/>
        <w:t>Además, la Clorhexidina ha probado no ser una barrera tan efectiva a largo plazo, debido a que difunde a través de los canales de dentina, dejando una cavidad vacía,</w:t>
      </w:r>
    </w:p>
    <w:p>
      <w:pPr>
        <w:spacing w:after="0" w:line="360" w:lineRule="auto"/>
        <w:jc w:val="both"/>
        <w:sectPr>
          <w:pgSz w:w="12240" w:h="15840"/>
          <w:pgMar w:header="736" w:footer="1024" w:top="1180" w:bottom="1220" w:left="1280" w:right="1260"/>
        </w:sectPr>
      </w:pPr>
    </w:p>
    <w:p>
      <w:pPr>
        <w:pStyle w:val="BodyText"/>
        <w:spacing w:before="2"/>
        <w:rPr>
          <w:sz w:val="17"/>
        </w:rPr>
      </w:pPr>
    </w:p>
    <w:p>
      <w:pPr>
        <w:pStyle w:val="BodyText"/>
        <w:spacing w:line="331" w:lineRule="auto" w:before="69"/>
        <w:ind w:left="160" w:right="180"/>
        <w:jc w:val="both"/>
        <w:rPr>
          <w:sz w:val="16"/>
        </w:rPr>
      </w:pPr>
      <w:r>
        <w:rPr/>
        <w:t>además de que debe cambiarse constantemente y debido a que es radiolúcida, se vuelve difícil su evaluación radiográfica. </w:t>
      </w:r>
      <w:r>
        <w:rPr>
          <w:position w:val="11"/>
          <w:sz w:val="16"/>
        </w:rPr>
        <w:t>5</w:t>
      </w:r>
    </w:p>
    <w:p>
      <w:pPr>
        <w:pStyle w:val="BodyText"/>
        <w:spacing w:line="340" w:lineRule="auto" w:before="20"/>
        <w:ind w:left="160" w:right="174"/>
        <w:jc w:val="both"/>
        <w:rPr>
          <w:sz w:val="16"/>
        </w:rPr>
      </w:pPr>
      <w:r>
        <w:rPr/>
        <w:t>Los efectos adversos más comunes del uso prolongado de CHX son: la afectación de las papilas gustativas fungiformes y el cambio en la percepción de algunos alimentos, especialmente los salados, </w:t>
      </w:r>
      <w:r>
        <w:rPr>
          <w:position w:val="11"/>
          <w:sz w:val="16"/>
        </w:rPr>
        <w:t>48 </w:t>
      </w:r>
      <w:r>
        <w:rPr/>
        <w:t>se presentan comúnmente manchas amarillas o cafés en los dientes, en la lengua o en dentaduras. </w:t>
      </w:r>
      <w:r>
        <w:rPr>
          <w:position w:val="11"/>
          <w:sz w:val="16"/>
        </w:rPr>
        <w:t>46 </w:t>
      </w:r>
      <w:r>
        <w:rPr/>
        <w:t>Se ha reportado dolor en garganta, así como irritación y dolor en la lengua. </w:t>
      </w:r>
      <w:r>
        <w:rPr>
          <w:position w:val="11"/>
          <w:sz w:val="16"/>
        </w:rPr>
        <w:t>45 </w:t>
      </w:r>
      <w:r>
        <w:rPr/>
        <w:t>En pocos casos se presenta inflamación de la glándula parótida durante el uso de colutorios, ya que se crea una presión negativa en el conducto glandular y aspiración de CHX. </w:t>
      </w:r>
      <w:r>
        <w:rPr>
          <w:position w:val="11"/>
          <w:sz w:val="16"/>
        </w:rPr>
        <w:t>45 </w:t>
      </w:r>
      <w:r>
        <w:rPr/>
        <w:t>En un estudio realizado en veteranos de guerra sometidos a tratamiento con CHX por problemas periodontales se encontró que el 7.1 por ciento de los pacientes presentaban sibilancias y dificultad para respirar. </w:t>
      </w:r>
      <w:r>
        <w:rPr>
          <w:position w:val="11"/>
          <w:sz w:val="16"/>
        </w:rPr>
        <w:t>48</w:t>
      </w:r>
    </w:p>
    <w:p>
      <w:pPr>
        <w:pStyle w:val="BodyText"/>
        <w:spacing w:before="9"/>
        <w:rPr>
          <w:sz w:val="36"/>
        </w:rPr>
      </w:pPr>
    </w:p>
    <w:p>
      <w:pPr>
        <w:pStyle w:val="BodyText"/>
        <w:spacing w:line="338" w:lineRule="auto"/>
        <w:ind w:left="160" w:right="174"/>
        <w:jc w:val="both"/>
        <w:rPr>
          <w:sz w:val="16"/>
        </w:rPr>
      </w:pPr>
      <w:r>
        <w:rPr/>
        <w:t>Por otra parte, CHX reacciona con surfactantes aniónicos, como el sulfato lauril de sodio presente en algunos dentífricos, reduciendo así la efectividad del agente. </w:t>
      </w:r>
      <w:r>
        <w:rPr>
          <w:position w:val="11"/>
          <w:sz w:val="16"/>
        </w:rPr>
        <w:t>46 </w:t>
      </w:r>
      <w:r>
        <w:rPr/>
        <w:t>Además tiene poco efecto sobre la prevención de caries, si durante el proceso de remineralización se encuentra expuesta a una alta concentración de fluoruro.</w:t>
      </w:r>
      <w:r>
        <w:rPr>
          <w:spacing w:val="-18"/>
        </w:rPr>
        <w:t> </w:t>
      </w:r>
      <w:r>
        <w:rPr>
          <w:position w:val="11"/>
          <w:sz w:val="16"/>
        </w:rPr>
        <w:t>54</w:t>
      </w:r>
    </w:p>
    <w:p>
      <w:pPr>
        <w:pStyle w:val="BodyText"/>
        <w:spacing w:before="1"/>
        <w:rPr>
          <w:sz w:val="37"/>
        </w:rPr>
      </w:pPr>
    </w:p>
    <w:p>
      <w:pPr>
        <w:pStyle w:val="BodyText"/>
        <w:spacing w:line="331" w:lineRule="auto"/>
        <w:ind w:left="160" w:right="177"/>
        <w:jc w:val="both"/>
        <w:rPr>
          <w:sz w:val="16"/>
        </w:rPr>
      </w:pPr>
      <w:r>
        <w:rPr/>
        <w:t>Recientemente se encuentran reportes acerca del daño epitelial a las células de la mucosa oral, aunque no se han reportado efectos carcinogénicos o teratogénicos. </w:t>
      </w:r>
      <w:r>
        <w:rPr>
          <w:position w:val="11"/>
          <w:sz w:val="16"/>
        </w:rPr>
        <w:t>54</w:t>
      </w:r>
    </w:p>
    <w:p>
      <w:pPr>
        <w:pStyle w:val="BodyText"/>
        <w:spacing w:before="2"/>
        <w:rPr>
          <w:sz w:val="26"/>
        </w:rPr>
      </w:pPr>
    </w:p>
    <w:p>
      <w:pPr>
        <w:pStyle w:val="BodyText"/>
        <w:spacing w:line="350" w:lineRule="auto"/>
        <w:ind w:left="160" w:right="177"/>
        <w:jc w:val="both"/>
        <w:rPr>
          <w:sz w:val="16"/>
        </w:rPr>
      </w:pPr>
      <w:r>
        <w:rPr/>
        <w:t>Algunos estudios sugieren que la Clorhexidina tiene efectos tóxicos sobre células humanas y tejido de granulación. Concentraciones de CHX inferiores a las utilizadas en odontología han reportado causar daño celular, muerte celular y la inhibición de la síntesis de proteínas en cultivos de fibroblastos humanos. </w:t>
      </w:r>
      <w:r>
        <w:rPr>
          <w:position w:val="11"/>
          <w:sz w:val="16"/>
        </w:rPr>
        <w:t>53</w:t>
      </w:r>
    </w:p>
    <w:p>
      <w:pPr>
        <w:pStyle w:val="BodyText"/>
        <w:spacing w:before="3"/>
      </w:pPr>
    </w:p>
    <w:p>
      <w:pPr>
        <w:pStyle w:val="BodyText"/>
        <w:spacing w:line="348" w:lineRule="auto"/>
        <w:ind w:left="160" w:right="178"/>
        <w:jc w:val="both"/>
        <w:rPr>
          <w:sz w:val="16"/>
        </w:rPr>
      </w:pPr>
      <w:r>
        <w:rPr/>
        <w:t>Probablemente una de las desventajas que más nos atañe es la relativa resistencia de microorganismos que producen lactato y que juegan un papel primordial en el proceso cariogénico, como </w:t>
      </w:r>
      <w:r>
        <w:rPr>
          <w:i/>
        </w:rPr>
        <w:t>L. casei. </w:t>
      </w:r>
      <w:r>
        <w:rPr/>
        <w:t>Mientras que algunos reportes de pacientes tratados con CHX mostraron que </w:t>
      </w:r>
      <w:r>
        <w:rPr>
          <w:i/>
        </w:rPr>
        <w:t>S. mutans </w:t>
      </w:r>
      <w:r>
        <w:rPr/>
        <w:t>prolifera y recoloniza la dentición. </w:t>
      </w:r>
      <w:r>
        <w:rPr>
          <w:position w:val="11"/>
          <w:sz w:val="16"/>
        </w:rPr>
        <w:t>8, 50</w:t>
      </w:r>
    </w:p>
    <w:p>
      <w:pPr>
        <w:pStyle w:val="BodyText"/>
        <w:spacing w:before="2"/>
        <w:rPr>
          <w:sz w:val="36"/>
        </w:rPr>
      </w:pPr>
    </w:p>
    <w:p>
      <w:pPr>
        <w:pStyle w:val="BodyText"/>
        <w:spacing w:line="360" w:lineRule="auto" w:before="1"/>
        <w:ind w:left="160" w:right="178"/>
        <w:jc w:val="both"/>
      </w:pPr>
      <w:r>
        <w:rPr/>
        <w:t>Lo planteado anteriormente, conlleva a reflexionar acerca de la necesidad de utilizar agentes   antisépticos   orales   más   especializados,   cuyo   periodo   de   acción   sea</w:t>
      </w:r>
    </w:p>
    <w:p>
      <w:pPr>
        <w:spacing w:after="0" w:line="360" w:lineRule="auto"/>
        <w:jc w:val="both"/>
        <w:sectPr>
          <w:pgSz w:w="12240" w:h="15840"/>
          <w:pgMar w:header="736" w:footer="1024" w:top="1180" w:bottom="1220" w:left="1280" w:right="1260"/>
        </w:sectPr>
      </w:pPr>
    </w:p>
    <w:p>
      <w:pPr>
        <w:pStyle w:val="BodyText"/>
        <w:spacing w:before="2"/>
        <w:rPr>
          <w:sz w:val="17"/>
        </w:rPr>
      </w:pPr>
    </w:p>
    <w:p>
      <w:pPr>
        <w:pStyle w:val="BodyText"/>
        <w:spacing w:line="360" w:lineRule="auto" w:before="69"/>
        <w:ind w:left="160" w:right="180"/>
        <w:jc w:val="both"/>
      </w:pPr>
      <w:r>
        <w:rPr/>
        <w:t>prolongado y que procure, en la medida de lo posible, incorporar agentes químicos que eviten dañar severamente la salud del individuo. Se requieren sustancias que actúen únicamente sobre el microorganismo cariogénico y no se liberen a otros tejidos. A  pesar de las bondades de la Clorhexidina, es innegable que al perderse la restauración o al entrar nuevamente la saliva en la corona o canales radiculares, se producirá reincidencia de la lesión</w:t>
      </w:r>
      <w:r>
        <w:rPr>
          <w:spacing w:val="-6"/>
        </w:rPr>
        <w:t> </w:t>
      </w:r>
      <w:r>
        <w:rPr/>
        <w:t>cariosa.</w:t>
      </w:r>
    </w:p>
    <w:p>
      <w:pPr>
        <w:pStyle w:val="BodyText"/>
      </w:pPr>
    </w:p>
    <w:p>
      <w:pPr>
        <w:pStyle w:val="BodyText"/>
        <w:spacing w:line="360" w:lineRule="auto" w:before="142"/>
        <w:ind w:left="160" w:right="179"/>
        <w:jc w:val="both"/>
      </w:pPr>
      <w:r>
        <w:rPr/>
        <w:t>Recientemente la ciencia química nos ha permitido establecer un puente de unión con la odontología para trabajar, de manera conjunta, en el desarrollo de nuevos agentes antimicrobianos que ejerzan acción incluso a un nivel no perceptible por el ojo humano, para ello podríamos contar con la tecnología de nanopartículas.</w:t>
      </w:r>
    </w:p>
    <w:p>
      <w:pPr>
        <w:pStyle w:val="BodyText"/>
      </w:pPr>
    </w:p>
    <w:p>
      <w:pPr>
        <w:pStyle w:val="BodyText"/>
      </w:pPr>
    </w:p>
    <w:p>
      <w:pPr>
        <w:pStyle w:val="BodyText"/>
      </w:pPr>
    </w:p>
    <w:p>
      <w:pPr>
        <w:pStyle w:val="Heading2"/>
        <w:numPr>
          <w:ilvl w:val="1"/>
          <w:numId w:val="7"/>
        </w:numPr>
        <w:tabs>
          <w:tab w:pos="1226" w:val="left" w:leader="none"/>
        </w:tabs>
        <w:spacing w:line="240" w:lineRule="auto" w:before="0" w:after="0"/>
        <w:ind w:left="1226" w:right="0" w:hanging="526"/>
        <w:jc w:val="left"/>
      </w:pPr>
      <w:bookmarkStart w:name="_TOC_250011" w:id="5"/>
      <w:r>
        <w:rPr/>
        <w:t>INTRODUCCIÓN A LA</w:t>
      </w:r>
      <w:r>
        <w:rPr>
          <w:spacing w:val="-5"/>
        </w:rPr>
        <w:t> </w:t>
      </w:r>
      <w:bookmarkEnd w:id="5"/>
      <w:r>
        <w:rPr/>
        <w:t>NANOTECNOLOGÍA</w:t>
      </w:r>
    </w:p>
    <w:p>
      <w:pPr>
        <w:pStyle w:val="BodyText"/>
        <w:rPr>
          <w:b/>
        </w:rPr>
      </w:pPr>
    </w:p>
    <w:p>
      <w:pPr>
        <w:pStyle w:val="BodyText"/>
        <w:rPr>
          <w:b/>
        </w:rPr>
      </w:pPr>
    </w:p>
    <w:p>
      <w:pPr>
        <w:pStyle w:val="BodyText"/>
        <w:spacing w:before="2"/>
        <w:rPr>
          <w:b/>
        </w:rPr>
      </w:pPr>
    </w:p>
    <w:p>
      <w:pPr>
        <w:pStyle w:val="BodyText"/>
        <w:spacing w:line="350" w:lineRule="auto"/>
        <w:ind w:left="160" w:right="174"/>
        <w:jc w:val="both"/>
        <w:rPr>
          <w:sz w:val="16"/>
        </w:rPr>
      </w:pPr>
      <w:r>
        <w:rPr/>
        <w:t>El prefijo “nano”, en la palabra nanotecnología, deriva del término Griego que significa “pequeño”. Un nanómetro equivale a la milmillonésima parte de un metro, o  millonésima parte de un milímetro. Un nanómetro se representa como 1nm igual a 0.000 000 001 o 1x10</w:t>
      </w:r>
      <w:r>
        <w:rPr>
          <w:position w:val="11"/>
          <w:sz w:val="16"/>
        </w:rPr>
        <w:t>-9 </w:t>
      </w:r>
      <w:r>
        <w:rPr/>
        <w:t>m. </w:t>
      </w:r>
      <w:r>
        <w:rPr>
          <w:position w:val="11"/>
          <w:sz w:val="16"/>
        </w:rPr>
        <w:t>58,</w:t>
      </w:r>
      <w:r>
        <w:rPr>
          <w:spacing w:val="-6"/>
          <w:position w:val="11"/>
          <w:sz w:val="16"/>
        </w:rPr>
        <w:t> </w:t>
      </w:r>
      <w:r>
        <w:rPr>
          <w:position w:val="11"/>
          <w:sz w:val="16"/>
        </w:rPr>
        <w:t>59</w:t>
      </w:r>
    </w:p>
    <w:p>
      <w:pPr>
        <w:pStyle w:val="BodyText"/>
        <w:spacing w:before="8"/>
        <w:rPr>
          <w:sz w:val="35"/>
        </w:rPr>
      </w:pPr>
    </w:p>
    <w:p>
      <w:pPr>
        <w:pStyle w:val="BodyText"/>
        <w:spacing w:line="360" w:lineRule="auto" w:before="1"/>
        <w:ind w:left="160" w:right="175"/>
        <w:jc w:val="both"/>
      </w:pPr>
      <w:r>
        <w:rPr/>
        <w:t>Para comprender de una manera más clara la dimensión de un nanómetro, es posible visualizar que su tamaño puede compararse con el ancho de 6 átomos de carbono o 10 moléculas de agua. Un cabello humano mide aproximadamente 80,000nm de ancho, mientras que una célula roja sanguínea mide aproximadamente 7,000nm de anchura. Los átomos son más pequeños que un nanómetro. Algunas moléculas, incluyendo   las</w:t>
      </w:r>
    </w:p>
    <w:p>
      <w:pPr>
        <w:pStyle w:val="BodyText"/>
        <w:spacing w:line="279" w:lineRule="exact"/>
        <w:ind w:left="160"/>
        <w:jc w:val="both"/>
        <w:rPr>
          <w:sz w:val="16"/>
        </w:rPr>
      </w:pPr>
      <w:r>
        <w:rPr/>
        <w:t>proteínas, se encuentran en el rango de un milímetro de largo. </w:t>
      </w:r>
      <w:r>
        <w:rPr>
          <w:position w:val="11"/>
          <w:sz w:val="16"/>
        </w:rPr>
        <w:t>59</w:t>
      </w:r>
    </w:p>
    <w:p>
      <w:pPr>
        <w:spacing w:after="0" w:line="279" w:lineRule="exact"/>
        <w:jc w:val="both"/>
        <w:rPr>
          <w:sz w:val="16"/>
        </w:rPr>
        <w:sectPr>
          <w:pgSz w:w="12240" w:h="15840"/>
          <w:pgMar w:header="736" w:footer="1024" w:top="1180" w:bottom="1220" w:left="1280" w:right="1260"/>
        </w:sectPr>
      </w:pPr>
    </w:p>
    <w:p>
      <w:pPr>
        <w:pStyle w:val="BodyText"/>
        <w:spacing w:before="9"/>
        <w:rPr>
          <w:sz w:val="18"/>
        </w:rPr>
      </w:pPr>
    </w:p>
    <w:p>
      <w:pPr>
        <w:pStyle w:val="BodyText"/>
        <w:ind w:left="421"/>
        <w:rPr>
          <w:sz w:val="20"/>
        </w:rPr>
      </w:pPr>
      <w:r>
        <w:rPr>
          <w:sz w:val="20"/>
        </w:rPr>
        <w:pict>
          <v:group style="width:447.6pt;height:163.35pt;mso-position-horizontal-relative:char;mso-position-vertical-relative:line" coordorigin="0,0" coordsize="8952,3267">
            <v:shape style="position:absolute;left:0;top:0;width:8952;height:3266" type="#_x0000_t75" stroked="false">
              <v:imagedata r:id="rId16" o:title=""/>
            </v:shape>
            <v:shape style="position:absolute;left:100;top:101;width:8665;height:2980" type="#_x0000_t75" stroked="false">
              <v:imagedata r:id="rId17" o:title=""/>
            </v:shape>
            <v:rect style="position:absolute;left:70;top:71;width:8725;height:3040" filled="false" stroked="true" strokeweight="3pt" strokecolor="#000000"/>
          </v:group>
        </w:pict>
      </w:r>
      <w:r>
        <w:rPr>
          <w:sz w:val="20"/>
        </w:rPr>
      </w:r>
    </w:p>
    <w:p>
      <w:pPr>
        <w:spacing w:before="78"/>
        <w:ind w:left="2318" w:right="270" w:firstLine="0"/>
        <w:jc w:val="left"/>
        <w:rPr>
          <w:sz w:val="24"/>
        </w:rPr>
      </w:pPr>
      <w:r>
        <w:rPr>
          <w:b/>
          <w:sz w:val="24"/>
        </w:rPr>
        <w:t>Figura 2. </w:t>
      </w:r>
      <w:r>
        <w:rPr>
          <w:sz w:val="24"/>
        </w:rPr>
        <w:t>Escala demostrativa de dimensiones.</w:t>
      </w:r>
    </w:p>
    <w:p>
      <w:pPr>
        <w:pStyle w:val="BodyText"/>
      </w:pPr>
    </w:p>
    <w:p>
      <w:pPr>
        <w:pStyle w:val="BodyText"/>
      </w:pPr>
    </w:p>
    <w:p>
      <w:pPr>
        <w:pStyle w:val="BodyText"/>
        <w:spacing w:line="328" w:lineRule="auto"/>
        <w:ind w:left="160" w:right="185"/>
        <w:jc w:val="both"/>
        <w:rPr>
          <w:sz w:val="16"/>
        </w:rPr>
      </w:pPr>
      <w:r>
        <w:rPr/>
        <w:t>La nanociencia es la disciplina encargada de imaginar, fabricar y manipular materiales que tengan, al menos en una de sus dimensiones, un tamaño entre 1 y 100nm. </w:t>
      </w:r>
      <w:r>
        <w:rPr>
          <w:position w:val="11"/>
          <w:sz w:val="16"/>
        </w:rPr>
        <w:t>59</w:t>
      </w:r>
    </w:p>
    <w:p>
      <w:pPr>
        <w:pStyle w:val="BodyText"/>
        <w:spacing w:before="1"/>
        <w:rPr>
          <w:sz w:val="38"/>
        </w:rPr>
      </w:pPr>
    </w:p>
    <w:p>
      <w:pPr>
        <w:pStyle w:val="BodyText"/>
        <w:spacing w:line="350" w:lineRule="auto" w:before="1"/>
        <w:ind w:left="160" w:right="180"/>
        <w:jc w:val="both"/>
        <w:rPr>
          <w:sz w:val="16"/>
        </w:rPr>
      </w:pPr>
      <w:r>
        <w:rPr/>
        <w:t>La nanotecnología puede definirse como la ciencia y la ingeniería involucradas en el diseño, síntesis, caracterización y aplicación de materiales y aparatos, cuya organización funcional más pequeña, al menos en una dimensión, se encuentra a escala nanométrica. </w:t>
      </w:r>
      <w:r>
        <w:rPr>
          <w:position w:val="11"/>
          <w:sz w:val="16"/>
        </w:rPr>
        <w:t>58, 59</w:t>
      </w:r>
    </w:p>
    <w:p>
      <w:pPr>
        <w:pStyle w:val="BodyText"/>
        <w:spacing w:before="9"/>
        <w:rPr>
          <w:sz w:val="35"/>
        </w:rPr>
      </w:pPr>
    </w:p>
    <w:p>
      <w:pPr>
        <w:pStyle w:val="BodyText"/>
        <w:spacing w:line="360" w:lineRule="auto"/>
        <w:ind w:left="160" w:right="180"/>
        <w:jc w:val="both"/>
      </w:pPr>
      <w:r>
        <w:rPr/>
        <w:t>La nanociencia consiste en la capacidad de controlar átomos y moléculas para formar nuevas estructuras, nuevas moléculas y nuevos materiales de acuerdo con nuestras necesidades específicas, a escalas de tamaño mil millones más pequeñas que las que observamos a simple vista. Mediante la nanotecnología es posible desarrollar nuevos materiales y aparatos con precisión atómica. Los materiales a nanoescala (en el  rango</w:t>
      </w:r>
    </w:p>
    <w:p>
      <w:pPr>
        <w:spacing w:line="331" w:lineRule="auto" w:before="2"/>
        <w:ind w:left="160" w:right="181" w:firstLine="0"/>
        <w:jc w:val="both"/>
        <w:rPr>
          <w:sz w:val="16"/>
        </w:rPr>
      </w:pPr>
      <w:r>
        <w:rPr>
          <w:sz w:val="24"/>
        </w:rPr>
        <w:t>de 1 a 100nm) permiten obtener propiedades únicas y mejoradas, diferentes al nivel </w:t>
      </w:r>
      <w:r>
        <w:rPr>
          <w:position w:val="-10"/>
          <w:sz w:val="24"/>
        </w:rPr>
        <w:t>másico volumétrico. </w:t>
      </w:r>
      <w:r>
        <w:rPr>
          <w:sz w:val="16"/>
        </w:rPr>
        <w:t>58, 60, 61, 62, 63, 64, 65</w:t>
      </w:r>
    </w:p>
    <w:p>
      <w:pPr>
        <w:pStyle w:val="BodyText"/>
        <w:spacing w:before="11"/>
        <w:rPr>
          <w:sz w:val="37"/>
        </w:rPr>
      </w:pPr>
    </w:p>
    <w:p>
      <w:pPr>
        <w:pStyle w:val="BodyText"/>
        <w:spacing w:line="360" w:lineRule="auto"/>
        <w:ind w:left="160" w:right="174"/>
        <w:jc w:val="both"/>
      </w:pPr>
      <w:r>
        <w:rPr/>
        <w:t>El término “nanotecnología” fue introducido formalmente por el profesor Norio Taniguchi de la Universidad de Ciencias de Tokio en un artículo publicado en 1974, titulado, “En el concepto básico de la nanotecnología”. El propósito de utilizar este término fue el describir un “mundo pequeño” en el que las cosas sean medidas en nanómetros.  Desde  entonces  ha  progresado  hacía  el  punto  en  el  que  el  uso  del  término   </w:t>
      </w:r>
      <w:r>
        <w:rPr>
          <w:spacing w:val="1"/>
        </w:rPr>
        <w:t> </w:t>
      </w:r>
      <w:r>
        <w:rPr/>
        <w:t>es</w:t>
      </w:r>
    </w:p>
    <w:p>
      <w:pPr>
        <w:spacing w:after="0" w:line="360" w:lineRule="auto"/>
        <w:jc w:val="both"/>
        <w:sectPr>
          <w:pgSz w:w="12240" w:h="15840"/>
          <w:pgMar w:header="736" w:footer="1024" w:top="1180" w:bottom="1220" w:left="1280" w:right="1260"/>
        </w:sectPr>
      </w:pPr>
    </w:p>
    <w:p>
      <w:pPr>
        <w:pStyle w:val="BodyText"/>
        <w:spacing w:before="1"/>
        <w:rPr>
          <w:sz w:val="13"/>
        </w:rPr>
      </w:pPr>
    </w:p>
    <w:p>
      <w:pPr>
        <w:pStyle w:val="BodyText"/>
        <w:spacing w:line="331" w:lineRule="auto" w:before="81"/>
        <w:ind w:left="160" w:right="174"/>
        <w:jc w:val="both"/>
        <w:rPr>
          <w:sz w:val="16"/>
        </w:rPr>
      </w:pPr>
      <w:r>
        <w:rPr/>
        <w:t>relativamente común, pero no completamente comprendido o del todo madurado. </w:t>
      </w:r>
      <w:r>
        <w:rPr>
          <w:position w:val="11"/>
          <w:sz w:val="16"/>
        </w:rPr>
        <w:t>9, 59,  </w:t>
      </w:r>
      <w:r>
        <w:rPr>
          <w:sz w:val="16"/>
        </w:rPr>
        <w:t>64</w:t>
      </w:r>
    </w:p>
    <w:p>
      <w:pPr>
        <w:pStyle w:val="BodyText"/>
        <w:rPr>
          <w:sz w:val="16"/>
        </w:rPr>
      </w:pPr>
    </w:p>
    <w:p>
      <w:pPr>
        <w:pStyle w:val="BodyText"/>
        <w:rPr>
          <w:sz w:val="16"/>
        </w:rPr>
      </w:pPr>
    </w:p>
    <w:p>
      <w:pPr>
        <w:pStyle w:val="BodyText"/>
        <w:spacing w:before="2"/>
        <w:rPr>
          <w:sz w:val="21"/>
        </w:rPr>
      </w:pPr>
    </w:p>
    <w:p>
      <w:pPr>
        <w:pStyle w:val="BodyText"/>
        <w:spacing w:line="352" w:lineRule="auto"/>
        <w:ind w:left="160" w:right="182"/>
        <w:jc w:val="both"/>
        <w:rPr>
          <w:sz w:val="16"/>
        </w:rPr>
      </w:pPr>
      <w:r>
        <w:rPr/>
        <w:t>Ya que la nanotecnología se basa en el uso de materiales a nivel atómico  para alcanzar propiedades únicas, que a su vez puedan ser manipuladas para la aplicación deseada, se debe tener en cuenta que muchos de los procesos biológicos toman lugar a nivel de la escala nanométrica y es posible aplicar la nanotecnología para revolucionar el campo de la medicina.</w:t>
      </w:r>
      <w:r>
        <w:rPr>
          <w:spacing w:val="-11"/>
        </w:rPr>
        <w:t> </w:t>
      </w:r>
      <w:r>
        <w:rPr>
          <w:position w:val="11"/>
          <w:sz w:val="16"/>
        </w:rPr>
        <w:t>10</w:t>
      </w:r>
    </w:p>
    <w:p>
      <w:pPr>
        <w:pStyle w:val="BodyText"/>
        <w:spacing w:before="6"/>
        <w:rPr>
          <w:sz w:val="35"/>
        </w:rPr>
      </w:pPr>
    </w:p>
    <w:p>
      <w:pPr>
        <w:pStyle w:val="BodyText"/>
        <w:spacing w:line="360" w:lineRule="auto"/>
        <w:ind w:left="160" w:right="174"/>
        <w:jc w:val="both"/>
      </w:pPr>
      <w:r>
        <w:rPr/>
        <w:t>Para comprender el modo en el que las ciencias a nanoescala pueden revolucionar el presente y mejorar el futuro de nuestra sociedad, es necesario regresar los pasos hacia el conocimiento de sus orígenes.</w:t>
      </w:r>
    </w:p>
    <w:p>
      <w:pPr>
        <w:pStyle w:val="BodyText"/>
      </w:pPr>
    </w:p>
    <w:p>
      <w:pPr>
        <w:pStyle w:val="ListParagraph"/>
        <w:numPr>
          <w:ilvl w:val="2"/>
          <w:numId w:val="7"/>
        </w:numPr>
        <w:tabs>
          <w:tab w:pos="1482" w:val="left" w:leader="none"/>
        </w:tabs>
        <w:spacing w:line="240" w:lineRule="auto" w:before="142" w:after="0"/>
        <w:ind w:left="1481" w:right="0" w:hanging="601"/>
        <w:jc w:val="left"/>
        <w:rPr>
          <w:sz w:val="24"/>
        </w:rPr>
      </w:pPr>
      <w:r>
        <w:rPr>
          <w:sz w:val="24"/>
        </w:rPr>
        <w:t>Antecedentes de la nanociencia y la</w:t>
      </w:r>
      <w:r>
        <w:rPr>
          <w:spacing w:val="-21"/>
          <w:sz w:val="24"/>
        </w:rPr>
        <w:t> </w:t>
      </w:r>
      <w:r>
        <w:rPr>
          <w:sz w:val="24"/>
        </w:rPr>
        <w:t>nanotecnología</w:t>
      </w:r>
    </w:p>
    <w:p>
      <w:pPr>
        <w:pStyle w:val="BodyText"/>
      </w:pPr>
    </w:p>
    <w:p>
      <w:pPr>
        <w:pStyle w:val="BodyText"/>
      </w:pPr>
    </w:p>
    <w:p>
      <w:pPr>
        <w:pStyle w:val="BodyText"/>
        <w:spacing w:line="352" w:lineRule="auto"/>
        <w:ind w:left="160" w:right="174"/>
        <w:jc w:val="both"/>
      </w:pPr>
      <w:r>
        <w:rPr/>
        <w:t>La nanotecnología es considerada en el siglo XXI como una tecnología actual, basada en su potencial económico y científico. </w:t>
      </w:r>
      <w:r>
        <w:rPr>
          <w:position w:val="11"/>
          <w:sz w:val="16"/>
        </w:rPr>
        <w:t>62 </w:t>
      </w:r>
      <w:r>
        <w:rPr/>
        <w:t>Mientras que la palabra nanotecnología es relativamente nueva, la existencia de estructuras con dimensiones nanométricas, no lo es; de hecho tales estructuras han existido en la tierra desde que la vida misma ha existido.  Los caparazones de algunos moluscos son un ejemplo de que una  estructura</w:t>
      </w:r>
    </w:p>
    <w:p>
      <w:pPr>
        <w:pStyle w:val="BodyText"/>
        <w:spacing w:line="345" w:lineRule="auto" w:before="13"/>
        <w:ind w:left="160" w:right="175"/>
        <w:jc w:val="both"/>
        <w:rPr>
          <w:sz w:val="16"/>
        </w:rPr>
      </w:pPr>
      <w:r>
        <w:rPr/>
        <w:t>puede ser mucho más fuerte por estar fabricada de nanopartículas (carbonato de calcio colocado en bloques unidos por un pegamento a base de una mezcla de carbohidratos y proteínas).</w:t>
      </w:r>
      <w:r>
        <w:rPr>
          <w:spacing w:val="64"/>
        </w:rPr>
        <w:t> </w:t>
      </w:r>
      <w:r>
        <w:rPr>
          <w:position w:val="11"/>
          <w:sz w:val="16"/>
        </w:rPr>
        <w:t>58</w:t>
      </w:r>
    </w:p>
    <w:p>
      <w:pPr>
        <w:pStyle w:val="BodyText"/>
        <w:spacing w:before="3"/>
        <w:rPr>
          <w:sz w:val="36"/>
        </w:rPr>
      </w:pPr>
    </w:p>
    <w:p>
      <w:pPr>
        <w:pStyle w:val="BodyText"/>
        <w:spacing w:line="360" w:lineRule="auto"/>
        <w:ind w:left="160" w:right="174"/>
        <w:jc w:val="both"/>
      </w:pPr>
      <w:r>
        <w:rPr/>
        <w:t>No es del todo claro cuándo comenzó la humanidad a hacer uso de los materiales de tamaño nanométrico, sin embargo, se sabe que en el siglo IV, en la antigua Roma, los fabricantes de vidrio elaboraban estructuras que contenían materiales a nanoescala, prueba de ello es la copa </w:t>
      </w:r>
      <w:r>
        <w:rPr>
          <w:i/>
        </w:rPr>
        <w:t>Lycurgus </w:t>
      </w:r>
      <w:r>
        <w:rPr/>
        <w:t>que se encuentra en el museo Británico en Londres, la cual está hecha de cal de vidrio con nanopartículas de oro y plata. El color de esta copa cambia de verde a rojo intenso cuando se coloca una fuente de luz junto a ella.</w:t>
      </w:r>
    </w:p>
    <w:p>
      <w:pPr>
        <w:spacing w:after="0" w:line="360" w:lineRule="auto"/>
        <w:jc w:val="both"/>
        <w:sectPr>
          <w:pgSz w:w="12240" w:h="15840"/>
          <w:pgMar w:header="736" w:footer="1024" w:top="1180" w:bottom="1220" w:left="1280" w:right="1260"/>
        </w:sectPr>
      </w:pPr>
    </w:p>
    <w:p>
      <w:pPr>
        <w:pStyle w:val="BodyText"/>
        <w:spacing w:before="2"/>
        <w:rPr>
          <w:sz w:val="17"/>
        </w:rPr>
      </w:pPr>
    </w:p>
    <w:p>
      <w:pPr>
        <w:pStyle w:val="BodyText"/>
        <w:spacing w:line="345" w:lineRule="auto" w:before="69"/>
        <w:ind w:left="160" w:right="176"/>
        <w:jc w:val="both"/>
        <w:rPr>
          <w:sz w:val="16"/>
        </w:rPr>
      </w:pPr>
      <w:r>
        <w:rPr/>
        <w:t>Otro ejemplo de los primeros acercamientos de la humanidad con esta ciencia, son los vitrales de las catedrales medievales, pues la gran variedad de sus hermosos colores, es debido a la presencia de partículas metálicas en el vidrio. </w:t>
      </w:r>
      <w:r>
        <w:rPr>
          <w:position w:val="11"/>
          <w:sz w:val="16"/>
        </w:rPr>
        <w:t>58</w:t>
      </w:r>
    </w:p>
    <w:p>
      <w:pPr>
        <w:pStyle w:val="BodyText"/>
        <w:spacing w:before="3"/>
        <w:rPr>
          <w:sz w:val="36"/>
        </w:rPr>
      </w:pPr>
    </w:p>
    <w:p>
      <w:pPr>
        <w:pStyle w:val="BodyText"/>
        <w:spacing w:line="360" w:lineRule="auto"/>
        <w:ind w:left="160" w:right="175"/>
        <w:jc w:val="both"/>
      </w:pPr>
      <w:r>
        <w:rPr/>
        <w:t>En años recientes, gracias al trabajo de científicos, como el químico Robert Boyle, se habla ya de la importancia de los </w:t>
      </w:r>
      <w:r>
        <w:rPr>
          <w:i/>
        </w:rPr>
        <w:t>clusters </w:t>
      </w:r>
      <w:r>
        <w:rPr/>
        <w:t>(conglomerados), reconocida en su obra “Química escéptica” publicada en 1661. En ella critica la creencia de Aristóteles que afirmaba que “la materia está compuesta de 4 elementos: tierra, fuego, agua y aire”, él sugiere que existen diminutas partículas de materia combinadas para formar lo que    él</w:t>
      </w:r>
    </w:p>
    <w:p>
      <w:pPr>
        <w:spacing w:line="277" w:lineRule="exact" w:before="0"/>
        <w:ind w:left="160" w:right="0" w:firstLine="0"/>
        <w:jc w:val="both"/>
        <w:rPr>
          <w:sz w:val="16"/>
        </w:rPr>
      </w:pPr>
      <w:r>
        <w:rPr>
          <w:sz w:val="24"/>
        </w:rPr>
        <w:t>llama corpúsculos, refiriéndose a los que se conoce hoy como </w:t>
      </w:r>
      <w:r>
        <w:rPr>
          <w:i/>
          <w:sz w:val="24"/>
        </w:rPr>
        <w:t>clusters</w:t>
      </w:r>
      <w:r>
        <w:rPr>
          <w:sz w:val="24"/>
        </w:rPr>
        <w:t>. </w:t>
      </w:r>
      <w:r>
        <w:rPr>
          <w:position w:val="11"/>
          <w:sz w:val="16"/>
        </w:rPr>
        <w:t>9, 58, 66</w:t>
      </w:r>
    </w:p>
    <w:p>
      <w:pPr>
        <w:pStyle w:val="BodyText"/>
        <w:rPr>
          <w:sz w:val="28"/>
        </w:rPr>
      </w:pPr>
    </w:p>
    <w:p>
      <w:pPr>
        <w:pStyle w:val="BodyText"/>
        <w:spacing w:line="360" w:lineRule="auto" w:before="232"/>
        <w:ind w:left="160" w:right="173"/>
        <w:jc w:val="both"/>
      </w:pPr>
      <w:r>
        <w:rPr/>
        <w:t>En relación a la historia de la fotografía, podemos mencionar que en los siglos XVIII y XIX se produjeron nanopartículas sensibles a la luz, ya que la luz influía en ellas para producir imágenes. Los científicos británicos Thomas Wegdewood y Sir Humprey Davy utilizaron nitrato de plata y cloruro para la producción de imágenes, sin embargo éstas no eran permanentes. En 1861 se produjo la primera fotografía a color y en 1883 se</w:t>
      </w:r>
    </w:p>
    <w:p>
      <w:pPr>
        <w:pStyle w:val="BodyText"/>
        <w:spacing w:line="328" w:lineRule="auto" w:before="5"/>
        <w:ind w:left="160" w:right="177"/>
        <w:jc w:val="both"/>
        <w:rPr>
          <w:sz w:val="16"/>
        </w:rPr>
      </w:pPr>
      <w:r>
        <w:rPr/>
        <w:t>fundó la corporación Kodak, que produjo las primeras películas sobre papel con una emulsión que contenía haluros de plata. </w:t>
      </w:r>
      <w:r>
        <w:rPr>
          <w:position w:val="11"/>
          <w:sz w:val="16"/>
        </w:rPr>
        <w:t>58, 63</w:t>
      </w:r>
    </w:p>
    <w:p>
      <w:pPr>
        <w:pStyle w:val="BodyText"/>
        <w:spacing w:before="1"/>
        <w:rPr>
          <w:sz w:val="38"/>
        </w:rPr>
      </w:pPr>
    </w:p>
    <w:p>
      <w:pPr>
        <w:pStyle w:val="BodyText"/>
        <w:spacing w:line="345" w:lineRule="auto" w:before="1"/>
        <w:ind w:left="160" w:right="174"/>
        <w:jc w:val="both"/>
        <w:rPr>
          <w:sz w:val="16"/>
        </w:rPr>
      </w:pPr>
      <w:r>
        <w:rPr/>
        <w:t>En 1857 Michael Faraday publicó su documento “Transacciones filosóficas de la sociedad real”, que intentaba explicar cómo las partículas metálicas afectaban el color de las ventanas de las iglesias. Gustav Mie fue el primero en dar una explicación respecto a que el color de los vidrios dependía del tamaño y la clase de los metales. </w:t>
      </w:r>
      <w:r>
        <w:rPr>
          <w:position w:val="11"/>
          <w:sz w:val="16"/>
        </w:rPr>
        <w:t>58, </w:t>
      </w:r>
      <w:r>
        <w:rPr>
          <w:sz w:val="16"/>
        </w:rPr>
        <w:t>67</w:t>
      </w:r>
    </w:p>
    <w:p>
      <w:pPr>
        <w:pStyle w:val="BodyText"/>
        <w:rPr>
          <w:sz w:val="16"/>
        </w:rPr>
      </w:pPr>
    </w:p>
    <w:p>
      <w:pPr>
        <w:pStyle w:val="BodyText"/>
        <w:rPr>
          <w:sz w:val="16"/>
        </w:rPr>
      </w:pPr>
    </w:p>
    <w:p>
      <w:pPr>
        <w:pStyle w:val="BodyText"/>
        <w:spacing w:before="2"/>
        <w:rPr>
          <w:sz w:val="20"/>
        </w:rPr>
      </w:pPr>
    </w:p>
    <w:p>
      <w:pPr>
        <w:pStyle w:val="BodyText"/>
        <w:spacing w:line="360" w:lineRule="auto"/>
        <w:ind w:left="160" w:right="174"/>
        <w:jc w:val="both"/>
      </w:pPr>
      <w:r>
        <w:rPr/>
        <w:t>El término nanotecnología fue difundido por el ganador del premio nobel de física Richard Feynman en 1965 cuando presentó su autobiografía titulada “Seguramente usted está bromeando señor Feynman”. En 1960 presentó lo que llamaron una lectura profética en la reunión de la sociedad americana de física, titulada </w:t>
      </w:r>
      <w:r>
        <w:rPr>
          <w:i/>
        </w:rPr>
        <w:t>“hay mucho lugar en </w:t>
      </w:r>
      <w:r>
        <w:rPr>
          <w:i/>
        </w:rPr>
        <w:t>el fondo”</w:t>
      </w:r>
      <w:r>
        <w:rPr/>
        <w:t>; aquí él especulaba acerca de la posibilidad y el potencial de materiales de tamaño nanométrico. El propuso manipular los átomos individuales para crear nuevas y</w:t>
      </w:r>
    </w:p>
    <w:p>
      <w:pPr>
        <w:spacing w:after="0" w:line="360" w:lineRule="auto"/>
        <w:jc w:val="both"/>
        <w:sectPr>
          <w:footerReference w:type="default" r:id="rId18"/>
          <w:pgSz w:w="12240" w:h="15840"/>
          <w:pgMar w:footer="1024" w:header="736" w:top="1180" w:bottom="1220" w:left="1280" w:right="1260"/>
        </w:sectPr>
      </w:pPr>
    </w:p>
    <w:p>
      <w:pPr>
        <w:pStyle w:val="BodyText"/>
        <w:spacing w:before="2"/>
        <w:rPr>
          <w:sz w:val="17"/>
        </w:rPr>
      </w:pPr>
    </w:p>
    <w:p>
      <w:pPr>
        <w:pStyle w:val="BodyText"/>
        <w:spacing w:line="360" w:lineRule="auto" w:before="69"/>
        <w:ind w:left="160" w:right="174"/>
        <w:jc w:val="both"/>
      </w:pPr>
      <w:r>
        <w:rPr/>
        <w:t>pequeñas estructuras con diferentes propiedades, estas ideas son ahora una realidad en la ciencia con el uso de los microscopios de barrido y los circuitos que pueden utilizarse en computadoras más poderosas. A pesar de que la mayoría de estas especulaciones se han convertido en realidad, él quiso presentar su libro de  una manera poco seria quizá porque “era tan visionario que no se conectó con la gente hasta que la tecnología los alcanzó”. Otro científico visionario, Ralph Landauer, en  1957 contribuyó con IBM desarrollando componentes electrónicos a nanoescala y, a partir de ese momento, la nanotecnología ha ido creciendo gracias a los avances de la electrónica.</w:t>
      </w:r>
      <w:r>
        <w:rPr>
          <w:spacing w:val="39"/>
        </w:rPr>
        <w:t> </w:t>
      </w:r>
      <w:r>
        <w:rPr/>
        <w:t>Es</w:t>
      </w:r>
      <w:r>
        <w:rPr>
          <w:spacing w:val="37"/>
        </w:rPr>
        <w:t> </w:t>
      </w:r>
      <w:r>
        <w:rPr/>
        <w:t>por</w:t>
      </w:r>
      <w:r>
        <w:rPr>
          <w:spacing w:val="36"/>
        </w:rPr>
        <w:t> </w:t>
      </w:r>
      <w:r>
        <w:rPr/>
        <w:t>esto</w:t>
      </w:r>
      <w:r>
        <w:rPr>
          <w:spacing w:val="40"/>
        </w:rPr>
        <w:t> </w:t>
      </w:r>
      <w:r>
        <w:rPr/>
        <w:t>que</w:t>
      </w:r>
      <w:r>
        <w:rPr>
          <w:spacing w:val="37"/>
        </w:rPr>
        <w:t> </w:t>
      </w:r>
      <w:r>
        <w:rPr/>
        <w:t>en</w:t>
      </w:r>
      <w:r>
        <w:rPr>
          <w:spacing w:val="37"/>
        </w:rPr>
        <w:t> </w:t>
      </w:r>
      <w:r>
        <w:rPr/>
        <w:t>épocas</w:t>
      </w:r>
      <w:r>
        <w:rPr>
          <w:spacing w:val="37"/>
        </w:rPr>
        <w:t> </w:t>
      </w:r>
      <w:r>
        <w:rPr/>
        <w:t>más</w:t>
      </w:r>
      <w:r>
        <w:rPr>
          <w:spacing w:val="39"/>
        </w:rPr>
        <w:t> </w:t>
      </w:r>
      <w:r>
        <w:rPr/>
        <w:t>recientes,</w:t>
      </w:r>
      <w:r>
        <w:rPr>
          <w:spacing w:val="39"/>
        </w:rPr>
        <w:t> </w:t>
      </w:r>
      <w:r>
        <w:rPr/>
        <w:t>cerca</w:t>
      </w:r>
      <w:r>
        <w:rPr>
          <w:spacing w:val="37"/>
        </w:rPr>
        <w:t> </w:t>
      </w:r>
      <w:r>
        <w:rPr/>
        <w:t>de</w:t>
      </w:r>
      <w:r>
        <w:rPr>
          <w:spacing w:val="44"/>
        </w:rPr>
        <w:t> </w:t>
      </w:r>
      <w:r>
        <w:rPr/>
        <w:t>1996,</w:t>
      </w:r>
      <w:r>
        <w:rPr>
          <w:spacing w:val="40"/>
        </w:rPr>
        <w:t> </w:t>
      </w:r>
      <w:r>
        <w:rPr/>
        <w:t>las</w:t>
      </w:r>
      <w:r>
        <w:rPr>
          <w:spacing w:val="37"/>
        </w:rPr>
        <w:t> </w:t>
      </w:r>
      <w:r>
        <w:rPr/>
        <w:t>agencias</w:t>
      </w:r>
    </w:p>
    <w:p>
      <w:pPr>
        <w:pStyle w:val="BodyText"/>
        <w:spacing w:line="331" w:lineRule="auto" w:before="3"/>
        <w:ind w:left="160" w:right="174"/>
        <w:jc w:val="both"/>
        <w:rPr>
          <w:sz w:val="16"/>
        </w:rPr>
      </w:pPr>
      <w:r>
        <w:rPr/>
        <w:t>gubernamentales dirigidas por la Fundación Nacional de Ciencias apoyaron el estudio y evaluación de la investigación en nanociencia y nanotecnología. </w:t>
      </w:r>
      <w:r>
        <w:rPr>
          <w:position w:val="11"/>
          <w:sz w:val="16"/>
        </w:rPr>
        <w:t>9, 58, 59, 64</w:t>
      </w:r>
    </w:p>
    <w:p>
      <w:pPr>
        <w:pStyle w:val="BodyText"/>
        <w:spacing w:before="10"/>
        <w:rPr>
          <w:sz w:val="37"/>
        </w:rPr>
      </w:pPr>
    </w:p>
    <w:p>
      <w:pPr>
        <w:pStyle w:val="BodyText"/>
        <w:spacing w:line="360" w:lineRule="auto"/>
        <w:ind w:left="160" w:right="174"/>
        <w:jc w:val="both"/>
      </w:pPr>
      <w:r>
        <w:rPr/>
        <w:t>En Estados Unidos el extenso interés en esta área data desde 1996 a 1998, cuando el Centro de Evaluación y Tecnología Mundial, (conocido por sus siglas en Inglés como WTEC) creado por la Fundación Nacional de Ciencias y otras agencias federales, impulsó a nivel mundial el estudio y desarrollo en nanotecnología, con el propósito de evaluar su potencial para la innovación tecnológica. El estudio concluyó que la nanotecnología tiene un enorme potencial para contribuir en avances significativos    en</w:t>
      </w:r>
    </w:p>
    <w:p>
      <w:pPr>
        <w:pStyle w:val="BodyText"/>
        <w:spacing w:line="281" w:lineRule="exact"/>
        <w:ind w:left="160"/>
        <w:jc w:val="both"/>
        <w:rPr>
          <w:sz w:val="16"/>
        </w:rPr>
      </w:pPr>
      <w:r>
        <w:rPr/>
        <w:t>una diversidad de áreas tecnológicas. </w:t>
      </w:r>
      <w:r>
        <w:rPr>
          <w:position w:val="11"/>
          <w:sz w:val="16"/>
        </w:rPr>
        <w:t>58, 68</w:t>
      </w:r>
    </w:p>
    <w:p>
      <w:pPr>
        <w:pStyle w:val="BodyText"/>
        <w:rPr>
          <w:sz w:val="28"/>
        </w:rPr>
      </w:pPr>
    </w:p>
    <w:p>
      <w:pPr>
        <w:pStyle w:val="BodyText"/>
        <w:spacing w:line="350" w:lineRule="auto" w:before="230"/>
        <w:ind w:left="160" w:right="185"/>
        <w:jc w:val="both"/>
        <w:rPr>
          <w:sz w:val="16"/>
        </w:rPr>
      </w:pPr>
      <w:r>
        <w:rPr/>
        <w:t>En años recientes la nanotecnología se ha convertido en uno de los más importantes campos en la ciencias física, química, ingeniería y biología, pues representa una gran promesa en el futuro cercano, que cambie la dirección de los avances tecnológicos en un sin número de aplicaciones. </w:t>
      </w:r>
      <w:r>
        <w:rPr>
          <w:position w:val="11"/>
          <w:sz w:val="16"/>
        </w:rPr>
        <w:t>58, 59, 60, 69, 70, 71, 72</w:t>
      </w:r>
    </w:p>
    <w:p>
      <w:pPr>
        <w:pStyle w:val="BodyText"/>
        <w:spacing w:before="8"/>
        <w:rPr>
          <w:sz w:val="35"/>
        </w:rPr>
      </w:pPr>
    </w:p>
    <w:p>
      <w:pPr>
        <w:pStyle w:val="BodyText"/>
        <w:spacing w:line="352" w:lineRule="auto" w:before="1"/>
        <w:ind w:left="160" w:right="174"/>
        <w:jc w:val="both"/>
        <w:rPr>
          <w:sz w:val="16"/>
        </w:rPr>
      </w:pPr>
      <w:r>
        <w:rPr/>
        <w:t>A partir del año 2000 los avances en nanotecnología han ido en aumento en diversas áreas, gran parte de esto se debe a las atinadas visiones de Feynman, quien correctamente apuntó a que los sistemas biológicos experimentarían una gran variedad de avances mediante la fabricación de aparatos nanométricos para mejorar, en lo posible, la calidad de vida </w:t>
      </w:r>
      <w:r>
        <w:rPr>
          <w:position w:val="11"/>
          <w:sz w:val="16"/>
        </w:rPr>
        <w:t>9, 58,, 59, 64, 69</w:t>
      </w:r>
    </w:p>
    <w:p>
      <w:pPr>
        <w:spacing w:after="0" w:line="352" w:lineRule="auto"/>
        <w:jc w:val="both"/>
        <w:rPr>
          <w:sz w:val="16"/>
        </w:rPr>
        <w:sectPr>
          <w:footerReference w:type="default" r:id="rId19"/>
          <w:pgSz w:w="12240" w:h="15840"/>
          <w:pgMar w:footer="1024" w:header="736" w:top="1180" w:bottom="1220" w:left="1280" w:right="1260"/>
          <w:pgNumType w:start="31"/>
        </w:sectPr>
      </w:pPr>
    </w:p>
    <w:p>
      <w:pPr>
        <w:pStyle w:val="BodyText"/>
        <w:spacing w:before="2"/>
        <w:rPr>
          <w:sz w:val="17"/>
        </w:rPr>
      </w:pPr>
    </w:p>
    <w:p>
      <w:pPr>
        <w:pStyle w:val="BodyText"/>
        <w:spacing w:before="69"/>
        <w:ind w:left="947" w:right="270"/>
      </w:pPr>
      <w:r>
        <w:rPr/>
        <w:t>3.3.1.2. Principales usos y aplicaciones de la nanotecnología</w:t>
      </w:r>
    </w:p>
    <w:p>
      <w:pPr>
        <w:pStyle w:val="BodyText"/>
      </w:pPr>
    </w:p>
    <w:p>
      <w:pPr>
        <w:pStyle w:val="BodyText"/>
        <w:rPr>
          <w:sz w:val="33"/>
        </w:rPr>
      </w:pPr>
    </w:p>
    <w:p>
      <w:pPr>
        <w:pStyle w:val="BodyText"/>
        <w:spacing w:line="352" w:lineRule="auto"/>
        <w:ind w:left="160" w:right="175"/>
        <w:jc w:val="both"/>
      </w:pPr>
      <w:r>
        <w:rPr/>
        <w:t>Las propiedades innovadoras de los nanomateriales representan una gran promesa para los avances tecnológicos en prácticamente todas las áreas. </w:t>
      </w:r>
      <w:r>
        <w:rPr>
          <w:position w:val="11"/>
          <w:sz w:val="16"/>
        </w:rPr>
        <w:t>69 </w:t>
      </w:r>
      <w:r>
        <w:rPr/>
        <w:t>Estos avances van desde la producción de materiales más livianos pero más resistentes, hasta aumentar la capacidad de almacenamiento de cintas magnéticas y tener “switches” más rápidos para computadoras, utilizar descontaminantes para el agua, mejorar las tecnologías</w:t>
      </w:r>
      <w:r>
        <w:rPr>
          <w:spacing w:val="65"/>
        </w:rPr>
        <w:t> </w:t>
      </w:r>
      <w:r>
        <w:rPr/>
        <w:t>de</w:t>
      </w:r>
    </w:p>
    <w:p>
      <w:pPr>
        <w:pStyle w:val="BodyText"/>
        <w:spacing w:line="350" w:lineRule="auto" w:before="13"/>
        <w:ind w:left="160" w:right="176"/>
        <w:jc w:val="both"/>
        <w:rPr>
          <w:sz w:val="16"/>
        </w:rPr>
      </w:pPr>
      <w:r>
        <w:rPr/>
        <w:t>comunicación, contribuir a la mejora en la fabricación de cualquier estructura en robótica, por mencionar algunas de sus más relevantes aplicaciones. Es por ello que esta ciencia ha encontrado su rápido avance en áreas como la electrónica, la química, la biotecnología, la bioanalítica y otras industrias. </w:t>
      </w:r>
      <w:r>
        <w:rPr>
          <w:position w:val="11"/>
          <w:sz w:val="16"/>
        </w:rPr>
        <w:t>58, 59, 63, 64, 70, 71</w:t>
      </w:r>
    </w:p>
    <w:p>
      <w:pPr>
        <w:pStyle w:val="BodyText"/>
        <w:spacing w:before="8"/>
        <w:rPr>
          <w:sz w:val="35"/>
        </w:rPr>
      </w:pPr>
    </w:p>
    <w:p>
      <w:pPr>
        <w:pStyle w:val="BodyText"/>
        <w:spacing w:line="360" w:lineRule="auto" w:before="1"/>
        <w:ind w:left="160" w:right="173"/>
        <w:jc w:val="both"/>
      </w:pPr>
      <w:r>
        <w:rPr/>
        <w:t>La nanotecnología se encuentra en constante avance y expansión en el área de la investigación, la cual ha dado ya una gran variedad de productos comerciales que se encuentran actualmente disponibles en cosméticos, lociones bronceadoras, pinturas, llantas de automóviles, limpiadores de vidrios, ropa interior, electrodomésticos y repelentes antimicrobianos. De acuerdo al proyecto “nanotecnología emergente” del 2008, el número de productos que contenían nanopartículas, en el mercado excedía de 800 y con un rápido crecimiento. En el inventario “productos nanotecnológicos consumibles”, el elemento más comúnmente mencionado en la descripción de producto, fue el carbón, incluyendo los nanotubos. El segundo elemento más referenciado fue la plata, utilizada como aditivo antimicrobiano en detergentes, alimentos y ropa interior. Otros elementos como el dióxido de titanio y óxido de zinc fueron  encontrados  en  productos  de  cuidado  personal,  como  las  pastas</w:t>
      </w:r>
      <w:r>
        <w:rPr>
          <w:spacing w:val="66"/>
        </w:rPr>
        <w:t> </w:t>
      </w:r>
      <w:r>
        <w:rPr/>
        <w:t>dentales,</w:t>
      </w:r>
    </w:p>
    <w:p>
      <w:pPr>
        <w:spacing w:line="281" w:lineRule="exact" w:before="0"/>
        <w:ind w:left="160" w:right="0" w:firstLine="0"/>
        <w:jc w:val="both"/>
        <w:rPr>
          <w:sz w:val="16"/>
        </w:rPr>
      </w:pPr>
      <w:r>
        <w:rPr>
          <w:sz w:val="24"/>
        </w:rPr>
        <w:t>productos de belleza y bloqueadores solares, así como en textiles.  </w:t>
      </w:r>
      <w:r>
        <w:rPr>
          <w:position w:val="11"/>
          <w:sz w:val="16"/>
        </w:rPr>
        <w:t>59, 62, 63, 69, 73, 74, 75, 76</w:t>
      </w:r>
    </w:p>
    <w:p>
      <w:pPr>
        <w:pStyle w:val="BodyText"/>
        <w:rPr>
          <w:sz w:val="28"/>
        </w:rPr>
      </w:pPr>
    </w:p>
    <w:p>
      <w:pPr>
        <w:pStyle w:val="BodyText"/>
        <w:spacing w:line="350" w:lineRule="auto" w:before="230"/>
        <w:ind w:left="160" w:right="174"/>
        <w:jc w:val="both"/>
        <w:rPr>
          <w:sz w:val="16"/>
        </w:rPr>
      </w:pPr>
      <w:r>
        <w:rPr/>
        <w:t>Es posible mencionar que una de las áreas que más nos atañe, en donde la nanotecnología está impactando positivamente a una parte importante de la industria dedicada al cuidado de la salud, es la nanomedicina, que representa uno de los más importantes retos que enfrentamos en estas últimas décadas.  </w:t>
      </w:r>
      <w:r>
        <w:rPr>
          <w:position w:val="11"/>
          <w:sz w:val="16"/>
        </w:rPr>
        <w:t>25, 57, 68, 72</w:t>
      </w:r>
    </w:p>
    <w:p>
      <w:pPr>
        <w:spacing w:after="0" w:line="350" w:lineRule="auto"/>
        <w:jc w:val="both"/>
        <w:rPr>
          <w:sz w:val="16"/>
        </w:rPr>
        <w:sectPr>
          <w:pgSz w:w="12240" w:h="15840"/>
          <w:pgMar w:header="736" w:footer="1024" w:top="1180" w:bottom="1220" w:left="1280" w:right="1260"/>
        </w:sectPr>
      </w:pPr>
    </w:p>
    <w:p>
      <w:pPr>
        <w:pStyle w:val="BodyText"/>
        <w:spacing w:before="2"/>
        <w:rPr>
          <w:sz w:val="17"/>
        </w:rPr>
      </w:pPr>
    </w:p>
    <w:p>
      <w:pPr>
        <w:pStyle w:val="BodyText"/>
        <w:spacing w:line="345" w:lineRule="auto" w:before="69"/>
        <w:ind w:left="160" w:right="173"/>
        <w:jc w:val="both"/>
        <w:rPr>
          <w:sz w:val="16"/>
        </w:rPr>
      </w:pPr>
      <w:r>
        <w:rPr/>
        <w:t>Se dice que la nanotecnología es empleada actualmente como una herramienta para explorar “los caminos más obscuros de las ciencias médicas” </w:t>
      </w:r>
      <w:r>
        <w:rPr>
          <w:position w:val="11"/>
          <w:sz w:val="16"/>
        </w:rPr>
        <w:t>10</w:t>
      </w:r>
      <w:r>
        <w:rPr/>
        <w:t>. Mediante la nanomedicina y la participación de ciencias como la biología, física, química, ciencias de los materiales y la ingeniería mecánica, </w:t>
      </w:r>
      <w:r>
        <w:rPr>
          <w:position w:val="11"/>
          <w:sz w:val="16"/>
        </w:rPr>
        <w:t>69 </w:t>
      </w:r>
      <w:r>
        <w:rPr/>
        <w:t>es posible llegar a la implantación de nanoestructuras en partes internas del cuerpo humano y mediante tomografías poder obtener </w:t>
      </w:r>
      <w:r>
        <w:rPr>
          <w:i/>
        </w:rPr>
        <w:t>in vivo </w:t>
      </w:r>
      <w:r>
        <w:rPr/>
        <w:t>imágenes que proporcionen diagnósticos oportunos y más precisos acerca de diversas patologías. </w:t>
      </w:r>
      <w:r>
        <w:rPr>
          <w:position w:val="11"/>
          <w:sz w:val="16"/>
        </w:rPr>
        <w:t>59 </w:t>
      </w:r>
      <w:r>
        <w:rPr/>
        <w:t>Resulta también de suma importancia que mediante  la bioingeniería, es posible crear aparatos y estructuras biológicas con componentes nanométricos que sean biocompatibles.</w:t>
      </w:r>
      <w:r>
        <w:rPr>
          <w:spacing w:val="-11"/>
        </w:rPr>
        <w:t> </w:t>
      </w:r>
      <w:r>
        <w:rPr>
          <w:position w:val="11"/>
          <w:sz w:val="16"/>
        </w:rPr>
        <w:t>76</w:t>
      </w:r>
    </w:p>
    <w:p>
      <w:pPr>
        <w:pStyle w:val="BodyText"/>
        <w:spacing w:before="4"/>
        <w:rPr>
          <w:sz w:val="36"/>
        </w:rPr>
      </w:pPr>
    </w:p>
    <w:p>
      <w:pPr>
        <w:pStyle w:val="BodyText"/>
        <w:spacing w:line="348" w:lineRule="auto"/>
        <w:ind w:left="160" w:right="174"/>
        <w:jc w:val="both"/>
        <w:rPr>
          <w:sz w:val="16"/>
        </w:rPr>
      </w:pPr>
      <w:r>
        <w:rPr/>
        <w:t>Por otra parte, ha sido posible la creación de un sistema de “nanotransportación”, que funciona a través de “nanosensores” que llevan mensajes de una célula a otra e incluso pueden alterar los contenidos de ADN en las bacterias. </w:t>
      </w:r>
      <w:r>
        <w:rPr>
          <w:position w:val="11"/>
          <w:sz w:val="16"/>
        </w:rPr>
        <w:t>60, 61, 73 </w:t>
      </w:r>
      <w:r>
        <w:rPr/>
        <w:t>Además es posible la liberación de medicamentos de manera más efectiva y prolongada en los tejidos específicos, así como acortar el tiempo en depositar medicamentos nanoestructurados o lograr una aplicación de vacunas y antígenos al sistema circulatorio. </w:t>
      </w:r>
      <w:r>
        <w:rPr>
          <w:position w:val="11"/>
          <w:sz w:val="16"/>
        </w:rPr>
        <w:t>59, 69 </w:t>
      </w:r>
      <w:r>
        <w:rPr/>
        <w:t>Quizá una de las mayores aportaciones de la nanomedicina ha sido el crear un sistema cuya acción en los genes permita el tratamiento de diversos tipos de cáncer. </w:t>
      </w:r>
      <w:r>
        <w:rPr>
          <w:position w:val="11"/>
          <w:sz w:val="16"/>
        </w:rPr>
        <w:t>59, 70, 73,</w:t>
      </w:r>
      <w:r>
        <w:rPr>
          <w:spacing w:val="24"/>
          <w:position w:val="11"/>
          <w:sz w:val="16"/>
        </w:rPr>
        <w:t> </w:t>
      </w:r>
      <w:r>
        <w:rPr>
          <w:position w:val="11"/>
          <w:sz w:val="16"/>
        </w:rPr>
        <w:t>76</w:t>
      </w:r>
    </w:p>
    <w:p>
      <w:pPr>
        <w:pStyle w:val="BodyText"/>
        <w:rPr>
          <w:sz w:val="36"/>
        </w:rPr>
      </w:pPr>
    </w:p>
    <w:p>
      <w:pPr>
        <w:pStyle w:val="BodyText"/>
        <w:spacing w:line="360" w:lineRule="auto"/>
        <w:ind w:left="160" w:right="174"/>
        <w:jc w:val="both"/>
      </w:pPr>
      <w:r>
        <w:rPr/>
        <w:t>La quimioterapia se ha vuelto un componente integral en el tratamiento de la mayoría de trastornos oncológicos, a pesar de 30 años de esfuerzo en el descubrimiento de fármacos oncológicos, los agentes quimioterapeúticos convencionales aún exhiben poca especificidad en la búsqueda de tejidos tumorales y a menudo están restringidos por las “dosis-límite” tóxicas. Debido a lo anterior, ha crecido el interés en desarrollar vehículos a nanoescala capaces de lograr un depósito controlado del fármaco, dentro de las células cancerígenas mediante vehículos poliméricos con partículas desde</w:t>
      </w:r>
      <w:r>
        <w:rPr>
          <w:spacing w:val="2"/>
        </w:rPr>
        <w:t> </w:t>
      </w:r>
      <w:r>
        <w:rPr/>
        <w:t>50nm</w:t>
      </w:r>
    </w:p>
    <w:p>
      <w:pPr>
        <w:pStyle w:val="BodyText"/>
        <w:spacing w:line="282" w:lineRule="exact"/>
        <w:ind w:left="160"/>
        <w:jc w:val="both"/>
        <w:rPr>
          <w:sz w:val="16"/>
        </w:rPr>
      </w:pPr>
      <w:r>
        <w:rPr/>
        <w:t>que encapsulan el medicamento y pueden liberarlo de una manera predeterminada. </w:t>
      </w:r>
      <w:r>
        <w:rPr>
          <w:spacing w:val="54"/>
        </w:rPr>
        <w:t> </w:t>
      </w:r>
      <w:r>
        <w:rPr>
          <w:position w:val="11"/>
          <w:sz w:val="16"/>
        </w:rPr>
        <w:t>59,</w:t>
      </w:r>
    </w:p>
    <w:p>
      <w:pPr>
        <w:spacing w:before="101"/>
        <w:ind w:left="160" w:right="0" w:firstLine="0"/>
        <w:jc w:val="both"/>
        <w:rPr>
          <w:sz w:val="16"/>
        </w:rPr>
      </w:pPr>
      <w:r>
        <w:rPr>
          <w:sz w:val="16"/>
        </w:rPr>
        <w:t>69, 75, 76</w:t>
      </w:r>
    </w:p>
    <w:p>
      <w:pPr>
        <w:pStyle w:val="BodyText"/>
        <w:rPr>
          <w:sz w:val="16"/>
        </w:rPr>
      </w:pPr>
    </w:p>
    <w:p>
      <w:pPr>
        <w:pStyle w:val="BodyText"/>
        <w:rPr>
          <w:sz w:val="16"/>
        </w:rPr>
      </w:pPr>
    </w:p>
    <w:p>
      <w:pPr>
        <w:pStyle w:val="BodyText"/>
        <w:rPr>
          <w:sz w:val="16"/>
        </w:rPr>
      </w:pPr>
    </w:p>
    <w:p>
      <w:pPr>
        <w:pStyle w:val="BodyText"/>
        <w:spacing w:line="360" w:lineRule="auto" w:before="127"/>
        <w:ind w:left="160" w:right="185"/>
        <w:jc w:val="both"/>
      </w:pPr>
      <w:r>
        <w:rPr/>
        <w:t>Para aquellos acostumbrados a un mundo macroscópico, en el que los objetos puedan sostenerse en la mano y ser vistos por el ojo humano, el prefijo “nano” describe  </w:t>
      </w:r>
      <w:r>
        <w:rPr>
          <w:spacing w:val="63"/>
        </w:rPr>
        <w:t> </w:t>
      </w:r>
      <w:r>
        <w:rPr/>
        <w:t>áreas</w:t>
      </w:r>
    </w:p>
    <w:p>
      <w:pPr>
        <w:spacing w:after="0" w:line="360" w:lineRule="auto"/>
        <w:jc w:val="both"/>
        <w:sectPr>
          <w:pgSz w:w="12240" w:h="15840"/>
          <w:pgMar w:header="736" w:footer="1024" w:top="1180" w:bottom="1220" w:left="1280" w:right="1260"/>
        </w:sectPr>
      </w:pPr>
    </w:p>
    <w:p>
      <w:pPr>
        <w:pStyle w:val="BodyText"/>
        <w:spacing w:before="2"/>
        <w:rPr>
          <w:sz w:val="17"/>
        </w:rPr>
      </w:pPr>
    </w:p>
    <w:p>
      <w:pPr>
        <w:pStyle w:val="BodyText"/>
        <w:spacing w:line="350" w:lineRule="auto" w:before="69"/>
        <w:ind w:left="160" w:right="183"/>
        <w:jc w:val="both"/>
        <w:rPr>
          <w:sz w:val="16"/>
        </w:rPr>
      </w:pPr>
      <w:r>
        <w:rPr/>
        <w:t>actuales de investigación y desarrollo en donde las fuerzas electrostáticas juegan un importante papel. Esta es un área en donde la “vieja” y la “nueva” electrostática  se unen gracias a la existencia de partículas de tamaño nanométrico, llamadas nanopartículas. </w:t>
      </w:r>
      <w:r>
        <w:rPr>
          <w:position w:val="11"/>
          <w:sz w:val="16"/>
        </w:rPr>
        <w:t>64</w:t>
      </w:r>
    </w:p>
    <w:p>
      <w:pPr>
        <w:pStyle w:val="BodyText"/>
        <w:spacing w:before="6"/>
        <w:rPr>
          <w:sz w:val="35"/>
        </w:rPr>
      </w:pPr>
    </w:p>
    <w:p>
      <w:pPr>
        <w:pStyle w:val="ListParagraph"/>
        <w:numPr>
          <w:ilvl w:val="2"/>
          <w:numId w:val="7"/>
        </w:numPr>
        <w:tabs>
          <w:tab w:pos="3422" w:val="left" w:leader="none"/>
        </w:tabs>
        <w:spacing w:line="240" w:lineRule="auto" w:before="0" w:after="0"/>
        <w:ind w:left="3421" w:right="0" w:hanging="601"/>
        <w:jc w:val="left"/>
        <w:rPr>
          <w:sz w:val="24"/>
        </w:rPr>
      </w:pPr>
      <w:r>
        <w:rPr>
          <w:sz w:val="24"/>
        </w:rPr>
        <w:t>Nanopartículas de plata</w:t>
      </w:r>
      <w:r>
        <w:rPr>
          <w:spacing w:val="-11"/>
          <w:sz w:val="24"/>
        </w:rPr>
        <w:t> </w:t>
      </w:r>
      <w:r>
        <w:rPr>
          <w:sz w:val="24"/>
        </w:rPr>
        <w:t>(Np-Ag)</w:t>
      </w:r>
    </w:p>
    <w:p>
      <w:pPr>
        <w:pStyle w:val="BodyText"/>
      </w:pPr>
    </w:p>
    <w:p>
      <w:pPr>
        <w:pStyle w:val="BodyText"/>
      </w:pPr>
    </w:p>
    <w:p>
      <w:pPr>
        <w:pStyle w:val="BodyText"/>
        <w:spacing w:before="1"/>
        <w:rPr>
          <w:sz w:val="21"/>
        </w:rPr>
      </w:pPr>
    </w:p>
    <w:p>
      <w:pPr>
        <w:pStyle w:val="BodyText"/>
        <w:spacing w:line="345" w:lineRule="auto"/>
        <w:ind w:left="160" w:right="176"/>
        <w:jc w:val="both"/>
        <w:rPr>
          <w:sz w:val="16"/>
        </w:rPr>
      </w:pPr>
      <w:r>
        <w:rPr/>
        <w:t>En años recientes ha crecido el interés en la preparación y el estudio de las nanopartículas, las cuales pueden formarse a partir de diferentes metales y tener diversas aplicaciones. </w:t>
      </w:r>
      <w:r>
        <w:rPr>
          <w:position w:val="11"/>
          <w:sz w:val="16"/>
        </w:rPr>
        <w:t>72</w:t>
      </w:r>
    </w:p>
    <w:p>
      <w:pPr>
        <w:pStyle w:val="BodyText"/>
        <w:spacing w:before="3"/>
        <w:rPr>
          <w:sz w:val="36"/>
        </w:rPr>
      </w:pPr>
    </w:p>
    <w:p>
      <w:pPr>
        <w:pStyle w:val="BodyText"/>
        <w:spacing w:line="345" w:lineRule="auto"/>
        <w:ind w:left="160" w:right="173"/>
        <w:jc w:val="both"/>
        <w:rPr>
          <w:sz w:val="16"/>
        </w:rPr>
      </w:pPr>
      <w:r>
        <w:rPr/>
        <w:t>Las nanopartículas de plata (Np-Ag) son ampliamente utilizadas en las ciencias médicas. Son materiales nanoestructurados cuya base son las sales de plata </w:t>
      </w:r>
      <w:r>
        <w:rPr>
          <w:position w:val="11"/>
          <w:sz w:val="16"/>
        </w:rPr>
        <w:t>75, 76</w:t>
      </w:r>
      <w:r>
        <w:rPr/>
        <w:t>. El efecto antibacteriano de las sales de plata es conocido desde la antigüedad y actualmente la plata está siendo utilizada para inhibir el crecimiento bacteriano en una variedad de aplicaciones, incluyendo la odontología. </w:t>
      </w:r>
      <w:r>
        <w:rPr>
          <w:position w:val="11"/>
          <w:sz w:val="16"/>
        </w:rPr>
        <w:t>59</w:t>
      </w:r>
    </w:p>
    <w:p>
      <w:pPr>
        <w:pStyle w:val="BodyText"/>
        <w:spacing w:before="3"/>
        <w:rPr>
          <w:sz w:val="36"/>
        </w:rPr>
      </w:pPr>
    </w:p>
    <w:p>
      <w:pPr>
        <w:pStyle w:val="BodyText"/>
        <w:spacing w:line="352" w:lineRule="auto" w:before="1"/>
        <w:ind w:left="160" w:right="179"/>
        <w:jc w:val="both"/>
        <w:rPr>
          <w:sz w:val="16"/>
        </w:rPr>
      </w:pPr>
      <w:r>
        <w:rPr/>
        <w:t>Las propiedades medicinales de la plata han sido conocidas desde hace 2000 años. La antigua civilización Greco-Romana utilizaba vasos de plata para mantener el agua potable. Desde el siglo XIX los compuestos a base de plata han sido ampliamente utilizados como agentes antibacterianos, especialmente para el tratamiento de quemaduras y heridas. </w:t>
      </w:r>
      <w:r>
        <w:rPr>
          <w:position w:val="11"/>
          <w:sz w:val="16"/>
        </w:rPr>
        <w:t>10, 76, 77, 78</w:t>
      </w:r>
    </w:p>
    <w:p>
      <w:pPr>
        <w:pStyle w:val="BodyText"/>
        <w:spacing w:before="5"/>
        <w:rPr>
          <w:sz w:val="35"/>
        </w:rPr>
      </w:pPr>
    </w:p>
    <w:p>
      <w:pPr>
        <w:pStyle w:val="BodyText"/>
        <w:spacing w:line="350" w:lineRule="auto" w:before="1"/>
        <w:ind w:left="160" w:right="177"/>
        <w:jc w:val="both"/>
        <w:rPr>
          <w:sz w:val="16"/>
        </w:rPr>
      </w:pPr>
      <w:r>
        <w:rPr/>
        <w:t>Es debido a su propiedad antimicrobiana que las nanopartículas de plata se han incorporado a los productos médicos como vendajes, suplementos alimenticios, catéteres, y en el área de la odontología se utilizan en pastas, cementos e implantes dentales.  </w:t>
      </w:r>
      <w:r>
        <w:rPr>
          <w:position w:val="11"/>
          <w:sz w:val="16"/>
        </w:rPr>
        <w:t>76, 77, 78</w:t>
      </w:r>
    </w:p>
    <w:p>
      <w:pPr>
        <w:pStyle w:val="BodyText"/>
        <w:spacing w:before="8"/>
        <w:rPr>
          <w:sz w:val="35"/>
        </w:rPr>
      </w:pPr>
    </w:p>
    <w:p>
      <w:pPr>
        <w:pStyle w:val="BodyText"/>
        <w:spacing w:line="360" w:lineRule="auto" w:before="1"/>
        <w:ind w:left="160" w:right="175"/>
        <w:jc w:val="both"/>
      </w:pPr>
      <w:r>
        <w:rPr/>
        <w:t>La “nanoodontología” ha hecho posible mantener la salud oral mediante el uso de nanomateriales, nanobiotecnología y nanorobótica; a través de esto es posible  </w:t>
      </w:r>
      <w:r>
        <w:rPr>
          <w:spacing w:val="60"/>
        </w:rPr>
        <w:t> </w:t>
      </w:r>
      <w:r>
        <w:rPr/>
        <w:t>inducir</w:t>
      </w:r>
    </w:p>
    <w:p>
      <w:pPr>
        <w:spacing w:after="0" w:line="360" w:lineRule="auto"/>
        <w:jc w:val="both"/>
        <w:sectPr>
          <w:pgSz w:w="12240" w:h="15840"/>
          <w:pgMar w:header="736" w:footer="1024" w:top="1180" w:bottom="1220" w:left="1280" w:right="1260"/>
        </w:sectPr>
      </w:pPr>
    </w:p>
    <w:p>
      <w:pPr>
        <w:pStyle w:val="BodyText"/>
        <w:spacing w:before="2"/>
        <w:rPr>
          <w:sz w:val="17"/>
        </w:rPr>
      </w:pPr>
    </w:p>
    <w:p>
      <w:pPr>
        <w:pStyle w:val="BodyText"/>
        <w:spacing w:line="352" w:lineRule="auto" w:before="69"/>
        <w:ind w:left="160" w:right="178"/>
        <w:jc w:val="both"/>
        <w:rPr>
          <w:sz w:val="16"/>
        </w:rPr>
      </w:pPr>
      <w:r>
        <w:rPr/>
        <w:t>anestesia local mediante una suspensión coloidal que contenga millones de nanorobots analgésicos y partículas que pueden instalarse en la encía y una vez en contacto con la mucosa migren hacia la corona dental, alcanzando la dentina y eliminando la sintomatología dolorosa (los nanorobots entran a los túbulos dentinarios que miden de  1 a 4 µm de diámetro). </w:t>
      </w:r>
      <w:r>
        <w:rPr>
          <w:position w:val="11"/>
          <w:sz w:val="16"/>
        </w:rPr>
        <w:t>59, 79,</w:t>
      </w:r>
      <w:r>
        <w:rPr>
          <w:spacing w:val="-8"/>
          <w:position w:val="11"/>
          <w:sz w:val="16"/>
        </w:rPr>
        <w:t> </w:t>
      </w:r>
      <w:r>
        <w:rPr>
          <w:position w:val="11"/>
          <w:sz w:val="16"/>
        </w:rPr>
        <w:t>80</w:t>
      </w:r>
    </w:p>
    <w:p>
      <w:pPr>
        <w:pStyle w:val="BodyText"/>
        <w:spacing w:before="5"/>
        <w:rPr>
          <w:sz w:val="35"/>
        </w:rPr>
      </w:pPr>
    </w:p>
    <w:p>
      <w:pPr>
        <w:pStyle w:val="BodyText"/>
        <w:spacing w:line="360" w:lineRule="auto" w:before="1"/>
        <w:ind w:left="160" w:right="175"/>
        <w:jc w:val="both"/>
      </w:pPr>
      <w:r>
        <w:rPr/>
        <w:t>Otra de las áreas en las cuales es posible utilizar nanorobots es en la ortodoncia, en donde manipulando los tejidos periodontales, gracias a los nanorobots, es posible realizar movimientos correctivos indoloros en minutos u horas. Quizá una de las funciones más relevantes a la cual puede contribuir la nanoodontologia, es el tratamiento de la hipersensibilidad dental; esto es posible mediante nanorobots reconstructivos  que  ocluyen  túbulos  dentinarios  específicos  en  tan  solo   </w:t>
      </w:r>
      <w:r>
        <w:rPr>
          <w:spacing w:val="56"/>
        </w:rPr>
        <w:t> </w:t>
      </w:r>
      <w:r>
        <w:rPr/>
        <w:t>minutos,</w:t>
      </w:r>
    </w:p>
    <w:p>
      <w:pPr>
        <w:pStyle w:val="BodyText"/>
        <w:spacing w:line="281" w:lineRule="exact"/>
        <w:ind w:left="160"/>
        <w:jc w:val="both"/>
      </w:pPr>
      <w:r>
        <w:rPr/>
        <w:t>ofreciéndole al paciente una cura permanente. </w:t>
      </w:r>
      <w:r>
        <w:rPr>
          <w:position w:val="11"/>
          <w:sz w:val="16"/>
        </w:rPr>
        <w:t>59,  81  </w:t>
      </w:r>
      <w:r>
        <w:rPr/>
        <w:t>En cuanto a la estética, es  posible</w:t>
      </w:r>
    </w:p>
    <w:p>
      <w:pPr>
        <w:pStyle w:val="BodyText"/>
        <w:spacing w:line="345" w:lineRule="auto" w:before="137"/>
        <w:ind w:left="160" w:right="180"/>
        <w:jc w:val="both"/>
        <w:rPr>
          <w:sz w:val="16"/>
        </w:rPr>
      </w:pPr>
      <w:r>
        <w:rPr/>
        <w:t>reemplazar las capas de esmalte perdidas, mediante su unión covalente con materiales artificiales como zafiro, o diamante, que poseen de 20 a 100 veces mayor dureza que  la estructura del esmalte dental natural. </w:t>
      </w:r>
      <w:r>
        <w:rPr>
          <w:position w:val="11"/>
          <w:sz w:val="16"/>
        </w:rPr>
        <w:t>59,</w:t>
      </w:r>
      <w:r>
        <w:rPr>
          <w:spacing w:val="-10"/>
          <w:position w:val="11"/>
          <w:sz w:val="16"/>
        </w:rPr>
        <w:t> </w:t>
      </w:r>
      <w:r>
        <w:rPr>
          <w:position w:val="11"/>
          <w:sz w:val="16"/>
        </w:rPr>
        <w:t>82</w:t>
      </w:r>
    </w:p>
    <w:p>
      <w:pPr>
        <w:pStyle w:val="BodyText"/>
        <w:spacing w:before="3"/>
        <w:rPr>
          <w:sz w:val="36"/>
        </w:rPr>
      </w:pPr>
    </w:p>
    <w:p>
      <w:pPr>
        <w:pStyle w:val="BodyText"/>
        <w:spacing w:line="345" w:lineRule="auto" w:before="1"/>
        <w:ind w:left="160" w:right="175"/>
        <w:jc w:val="both"/>
        <w:rPr>
          <w:sz w:val="16"/>
        </w:rPr>
      </w:pPr>
      <w:r>
        <w:rPr/>
        <w:t>Por último se ha reportado el empleo de nanorobots que se establecen en la cavidad bucal liberando enjuague o pasta dental en la encía, al menos una vez al día, metabolizando la materia orgánica y realizando un debridamiento del cálculo dental. </w:t>
      </w:r>
      <w:r>
        <w:rPr>
          <w:position w:val="11"/>
          <w:sz w:val="16"/>
        </w:rPr>
        <w:t>81</w:t>
      </w:r>
    </w:p>
    <w:p>
      <w:pPr>
        <w:pStyle w:val="BodyText"/>
        <w:rPr>
          <w:sz w:val="28"/>
        </w:rPr>
      </w:pPr>
    </w:p>
    <w:p>
      <w:pPr>
        <w:pStyle w:val="BodyText"/>
        <w:rPr>
          <w:sz w:val="28"/>
        </w:rPr>
      </w:pPr>
    </w:p>
    <w:p>
      <w:pPr>
        <w:pStyle w:val="BodyText"/>
        <w:spacing w:before="1"/>
        <w:rPr>
          <w:sz w:val="28"/>
        </w:rPr>
      </w:pPr>
    </w:p>
    <w:p>
      <w:pPr>
        <w:pStyle w:val="BodyText"/>
        <w:ind w:left="1600" w:right="270"/>
      </w:pPr>
      <w:r>
        <w:rPr/>
        <w:t>3.3.2.1 Propiedades y mecanismo de acción de Np-Ag</w:t>
      </w:r>
    </w:p>
    <w:p>
      <w:pPr>
        <w:pStyle w:val="BodyText"/>
      </w:pPr>
    </w:p>
    <w:p>
      <w:pPr>
        <w:pStyle w:val="BodyText"/>
      </w:pPr>
    </w:p>
    <w:p>
      <w:pPr>
        <w:pStyle w:val="BodyText"/>
        <w:spacing w:before="2"/>
      </w:pPr>
    </w:p>
    <w:p>
      <w:pPr>
        <w:pStyle w:val="BodyText"/>
        <w:spacing w:line="355" w:lineRule="auto"/>
        <w:ind w:left="160" w:right="174"/>
        <w:jc w:val="both"/>
        <w:rPr>
          <w:sz w:val="16"/>
        </w:rPr>
      </w:pPr>
      <w:r>
        <w:rPr/>
        <w:t>Se han realizado esfuerzos para explorar las propiedades de las nanopartículas utilizando microscopía electrónica, la cual ha revelado que la reducción en su tamaño es una forma eficiente de proporcionar estabilidad y mejorar su efecto antibacteriano. Otra de las propiedades importantes es que las Np-Ag poseen características físicas, eléctricas, ópticas y alta conductividad eléctrica y térmica; propiedades que están aumentadas en comparación con partículas de mayor tamaño. </w:t>
      </w:r>
      <w:r>
        <w:rPr>
          <w:position w:val="11"/>
          <w:sz w:val="16"/>
        </w:rPr>
        <w:t>10, 61, 63, 64, 71, 76, 78,</w:t>
      </w:r>
      <w:r>
        <w:rPr>
          <w:spacing w:val="-28"/>
          <w:position w:val="11"/>
          <w:sz w:val="16"/>
        </w:rPr>
        <w:t> </w:t>
      </w:r>
      <w:r>
        <w:rPr>
          <w:position w:val="11"/>
          <w:sz w:val="16"/>
        </w:rPr>
        <w:t>83</w:t>
      </w:r>
    </w:p>
    <w:p>
      <w:pPr>
        <w:spacing w:after="0" w:line="355" w:lineRule="auto"/>
        <w:jc w:val="both"/>
        <w:rPr>
          <w:sz w:val="16"/>
        </w:rPr>
        <w:sectPr>
          <w:pgSz w:w="12240" w:h="15840"/>
          <w:pgMar w:header="736" w:footer="1024" w:top="1180" w:bottom="1220" w:left="1280" w:right="1260"/>
        </w:sectPr>
      </w:pPr>
    </w:p>
    <w:p>
      <w:pPr>
        <w:pStyle w:val="BodyText"/>
        <w:spacing w:before="2"/>
        <w:rPr>
          <w:sz w:val="17"/>
        </w:rPr>
      </w:pPr>
    </w:p>
    <w:p>
      <w:pPr>
        <w:pStyle w:val="BodyText"/>
        <w:spacing w:line="350" w:lineRule="auto" w:before="69"/>
        <w:ind w:left="160" w:right="175"/>
        <w:jc w:val="both"/>
        <w:rPr>
          <w:sz w:val="16"/>
        </w:rPr>
      </w:pPr>
      <w:r>
        <w:rPr/>
        <w:t>Al evaluar sus propiedades utilizando microscopio electrónico, se ha revelado una interacción entre nanopartículas y bacterias. Se sabe que ejercen un efecto antimicrobiano sobre Gram+ y Gram-, produciendo lisis en los péptidos de  la membrana de los microorganismos. </w:t>
      </w:r>
      <w:r>
        <w:rPr>
          <w:position w:val="11"/>
          <w:sz w:val="16"/>
        </w:rPr>
        <w:t>10, 62, 74, 76, 83</w:t>
      </w:r>
    </w:p>
    <w:p>
      <w:pPr>
        <w:pStyle w:val="BodyText"/>
        <w:spacing w:before="6"/>
        <w:rPr>
          <w:sz w:val="35"/>
        </w:rPr>
      </w:pPr>
    </w:p>
    <w:p>
      <w:pPr>
        <w:pStyle w:val="BodyText"/>
        <w:spacing w:line="360" w:lineRule="auto"/>
        <w:ind w:left="160" w:right="174"/>
        <w:jc w:val="both"/>
      </w:pPr>
      <w:r>
        <w:rPr/>
        <w:t>El mecanismo de acción de las Np-Ag sobre las bacterias aún no es del todo comprendido. Existen reportes que sugieren que el efecto bactericida es debido a una atracción electrostática entre la carga negativa de las células bacterianas y la carga positiva de las Np-Ag. Se cree que su alta afinidad por los grupos sulfuros o fosfóricos de la membrana celular es la clave para la propiedad bactericida, seguido además de la liberación de iones plata que contribuye a la actividad antimicrobiana. Las nanopartículas de plata se unen a la superficie de la membrana celular, interfiriendo  en</w:t>
      </w:r>
    </w:p>
    <w:p>
      <w:pPr>
        <w:pStyle w:val="BodyText"/>
        <w:spacing w:line="328" w:lineRule="auto" w:before="5"/>
        <w:ind w:left="160" w:right="174"/>
        <w:jc w:val="both"/>
        <w:rPr>
          <w:sz w:val="16"/>
        </w:rPr>
      </w:pPr>
      <w:r>
        <w:rPr/>
        <w:t>sus actividades principales; permeabilidad y respiración. La bacteria pierde la  capacidad de replicación de su ADN y las proteínas celulares se inactivan. </w:t>
      </w:r>
      <w:r>
        <w:rPr>
          <w:position w:val="11"/>
          <w:sz w:val="16"/>
        </w:rPr>
        <w:t>10, 62, 64, 74, 77, </w:t>
      </w:r>
      <w:r>
        <w:rPr>
          <w:sz w:val="16"/>
        </w:rPr>
        <w:t>83,</w:t>
      </w:r>
      <w:r>
        <w:rPr>
          <w:spacing w:val="-1"/>
          <w:sz w:val="16"/>
        </w:rPr>
        <w:t> </w:t>
      </w:r>
      <w:r>
        <w:rPr>
          <w:sz w:val="16"/>
        </w:rPr>
        <w:t>85</w:t>
      </w:r>
    </w:p>
    <w:p>
      <w:pPr>
        <w:pStyle w:val="BodyText"/>
        <w:rPr>
          <w:sz w:val="16"/>
        </w:rPr>
      </w:pPr>
    </w:p>
    <w:p>
      <w:pPr>
        <w:pStyle w:val="BodyText"/>
        <w:rPr>
          <w:sz w:val="16"/>
        </w:rPr>
      </w:pPr>
    </w:p>
    <w:p>
      <w:pPr>
        <w:pStyle w:val="BodyText"/>
        <w:spacing w:before="3"/>
        <w:rPr>
          <w:sz w:val="21"/>
        </w:rPr>
      </w:pPr>
    </w:p>
    <w:p>
      <w:pPr>
        <w:pStyle w:val="BodyText"/>
        <w:spacing w:line="350" w:lineRule="auto"/>
        <w:ind w:left="160" w:right="184"/>
        <w:jc w:val="both"/>
        <w:rPr>
          <w:sz w:val="16"/>
        </w:rPr>
      </w:pPr>
      <w:r>
        <w:rPr/>
        <w:t>La plata es considerada relativamente inocua para los humanos, sin embargo se conoce que la alta exposición a los compuestos de plata puede ocasionar Argiria, una condición irreversible en la que, la deposición de plata en los tejidos resulta en un cambio de coloración grisácea o azul. </w:t>
      </w:r>
      <w:r>
        <w:rPr>
          <w:position w:val="11"/>
          <w:sz w:val="16"/>
        </w:rPr>
        <w:t>63, 64,</w:t>
      </w:r>
      <w:r>
        <w:rPr>
          <w:spacing w:val="-12"/>
          <w:position w:val="11"/>
          <w:sz w:val="16"/>
        </w:rPr>
        <w:t> </w:t>
      </w:r>
      <w:r>
        <w:rPr>
          <w:position w:val="11"/>
          <w:sz w:val="16"/>
        </w:rPr>
        <w:t>78</w:t>
      </w:r>
    </w:p>
    <w:p>
      <w:pPr>
        <w:pStyle w:val="BodyText"/>
        <w:spacing w:before="8"/>
        <w:rPr>
          <w:sz w:val="32"/>
        </w:rPr>
      </w:pPr>
    </w:p>
    <w:p>
      <w:pPr>
        <w:pStyle w:val="BodyText"/>
        <w:spacing w:line="360" w:lineRule="auto"/>
        <w:ind w:left="160" w:right="174"/>
        <w:jc w:val="both"/>
      </w:pPr>
      <w:r>
        <w:rPr/>
        <w:t>Se han realizado estudios </w:t>
      </w:r>
      <w:r>
        <w:rPr>
          <w:position w:val="11"/>
          <w:sz w:val="16"/>
        </w:rPr>
        <w:t>74, 84, 86 </w:t>
      </w:r>
      <w:r>
        <w:rPr/>
        <w:t>en los que se pretende evaluar el grado de toxicidad de las Np-Ag en la salud; sin embargo el tiempo de su aplicación y las dosis son prolongados, por lo que no es posible relacionar los efectos reportados con la realidad; sin embargo, es de suma importancia prestar atención al uso indiscriminado de las partículas y a la forma en la que se desechan al ambiente, para observar el impacto  que pudieran tener en los organismos vivos o en los recursos de la naturaleza. Los impactos ambientales de Np-Ag son hasta ahora desconocidos, no obstante se sabe que su depósito indiscriminado en las aguas del mar; puede afectar a la vida marina.</w:t>
      </w:r>
      <w:r>
        <w:rPr>
          <w:spacing w:val="-22"/>
        </w:rPr>
        <w:t> </w:t>
      </w:r>
      <w:r>
        <w:rPr/>
        <w:t>La</w:t>
      </w:r>
    </w:p>
    <w:p>
      <w:pPr>
        <w:pStyle w:val="BodyText"/>
        <w:spacing w:line="331" w:lineRule="auto" w:before="2"/>
        <w:ind w:left="160" w:right="177"/>
        <w:jc w:val="both"/>
        <w:rPr>
          <w:sz w:val="16"/>
        </w:rPr>
      </w:pPr>
      <w:r>
        <w:rPr/>
        <w:t>bioacumulación, que se define como el tiempo en el que un químico debe  estar retenido en el cuerpo antes de que se produzca su toxicidad, requiere vigilancia. </w:t>
      </w:r>
      <w:r>
        <w:rPr>
          <w:position w:val="11"/>
          <w:sz w:val="16"/>
        </w:rPr>
        <w:t>63, 78</w:t>
      </w:r>
    </w:p>
    <w:p>
      <w:pPr>
        <w:spacing w:after="0" w:line="331" w:lineRule="auto"/>
        <w:jc w:val="both"/>
        <w:rPr>
          <w:sz w:val="16"/>
        </w:rPr>
        <w:sectPr>
          <w:pgSz w:w="12240" w:h="15840"/>
          <w:pgMar w:header="736" w:footer="1024" w:top="1180" w:bottom="1220" w:left="1280" w:right="1260"/>
        </w:sectPr>
      </w:pPr>
    </w:p>
    <w:p>
      <w:pPr>
        <w:pStyle w:val="BodyText"/>
        <w:spacing w:before="2"/>
        <w:rPr>
          <w:sz w:val="17"/>
        </w:rPr>
      </w:pPr>
    </w:p>
    <w:p>
      <w:pPr>
        <w:pStyle w:val="BodyText"/>
        <w:spacing w:line="345" w:lineRule="auto" w:before="69"/>
        <w:ind w:left="160" w:right="174"/>
        <w:jc w:val="both"/>
        <w:rPr>
          <w:sz w:val="16"/>
        </w:rPr>
      </w:pPr>
      <w:r>
        <w:rPr/>
        <w:t>No es del todo claro el mecanismo de posible toxicidad, se ha sugerido que no es el efecto de las Np-Ag por sí solo, sino que los efectos adversos pueden observarse con la pérdida de iones de plata. </w:t>
      </w:r>
      <w:r>
        <w:rPr>
          <w:position w:val="11"/>
          <w:sz w:val="16"/>
        </w:rPr>
        <w:t>63, 64, 74, 78, 83, 86,</w:t>
      </w:r>
      <w:r>
        <w:rPr>
          <w:spacing w:val="-13"/>
          <w:position w:val="11"/>
          <w:sz w:val="16"/>
        </w:rPr>
        <w:t> </w:t>
      </w:r>
      <w:r>
        <w:rPr>
          <w:position w:val="11"/>
          <w:sz w:val="16"/>
        </w:rPr>
        <w:t>87</w:t>
      </w:r>
    </w:p>
    <w:p>
      <w:pPr>
        <w:pStyle w:val="BodyText"/>
        <w:spacing w:before="3"/>
        <w:rPr>
          <w:sz w:val="36"/>
        </w:rPr>
      </w:pPr>
    </w:p>
    <w:p>
      <w:pPr>
        <w:pStyle w:val="BodyText"/>
        <w:spacing w:line="345" w:lineRule="auto"/>
        <w:ind w:left="160" w:right="173"/>
        <w:jc w:val="both"/>
      </w:pPr>
      <w:r>
        <w:rPr/>
        <w:t>Los estudios ecológicos han reportado que la forma en que se encuentren los iones metálicos, determina su posible toxicidad. </w:t>
      </w:r>
      <w:r>
        <w:rPr>
          <w:position w:val="11"/>
          <w:sz w:val="16"/>
        </w:rPr>
        <w:t>63 </w:t>
      </w:r>
      <w:r>
        <w:rPr/>
        <w:t>La reducción en su tamaño es una herramienta confiable para mejorar su biocompatibilidad. </w:t>
      </w:r>
      <w:r>
        <w:rPr>
          <w:position w:val="11"/>
          <w:sz w:val="16"/>
        </w:rPr>
        <w:t>74, 77, 79, 84, 87 </w:t>
      </w:r>
      <w:r>
        <w:rPr/>
        <w:t>Debido a que las propiedades de Np-Ag dependen de la estabilidad en el medio para crecer, la preparación de éstas implica un reto para el investigador.</w:t>
      </w:r>
    </w:p>
    <w:p>
      <w:pPr>
        <w:pStyle w:val="BodyText"/>
      </w:pPr>
    </w:p>
    <w:p>
      <w:pPr>
        <w:pStyle w:val="BodyText"/>
        <w:spacing w:line="360" w:lineRule="auto" w:before="158"/>
        <w:ind w:left="160" w:right="184"/>
        <w:jc w:val="both"/>
      </w:pPr>
      <w:r>
        <w:rPr/>
        <w:t>Resulta importante considerar la contribución de la ciencia química para la síntesis de los materiales a nanoescala.</w:t>
      </w:r>
    </w:p>
    <w:p>
      <w:pPr>
        <w:pStyle w:val="BodyText"/>
      </w:pPr>
    </w:p>
    <w:p>
      <w:pPr>
        <w:pStyle w:val="ListParagraph"/>
        <w:numPr>
          <w:ilvl w:val="2"/>
          <w:numId w:val="7"/>
        </w:numPr>
        <w:tabs>
          <w:tab w:pos="1813" w:val="left" w:leader="none"/>
        </w:tabs>
        <w:spacing w:line="240" w:lineRule="auto" w:before="139" w:after="0"/>
        <w:ind w:left="1812" w:right="0" w:hanging="601"/>
        <w:jc w:val="left"/>
        <w:rPr>
          <w:sz w:val="24"/>
        </w:rPr>
      </w:pPr>
      <w:r>
        <w:rPr>
          <w:sz w:val="24"/>
        </w:rPr>
        <w:t>Nanoquímica</w:t>
      </w:r>
    </w:p>
    <w:p>
      <w:pPr>
        <w:pStyle w:val="BodyText"/>
      </w:pPr>
    </w:p>
    <w:p>
      <w:pPr>
        <w:pStyle w:val="BodyText"/>
      </w:pPr>
    </w:p>
    <w:p>
      <w:pPr>
        <w:pStyle w:val="BodyText"/>
        <w:spacing w:line="360" w:lineRule="auto" w:before="141"/>
        <w:ind w:left="160" w:right="177"/>
        <w:jc w:val="both"/>
      </w:pPr>
      <w:r>
        <w:rPr/>
        <w:t>La nanoquímica se basa en la utilización de la química sintética para fabricar bloques a nanoescala con diferentes formas y tamaños, así como diferente composición, estructura superficial, carga y funcionalidad. El término Nanoquímica fue propuesto  por</w:t>
      </w:r>
    </w:p>
    <w:p>
      <w:pPr>
        <w:pStyle w:val="ListParagraph"/>
        <w:numPr>
          <w:ilvl w:val="0"/>
          <w:numId w:val="8"/>
        </w:numPr>
        <w:tabs>
          <w:tab w:pos="492" w:val="left" w:leader="none"/>
        </w:tabs>
        <w:spacing w:line="331" w:lineRule="auto" w:before="2" w:after="0"/>
        <w:ind w:left="160" w:right="177" w:firstLine="0"/>
        <w:jc w:val="both"/>
        <w:rPr>
          <w:sz w:val="16"/>
        </w:rPr>
      </w:pPr>
      <w:r>
        <w:rPr>
          <w:sz w:val="24"/>
        </w:rPr>
        <w:t>Ozin, de la universidad de Toronto en 1992 en donde apunta que la nanotecnología promete ser el futuro de muchas ciencias.</w:t>
      </w:r>
      <w:r>
        <w:rPr>
          <w:spacing w:val="-31"/>
          <w:sz w:val="24"/>
        </w:rPr>
        <w:t> </w:t>
      </w:r>
      <w:r>
        <w:rPr>
          <w:position w:val="11"/>
          <w:sz w:val="16"/>
        </w:rPr>
        <w:t>9</w:t>
      </w:r>
    </w:p>
    <w:p>
      <w:pPr>
        <w:pStyle w:val="BodyText"/>
        <w:spacing w:before="10"/>
        <w:rPr>
          <w:sz w:val="37"/>
        </w:rPr>
      </w:pPr>
    </w:p>
    <w:p>
      <w:pPr>
        <w:pStyle w:val="BodyText"/>
        <w:spacing w:line="360" w:lineRule="auto"/>
        <w:ind w:left="160" w:right="174"/>
        <w:jc w:val="both"/>
      </w:pPr>
      <w:r>
        <w:rPr/>
        <w:t>En la nanoquímica yace el fundamento primordial de la síntesis de partículas a nanoescala, lo que supone dos acontecimientos importantes: por una parte los  métodos que reducen partículas microscópicas a tamaño nanométrico, representada por la expresión en Inglés (top-down approach) conocido como el método “descendente”; que hace referencia a iniciar desde un tamaño grande para llegar a uno más pequeño, o la simple reacción entre moléculas sin formar cadenas químicas duraderas. Esta ruta no es muy satisfactoria para la preparación de partículas homogéneas en forma, además de que los tamaños de partículas muy pequeños son especialmente difíciles de realizar. Por otra parte, existe un procedimiento conocido como  “acercamiento del inferior hacía superior” (bottom-up approach en inglés) el </w:t>
      </w:r>
      <w:r>
        <w:rPr>
          <w:spacing w:val="8"/>
        </w:rPr>
        <w:t> </w:t>
      </w:r>
      <w:r>
        <w:rPr/>
        <w:t>cual</w:t>
      </w:r>
    </w:p>
    <w:p>
      <w:pPr>
        <w:spacing w:after="0" w:line="360" w:lineRule="auto"/>
        <w:jc w:val="both"/>
        <w:sectPr>
          <w:pgSz w:w="12240" w:h="15840"/>
          <w:pgMar w:header="736" w:footer="1024" w:top="1180" w:bottom="1220" w:left="1280" w:right="1260"/>
        </w:sectPr>
      </w:pPr>
    </w:p>
    <w:p>
      <w:pPr>
        <w:pStyle w:val="BodyText"/>
        <w:spacing w:before="2"/>
        <w:rPr>
          <w:sz w:val="17"/>
        </w:rPr>
      </w:pPr>
    </w:p>
    <w:p>
      <w:pPr>
        <w:pStyle w:val="BodyText"/>
        <w:spacing w:line="331" w:lineRule="auto" w:before="69"/>
        <w:ind w:left="160" w:right="176"/>
        <w:jc w:val="both"/>
        <w:rPr>
          <w:sz w:val="16"/>
        </w:rPr>
      </w:pPr>
      <w:r>
        <w:rPr/>
        <w:t>es más satisfactorio para generar partículas uniformes, de distintos tamaños, formas y estructuras y hace referencia al proceso inverso antes mencionado. </w:t>
      </w:r>
      <w:r>
        <w:rPr>
          <w:position w:val="11"/>
          <w:sz w:val="16"/>
        </w:rPr>
        <w:t>9, 58, 88</w:t>
      </w:r>
    </w:p>
    <w:p>
      <w:pPr>
        <w:pStyle w:val="BodyText"/>
        <w:spacing w:before="10"/>
        <w:rPr>
          <w:sz w:val="37"/>
        </w:rPr>
      </w:pPr>
    </w:p>
    <w:p>
      <w:pPr>
        <w:pStyle w:val="BodyText"/>
        <w:spacing w:line="350" w:lineRule="auto"/>
        <w:ind w:left="160" w:right="177"/>
        <w:jc w:val="both"/>
        <w:rPr>
          <w:sz w:val="16"/>
        </w:rPr>
      </w:pPr>
      <w:r>
        <w:rPr/>
        <w:t>Ambos procesos han sido tomados por la nanoquímica, representando una nueva guía para la síntesis de nanocompuestos. Estos procesos indican cómo se agregan los átomos en solución, aún en fase gaseosa, para formar partículas de tamaño definido si son aplicadas las condiciones experimentales apropiadas. </w:t>
      </w:r>
      <w:r>
        <w:rPr>
          <w:position w:val="11"/>
          <w:sz w:val="16"/>
        </w:rPr>
        <w:t>85, 88</w:t>
      </w:r>
    </w:p>
    <w:p>
      <w:pPr>
        <w:pStyle w:val="BodyText"/>
        <w:rPr>
          <w:sz w:val="28"/>
        </w:rPr>
      </w:pPr>
    </w:p>
    <w:p>
      <w:pPr>
        <w:pStyle w:val="BodyText"/>
        <w:rPr>
          <w:sz w:val="28"/>
        </w:rPr>
      </w:pPr>
    </w:p>
    <w:p>
      <w:pPr>
        <w:pStyle w:val="ListParagraph"/>
        <w:numPr>
          <w:ilvl w:val="2"/>
          <w:numId w:val="7"/>
        </w:numPr>
        <w:tabs>
          <w:tab w:pos="1813" w:val="left" w:leader="none"/>
        </w:tabs>
        <w:spacing w:line="240" w:lineRule="auto" w:before="178" w:after="0"/>
        <w:ind w:left="1812" w:right="0" w:hanging="601"/>
        <w:jc w:val="left"/>
        <w:rPr>
          <w:sz w:val="24"/>
        </w:rPr>
      </w:pPr>
      <w:r>
        <w:rPr>
          <w:sz w:val="24"/>
        </w:rPr>
        <w:t>Métodos de</w:t>
      </w:r>
      <w:r>
        <w:rPr>
          <w:spacing w:val="-11"/>
          <w:sz w:val="24"/>
        </w:rPr>
        <w:t> </w:t>
      </w:r>
      <w:r>
        <w:rPr>
          <w:sz w:val="24"/>
        </w:rPr>
        <w:t>síntesis</w:t>
      </w:r>
    </w:p>
    <w:p>
      <w:pPr>
        <w:pStyle w:val="BodyText"/>
      </w:pPr>
    </w:p>
    <w:p>
      <w:pPr>
        <w:pStyle w:val="BodyText"/>
      </w:pPr>
    </w:p>
    <w:p>
      <w:pPr>
        <w:pStyle w:val="BodyText"/>
        <w:spacing w:line="348" w:lineRule="auto" w:before="141"/>
        <w:ind w:left="160" w:right="176"/>
        <w:jc w:val="both"/>
        <w:rPr>
          <w:sz w:val="16"/>
        </w:rPr>
      </w:pPr>
      <w:r>
        <w:rPr/>
        <w:t>La mayoría de las propiedades físicas y químicas de las nanopartículas dependen del tamaño y la forma de las partículas sólidas. </w:t>
      </w:r>
      <w:r>
        <w:rPr>
          <w:position w:val="11"/>
          <w:sz w:val="16"/>
        </w:rPr>
        <w:t>63, 71, 78, 83, 87 </w:t>
      </w:r>
      <w:r>
        <w:rPr/>
        <w:t>Su uso en los materiales modelo en estudios fundamentales requiere partículas no aglomeradas, homogéneas y con una adecuada distribución. Por esta razón, la meta de todos los métodos de síntesis, es la producción de nanopatículas con un sistema monodisperso y de elevada </w:t>
      </w:r>
      <w:r>
        <w:rPr>
          <w:position w:val="-10"/>
        </w:rPr>
        <w:t>pureza. </w:t>
      </w:r>
      <w:r>
        <w:rPr>
          <w:sz w:val="16"/>
        </w:rPr>
        <w:t>88, 89, 90</w:t>
      </w:r>
    </w:p>
    <w:p>
      <w:pPr>
        <w:pStyle w:val="BodyText"/>
        <w:spacing w:before="1"/>
        <w:rPr>
          <w:sz w:val="36"/>
        </w:rPr>
      </w:pPr>
    </w:p>
    <w:p>
      <w:pPr>
        <w:pStyle w:val="BodyText"/>
        <w:spacing w:line="360" w:lineRule="auto"/>
        <w:ind w:left="160" w:right="175"/>
        <w:jc w:val="both"/>
      </w:pPr>
      <w:r>
        <w:rPr/>
        <w:t>La síntesis y manipulación de forma y tamaño de las nanopartículas puede llevarse a cabo por métodos químicos: como reducción de iones en solución o dispersión, electroquímicos: como síntesis por medio de electrólisis; fotoquímicos: utilizando radiación a diferentes longitudes de onda para controlar la forma de las nanopartículas o  bien,  por  medio  de procesos físicos.  Los  sistemas  coloidales con </w:t>
      </w:r>
      <w:r>
        <w:rPr>
          <w:spacing w:val="64"/>
        </w:rPr>
        <w:t> </w:t>
      </w:r>
      <w:r>
        <w:rPr/>
        <w:t>nanopartículas</w:t>
      </w:r>
    </w:p>
    <w:p>
      <w:pPr>
        <w:pStyle w:val="BodyText"/>
        <w:spacing w:line="328" w:lineRule="auto" w:before="5"/>
        <w:ind w:left="160" w:right="177"/>
        <w:jc w:val="both"/>
        <w:rPr>
          <w:sz w:val="16"/>
        </w:rPr>
      </w:pPr>
      <w:r>
        <w:rPr/>
        <w:t>esféricas de plata mejoran las propiedades superficiales y de resonancia, lo cual tiene aplicaciones en análisis biomédicos. </w:t>
      </w:r>
      <w:r>
        <w:rPr>
          <w:position w:val="11"/>
          <w:sz w:val="16"/>
        </w:rPr>
        <w:t>78</w:t>
      </w:r>
    </w:p>
    <w:p>
      <w:pPr>
        <w:pStyle w:val="BodyText"/>
        <w:rPr>
          <w:sz w:val="38"/>
        </w:rPr>
      </w:pPr>
    </w:p>
    <w:p>
      <w:pPr>
        <w:pStyle w:val="ListParagraph"/>
        <w:numPr>
          <w:ilvl w:val="3"/>
          <w:numId w:val="9"/>
        </w:numPr>
        <w:tabs>
          <w:tab w:pos="1489" w:val="left" w:leader="none"/>
        </w:tabs>
        <w:spacing w:line="240" w:lineRule="auto" w:before="0" w:after="0"/>
        <w:ind w:left="1488" w:right="0" w:hanging="802"/>
        <w:jc w:val="left"/>
        <w:rPr>
          <w:sz w:val="24"/>
        </w:rPr>
      </w:pPr>
      <w:r>
        <w:rPr>
          <w:sz w:val="24"/>
        </w:rPr>
        <w:t>Método de reducción química en</w:t>
      </w:r>
      <w:r>
        <w:rPr>
          <w:spacing w:val="-13"/>
          <w:sz w:val="24"/>
        </w:rPr>
        <w:t> </w:t>
      </w:r>
      <w:r>
        <w:rPr>
          <w:sz w:val="24"/>
        </w:rPr>
        <w:t>sales</w:t>
      </w:r>
    </w:p>
    <w:p>
      <w:pPr>
        <w:pStyle w:val="BodyText"/>
      </w:pPr>
    </w:p>
    <w:p>
      <w:pPr>
        <w:pStyle w:val="BodyText"/>
      </w:pPr>
    </w:p>
    <w:p>
      <w:pPr>
        <w:pStyle w:val="BodyText"/>
      </w:pPr>
    </w:p>
    <w:p>
      <w:pPr>
        <w:pStyle w:val="BodyText"/>
        <w:spacing w:line="480" w:lineRule="auto"/>
        <w:ind w:left="160" w:right="179"/>
        <w:jc w:val="both"/>
      </w:pPr>
      <w:r>
        <w:rPr/>
        <w:t>El principio básico para la preparación química de nanopartículas coloidales, es la reducción  de  un  precursor  metálico  con  agentes  químicos,  bajo  la  protección   de</w:t>
      </w:r>
    </w:p>
    <w:p>
      <w:pPr>
        <w:spacing w:after="0" w:line="480" w:lineRule="auto"/>
        <w:jc w:val="both"/>
        <w:sectPr>
          <w:pgSz w:w="12240" w:h="15840"/>
          <w:pgMar w:header="736" w:footer="1024" w:top="1180" w:bottom="1220" w:left="1280" w:right="1260"/>
        </w:sectPr>
      </w:pPr>
    </w:p>
    <w:p>
      <w:pPr>
        <w:pStyle w:val="BodyText"/>
        <w:spacing w:before="11"/>
        <w:rPr>
          <w:sz w:val="16"/>
        </w:rPr>
      </w:pPr>
    </w:p>
    <w:p>
      <w:pPr>
        <w:pStyle w:val="BodyText"/>
        <w:spacing w:line="448" w:lineRule="auto" w:before="69"/>
        <w:ind w:left="160" w:right="185"/>
        <w:jc w:val="both"/>
        <w:rPr>
          <w:sz w:val="16"/>
        </w:rPr>
      </w:pPr>
      <w:r>
        <w:rPr/>
        <w:t>estabilizadores. Sin embargo, en la actualidad se utilizan ya agentes de tipo no químico para la síntesis. </w:t>
      </w:r>
      <w:r>
        <w:rPr>
          <w:position w:val="11"/>
          <w:sz w:val="16"/>
        </w:rPr>
        <w:t>89, 91, 92, 93</w:t>
      </w:r>
    </w:p>
    <w:p>
      <w:pPr>
        <w:pStyle w:val="BodyText"/>
        <w:spacing w:before="11"/>
        <w:rPr>
          <w:sz w:val="36"/>
        </w:rPr>
      </w:pPr>
    </w:p>
    <w:p>
      <w:pPr>
        <w:pStyle w:val="BodyText"/>
        <w:spacing w:line="345" w:lineRule="auto"/>
        <w:ind w:left="160" w:right="175"/>
        <w:jc w:val="both"/>
        <w:rPr>
          <w:sz w:val="16"/>
        </w:rPr>
      </w:pPr>
      <w:r>
        <w:rPr/>
        <w:t>Si un agente reductor es adicionado a una solución de sal metálica, entonces, pequeñas partículas metálicas serán formadas. Un proceso de diálisis (filtrado) puede ser usado para eliminar los iones remanentes. </w:t>
      </w:r>
      <w:r>
        <w:rPr>
          <w:position w:val="11"/>
          <w:sz w:val="16"/>
        </w:rPr>
        <w:t>89, 91, 92,</w:t>
      </w:r>
      <w:r>
        <w:rPr>
          <w:spacing w:val="-10"/>
          <w:position w:val="11"/>
          <w:sz w:val="16"/>
        </w:rPr>
        <w:t> </w:t>
      </w:r>
      <w:r>
        <w:rPr>
          <w:position w:val="11"/>
          <w:sz w:val="16"/>
        </w:rPr>
        <w:t>93</w:t>
      </w:r>
    </w:p>
    <w:p>
      <w:pPr>
        <w:pStyle w:val="BodyText"/>
        <w:spacing w:before="3"/>
        <w:rPr>
          <w:sz w:val="36"/>
        </w:rPr>
      </w:pPr>
    </w:p>
    <w:p>
      <w:pPr>
        <w:pStyle w:val="BodyText"/>
        <w:spacing w:line="331" w:lineRule="auto"/>
        <w:ind w:left="160" w:right="185"/>
        <w:jc w:val="both"/>
        <w:rPr>
          <w:sz w:val="16"/>
        </w:rPr>
      </w:pPr>
      <w:r>
        <w:rPr/>
        <w:t>Debido a la basta energía superficial que poseen las nanopartículas, es necesario estabilizarlas por agentes protectores. </w:t>
      </w:r>
      <w:r>
        <w:rPr>
          <w:position w:val="11"/>
          <w:sz w:val="16"/>
        </w:rPr>
        <w:t>89, 91, 92, 93</w:t>
      </w:r>
    </w:p>
    <w:p>
      <w:pPr>
        <w:pStyle w:val="BodyText"/>
        <w:spacing w:before="10"/>
        <w:rPr>
          <w:sz w:val="37"/>
        </w:rPr>
      </w:pPr>
    </w:p>
    <w:p>
      <w:pPr>
        <w:pStyle w:val="BodyText"/>
        <w:spacing w:line="352" w:lineRule="auto"/>
        <w:ind w:left="160" w:right="178"/>
        <w:jc w:val="both"/>
        <w:rPr>
          <w:sz w:val="16"/>
        </w:rPr>
      </w:pPr>
      <w:r>
        <w:rPr/>
        <w:t>Distribuciones de tamaño estrecho son obtenidas por esta técnica y el tamaño medio  de partícula puede ser controlado cambiando la proporción de la velocidad de nucleación y el crecimiento de nanopartículas, ya que si la primera es mayor, se producirán un gran número de pequeños aglomerados, que crecerán posteriormente para formar micropartículas. </w:t>
      </w:r>
      <w:r>
        <w:rPr>
          <w:position w:val="11"/>
          <w:sz w:val="16"/>
        </w:rPr>
        <w:t>89, 91, 92,</w:t>
      </w:r>
      <w:r>
        <w:rPr>
          <w:spacing w:val="-11"/>
          <w:position w:val="11"/>
          <w:sz w:val="16"/>
        </w:rPr>
        <w:t> </w:t>
      </w:r>
      <w:r>
        <w:rPr>
          <w:position w:val="11"/>
          <w:sz w:val="16"/>
        </w:rPr>
        <w:t>93</w:t>
      </w:r>
    </w:p>
    <w:p>
      <w:pPr>
        <w:pStyle w:val="BodyText"/>
        <w:spacing w:before="9"/>
        <w:rPr>
          <w:sz w:val="23"/>
        </w:rPr>
      </w:pPr>
    </w:p>
    <w:p>
      <w:pPr>
        <w:pStyle w:val="BodyText"/>
        <w:spacing w:line="360" w:lineRule="auto"/>
        <w:ind w:left="160" w:right="179"/>
        <w:jc w:val="both"/>
      </w:pPr>
      <w:r>
        <w:rPr/>
        <w:t>Debido a la globalización y a la preocupación cada vez mayor por la ecología, se han introducido metodologías ambientalmente amigables, como técnicas viables en la síntesis de materiales nanoestructurados. Estas técnicas se reconocen por ser socialmente responsables, además de que nos permiten generar nanomateriales en condiciones favorables de costo-beneficio, sin la necesidad de sacrificar la calidad de las muestras, la pureza, y la cristalinidad, permitiéndonos un control sobre la forma, y el</w:t>
      </w:r>
    </w:p>
    <w:p>
      <w:pPr>
        <w:pStyle w:val="BodyText"/>
        <w:spacing w:line="281" w:lineRule="exact"/>
        <w:ind w:left="160"/>
        <w:jc w:val="both"/>
        <w:rPr>
          <w:sz w:val="16"/>
        </w:rPr>
      </w:pPr>
      <w:r>
        <w:rPr/>
        <w:t>tamaño de las partículas producidas.</w:t>
      </w:r>
      <w:r>
        <w:rPr>
          <w:spacing w:val="57"/>
        </w:rPr>
        <w:t> </w:t>
      </w:r>
      <w:r>
        <w:rPr>
          <w:position w:val="11"/>
          <w:sz w:val="16"/>
        </w:rPr>
        <w:t>11</w:t>
      </w:r>
    </w:p>
    <w:p>
      <w:pPr>
        <w:pStyle w:val="BodyText"/>
        <w:rPr>
          <w:sz w:val="28"/>
        </w:rPr>
      </w:pPr>
    </w:p>
    <w:p>
      <w:pPr>
        <w:pStyle w:val="BodyText"/>
        <w:rPr>
          <w:sz w:val="28"/>
        </w:rPr>
      </w:pPr>
    </w:p>
    <w:p>
      <w:pPr>
        <w:pStyle w:val="BodyText"/>
        <w:spacing w:before="5"/>
        <w:rPr>
          <w:sz w:val="40"/>
        </w:rPr>
      </w:pPr>
    </w:p>
    <w:p>
      <w:pPr>
        <w:pStyle w:val="ListParagraph"/>
        <w:numPr>
          <w:ilvl w:val="3"/>
          <w:numId w:val="9"/>
        </w:numPr>
        <w:tabs>
          <w:tab w:pos="2403" w:val="left" w:leader="none"/>
        </w:tabs>
        <w:spacing w:line="240" w:lineRule="auto" w:before="0" w:after="0"/>
        <w:ind w:left="2402" w:right="0" w:hanging="802"/>
        <w:jc w:val="left"/>
        <w:rPr>
          <w:sz w:val="24"/>
        </w:rPr>
      </w:pPr>
      <w:r>
        <w:rPr>
          <w:sz w:val="24"/>
        </w:rPr>
        <w:t>Reducción por métodos verdes -</w:t>
      </w:r>
      <w:r>
        <w:rPr>
          <w:spacing w:val="-17"/>
          <w:sz w:val="24"/>
        </w:rPr>
        <w:t> </w:t>
      </w:r>
      <w:r>
        <w:rPr>
          <w:sz w:val="24"/>
        </w:rPr>
        <w:t>ecoamigables</w:t>
      </w:r>
    </w:p>
    <w:p>
      <w:pPr>
        <w:pStyle w:val="BodyText"/>
      </w:pPr>
    </w:p>
    <w:p>
      <w:pPr>
        <w:pStyle w:val="BodyText"/>
      </w:pPr>
    </w:p>
    <w:p>
      <w:pPr>
        <w:pStyle w:val="BodyText"/>
        <w:spacing w:line="360" w:lineRule="auto" w:before="141"/>
        <w:ind w:left="160" w:right="176"/>
        <w:jc w:val="both"/>
      </w:pPr>
      <w:r>
        <w:rPr/>
        <w:t>La “química verde” consiste en procesos “ecoamigables” y sostenibles cuyo fin es reducir los  desperdicios,  o  eliminar la  contaminación  y el daño ambiental.  Apoya   la</w:t>
      </w:r>
    </w:p>
    <w:p>
      <w:pPr>
        <w:spacing w:after="0" w:line="360" w:lineRule="auto"/>
        <w:jc w:val="both"/>
        <w:sectPr>
          <w:pgSz w:w="12240" w:h="15840"/>
          <w:pgMar w:header="736" w:footer="1024" w:top="1180" w:bottom="1220" w:left="1280" w:right="1260"/>
        </w:sectPr>
      </w:pPr>
    </w:p>
    <w:p>
      <w:pPr>
        <w:pStyle w:val="BodyText"/>
        <w:spacing w:before="2"/>
        <w:rPr>
          <w:sz w:val="17"/>
        </w:rPr>
      </w:pPr>
    </w:p>
    <w:p>
      <w:pPr>
        <w:pStyle w:val="BodyText"/>
        <w:spacing w:line="331" w:lineRule="auto" w:before="69"/>
        <w:ind w:left="160" w:right="177"/>
        <w:jc w:val="both"/>
        <w:rPr>
          <w:sz w:val="16"/>
        </w:rPr>
      </w:pPr>
      <w:r>
        <w:rPr/>
        <w:t>innovación y promueve la creación de productos que son tanto ambientales como económicamente sostenibles.  </w:t>
      </w:r>
      <w:r>
        <w:rPr>
          <w:position w:val="11"/>
          <w:sz w:val="16"/>
        </w:rPr>
        <w:t>11, 94</w:t>
      </w:r>
    </w:p>
    <w:p>
      <w:pPr>
        <w:pStyle w:val="BodyText"/>
        <w:spacing w:before="8"/>
        <w:rPr>
          <w:sz w:val="28"/>
        </w:rPr>
      </w:pPr>
    </w:p>
    <w:p>
      <w:pPr>
        <w:pStyle w:val="BodyText"/>
        <w:spacing w:line="352" w:lineRule="auto"/>
        <w:ind w:left="160" w:right="176"/>
        <w:jc w:val="both"/>
        <w:rPr>
          <w:sz w:val="16"/>
        </w:rPr>
      </w:pPr>
      <w:r>
        <w:rPr/>
        <w:t>La química “eco-amigable” consiste en reducir el uso de químicos e implementar procesos químicos diseñados para disminuir o eliminar los impactos ambientales negativos. El uso y la producción de un reactivo químico debe comprender  la  reducción de productos, desechos y componentes tóxicos, así como mejorar </w:t>
      </w:r>
      <w:r>
        <w:rPr>
          <w:spacing w:val="-3"/>
        </w:rPr>
        <w:t>su </w:t>
      </w:r>
      <w:r>
        <w:rPr/>
        <w:t>eficiencia.</w:t>
      </w:r>
      <w:r>
        <w:rPr>
          <w:spacing w:val="65"/>
        </w:rPr>
        <w:t> </w:t>
      </w:r>
      <w:r>
        <w:rPr>
          <w:position w:val="11"/>
          <w:sz w:val="16"/>
        </w:rPr>
        <w:t>94</w:t>
      </w:r>
    </w:p>
    <w:p>
      <w:pPr>
        <w:pStyle w:val="BodyText"/>
        <w:spacing w:before="6"/>
        <w:rPr>
          <w:sz w:val="35"/>
        </w:rPr>
      </w:pPr>
    </w:p>
    <w:p>
      <w:pPr>
        <w:pStyle w:val="BodyText"/>
        <w:spacing w:line="360" w:lineRule="auto"/>
        <w:ind w:left="160" w:right="179"/>
        <w:jc w:val="both"/>
      </w:pPr>
      <w:r>
        <w:rPr/>
        <w:t>La química ambiental es la química del medio ambiente y de los químicos contaminantes en la naturaleza. Busca reducir y prevenir la contaminación desde su fuente. En 1990 se crea una ley en Estados Unidos que pretende eliminar los problemas antes de que estos</w:t>
      </w:r>
      <w:r>
        <w:rPr>
          <w:spacing w:val="-15"/>
        </w:rPr>
        <w:t> </w:t>
      </w:r>
      <w:r>
        <w:rPr/>
        <w:t>ocurran.</w:t>
      </w:r>
    </w:p>
    <w:p>
      <w:pPr>
        <w:pStyle w:val="BodyText"/>
        <w:spacing w:before="2"/>
        <w:ind w:left="160"/>
        <w:jc w:val="both"/>
      </w:pPr>
      <w:r>
        <w:rPr/>
        <w:t>Sus doce principios son:</w:t>
      </w:r>
    </w:p>
    <w:p>
      <w:pPr>
        <w:pStyle w:val="BodyText"/>
      </w:pPr>
    </w:p>
    <w:p>
      <w:pPr>
        <w:pStyle w:val="BodyText"/>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hAnsi="Symbol"/>
          <w:sz w:val="20"/>
        </w:rPr>
      </w:pPr>
      <w:r>
        <w:rPr>
          <w:sz w:val="24"/>
        </w:rPr>
        <w:t>Prevenir la creación de</w:t>
      </w:r>
      <w:r>
        <w:rPr>
          <w:spacing w:val="-8"/>
          <w:sz w:val="24"/>
        </w:rPr>
        <w:t> </w:t>
      </w:r>
      <w:r>
        <w:rPr>
          <w:sz w:val="24"/>
        </w:rPr>
        <w:t>residuos</w:t>
      </w:r>
    </w:p>
    <w:p>
      <w:pPr>
        <w:pStyle w:val="ListParagraph"/>
        <w:numPr>
          <w:ilvl w:val="1"/>
          <w:numId w:val="8"/>
        </w:numPr>
        <w:tabs>
          <w:tab w:pos="880" w:val="left" w:leader="none"/>
          <w:tab w:pos="881" w:val="left" w:leader="none"/>
        </w:tabs>
        <w:spacing w:line="240" w:lineRule="auto" w:before="139" w:after="0"/>
        <w:ind w:left="880" w:right="0" w:hanging="360"/>
        <w:jc w:val="left"/>
        <w:rPr>
          <w:rFonts w:ascii="Symbol" w:hAnsi="Symbol"/>
          <w:sz w:val="20"/>
        </w:rPr>
      </w:pPr>
      <w:r>
        <w:rPr>
          <w:sz w:val="24"/>
        </w:rPr>
        <w:t>Diseñar productos y compuestos</w:t>
      </w:r>
      <w:r>
        <w:rPr>
          <w:spacing w:val="-8"/>
          <w:sz w:val="24"/>
        </w:rPr>
        <w:t> </w:t>
      </w:r>
      <w:r>
        <w:rPr>
          <w:sz w:val="24"/>
        </w:rPr>
        <w:t>seguros</w:t>
      </w:r>
    </w:p>
    <w:p>
      <w:pPr>
        <w:pStyle w:val="ListParagraph"/>
        <w:numPr>
          <w:ilvl w:val="1"/>
          <w:numId w:val="8"/>
        </w:numPr>
        <w:tabs>
          <w:tab w:pos="880" w:val="left" w:leader="none"/>
          <w:tab w:pos="881" w:val="left" w:leader="none"/>
        </w:tabs>
        <w:spacing w:line="240" w:lineRule="auto" w:before="137" w:after="0"/>
        <w:ind w:left="880" w:right="0" w:hanging="360"/>
        <w:jc w:val="left"/>
        <w:rPr>
          <w:rFonts w:ascii="Symbol" w:hAnsi="Symbol"/>
          <w:sz w:val="20"/>
        </w:rPr>
      </w:pPr>
      <w:r>
        <w:rPr>
          <w:sz w:val="24"/>
        </w:rPr>
        <w:t>Diseñar síntesis químicas menos</w:t>
      </w:r>
      <w:r>
        <w:rPr>
          <w:spacing w:val="-13"/>
          <w:sz w:val="24"/>
        </w:rPr>
        <w:t> </w:t>
      </w:r>
      <w:r>
        <w:rPr>
          <w:sz w:val="24"/>
        </w:rPr>
        <w:t>peligrosas</w:t>
      </w:r>
    </w:p>
    <w:p>
      <w:pPr>
        <w:pStyle w:val="ListParagraph"/>
        <w:numPr>
          <w:ilvl w:val="1"/>
          <w:numId w:val="8"/>
        </w:numPr>
        <w:tabs>
          <w:tab w:pos="880" w:val="left" w:leader="none"/>
          <w:tab w:pos="881" w:val="left" w:leader="none"/>
        </w:tabs>
        <w:spacing w:line="240" w:lineRule="auto" w:before="139" w:after="0"/>
        <w:ind w:left="880" w:right="0" w:hanging="360"/>
        <w:jc w:val="left"/>
        <w:rPr>
          <w:rFonts w:ascii="Symbol"/>
          <w:sz w:val="20"/>
        </w:rPr>
      </w:pPr>
      <w:r>
        <w:rPr>
          <w:sz w:val="24"/>
        </w:rPr>
        <w:t>Usar materias primas</w:t>
      </w:r>
      <w:r>
        <w:rPr>
          <w:spacing w:val="-12"/>
          <w:sz w:val="24"/>
        </w:rPr>
        <w:t> </w:t>
      </w:r>
      <w:r>
        <w:rPr>
          <w:sz w:val="24"/>
        </w:rPr>
        <w:t>renovables</w:t>
      </w:r>
    </w:p>
    <w:p>
      <w:pPr>
        <w:pStyle w:val="ListParagraph"/>
        <w:numPr>
          <w:ilvl w:val="1"/>
          <w:numId w:val="8"/>
        </w:numPr>
        <w:tabs>
          <w:tab w:pos="880" w:val="left" w:leader="none"/>
          <w:tab w:pos="881" w:val="left" w:leader="none"/>
        </w:tabs>
        <w:spacing w:line="240" w:lineRule="auto" w:before="137" w:after="0"/>
        <w:ind w:left="880" w:right="0" w:hanging="360"/>
        <w:jc w:val="left"/>
        <w:rPr>
          <w:rFonts w:ascii="Symbol"/>
          <w:sz w:val="20"/>
        </w:rPr>
      </w:pPr>
      <w:r>
        <w:rPr>
          <w:sz w:val="24"/>
        </w:rPr>
        <w:t>Usar</w:t>
      </w:r>
      <w:r>
        <w:rPr>
          <w:spacing w:val="-4"/>
          <w:sz w:val="24"/>
        </w:rPr>
        <w:t> </w:t>
      </w:r>
      <w:r>
        <w:rPr>
          <w:sz w:val="24"/>
        </w:rPr>
        <w:t>catalizadores</w:t>
      </w:r>
    </w:p>
    <w:p>
      <w:pPr>
        <w:pStyle w:val="ListParagraph"/>
        <w:numPr>
          <w:ilvl w:val="1"/>
          <w:numId w:val="8"/>
        </w:numPr>
        <w:tabs>
          <w:tab w:pos="880" w:val="left" w:leader="none"/>
          <w:tab w:pos="881" w:val="left" w:leader="none"/>
        </w:tabs>
        <w:spacing w:line="240" w:lineRule="auto" w:before="139" w:after="0"/>
        <w:ind w:left="880" w:right="0" w:hanging="360"/>
        <w:jc w:val="left"/>
        <w:rPr>
          <w:rFonts w:ascii="Symbol" w:hAnsi="Symbol"/>
          <w:sz w:val="20"/>
        </w:rPr>
      </w:pPr>
      <w:r>
        <w:rPr>
          <w:sz w:val="24"/>
        </w:rPr>
        <w:t>Evitar derivados</w:t>
      </w:r>
      <w:r>
        <w:rPr>
          <w:spacing w:val="-10"/>
          <w:sz w:val="24"/>
        </w:rPr>
        <w:t> </w:t>
      </w:r>
      <w:r>
        <w:rPr>
          <w:sz w:val="24"/>
        </w:rPr>
        <w:t>químicos</w:t>
      </w:r>
    </w:p>
    <w:p>
      <w:pPr>
        <w:pStyle w:val="ListParagraph"/>
        <w:numPr>
          <w:ilvl w:val="1"/>
          <w:numId w:val="8"/>
        </w:numPr>
        <w:tabs>
          <w:tab w:pos="880" w:val="left" w:leader="none"/>
          <w:tab w:pos="881" w:val="left" w:leader="none"/>
        </w:tabs>
        <w:spacing w:line="240" w:lineRule="auto" w:before="137" w:after="0"/>
        <w:ind w:left="880" w:right="0" w:hanging="360"/>
        <w:jc w:val="left"/>
        <w:rPr>
          <w:rFonts w:ascii="Symbol" w:hAnsi="Symbol"/>
          <w:sz w:val="20"/>
        </w:rPr>
      </w:pPr>
      <w:r>
        <w:rPr>
          <w:sz w:val="24"/>
        </w:rPr>
        <w:t>Maximizar la economía</w:t>
      </w:r>
      <w:r>
        <w:rPr>
          <w:spacing w:val="-10"/>
          <w:sz w:val="24"/>
        </w:rPr>
        <w:t> </w:t>
      </w:r>
      <w:r>
        <w:rPr>
          <w:sz w:val="24"/>
        </w:rPr>
        <w:t>atómica</w:t>
      </w:r>
    </w:p>
    <w:p>
      <w:pPr>
        <w:pStyle w:val="ListParagraph"/>
        <w:numPr>
          <w:ilvl w:val="1"/>
          <w:numId w:val="8"/>
        </w:numPr>
        <w:tabs>
          <w:tab w:pos="880" w:val="left" w:leader="none"/>
          <w:tab w:pos="881" w:val="left" w:leader="none"/>
        </w:tabs>
        <w:spacing w:line="240" w:lineRule="auto" w:before="139" w:after="0"/>
        <w:ind w:left="880" w:right="0" w:hanging="360"/>
        <w:jc w:val="left"/>
        <w:rPr>
          <w:rFonts w:ascii="Symbol"/>
          <w:sz w:val="20"/>
        </w:rPr>
      </w:pPr>
      <w:r>
        <w:rPr>
          <w:sz w:val="24"/>
        </w:rPr>
        <w:t>Usar disolvente y condiciones de reacciones</w:t>
      </w:r>
      <w:r>
        <w:rPr>
          <w:spacing w:val="-14"/>
          <w:sz w:val="24"/>
        </w:rPr>
        <w:t> </w:t>
      </w:r>
      <w:r>
        <w:rPr>
          <w:sz w:val="24"/>
        </w:rPr>
        <w:t>seguras</w:t>
      </w:r>
    </w:p>
    <w:p>
      <w:pPr>
        <w:pStyle w:val="ListParagraph"/>
        <w:numPr>
          <w:ilvl w:val="1"/>
          <w:numId w:val="8"/>
        </w:numPr>
        <w:tabs>
          <w:tab w:pos="880" w:val="left" w:leader="none"/>
          <w:tab w:pos="881" w:val="left" w:leader="none"/>
        </w:tabs>
        <w:spacing w:line="360" w:lineRule="auto" w:before="137" w:after="0"/>
        <w:ind w:left="880" w:right="1119" w:hanging="360"/>
        <w:jc w:val="left"/>
        <w:rPr>
          <w:rFonts w:ascii="Symbol" w:hAnsi="Symbol"/>
          <w:sz w:val="20"/>
        </w:rPr>
      </w:pPr>
      <w:r>
        <w:rPr>
          <w:sz w:val="24"/>
        </w:rPr>
        <w:t>Incrementar la eficiencia energética (reacciones a temperatura y presión ambientes)</w:t>
      </w:r>
    </w:p>
    <w:p>
      <w:pPr>
        <w:pStyle w:val="ListParagraph"/>
        <w:numPr>
          <w:ilvl w:val="1"/>
          <w:numId w:val="8"/>
        </w:numPr>
        <w:tabs>
          <w:tab w:pos="880" w:val="left" w:leader="none"/>
          <w:tab w:pos="881" w:val="left" w:leader="none"/>
        </w:tabs>
        <w:spacing w:line="240" w:lineRule="auto" w:before="2" w:after="0"/>
        <w:ind w:left="880" w:right="0" w:hanging="360"/>
        <w:jc w:val="left"/>
        <w:rPr>
          <w:rFonts w:ascii="Symbol" w:hAnsi="Symbol"/>
          <w:sz w:val="20"/>
        </w:rPr>
      </w:pPr>
      <w:r>
        <w:rPr>
          <w:sz w:val="24"/>
        </w:rPr>
        <w:t>Diseñar productos</w:t>
      </w:r>
      <w:r>
        <w:rPr>
          <w:spacing w:val="-12"/>
          <w:sz w:val="24"/>
        </w:rPr>
        <w:t> </w:t>
      </w:r>
      <w:r>
        <w:rPr>
          <w:sz w:val="24"/>
        </w:rPr>
        <w:t>biodegradables</w:t>
      </w:r>
    </w:p>
    <w:p>
      <w:pPr>
        <w:pStyle w:val="ListParagraph"/>
        <w:numPr>
          <w:ilvl w:val="1"/>
          <w:numId w:val="8"/>
        </w:numPr>
        <w:tabs>
          <w:tab w:pos="880" w:val="left" w:leader="none"/>
          <w:tab w:pos="881" w:val="left" w:leader="none"/>
        </w:tabs>
        <w:spacing w:line="240" w:lineRule="auto" w:before="140" w:after="0"/>
        <w:ind w:left="880" w:right="0" w:hanging="360"/>
        <w:jc w:val="left"/>
        <w:rPr>
          <w:rFonts w:ascii="Symbol" w:hAnsi="Symbol"/>
          <w:sz w:val="20"/>
        </w:rPr>
      </w:pPr>
      <w:r>
        <w:rPr>
          <w:sz w:val="24"/>
        </w:rPr>
        <w:t>Analizar en tiempo real los procesos químicos para evitar la</w:t>
      </w:r>
      <w:r>
        <w:rPr>
          <w:spacing w:val="-24"/>
          <w:sz w:val="24"/>
        </w:rPr>
        <w:t> </w:t>
      </w:r>
      <w:r>
        <w:rPr>
          <w:sz w:val="24"/>
        </w:rPr>
        <w:t>contaminación</w:t>
      </w:r>
    </w:p>
    <w:p>
      <w:pPr>
        <w:pStyle w:val="ListParagraph"/>
        <w:numPr>
          <w:ilvl w:val="1"/>
          <w:numId w:val="8"/>
        </w:numPr>
        <w:tabs>
          <w:tab w:pos="880" w:val="left" w:leader="none"/>
          <w:tab w:pos="881" w:val="left" w:leader="none"/>
        </w:tabs>
        <w:spacing w:line="240" w:lineRule="auto" w:before="102" w:after="0"/>
        <w:ind w:left="880" w:right="0" w:hanging="360"/>
        <w:jc w:val="left"/>
        <w:rPr>
          <w:rFonts w:ascii="Symbol"/>
          <w:sz w:val="20"/>
        </w:rPr>
      </w:pPr>
      <w:r>
        <w:rPr>
          <w:sz w:val="24"/>
        </w:rPr>
        <w:t>Minimizar los riesgos de accidentes. </w:t>
      </w:r>
      <w:r>
        <w:rPr>
          <w:position w:val="11"/>
          <w:sz w:val="16"/>
        </w:rPr>
        <w:t>11,</w:t>
      </w:r>
      <w:r>
        <w:rPr>
          <w:spacing w:val="-9"/>
          <w:position w:val="11"/>
          <w:sz w:val="16"/>
        </w:rPr>
        <w:t> </w:t>
      </w:r>
      <w:r>
        <w:rPr>
          <w:position w:val="11"/>
          <w:sz w:val="16"/>
        </w:rPr>
        <w:t>94</w:t>
      </w:r>
    </w:p>
    <w:p>
      <w:pPr>
        <w:pStyle w:val="BodyText"/>
        <w:rPr>
          <w:sz w:val="28"/>
        </w:rPr>
      </w:pPr>
    </w:p>
    <w:p>
      <w:pPr>
        <w:pStyle w:val="BodyText"/>
        <w:spacing w:line="360" w:lineRule="auto" w:before="230"/>
        <w:ind w:left="160" w:right="179"/>
        <w:jc w:val="both"/>
      </w:pPr>
      <w:r>
        <w:rPr/>
        <w:t>Debido a lo anteriormente planteado se ha buscado la manera de utilizar agentes naturales y renovables como las plantas, especialmente las cultivables en nuestro país,</w:t>
      </w:r>
    </w:p>
    <w:p>
      <w:pPr>
        <w:spacing w:after="0" w:line="360" w:lineRule="auto"/>
        <w:jc w:val="both"/>
        <w:sectPr>
          <w:footerReference w:type="default" r:id="rId20"/>
          <w:pgSz w:w="12240" w:h="15840"/>
          <w:pgMar w:footer="1024" w:header="736" w:top="1180" w:bottom="1220" w:left="1280" w:right="1260"/>
        </w:sectPr>
      </w:pPr>
    </w:p>
    <w:p>
      <w:pPr>
        <w:pStyle w:val="BodyText"/>
        <w:spacing w:before="2"/>
        <w:rPr>
          <w:sz w:val="17"/>
        </w:rPr>
      </w:pPr>
    </w:p>
    <w:p>
      <w:pPr>
        <w:pStyle w:val="BodyText"/>
        <w:spacing w:line="360" w:lineRule="auto" w:before="69"/>
        <w:ind w:left="160" w:right="175"/>
        <w:jc w:val="both"/>
      </w:pPr>
      <w:r>
        <w:rPr/>
        <w:t>para introducirlas en los procesos químicos y con esto reducir en lo posible no solo los costos de manufactura sino los daños a la salud humana y disminuir el daño al medio ambiente, además de aprovechar las bondades y propiedades de algunas plantas  como son </w:t>
      </w:r>
      <w:r>
        <w:rPr>
          <w:i/>
        </w:rPr>
        <w:t>Heterotheca inuloides </w:t>
      </w:r>
      <w:r>
        <w:rPr/>
        <w:t>y </w:t>
      </w:r>
      <w:r>
        <w:rPr>
          <w:i/>
        </w:rPr>
        <w:t>Camellia sinensis </w:t>
      </w:r>
      <w:r>
        <w:rPr/>
        <w:t>entre</w:t>
      </w:r>
      <w:r>
        <w:rPr>
          <w:spacing w:val="-18"/>
        </w:rPr>
        <w:t> </w:t>
      </w:r>
      <w:r>
        <w:rPr/>
        <w:t>otras.</w:t>
      </w:r>
    </w:p>
    <w:p>
      <w:pPr>
        <w:pStyle w:val="BodyText"/>
      </w:pPr>
    </w:p>
    <w:p>
      <w:pPr>
        <w:pStyle w:val="BodyText"/>
        <w:spacing w:line="350" w:lineRule="auto" w:before="139"/>
        <w:ind w:left="160" w:right="175"/>
        <w:jc w:val="both"/>
        <w:rPr>
          <w:sz w:val="16"/>
        </w:rPr>
      </w:pPr>
      <w:r>
        <w:rPr>
          <w:i/>
        </w:rPr>
        <w:t>Heterotheca inuloides </w:t>
      </w:r>
      <w:r>
        <w:rPr/>
        <w:t>ha mostrado actividad antimicrobiana e inhibitoria, así como propiedades citotóxicas y antioxidantes. Los efectos antiinflamatorios y analgésicos de los extractos de </w:t>
      </w:r>
      <w:r>
        <w:rPr>
          <w:i/>
        </w:rPr>
        <w:t>H. inuloides </w:t>
      </w:r>
      <w:r>
        <w:rPr/>
        <w:t>han sido evaluados y reportados en nuestro país por algunos investigadores. </w:t>
      </w:r>
      <w:r>
        <w:rPr>
          <w:position w:val="11"/>
          <w:sz w:val="16"/>
        </w:rPr>
        <w:t>95</w:t>
      </w:r>
    </w:p>
    <w:p>
      <w:pPr>
        <w:pStyle w:val="BodyText"/>
        <w:spacing w:before="9"/>
        <w:rPr>
          <w:sz w:val="35"/>
        </w:rPr>
      </w:pPr>
    </w:p>
    <w:p>
      <w:pPr>
        <w:pStyle w:val="BodyText"/>
        <w:spacing w:line="345" w:lineRule="auto"/>
        <w:ind w:left="160" w:right="179"/>
        <w:jc w:val="both"/>
        <w:rPr>
          <w:sz w:val="16"/>
        </w:rPr>
      </w:pPr>
      <w:r>
        <w:rPr/>
        <w:t>Mediante el estudio de las plantas medicinales en México, se ha encontrado que un extracto cetónico mostró propiedades antiinflamatorias </w:t>
      </w:r>
      <w:r>
        <w:rPr>
          <w:i/>
        </w:rPr>
        <w:t>in vivo </w:t>
      </w:r>
      <w:r>
        <w:rPr/>
        <w:t>cuando se evalúo la inducción de edemas en ratones. </w:t>
      </w:r>
      <w:r>
        <w:rPr>
          <w:position w:val="11"/>
          <w:sz w:val="16"/>
        </w:rPr>
        <w:t>95</w:t>
      </w:r>
    </w:p>
    <w:p>
      <w:pPr>
        <w:pStyle w:val="BodyText"/>
        <w:spacing w:before="1"/>
        <w:rPr>
          <w:sz w:val="36"/>
        </w:rPr>
      </w:pPr>
    </w:p>
    <w:p>
      <w:pPr>
        <w:pStyle w:val="BodyText"/>
        <w:spacing w:line="355" w:lineRule="auto"/>
        <w:ind w:left="160" w:right="173"/>
        <w:jc w:val="both"/>
      </w:pPr>
      <w:r>
        <w:rPr/>
        <w:t>Por otra parte, en 2011, en un estudio publicado sobre C</w:t>
      </w:r>
      <w:r>
        <w:rPr>
          <w:i/>
        </w:rPr>
        <w:t>amellia sinensis </w:t>
      </w:r>
      <w:r>
        <w:rPr/>
        <w:t>de Japón, China, Irán e India, se reportó el efecto inhibitorio de ésta sobre </w:t>
      </w:r>
      <w:r>
        <w:rPr>
          <w:i/>
        </w:rPr>
        <w:t>Streptococcus mutans. </w:t>
      </w:r>
      <w:r>
        <w:rPr/>
        <w:t>En este estudio </w:t>
      </w:r>
      <w:r>
        <w:rPr>
          <w:position w:val="11"/>
          <w:sz w:val="16"/>
        </w:rPr>
        <w:t>15 </w:t>
      </w:r>
      <w:r>
        <w:rPr/>
        <w:t>se describe que, incluso cuando se ingiere azúcar en la dieta, el consumo de estas plantas en infusión provee un efecto anticariogénico. Se ha sugerido que los componentes volátiles de la infusión semi-fermentada son la causa del mayor efecto anticaries comparado con el tipo no fermentado. Sus compuestos pueden degradar la pared celular y la membrana citoplasmática, causando daños en las proteínas de la membrana, lo que puede llevar a la muerte celular de las bacterias.</w:t>
      </w:r>
    </w:p>
    <w:p>
      <w:pPr>
        <w:pStyle w:val="BodyText"/>
      </w:pPr>
    </w:p>
    <w:p>
      <w:pPr>
        <w:pStyle w:val="BodyText"/>
        <w:spacing w:before="2"/>
        <w:rPr>
          <w:sz w:val="23"/>
        </w:rPr>
      </w:pPr>
    </w:p>
    <w:p>
      <w:pPr>
        <w:pStyle w:val="BodyText"/>
        <w:spacing w:line="350" w:lineRule="auto" w:before="1"/>
        <w:ind w:left="160" w:right="177"/>
        <w:jc w:val="both"/>
        <w:rPr>
          <w:sz w:val="16"/>
        </w:rPr>
      </w:pPr>
      <w:r>
        <w:rPr/>
        <w:t>Los componentes bioactivos de las infusiones son capaces de inhibir el crecimiento de los grupos </w:t>
      </w:r>
      <w:r>
        <w:rPr>
          <w:i/>
        </w:rPr>
        <w:t>Streptococci </w:t>
      </w:r>
      <w:r>
        <w:rPr/>
        <w:t>y </w:t>
      </w:r>
      <w:r>
        <w:rPr>
          <w:i/>
        </w:rPr>
        <w:t>Lactobacilli. </w:t>
      </w:r>
      <w:r>
        <w:rPr/>
        <w:t>En condiciones de calor, se reduce el número de bacterias debido a que la temperatura puede afectar el crecimiento y la multiplicación de los microorganismos orales</w:t>
      </w:r>
      <w:r>
        <w:rPr>
          <w:position w:val="11"/>
          <w:sz w:val="16"/>
        </w:rPr>
        <w:t>.</w:t>
      </w:r>
      <w:r>
        <w:rPr>
          <w:spacing w:val="-9"/>
          <w:position w:val="11"/>
          <w:sz w:val="16"/>
        </w:rPr>
        <w:t> </w:t>
      </w:r>
      <w:r>
        <w:rPr>
          <w:position w:val="11"/>
          <w:sz w:val="16"/>
        </w:rPr>
        <w:t>15</w:t>
      </w:r>
    </w:p>
    <w:p>
      <w:pPr>
        <w:spacing w:after="0" w:line="350" w:lineRule="auto"/>
        <w:jc w:val="both"/>
        <w:rPr>
          <w:sz w:val="16"/>
        </w:rPr>
        <w:sectPr>
          <w:footerReference w:type="default" r:id="rId21"/>
          <w:pgSz w:w="12240" w:h="15840"/>
          <w:pgMar w:footer="1024" w:header="736" w:top="1180" w:bottom="1220" w:left="1280" w:right="1260"/>
          <w:pgNumType w:start="41"/>
        </w:sectPr>
      </w:pPr>
    </w:p>
    <w:p>
      <w:pPr>
        <w:pStyle w:val="BodyText"/>
        <w:spacing w:before="11"/>
        <w:rPr>
          <w:sz w:val="16"/>
        </w:rPr>
      </w:pPr>
    </w:p>
    <w:p>
      <w:pPr>
        <w:pStyle w:val="Heading2"/>
        <w:numPr>
          <w:ilvl w:val="1"/>
          <w:numId w:val="10"/>
        </w:numPr>
        <w:tabs>
          <w:tab w:pos="1226" w:val="left" w:leader="none"/>
        </w:tabs>
        <w:spacing w:line="240" w:lineRule="auto" w:before="69" w:after="0"/>
        <w:ind w:left="1226" w:right="0" w:hanging="526"/>
        <w:jc w:val="left"/>
      </w:pPr>
      <w:bookmarkStart w:name="_TOC_250010" w:id="6"/>
      <w:r>
        <w:rPr/>
        <w:t>TÉCNICAS DE</w:t>
      </w:r>
      <w:r>
        <w:rPr>
          <w:spacing w:val="-8"/>
        </w:rPr>
        <w:t> </w:t>
      </w:r>
      <w:bookmarkEnd w:id="6"/>
      <w:r>
        <w:rPr/>
        <w:t>CARACTERIZACIÓN</w:t>
      </w:r>
    </w:p>
    <w:p>
      <w:pPr>
        <w:pStyle w:val="BodyText"/>
        <w:rPr>
          <w:b/>
        </w:rPr>
      </w:pPr>
    </w:p>
    <w:p>
      <w:pPr>
        <w:pStyle w:val="BodyText"/>
        <w:rPr>
          <w:b/>
        </w:rPr>
      </w:pPr>
    </w:p>
    <w:p>
      <w:pPr>
        <w:pStyle w:val="BodyText"/>
        <w:spacing w:before="2"/>
        <w:rPr>
          <w:b/>
        </w:rPr>
      </w:pPr>
    </w:p>
    <w:p>
      <w:pPr>
        <w:pStyle w:val="BodyText"/>
        <w:spacing w:line="348" w:lineRule="auto" w:before="1"/>
        <w:ind w:left="160" w:right="174"/>
        <w:jc w:val="both"/>
        <w:rPr>
          <w:sz w:val="16"/>
        </w:rPr>
      </w:pPr>
      <w:r>
        <w:rPr/>
        <w:t>Los avances en los métodos de síntesis han sido posibles gracias al conocimiento cada vez más acertado de las nanoestructuras, estos avances se atribuyen parcialmente a las diversas herramientas analíticas y métodos de caracterización disponibles, los cuales contribuyen a una cercana investigación de las morfologías y un profundo entendimiento de las estructuras, composición y propiedades de los nanomateriales. </w:t>
      </w:r>
      <w:r>
        <w:rPr>
          <w:position w:val="11"/>
          <w:sz w:val="16"/>
        </w:rPr>
        <w:t>91, </w:t>
      </w:r>
      <w:r>
        <w:rPr>
          <w:sz w:val="16"/>
        </w:rPr>
        <w:t>96</w:t>
      </w:r>
    </w:p>
    <w:p>
      <w:pPr>
        <w:pStyle w:val="BodyText"/>
        <w:rPr>
          <w:sz w:val="16"/>
        </w:rPr>
      </w:pPr>
    </w:p>
    <w:p>
      <w:pPr>
        <w:pStyle w:val="BodyText"/>
        <w:rPr>
          <w:sz w:val="16"/>
        </w:rPr>
      </w:pPr>
    </w:p>
    <w:p>
      <w:pPr>
        <w:pStyle w:val="BodyText"/>
        <w:rPr>
          <w:sz w:val="16"/>
        </w:rPr>
      </w:pPr>
    </w:p>
    <w:p>
      <w:pPr>
        <w:pStyle w:val="BodyText"/>
        <w:spacing w:before="1"/>
        <w:rPr>
          <w:sz w:val="13"/>
        </w:rPr>
      </w:pPr>
    </w:p>
    <w:p>
      <w:pPr>
        <w:pStyle w:val="ListParagraph"/>
        <w:numPr>
          <w:ilvl w:val="2"/>
          <w:numId w:val="10"/>
        </w:numPr>
        <w:tabs>
          <w:tab w:pos="1601" w:val="left" w:leader="none"/>
        </w:tabs>
        <w:spacing w:line="240" w:lineRule="auto" w:before="0" w:after="0"/>
        <w:ind w:left="1600" w:right="0" w:hanging="720"/>
        <w:jc w:val="left"/>
        <w:rPr>
          <w:sz w:val="24"/>
        </w:rPr>
      </w:pPr>
      <w:r>
        <w:rPr>
          <w:sz w:val="24"/>
        </w:rPr>
        <w:t>Espectrofotometría ultravioleta visible</w:t>
      </w:r>
      <w:r>
        <w:rPr>
          <w:spacing w:val="-11"/>
          <w:sz w:val="24"/>
        </w:rPr>
        <w:t> </w:t>
      </w:r>
      <w:r>
        <w:rPr>
          <w:sz w:val="24"/>
        </w:rPr>
        <w:t>(UV-Vis)</w:t>
      </w:r>
    </w:p>
    <w:p>
      <w:pPr>
        <w:pStyle w:val="BodyText"/>
      </w:pPr>
    </w:p>
    <w:p>
      <w:pPr>
        <w:pStyle w:val="BodyText"/>
      </w:pPr>
    </w:p>
    <w:p>
      <w:pPr>
        <w:pStyle w:val="BodyText"/>
        <w:spacing w:line="352" w:lineRule="auto"/>
        <w:ind w:left="160" w:right="174"/>
        <w:jc w:val="both"/>
      </w:pPr>
      <w:r>
        <w:rPr/>
        <w:t>La espectrofotometría o espectroscopía es una técnica que estudia las interacciones que suceden entre la radiación y la materia. Los métodos espectroscópicos de análisis miden la cantidad de radiación producida y absorbida por las especies atómicas o moleculares que se analizan. </w:t>
      </w:r>
      <w:r>
        <w:rPr>
          <w:position w:val="11"/>
          <w:sz w:val="16"/>
        </w:rPr>
        <w:t>96 </w:t>
      </w:r>
      <w:r>
        <w:rPr/>
        <w:t>El espectro electromagnético abarca un  intervalo amplio  de  energías  (frecuencias)  por  tanto  de  longitudes  de  onda.  La  región   del</w:t>
      </w:r>
    </w:p>
    <w:p>
      <w:pPr>
        <w:pStyle w:val="BodyText"/>
        <w:spacing w:line="360" w:lineRule="auto" w:before="13"/>
        <w:ind w:left="160" w:right="174"/>
        <w:jc w:val="both"/>
      </w:pPr>
      <w:r>
        <w:rPr/>
        <w:t>espectro que abarca el espectro de luz visible se encuentra entre 400nm y 700nm, mientras que la región del espectro ultravioleta abarca de 180nm a 380nm. La región  de luz visible que percibe el ojo humano, es solo una mínima parte de todo el</w:t>
      </w:r>
      <w:r>
        <w:rPr>
          <w:spacing w:val="44"/>
        </w:rPr>
        <w:t> </w:t>
      </w:r>
      <w:r>
        <w:rPr/>
        <w:t>espectro.</w:t>
      </w:r>
    </w:p>
    <w:p>
      <w:pPr>
        <w:spacing w:line="151" w:lineRule="exact" w:before="0"/>
        <w:ind w:left="160" w:right="0" w:firstLine="0"/>
        <w:jc w:val="both"/>
        <w:rPr>
          <w:sz w:val="16"/>
        </w:rPr>
      </w:pPr>
      <w:r>
        <w:rPr>
          <w:sz w:val="16"/>
        </w:rPr>
        <w:t>96</w:t>
      </w:r>
    </w:p>
    <w:p>
      <w:pPr>
        <w:pStyle w:val="BodyText"/>
        <w:rPr>
          <w:sz w:val="16"/>
        </w:rPr>
      </w:pPr>
    </w:p>
    <w:p>
      <w:pPr>
        <w:pStyle w:val="BodyText"/>
        <w:rPr>
          <w:sz w:val="16"/>
        </w:rPr>
      </w:pPr>
    </w:p>
    <w:p>
      <w:pPr>
        <w:pStyle w:val="BodyText"/>
        <w:rPr>
          <w:sz w:val="16"/>
        </w:rPr>
      </w:pPr>
    </w:p>
    <w:p>
      <w:pPr>
        <w:pStyle w:val="BodyText"/>
        <w:spacing w:line="360" w:lineRule="auto" w:before="127"/>
        <w:ind w:left="160" w:right="174"/>
        <w:jc w:val="both"/>
      </w:pPr>
      <w:r>
        <w:rPr/>
        <w:t>Cuando la radiación electromagnética atraviesa una capa de un sólido, un líquido o un gas, ciertas frecuencias se eliminan por absorción, proceso en el que la energía electromagnética se transfiere a los átomos, iones o moléculas que componen la muestra, proporcionando información a través de las longitudes de onda. La reducción del tamaño de los materiales tiene efectos en sus propiedades ópticas, generando un</w:t>
      </w:r>
    </w:p>
    <w:p>
      <w:pPr>
        <w:pStyle w:val="BodyText"/>
        <w:spacing w:line="328" w:lineRule="auto" w:before="5"/>
        <w:ind w:left="160" w:right="174"/>
        <w:jc w:val="both"/>
        <w:rPr>
          <w:sz w:val="16"/>
        </w:rPr>
      </w:pPr>
      <w:r>
        <w:rPr/>
        <w:t>plasmón de resonancia superficial, que es la oscilación de todos los electrones dentro de la banda de conducción (y este es característico de cada material.) </w:t>
      </w:r>
      <w:r>
        <w:rPr>
          <w:position w:val="11"/>
          <w:sz w:val="16"/>
        </w:rPr>
        <w:t>97</w:t>
      </w:r>
    </w:p>
    <w:p>
      <w:pPr>
        <w:spacing w:after="0" w:line="328" w:lineRule="auto"/>
        <w:jc w:val="both"/>
        <w:rPr>
          <w:sz w:val="16"/>
        </w:rPr>
        <w:sectPr>
          <w:pgSz w:w="12240" w:h="15840"/>
          <w:pgMar w:header="736" w:footer="1024" w:top="1180" w:bottom="1220" w:left="1280" w:right="1260"/>
        </w:sectPr>
      </w:pPr>
    </w:p>
    <w:p>
      <w:pPr>
        <w:pStyle w:val="BodyText"/>
        <w:spacing w:before="2"/>
        <w:rPr>
          <w:sz w:val="17"/>
        </w:rPr>
      </w:pPr>
    </w:p>
    <w:p>
      <w:pPr>
        <w:pStyle w:val="ListParagraph"/>
        <w:numPr>
          <w:ilvl w:val="2"/>
          <w:numId w:val="10"/>
        </w:numPr>
        <w:tabs>
          <w:tab w:pos="1601" w:val="left" w:leader="none"/>
        </w:tabs>
        <w:spacing w:line="240" w:lineRule="auto" w:before="69" w:after="0"/>
        <w:ind w:left="1600" w:right="0" w:hanging="720"/>
        <w:jc w:val="left"/>
        <w:rPr>
          <w:sz w:val="24"/>
        </w:rPr>
      </w:pPr>
      <w:r>
        <w:rPr>
          <w:sz w:val="24"/>
        </w:rPr>
        <w:t>Microscopia electrónica de barrido y de transmisión (MEB y</w:t>
      </w:r>
      <w:r>
        <w:rPr>
          <w:spacing w:val="-17"/>
          <w:sz w:val="24"/>
        </w:rPr>
        <w:t> </w:t>
      </w:r>
      <w:r>
        <w:rPr>
          <w:sz w:val="24"/>
        </w:rPr>
        <w:t>MET)</w:t>
      </w:r>
    </w:p>
    <w:p>
      <w:pPr>
        <w:pStyle w:val="BodyText"/>
      </w:pPr>
    </w:p>
    <w:p>
      <w:pPr>
        <w:pStyle w:val="BodyText"/>
        <w:spacing w:before="7"/>
      </w:pPr>
    </w:p>
    <w:p>
      <w:pPr>
        <w:pStyle w:val="BodyText"/>
        <w:spacing w:line="360" w:lineRule="auto"/>
        <w:ind w:left="160" w:right="175"/>
        <w:jc w:val="both"/>
      </w:pPr>
      <w:r>
        <w:rPr/>
        <w:t>El microscopio electrónico es un instrumento que permite una ampliación valiosa de las propiedades ondulatorias de los electrones, pues produce imágenes de los objetos que no pueden verse con el microscopio de luz. De acuerdo con las leyes de la óptica, es imposible formar una imagen de un objeto que sea menor que la mitad de la longitud de onda de luz usada para la observación. Dado que el intervalo de las longitudes de onda de luz visible empieza alrededor de 400nm, no es posible ver algo que tenga un  tamaño menor que 200nm. Sin embargo existen herramientas que permiten la observación de estructuras de tamaños menores, por ejemplo; por medio de rayos X, es posible observar objetos en la escala atómica y molecular, cuyas longitudes de onda están</w:t>
      </w:r>
      <w:r>
        <w:rPr>
          <w:spacing w:val="32"/>
        </w:rPr>
        <w:t> </w:t>
      </w:r>
      <w:r>
        <w:rPr/>
        <w:t>entre</w:t>
      </w:r>
      <w:r>
        <w:rPr>
          <w:spacing w:val="32"/>
        </w:rPr>
        <w:t> </w:t>
      </w:r>
      <w:r>
        <w:rPr/>
        <w:t>0.01nm</w:t>
      </w:r>
      <w:r>
        <w:rPr>
          <w:spacing w:val="36"/>
        </w:rPr>
        <w:t> </w:t>
      </w:r>
      <w:r>
        <w:rPr/>
        <w:t>y</w:t>
      </w:r>
      <w:r>
        <w:rPr>
          <w:spacing w:val="32"/>
        </w:rPr>
        <w:t> </w:t>
      </w:r>
      <w:r>
        <w:rPr/>
        <w:t>10nm,</w:t>
      </w:r>
      <w:r>
        <w:rPr>
          <w:spacing w:val="35"/>
        </w:rPr>
        <w:t> </w:t>
      </w:r>
      <w:r>
        <w:rPr/>
        <w:t>sin</w:t>
      </w:r>
      <w:r>
        <w:rPr>
          <w:spacing w:val="35"/>
        </w:rPr>
        <w:t> </w:t>
      </w:r>
      <w:r>
        <w:rPr/>
        <w:t>embargo</w:t>
      </w:r>
      <w:r>
        <w:rPr>
          <w:spacing w:val="35"/>
        </w:rPr>
        <w:t> </w:t>
      </w:r>
      <w:r>
        <w:rPr/>
        <w:t>no</w:t>
      </w:r>
      <w:r>
        <w:rPr>
          <w:spacing w:val="35"/>
        </w:rPr>
        <w:t> </w:t>
      </w:r>
      <w:r>
        <w:rPr/>
        <w:t>se</w:t>
      </w:r>
      <w:r>
        <w:rPr>
          <w:spacing w:val="35"/>
        </w:rPr>
        <w:t> </w:t>
      </w:r>
      <w:r>
        <w:rPr/>
        <w:t>pueden</w:t>
      </w:r>
      <w:r>
        <w:rPr>
          <w:spacing w:val="32"/>
        </w:rPr>
        <w:t> </w:t>
      </w:r>
      <w:r>
        <w:rPr/>
        <w:t>enfocar,</w:t>
      </w:r>
      <w:r>
        <w:rPr>
          <w:spacing w:val="35"/>
        </w:rPr>
        <w:t> </w:t>
      </w:r>
      <w:r>
        <w:rPr/>
        <w:t>de</w:t>
      </w:r>
      <w:r>
        <w:rPr>
          <w:spacing w:val="35"/>
        </w:rPr>
        <w:t> </w:t>
      </w:r>
      <w:r>
        <w:rPr/>
        <w:t>manera</w:t>
      </w:r>
      <w:r>
        <w:rPr>
          <w:spacing w:val="34"/>
        </w:rPr>
        <w:t> </w:t>
      </w:r>
      <w:r>
        <w:rPr/>
        <w:t>que</w:t>
      </w:r>
      <w:r>
        <w:rPr>
          <w:spacing w:val="35"/>
        </w:rPr>
        <w:t> </w:t>
      </w:r>
      <w:r>
        <w:rPr/>
        <w:t>no</w:t>
      </w:r>
    </w:p>
    <w:p>
      <w:pPr>
        <w:pStyle w:val="BodyText"/>
        <w:spacing w:line="281" w:lineRule="exact"/>
        <w:ind w:left="160"/>
        <w:jc w:val="both"/>
        <w:rPr>
          <w:sz w:val="16"/>
        </w:rPr>
      </w:pPr>
      <w:r>
        <w:rPr/>
        <w:t>producen imágenes bien definidas. </w:t>
      </w:r>
      <w:r>
        <w:rPr>
          <w:position w:val="11"/>
          <w:sz w:val="16"/>
        </w:rPr>
        <w:t>98</w:t>
      </w:r>
    </w:p>
    <w:p>
      <w:pPr>
        <w:pStyle w:val="BodyText"/>
        <w:rPr>
          <w:sz w:val="28"/>
        </w:rPr>
      </w:pPr>
    </w:p>
    <w:p>
      <w:pPr>
        <w:pStyle w:val="BodyText"/>
        <w:spacing w:line="352" w:lineRule="auto" w:before="230"/>
        <w:ind w:left="160" w:right="182"/>
        <w:jc w:val="both"/>
        <w:rPr>
          <w:sz w:val="16"/>
        </w:rPr>
      </w:pPr>
      <w:r>
        <w:rPr/>
        <w:t>Por otro lado, los electrones son partículas cargadas que se pueden enfocar aplicando un campo eléctrico o un campo magnético, de acuerdo con la Ley de Broglie, la longitud de onda de un electrón es inversamente proporcional a su velocidad. Al acelerar los electrones a grandes velocidades, se pueden obtener longitudes de onda tan cortas como 0.004nm.</w:t>
      </w:r>
      <w:r>
        <w:rPr>
          <w:spacing w:val="62"/>
        </w:rPr>
        <w:t> </w:t>
      </w:r>
      <w:r>
        <w:rPr>
          <w:position w:val="11"/>
          <w:sz w:val="16"/>
        </w:rPr>
        <w:t>99</w:t>
      </w:r>
    </w:p>
    <w:p>
      <w:pPr>
        <w:pStyle w:val="BodyText"/>
        <w:spacing w:before="5"/>
        <w:rPr>
          <w:sz w:val="35"/>
        </w:rPr>
      </w:pPr>
    </w:p>
    <w:p>
      <w:pPr>
        <w:pStyle w:val="BodyText"/>
        <w:spacing w:line="350" w:lineRule="auto" w:before="1"/>
        <w:ind w:left="160" w:right="180"/>
        <w:jc w:val="both"/>
        <w:rPr>
          <w:sz w:val="16"/>
        </w:rPr>
      </w:pPr>
      <w:r>
        <w:rPr/>
        <w:t>De esta manera, la microscopía electrónica consiste esencialmente en hacer incidir en la muestra un haz de electrones. Este bombardeo de electrones provoca la aparición  de diferentes señales que, captadas con detectores adecuados, proporcionan información acerca de la naturaleza de la muestra.</w:t>
      </w:r>
      <w:r>
        <w:rPr>
          <w:spacing w:val="-12"/>
        </w:rPr>
        <w:t> </w:t>
      </w:r>
      <w:r>
        <w:rPr>
          <w:position w:val="11"/>
          <w:sz w:val="16"/>
        </w:rPr>
        <w:t>98</w:t>
      </w:r>
    </w:p>
    <w:p>
      <w:pPr>
        <w:pStyle w:val="BodyText"/>
        <w:spacing w:before="8"/>
        <w:rPr>
          <w:sz w:val="35"/>
        </w:rPr>
      </w:pPr>
    </w:p>
    <w:p>
      <w:pPr>
        <w:pStyle w:val="BodyText"/>
        <w:spacing w:line="345" w:lineRule="auto" w:before="1"/>
        <w:ind w:left="160" w:right="177"/>
        <w:jc w:val="both"/>
        <w:rPr>
          <w:sz w:val="16"/>
        </w:rPr>
      </w:pPr>
      <w:r>
        <w:rPr/>
        <w:t>La microscopía se divide en dos técnicas, denominadas microscopia electrónica de barrido (SEM por sus siglas en Inglés, MEB en Español) y microscopia electrónica de transmisión (TEM en Inglés y MET en Español) </w:t>
      </w:r>
      <w:r>
        <w:rPr>
          <w:position w:val="11"/>
          <w:sz w:val="16"/>
        </w:rPr>
        <w:t>100</w:t>
      </w:r>
    </w:p>
    <w:p>
      <w:pPr>
        <w:pStyle w:val="BodyText"/>
        <w:spacing w:before="3"/>
        <w:rPr>
          <w:sz w:val="36"/>
        </w:rPr>
      </w:pPr>
    </w:p>
    <w:p>
      <w:pPr>
        <w:pStyle w:val="BodyText"/>
        <w:spacing w:line="360" w:lineRule="auto"/>
        <w:ind w:left="160" w:right="184"/>
        <w:jc w:val="both"/>
      </w:pPr>
      <w:r>
        <w:rPr/>
        <w:t>El microscopio electrónico de barrido es un instrumento diseñado para estudiar la superficie de los sólidos con una gran profundidad de campo, por lo que lo que la</w:t>
      </w:r>
    </w:p>
    <w:p>
      <w:pPr>
        <w:spacing w:after="0" w:line="360" w:lineRule="auto"/>
        <w:jc w:val="both"/>
        <w:sectPr>
          <w:pgSz w:w="12240" w:h="15840"/>
          <w:pgMar w:header="736" w:footer="1024" w:top="1180" w:bottom="1220" w:left="1280" w:right="1260"/>
        </w:sectPr>
      </w:pPr>
    </w:p>
    <w:p>
      <w:pPr>
        <w:pStyle w:val="BodyText"/>
        <w:spacing w:before="2"/>
        <w:rPr>
          <w:sz w:val="17"/>
        </w:rPr>
      </w:pPr>
    </w:p>
    <w:p>
      <w:pPr>
        <w:pStyle w:val="BodyText"/>
        <w:spacing w:line="360" w:lineRule="auto" w:before="69"/>
        <w:ind w:left="160" w:right="173"/>
        <w:jc w:val="both"/>
      </w:pPr>
      <w:r>
        <w:rPr/>
        <w:t>apariencia tridimensional de la imagen de una muestra, es característica de MEB. Debemos mencionar las enormes ventajas que presenta está técnica; debido a la utilización de un gran número de señales provenientes de la interacción de los electrones con la muestra, es posible obtener información sobre la topografía, la orientación cristalina, la composición química y el potencial eléctrico del material en observación. Por mencionar algunas de estas señales, un microscopio electrónico moderno puede encontrarse acoplado a técnicas de análisis, como espectroscopía por dispersión de energía  de  rayos  X;  (Energy  Dispersive  Espectroscopy,  EDS  por sus</w:t>
      </w:r>
    </w:p>
    <w:p>
      <w:pPr>
        <w:pStyle w:val="BodyText"/>
        <w:spacing w:line="328" w:lineRule="auto" w:before="5"/>
        <w:ind w:left="160" w:right="178"/>
        <w:jc w:val="both"/>
        <w:rPr>
          <w:sz w:val="16"/>
        </w:rPr>
      </w:pPr>
      <w:r>
        <w:rPr/>
        <w:t>siglas en inglés), la cual conforma un sistema de análisis para la composición de la muestra. </w:t>
      </w:r>
      <w:r>
        <w:rPr>
          <w:position w:val="11"/>
          <w:sz w:val="16"/>
        </w:rPr>
        <w:t>98</w:t>
      </w:r>
    </w:p>
    <w:p>
      <w:pPr>
        <w:pStyle w:val="BodyText"/>
        <w:spacing w:before="1"/>
        <w:rPr>
          <w:sz w:val="38"/>
        </w:rPr>
      </w:pPr>
    </w:p>
    <w:p>
      <w:pPr>
        <w:pStyle w:val="BodyText"/>
        <w:spacing w:line="360" w:lineRule="auto" w:before="1"/>
        <w:ind w:left="160" w:right="174"/>
        <w:jc w:val="both"/>
      </w:pPr>
      <w:r>
        <w:rPr/>
        <w:t>La técnica EDS permite identificar y cuantificar los elementos presentes en la muestra, mediante un microanálisis de regiones menores a 1µm, independientemente de los estados físicos y químicos del material bajo estudio. Este sistema utiliza un dispositivo semiconductor mantenido al alto vacío a temperatura de nitrógeno líquido.</w:t>
      </w:r>
    </w:p>
    <w:p>
      <w:pPr>
        <w:pStyle w:val="BodyText"/>
        <w:spacing w:line="350" w:lineRule="auto" w:before="2"/>
        <w:ind w:left="160" w:right="183"/>
        <w:jc w:val="both"/>
        <w:rPr>
          <w:sz w:val="16"/>
        </w:rPr>
      </w:pPr>
      <w:r>
        <w:rPr/>
        <w:t>EDS separa los rayos X característicos producidos por la interacción del haz de electrones del microscopio sobre los electrones de los elementos de la muestra, esta interacción electrón-electrón produce un estado de excitación en el átomo, dejando energía que se emite en forma de un fotón en la región visible. </w:t>
      </w:r>
      <w:r>
        <w:rPr>
          <w:position w:val="11"/>
          <w:sz w:val="16"/>
        </w:rPr>
        <w:t>98</w:t>
      </w:r>
    </w:p>
    <w:p>
      <w:pPr>
        <w:pStyle w:val="BodyText"/>
        <w:spacing w:before="8"/>
        <w:rPr>
          <w:sz w:val="35"/>
        </w:rPr>
      </w:pPr>
    </w:p>
    <w:p>
      <w:pPr>
        <w:pStyle w:val="BodyText"/>
        <w:spacing w:line="350" w:lineRule="auto" w:before="1"/>
        <w:ind w:left="160" w:right="173"/>
        <w:jc w:val="both"/>
        <w:rPr>
          <w:sz w:val="16"/>
        </w:rPr>
      </w:pPr>
      <w:r>
        <w:rPr/>
        <w:t>El microscopio electrónico de transmisión es una técnica en donde también se utilizan electrones que pueden ser enfocados como rayos, las imágenes son producidas por absorción. La calidad e intensidad de la imagen es afectada por la temperatura del filamento, la corriente, voltaje y los demás componentes del cañón. </w:t>
      </w:r>
      <w:r>
        <w:rPr>
          <w:position w:val="11"/>
          <w:sz w:val="16"/>
        </w:rPr>
        <w:t>101, 102</w:t>
      </w:r>
    </w:p>
    <w:p>
      <w:pPr>
        <w:pStyle w:val="BodyText"/>
        <w:spacing w:before="8"/>
        <w:rPr>
          <w:sz w:val="35"/>
        </w:rPr>
      </w:pPr>
    </w:p>
    <w:p>
      <w:pPr>
        <w:pStyle w:val="BodyText"/>
        <w:spacing w:line="331" w:lineRule="auto" w:before="1"/>
        <w:ind w:left="160" w:right="179"/>
        <w:jc w:val="both"/>
        <w:rPr>
          <w:sz w:val="16"/>
        </w:rPr>
      </w:pPr>
      <w:r>
        <w:rPr/>
        <w:t>La diferencia y el aporte valioso de MET es que provee información acerca de la estructura interna y los detalles estructurales de la muestra. </w:t>
      </w:r>
      <w:r>
        <w:rPr>
          <w:position w:val="11"/>
          <w:sz w:val="16"/>
        </w:rPr>
        <w:t>97</w:t>
      </w:r>
    </w:p>
    <w:p>
      <w:pPr>
        <w:spacing w:after="0" w:line="331" w:lineRule="auto"/>
        <w:jc w:val="both"/>
        <w:rPr>
          <w:sz w:val="16"/>
        </w:rPr>
        <w:sectPr>
          <w:pgSz w:w="12240" w:h="15840"/>
          <w:pgMar w:header="736" w:footer="1024" w:top="1180" w:bottom="1220" w:left="1280" w:right="1260"/>
        </w:sectPr>
      </w:pPr>
    </w:p>
    <w:p>
      <w:pPr>
        <w:pStyle w:val="BodyText"/>
        <w:spacing w:before="2"/>
        <w:rPr>
          <w:sz w:val="17"/>
        </w:rPr>
      </w:pPr>
    </w:p>
    <w:p>
      <w:pPr>
        <w:pStyle w:val="BodyText"/>
        <w:spacing w:line="360" w:lineRule="auto" w:before="69"/>
        <w:ind w:left="160" w:right="177"/>
        <w:jc w:val="both"/>
      </w:pPr>
      <w:r>
        <w:rPr/>
        <w:t>En la figura que a continuación se observa, es posible observar una comparación entre el funcionamiento del ojo humano en relación con la luz y el uso de sus lentes, respecto al microscopio electrónico de barrido y el de transmisión.</w:t>
      </w:r>
    </w:p>
    <w:p>
      <w:pPr>
        <w:pStyle w:val="BodyText"/>
        <w:rPr>
          <w:sz w:val="20"/>
        </w:rPr>
      </w:pPr>
    </w:p>
    <w:p>
      <w:pPr>
        <w:pStyle w:val="BodyText"/>
        <w:rPr>
          <w:sz w:val="20"/>
        </w:rPr>
      </w:pPr>
    </w:p>
    <w:p>
      <w:pPr>
        <w:pStyle w:val="BodyText"/>
        <w:spacing w:before="10"/>
        <w:rPr>
          <w:sz w:val="14"/>
        </w:rPr>
      </w:pPr>
      <w:r>
        <w:rPr/>
        <w:drawing>
          <wp:anchor distT="0" distB="0" distL="0" distR="0" allowOverlap="1" layoutInCell="1" locked="0" behindDoc="0" simplePos="0" relativeHeight="1168">
            <wp:simplePos x="0" y="0"/>
            <wp:positionH relativeFrom="page">
              <wp:posOffset>2117725</wp:posOffset>
            </wp:positionH>
            <wp:positionV relativeFrom="paragraph">
              <wp:posOffset>133678</wp:posOffset>
            </wp:positionV>
            <wp:extent cx="3221023" cy="2723959"/>
            <wp:effectExtent l="0" t="0" r="0" b="0"/>
            <wp:wrapTopAndBottom/>
            <wp:docPr id="5" name="image6.jpeg" descr=""/>
            <wp:cNvGraphicFramePr>
              <a:graphicFrameLocks noChangeAspect="1"/>
            </wp:cNvGraphicFramePr>
            <a:graphic>
              <a:graphicData uri="http://schemas.openxmlformats.org/drawingml/2006/picture">
                <pic:pic>
                  <pic:nvPicPr>
                    <pic:cNvPr id="6" name="image6.jpeg"/>
                    <pic:cNvPicPr/>
                  </pic:nvPicPr>
                  <pic:blipFill>
                    <a:blip r:embed="rId22" cstate="print"/>
                    <a:stretch>
                      <a:fillRect/>
                    </a:stretch>
                  </pic:blipFill>
                  <pic:spPr>
                    <a:xfrm>
                      <a:off x="0" y="0"/>
                      <a:ext cx="3221023" cy="2723959"/>
                    </a:xfrm>
                    <a:prstGeom prst="rect">
                      <a:avLst/>
                    </a:prstGeom>
                  </pic:spPr>
                </pic:pic>
              </a:graphicData>
            </a:graphic>
          </wp:anchor>
        </w:drawing>
      </w:r>
    </w:p>
    <w:p>
      <w:pPr>
        <w:pStyle w:val="BodyText"/>
      </w:pPr>
    </w:p>
    <w:p>
      <w:pPr>
        <w:pStyle w:val="BodyText"/>
        <w:ind w:left="530" w:right="270"/>
        <w:rPr>
          <w:sz w:val="16"/>
        </w:rPr>
      </w:pPr>
      <w:r>
        <w:rPr>
          <w:b/>
        </w:rPr>
        <w:t>Figura 3 </w:t>
      </w:r>
      <w:r>
        <w:rPr/>
        <w:t>Esquema comparativo de la visión del ojo humano, el MEB y el MET </w:t>
      </w:r>
      <w:r>
        <w:rPr>
          <w:position w:val="11"/>
          <w:sz w:val="16"/>
        </w:rPr>
        <w:t>103</w:t>
      </w:r>
    </w:p>
    <w:p>
      <w:pPr>
        <w:spacing w:after="0"/>
        <w:rPr>
          <w:sz w:val="16"/>
        </w:rPr>
        <w:sectPr>
          <w:pgSz w:w="12240" w:h="15840"/>
          <w:pgMar w:header="736" w:footer="1024" w:top="1180" w:bottom="1220" w:left="128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5"/>
        </w:numPr>
        <w:tabs>
          <w:tab w:pos="1241" w:val="left" w:leader="none"/>
        </w:tabs>
        <w:spacing w:line="276" w:lineRule="auto" w:before="171" w:after="0"/>
        <w:ind w:left="3206" w:right="180" w:hanging="2686"/>
        <w:jc w:val="left"/>
        <w:rPr>
          <w:b/>
          <w:sz w:val="76"/>
        </w:rPr>
      </w:pPr>
      <w:bookmarkStart w:name="_TOC_250009" w:id="7"/>
      <w:bookmarkEnd w:id="7"/>
      <w:r>
        <w:rPr>
          <w:b/>
          <w:sz w:val="76"/>
        </w:rPr>
        <w:t>PLANTEAMIENTO DEL PROBLEMA</w:t>
      </w:r>
    </w:p>
    <w:p>
      <w:pPr>
        <w:spacing w:after="0" w:line="276" w:lineRule="auto"/>
        <w:jc w:val="left"/>
        <w:rPr>
          <w:sz w:val="76"/>
        </w:rPr>
        <w:sectPr>
          <w:pgSz w:w="12240" w:h="15840"/>
          <w:pgMar w:header="736" w:footer="1024" w:top="1180" w:bottom="1220" w:left="1280" w:right="1260"/>
        </w:sectPr>
      </w:pPr>
    </w:p>
    <w:p>
      <w:pPr>
        <w:pStyle w:val="BodyText"/>
        <w:spacing w:before="2"/>
        <w:rPr>
          <w:b/>
          <w:sz w:val="17"/>
        </w:rPr>
      </w:pPr>
    </w:p>
    <w:p>
      <w:pPr>
        <w:pStyle w:val="Heading2"/>
        <w:ind w:right="16"/>
        <w:jc w:val="center"/>
      </w:pPr>
      <w:r>
        <w:rPr/>
        <w:t>PLANTEAMIENTO DEL PROBLEMA</w:t>
      </w:r>
    </w:p>
    <w:p>
      <w:pPr>
        <w:pStyle w:val="BodyText"/>
        <w:rPr>
          <w:b/>
        </w:rPr>
      </w:pPr>
    </w:p>
    <w:p>
      <w:pPr>
        <w:pStyle w:val="BodyText"/>
        <w:rPr>
          <w:b/>
          <w:sz w:val="33"/>
        </w:rPr>
      </w:pPr>
    </w:p>
    <w:p>
      <w:pPr>
        <w:pStyle w:val="BodyText"/>
        <w:spacing w:line="360" w:lineRule="auto"/>
        <w:ind w:left="160" w:right="175"/>
        <w:jc w:val="both"/>
      </w:pPr>
      <w:r>
        <w:rPr/>
        <w:t>La cavidad bucal infantil está colonizada por microorganismos altamente cariogénicos que participan en el proceso de destrucción dental. A pesar de que se realicen esfuerzos por parte del odontólogo para aplicar terapéuticas especializadas, y no obstante que en la actualidad contamos con materiales dentales nobles en sus propiedades físicas y químicas, la protección antibacteriana por tiempos prolongados resultan un reto clínico.</w:t>
      </w:r>
    </w:p>
    <w:p>
      <w:pPr>
        <w:pStyle w:val="BodyText"/>
      </w:pPr>
    </w:p>
    <w:p>
      <w:pPr>
        <w:spacing w:line="345" w:lineRule="auto" w:before="140"/>
        <w:ind w:left="160" w:right="178" w:firstLine="0"/>
        <w:jc w:val="both"/>
        <w:rPr>
          <w:sz w:val="16"/>
        </w:rPr>
      </w:pPr>
      <w:r>
        <w:rPr>
          <w:sz w:val="24"/>
        </w:rPr>
        <w:t>Se sabe que </w:t>
      </w:r>
      <w:r>
        <w:rPr>
          <w:i/>
          <w:sz w:val="24"/>
        </w:rPr>
        <w:t>Streptococcus mutans </w:t>
      </w:r>
      <w:r>
        <w:rPr>
          <w:sz w:val="24"/>
        </w:rPr>
        <w:t>juega un papel importante en el desarrollo de la lesión cariosa, mientras que </w:t>
      </w:r>
      <w:r>
        <w:rPr>
          <w:i/>
          <w:sz w:val="24"/>
        </w:rPr>
        <w:t>Lactobacillus casei </w:t>
      </w:r>
      <w:r>
        <w:rPr>
          <w:sz w:val="24"/>
        </w:rPr>
        <w:t>es considerado un importante invasor </w:t>
      </w:r>
      <w:r>
        <w:rPr>
          <w:position w:val="-10"/>
          <w:sz w:val="24"/>
        </w:rPr>
        <w:t>secundario. </w:t>
      </w:r>
      <w:r>
        <w:rPr>
          <w:sz w:val="16"/>
        </w:rPr>
        <w:t>16, 25, 27, 32, 43</w:t>
      </w:r>
    </w:p>
    <w:p>
      <w:pPr>
        <w:pStyle w:val="BodyText"/>
        <w:spacing w:before="3"/>
        <w:rPr>
          <w:sz w:val="36"/>
        </w:rPr>
      </w:pPr>
    </w:p>
    <w:p>
      <w:pPr>
        <w:pStyle w:val="BodyText"/>
        <w:spacing w:line="352" w:lineRule="auto" w:before="1"/>
        <w:ind w:left="160" w:right="175"/>
        <w:jc w:val="both"/>
        <w:rPr>
          <w:sz w:val="16"/>
        </w:rPr>
      </w:pPr>
      <w:r>
        <w:rPr/>
        <w:t>Pese al hecho de que el huésped tiene su propio sistema de defensa contra  los agentes microbiológicos, existen varios factores involucrados en el proceso de virulencia que pueden desencadenar un desequilibrio en la microflora. Debido a esto, se han desarrollado sustancias químicas que eliminen o reduzcan el nivel de estos microorganismos cariogénicos.</w:t>
      </w:r>
      <w:r>
        <w:rPr>
          <w:spacing w:val="-10"/>
        </w:rPr>
        <w:t> </w:t>
      </w:r>
      <w:r>
        <w:rPr>
          <w:position w:val="11"/>
          <w:sz w:val="16"/>
        </w:rPr>
        <w:t>18</w:t>
      </w:r>
    </w:p>
    <w:p>
      <w:pPr>
        <w:pStyle w:val="BodyText"/>
        <w:spacing w:before="5"/>
        <w:rPr>
          <w:sz w:val="32"/>
        </w:rPr>
      </w:pPr>
    </w:p>
    <w:p>
      <w:pPr>
        <w:pStyle w:val="BodyText"/>
        <w:spacing w:line="348" w:lineRule="auto"/>
        <w:ind w:left="160" w:right="174"/>
        <w:jc w:val="both"/>
      </w:pPr>
      <w:r>
        <w:rPr/>
        <w:t>La Clorhexidina ha sido considerada “el estándar de oro” en los últimos 30 años, </w:t>
      </w:r>
      <w:r>
        <w:rPr>
          <w:position w:val="11"/>
          <w:sz w:val="16"/>
        </w:rPr>
        <w:t>5, 46, 47, 51 </w:t>
      </w:r>
      <w:r>
        <w:rPr/>
        <w:t>es un agente relativamente efectivo contra </w:t>
      </w:r>
      <w:r>
        <w:rPr>
          <w:i/>
        </w:rPr>
        <w:t>S. mutans </w:t>
      </w:r>
      <w:r>
        <w:rPr/>
        <w:t>mientras que </w:t>
      </w:r>
      <w:r>
        <w:rPr>
          <w:i/>
        </w:rPr>
        <w:t>L. casei, </w:t>
      </w:r>
      <w:r>
        <w:rPr/>
        <w:t>el cual domina entre los lactobacilos de cavidad oral, es resistente a ella. </w:t>
      </w:r>
      <w:r>
        <w:rPr>
          <w:position w:val="11"/>
          <w:sz w:val="16"/>
        </w:rPr>
        <w:t>8 </w:t>
      </w:r>
      <w:r>
        <w:rPr/>
        <w:t>Sin embargo la preocupación principal sobre su uso sería, además de los efectos colaterales reportados, su periodo de substantividad, que se define como la capacidad intrínseca de ser retenida por las superficies orales, y liberada gradualmente en los fluidos orales durante muchas horas. </w:t>
      </w:r>
      <w:r>
        <w:rPr>
          <w:position w:val="11"/>
          <w:sz w:val="16"/>
        </w:rPr>
        <w:t>8, 55 </w:t>
      </w:r>
      <w:r>
        <w:rPr/>
        <w:t>Ya que al término de este período la cavidad dental queda desprotegida y expuesta al medio</w:t>
      </w:r>
      <w:r>
        <w:rPr>
          <w:spacing w:val="-15"/>
        </w:rPr>
        <w:t> </w:t>
      </w:r>
      <w:r>
        <w:rPr/>
        <w:t>bucal.</w:t>
      </w:r>
    </w:p>
    <w:p>
      <w:pPr>
        <w:pStyle w:val="BodyText"/>
      </w:pPr>
    </w:p>
    <w:p>
      <w:pPr>
        <w:pStyle w:val="BodyText"/>
        <w:spacing w:line="360" w:lineRule="auto" w:before="155"/>
        <w:ind w:left="160" w:right="185"/>
        <w:jc w:val="both"/>
      </w:pPr>
      <w:r>
        <w:rPr/>
        <w:t>Debido a la problemática anterior, es necesario reflexionar acerca de la pertinencia de contar con agentes antimicrobianos de amplio espectro para ambos   microorganismos,</w:t>
      </w:r>
    </w:p>
    <w:p>
      <w:pPr>
        <w:spacing w:after="0" w:line="360" w:lineRule="auto"/>
        <w:jc w:val="both"/>
        <w:sectPr>
          <w:pgSz w:w="12240" w:h="15840"/>
          <w:pgMar w:header="736" w:footer="1024" w:top="1180" w:bottom="1220" w:left="1280" w:right="1260"/>
        </w:sectPr>
      </w:pPr>
    </w:p>
    <w:p>
      <w:pPr>
        <w:pStyle w:val="BodyText"/>
        <w:spacing w:before="2"/>
        <w:rPr>
          <w:sz w:val="17"/>
        </w:rPr>
      </w:pPr>
    </w:p>
    <w:p>
      <w:pPr>
        <w:pStyle w:val="BodyText"/>
        <w:spacing w:line="362" w:lineRule="auto" w:before="69"/>
        <w:ind w:left="160" w:right="185"/>
        <w:jc w:val="both"/>
      </w:pPr>
      <w:r>
        <w:rPr/>
        <w:t>que posean un periodo de acción prolongado y que sean producidos bajo procedimientos cada vez más inocuos con el medio ambiente y la salud general.</w:t>
      </w:r>
    </w:p>
    <w:p>
      <w:pPr>
        <w:pStyle w:val="BodyText"/>
      </w:pPr>
    </w:p>
    <w:p>
      <w:pPr>
        <w:pStyle w:val="BodyText"/>
        <w:spacing w:line="360" w:lineRule="auto" w:before="139"/>
        <w:ind w:left="160" w:right="174"/>
        <w:jc w:val="both"/>
      </w:pPr>
      <w:r>
        <w:rPr/>
        <w:t>Actualmente, la ciencia química y el conocimiento cada vez más especializado de los materiales dentales, se han puesto al alcance de la odontología. Ahora existe la posibilidad de incorporar la nanotecnología como parte del tratamiento de rehabilitación dental mediante la agregación de nanopartículas de plata.</w:t>
      </w:r>
    </w:p>
    <w:p>
      <w:pPr>
        <w:pStyle w:val="BodyText"/>
      </w:pPr>
    </w:p>
    <w:p>
      <w:pPr>
        <w:pStyle w:val="BodyText"/>
        <w:spacing w:line="360" w:lineRule="auto" w:before="142"/>
        <w:ind w:left="160" w:right="175"/>
        <w:jc w:val="both"/>
      </w:pPr>
      <w:r>
        <w:rPr/>
        <w:t>La problemática cada vez más común en la rehabilitación bucal, la reincidencia de caries, podría llegar a evitarse o disminuir mediante el conocimiento del efecto que pueden tener las nanopartículas de plata sobre los dos principales  agentes cariogénicos y evaluar su comportamiento en los diferentes tejidos dentales.</w:t>
      </w:r>
    </w:p>
    <w:p>
      <w:pPr>
        <w:pStyle w:val="BodyText"/>
      </w:pPr>
    </w:p>
    <w:p>
      <w:pPr>
        <w:pStyle w:val="Heading2"/>
        <w:spacing w:before="142"/>
        <w:ind w:left="160"/>
        <w:jc w:val="both"/>
      </w:pPr>
      <w:r>
        <w:rPr/>
        <w:t>Pregunta:</w:t>
      </w:r>
    </w:p>
    <w:p>
      <w:pPr>
        <w:pStyle w:val="BodyText"/>
        <w:rPr>
          <w:b/>
        </w:rPr>
      </w:pPr>
    </w:p>
    <w:p>
      <w:pPr>
        <w:pStyle w:val="BodyText"/>
        <w:spacing w:before="9"/>
        <w:rPr>
          <w:b/>
          <w:sz w:val="23"/>
        </w:rPr>
      </w:pPr>
    </w:p>
    <w:p>
      <w:pPr>
        <w:spacing w:line="360" w:lineRule="auto" w:before="0"/>
        <w:ind w:left="160" w:right="175" w:firstLine="0"/>
        <w:jc w:val="both"/>
        <w:rPr>
          <w:sz w:val="24"/>
        </w:rPr>
      </w:pPr>
      <w:r>
        <w:rPr>
          <w:sz w:val="24"/>
        </w:rPr>
        <w:t>¿Cuál es el efecto antibacteriano de las nanopartículas de plata, </w:t>
      </w:r>
      <w:r>
        <w:rPr>
          <w:i/>
          <w:sz w:val="24"/>
        </w:rPr>
        <w:t>versus </w:t>
      </w:r>
      <w:r>
        <w:rPr>
          <w:sz w:val="24"/>
        </w:rPr>
        <w:t>Clorhexidina sobre </w:t>
      </w:r>
      <w:r>
        <w:rPr>
          <w:i/>
          <w:sz w:val="24"/>
        </w:rPr>
        <w:t>Streptococcus mutans </w:t>
      </w:r>
      <w:r>
        <w:rPr>
          <w:sz w:val="24"/>
        </w:rPr>
        <w:t>y </w:t>
      </w:r>
      <w:r>
        <w:rPr>
          <w:i/>
          <w:sz w:val="24"/>
        </w:rPr>
        <w:t>Lactobacillus casei</w:t>
      </w:r>
      <w:r>
        <w:rPr>
          <w:sz w:val="24"/>
        </w:rPr>
        <w:t>?</w:t>
      </w:r>
    </w:p>
    <w:p>
      <w:pPr>
        <w:spacing w:after="0" w:line="360" w:lineRule="auto"/>
        <w:jc w:val="both"/>
        <w:rPr>
          <w:sz w:val="24"/>
        </w:rPr>
        <w:sectPr>
          <w:pgSz w:w="12240" w:h="15840"/>
          <w:pgMar w:header="736" w:footer="1024" w:top="1180" w:bottom="1220" w:left="128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p>
      <w:pPr>
        <w:pStyle w:val="Heading1"/>
        <w:numPr>
          <w:ilvl w:val="0"/>
          <w:numId w:val="5"/>
        </w:numPr>
        <w:tabs>
          <w:tab w:pos="2314" w:val="left" w:leader="none"/>
        </w:tabs>
        <w:spacing w:line="918" w:lineRule="exact" w:before="0" w:after="0"/>
        <w:ind w:left="2313" w:right="0" w:hanging="720"/>
        <w:jc w:val="left"/>
      </w:pPr>
      <w:bookmarkStart w:name="_TOC_250008" w:id="8"/>
      <w:bookmarkEnd w:id="8"/>
      <w:r>
        <w:rPr/>
        <w:t>JUSTIFICACIÓN</w:t>
      </w:r>
    </w:p>
    <w:p>
      <w:pPr>
        <w:spacing w:after="0" w:line="918" w:lineRule="exact"/>
        <w:jc w:val="left"/>
        <w:sectPr>
          <w:pgSz w:w="12240" w:h="15840"/>
          <w:pgMar w:header="736" w:footer="1024" w:top="1180" w:bottom="1220" w:left="1280" w:right="1260"/>
        </w:sectPr>
      </w:pPr>
    </w:p>
    <w:p>
      <w:pPr>
        <w:pStyle w:val="BodyText"/>
        <w:spacing w:before="2"/>
        <w:rPr>
          <w:b/>
          <w:sz w:val="17"/>
        </w:rPr>
      </w:pPr>
    </w:p>
    <w:p>
      <w:pPr>
        <w:pStyle w:val="Heading2"/>
        <w:ind w:right="21"/>
        <w:jc w:val="center"/>
      </w:pPr>
      <w:r>
        <w:rPr/>
        <w:t>JUSTIFICACIÓN</w:t>
      </w:r>
    </w:p>
    <w:p>
      <w:pPr>
        <w:pStyle w:val="BodyText"/>
        <w:rPr>
          <w:b/>
        </w:rPr>
      </w:pPr>
    </w:p>
    <w:p>
      <w:pPr>
        <w:pStyle w:val="BodyText"/>
        <w:rPr>
          <w:b/>
        </w:rPr>
      </w:pPr>
    </w:p>
    <w:p>
      <w:pPr>
        <w:pStyle w:val="BodyText"/>
        <w:spacing w:line="360" w:lineRule="auto"/>
        <w:ind w:left="160" w:right="174"/>
        <w:jc w:val="both"/>
      </w:pPr>
      <w:r>
        <w:rPr/>
        <w:t>La realización del presente trabajo de investigación, surge de la necesidad de contar con un agente antiséptico que reúna las propiedades de la nanotecnología y el efecto antibacteriano de la plata para atacar a los dos principales agentes cariogénicos y que funcione como una barrera química que impida la reincidencia de caries.</w:t>
      </w:r>
    </w:p>
    <w:p>
      <w:pPr>
        <w:pStyle w:val="BodyText"/>
      </w:pPr>
    </w:p>
    <w:p>
      <w:pPr>
        <w:pStyle w:val="BodyText"/>
        <w:spacing w:line="360" w:lineRule="auto" w:before="142"/>
        <w:ind w:left="160" w:right="177"/>
        <w:jc w:val="both"/>
      </w:pPr>
      <w:r>
        <w:rPr/>
        <w:t>La Clorhexidina ha probado ser un agente antibacteriano eficaz, sin embargo presenta un periodo de substantividad limitado, siendo esta la razón principal por la que consideramos necesario el uso de sustancias con efecto antibacteriano prolongado y efectivo.</w:t>
      </w:r>
    </w:p>
    <w:p>
      <w:pPr>
        <w:pStyle w:val="BodyText"/>
      </w:pPr>
    </w:p>
    <w:p>
      <w:pPr>
        <w:pStyle w:val="BodyText"/>
        <w:spacing w:line="360" w:lineRule="auto" w:before="142"/>
        <w:ind w:left="160" w:right="174"/>
        <w:jc w:val="both"/>
      </w:pPr>
      <w:r>
        <w:rPr/>
        <w:t>Actualmente la nanotecnología permite incursionar a terrenos antes inconcebibles, se ha posicionado firmemente en el campo de la medicina y su uso en odontología podría ser clave para evitar y prevenir procesos infecciosos. La naturaleza ofrece a la ciencia la posibilidad de combinar estos materiales químicos con agentes bioreductores ciento por ciento naturales, por ello se considera pertinente evaluar el efecto antibacteriano de las nanopartículas de plata mediante la realización de estudios </w:t>
      </w:r>
      <w:r>
        <w:rPr>
          <w:i/>
        </w:rPr>
        <w:t>in vitro </w:t>
      </w:r>
      <w:r>
        <w:rPr/>
        <w:t>que nos  permitan encontrar resultados más favorables en la eliminación de agentes cariogénicos.</w:t>
      </w:r>
    </w:p>
    <w:p>
      <w:pPr>
        <w:pStyle w:val="BodyText"/>
      </w:pPr>
    </w:p>
    <w:p>
      <w:pPr>
        <w:pStyle w:val="BodyText"/>
        <w:spacing w:line="360" w:lineRule="auto" w:before="142"/>
        <w:ind w:left="160" w:right="173"/>
        <w:jc w:val="both"/>
      </w:pPr>
      <w:r>
        <w:rPr/>
        <w:t>Es necesario que el odontólogo esté informado acerca del éxito o fracaso que puede derivarse de la desinfección que proveen los materiales dentales tradicionalmente utilizados, así como de la propuesta del uso de una nueva tecnología nanométrica al servicio de la odontología, para lograr el beneficio propio y el de sus pacientes.</w:t>
      </w:r>
    </w:p>
    <w:p>
      <w:pPr>
        <w:spacing w:after="0" w:line="360" w:lineRule="auto"/>
        <w:jc w:val="both"/>
        <w:sectPr>
          <w:footerReference w:type="default" r:id="rId23"/>
          <w:pgSz w:w="12240" w:h="15840"/>
          <w:pgMar w:footer="1024" w:header="736" w:top="1180" w:bottom="1220" w:left="128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3"/>
        </w:rPr>
      </w:pPr>
    </w:p>
    <w:p>
      <w:pPr>
        <w:pStyle w:val="Heading1"/>
        <w:numPr>
          <w:ilvl w:val="0"/>
          <w:numId w:val="5"/>
        </w:numPr>
        <w:tabs>
          <w:tab w:pos="3785" w:val="left" w:leader="none"/>
        </w:tabs>
        <w:spacing w:line="922" w:lineRule="exact" w:before="0" w:after="0"/>
        <w:ind w:left="3785" w:right="0" w:hanging="720"/>
        <w:jc w:val="left"/>
        <w:rPr>
          <w:rFonts w:ascii="Times New Roman" w:hAnsi="Times New Roman"/>
        </w:rPr>
      </w:pPr>
      <w:bookmarkStart w:name="_TOC_250007" w:id="9"/>
      <w:bookmarkEnd w:id="9"/>
      <w:r>
        <w:rPr/>
        <w:t>HIPÓTESIS</w:t>
      </w:r>
    </w:p>
    <w:p>
      <w:pPr>
        <w:spacing w:after="0" w:line="922" w:lineRule="exact"/>
        <w:jc w:val="left"/>
        <w:rPr>
          <w:rFonts w:ascii="Times New Roman" w:hAnsi="Times New Roman"/>
        </w:rPr>
        <w:sectPr>
          <w:footerReference w:type="default" r:id="rId24"/>
          <w:pgSz w:w="12240" w:h="15840"/>
          <w:pgMar w:footer="1024" w:header="736" w:top="1180" w:bottom="1220" w:left="1280" w:right="1260"/>
          <w:pgNumType w:start="51"/>
        </w:sectPr>
      </w:pPr>
    </w:p>
    <w:p>
      <w:pPr>
        <w:pStyle w:val="BodyText"/>
        <w:spacing w:before="2"/>
        <w:rPr>
          <w:b/>
          <w:sz w:val="17"/>
        </w:rPr>
      </w:pPr>
    </w:p>
    <w:p>
      <w:pPr>
        <w:pStyle w:val="Heading2"/>
        <w:ind w:right="17"/>
        <w:jc w:val="center"/>
      </w:pPr>
      <w:r>
        <w:rPr/>
        <w:t>HIPÓTESIS</w:t>
      </w:r>
    </w:p>
    <w:p>
      <w:pPr>
        <w:pStyle w:val="BodyText"/>
        <w:rPr>
          <w:b/>
        </w:rPr>
      </w:pPr>
    </w:p>
    <w:p>
      <w:pPr>
        <w:pStyle w:val="BodyText"/>
        <w:rPr>
          <w:b/>
        </w:rPr>
      </w:pPr>
    </w:p>
    <w:p>
      <w:pPr>
        <w:pStyle w:val="BodyText"/>
        <w:rPr>
          <w:b/>
        </w:rPr>
      </w:pPr>
    </w:p>
    <w:p>
      <w:pPr>
        <w:spacing w:line="357" w:lineRule="auto" w:before="139"/>
        <w:ind w:left="160" w:right="270" w:firstLine="0"/>
        <w:jc w:val="left"/>
        <w:rPr>
          <w:i/>
          <w:sz w:val="24"/>
        </w:rPr>
      </w:pPr>
      <w:r>
        <w:rPr>
          <w:sz w:val="24"/>
        </w:rPr>
        <w:t>Ha: las nanopartículas de plata promueven una acción antibacteriana mayor que la Clorhexidina, sobre </w:t>
      </w:r>
      <w:r>
        <w:rPr>
          <w:i/>
          <w:sz w:val="24"/>
        </w:rPr>
        <w:t>Streptococcus mutans </w:t>
      </w:r>
      <w:r>
        <w:rPr>
          <w:sz w:val="24"/>
        </w:rPr>
        <w:t>y </w:t>
      </w:r>
      <w:r>
        <w:rPr>
          <w:i/>
          <w:sz w:val="24"/>
        </w:rPr>
        <w:t>Lactobacillus casei</w:t>
      </w:r>
    </w:p>
    <w:p>
      <w:pPr>
        <w:pStyle w:val="BodyText"/>
        <w:rPr>
          <w:i/>
        </w:rPr>
      </w:pPr>
    </w:p>
    <w:p>
      <w:pPr>
        <w:pStyle w:val="BodyText"/>
        <w:rPr>
          <w:i/>
        </w:rPr>
      </w:pPr>
    </w:p>
    <w:p>
      <w:pPr>
        <w:pStyle w:val="BodyText"/>
        <w:spacing w:before="7"/>
        <w:rPr>
          <w:i/>
        </w:rPr>
      </w:pPr>
    </w:p>
    <w:p>
      <w:pPr>
        <w:spacing w:line="360" w:lineRule="auto" w:before="1"/>
        <w:ind w:left="160" w:right="270" w:firstLine="0"/>
        <w:jc w:val="left"/>
        <w:rPr>
          <w:i/>
          <w:sz w:val="24"/>
        </w:rPr>
      </w:pPr>
      <w:r>
        <w:rPr>
          <w:sz w:val="24"/>
        </w:rPr>
        <w:t>Ho: las nanopartículas de plata no promueven una acción antibacteriana mayor que la Clorhexidina, sobre </w:t>
      </w:r>
      <w:r>
        <w:rPr>
          <w:i/>
          <w:sz w:val="24"/>
        </w:rPr>
        <w:t>Streptococcus mutans </w:t>
      </w:r>
      <w:r>
        <w:rPr>
          <w:sz w:val="24"/>
        </w:rPr>
        <w:t>y </w:t>
      </w:r>
      <w:r>
        <w:rPr>
          <w:i/>
          <w:sz w:val="24"/>
        </w:rPr>
        <w:t>Lactobacillus casei</w:t>
      </w:r>
    </w:p>
    <w:p>
      <w:pPr>
        <w:spacing w:after="0" w:line="360" w:lineRule="auto"/>
        <w:jc w:val="left"/>
        <w:rPr>
          <w:sz w:val="24"/>
        </w:rPr>
        <w:sectPr>
          <w:pgSz w:w="12240" w:h="15840"/>
          <w:pgMar w:header="736" w:footer="1024" w:top="1180" w:bottom="1220" w:left="1280" w:right="126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Heading1"/>
        <w:numPr>
          <w:ilvl w:val="0"/>
          <w:numId w:val="5"/>
        </w:numPr>
        <w:tabs>
          <w:tab w:pos="3632" w:val="left" w:leader="none"/>
        </w:tabs>
        <w:spacing w:line="240" w:lineRule="auto" w:before="132" w:after="0"/>
        <w:ind w:left="3631" w:right="0" w:hanging="720"/>
        <w:jc w:val="left"/>
        <w:rPr>
          <w:rFonts w:ascii="Times New Roman"/>
        </w:rPr>
      </w:pPr>
      <w:bookmarkStart w:name="_TOC_250006" w:id="10"/>
      <w:bookmarkEnd w:id="10"/>
      <w:r>
        <w:rPr/>
        <w:t>OBJETIVOS</w:t>
      </w:r>
    </w:p>
    <w:p>
      <w:pPr>
        <w:spacing w:after="0" w:line="240" w:lineRule="auto"/>
        <w:jc w:val="left"/>
        <w:rPr>
          <w:rFonts w:ascii="Times New Roman"/>
        </w:rPr>
        <w:sectPr>
          <w:pgSz w:w="12240" w:h="15840"/>
          <w:pgMar w:header="736" w:footer="1024" w:top="1180" w:bottom="1220" w:left="1280" w:right="1260"/>
        </w:sectPr>
      </w:pPr>
    </w:p>
    <w:p>
      <w:pPr>
        <w:pStyle w:val="BodyText"/>
        <w:spacing w:before="2"/>
        <w:rPr>
          <w:b/>
          <w:sz w:val="17"/>
        </w:rPr>
      </w:pPr>
    </w:p>
    <w:p>
      <w:pPr>
        <w:pStyle w:val="Heading2"/>
        <w:ind w:right="15"/>
        <w:jc w:val="center"/>
      </w:pPr>
      <w:r>
        <w:rPr/>
        <w:t>OBJETIVOS</w:t>
      </w:r>
    </w:p>
    <w:p>
      <w:pPr>
        <w:pStyle w:val="BodyText"/>
        <w:rPr>
          <w:b/>
        </w:rPr>
      </w:pPr>
    </w:p>
    <w:p>
      <w:pPr>
        <w:pStyle w:val="BodyText"/>
        <w:spacing w:before="9"/>
        <w:rPr>
          <w:b/>
          <w:sz w:val="32"/>
        </w:rPr>
      </w:pPr>
    </w:p>
    <w:p>
      <w:pPr>
        <w:pStyle w:val="BodyText"/>
        <w:ind w:left="160"/>
        <w:jc w:val="both"/>
        <w:rPr>
          <w:i/>
        </w:rPr>
      </w:pPr>
      <w:r>
        <w:rPr/>
        <w:t>General:  Comparar  el  efecto  antibacteriano  de  las  nanopartículas  de  plata  </w:t>
      </w:r>
      <w:r>
        <w:rPr>
          <w:i/>
        </w:rPr>
        <w:t>versus</w:t>
      </w:r>
    </w:p>
    <w:p>
      <w:pPr>
        <w:spacing w:before="139"/>
        <w:ind w:left="160" w:right="0" w:firstLine="0"/>
        <w:jc w:val="both"/>
        <w:rPr>
          <w:i/>
          <w:sz w:val="24"/>
        </w:rPr>
      </w:pPr>
      <w:r>
        <w:rPr>
          <w:sz w:val="24"/>
        </w:rPr>
        <w:t>Clorhexidina sobre </w:t>
      </w:r>
      <w:r>
        <w:rPr>
          <w:i/>
          <w:sz w:val="24"/>
        </w:rPr>
        <w:t>Streptococcus mutans </w:t>
      </w:r>
      <w:r>
        <w:rPr>
          <w:sz w:val="24"/>
        </w:rPr>
        <w:t>y sobre </w:t>
      </w:r>
      <w:r>
        <w:rPr>
          <w:i/>
          <w:sz w:val="24"/>
        </w:rPr>
        <w:t>Lactobacillus casei</w:t>
      </w:r>
    </w:p>
    <w:p>
      <w:pPr>
        <w:pStyle w:val="BodyText"/>
        <w:rPr>
          <w:i/>
        </w:rPr>
      </w:pPr>
    </w:p>
    <w:p>
      <w:pPr>
        <w:pStyle w:val="BodyText"/>
        <w:spacing w:before="2"/>
        <w:rPr>
          <w:i/>
        </w:rPr>
      </w:pPr>
    </w:p>
    <w:p>
      <w:pPr>
        <w:pStyle w:val="Heading2"/>
        <w:spacing w:before="0"/>
        <w:ind w:left="160"/>
        <w:jc w:val="both"/>
      </w:pPr>
      <w:r>
        <w:rPr/>
        <w:t>Específicos:</w:t>
      </w:r>
    </w:p>
    <w:p>
      <w:pPr>
        <w:pStyle w:val="BodyText"/>
        <w:rPr>
          <w:b/>
        </w:rPr>
      </w:pPr>
    </w:p>
    <w:p>
      <w:pPr>
        <w:pStyle w:val="BodyText"/>
        <w:rPr>
          <w:b/>
        </w:rPr>
      </w:pPr>
    </w:p>
    <w:p>
      <w:pPr>
        <w:pStyle w:val="BodyText"/>
        <w:spacing w:line="360" w:lineRule="auto"/>
        <w:ind w:left="160" w:right="176"/>
        <w:jc w:val="both"/>
        <w:rPr>
          <w:i/>
        </w:rPr>
      </w:pPr>
      <w:r>
        <w:rPr/>
        <w:t>Sintetizar y caracterizar nanopartículas de plata (Np-Ag) con tres diferentes agentes reductores (un método químico y dos métodos verdes): Borohidruro de sodio, </w:t>
      </w:r>
      <w:r>
        <w:rPr>
          <w:i/>
        </w:rPr>
        <w:t>Camellia </w:t>
      </w:r>
      <w:r>
        <w:rPr>
          <w:i/>
        </w:rPr>
        <w:t>sinensis </w:t>
      </w:r>
      <w:r>
        <w:rPr/>
        <w:t>y  </w:t>
      </w:r>
      <w:r>
        <w:rPr>
          <w:i/>
        </w:rPr>
        <w:t>Heterotheca inuloides, </w:t>
      </w:r>
      <w:r>
        <w:rPr/>
        <w:t>respectivamente</w:t>
      </w:r>
      <w:r>
        <w:rPr>
          <w:i/>
        </w:rPr>
        <w:t>.</w:t>
      </w:r>
    </w:p>
    <w:p>
      <w:pPr>
        <w:pStyle w:val="BodyText"/>
        <w:rPr>
          <w:i/>
        </w:rPr>
      </w:pPr>
    </w:p>
    <w:p>
      <w:pPr>
        <w:pStyle w:val="BodyText"/>
        <w:spacing w:line="360" w:lineRule="auto" w:before="142"/>
        <w:ind w:left="160" w:right="174"/>
        <w:jc w:val="both"/>
      </w:pPr>
      <w:r>
        <w:rPr/>
        <w:t>Realizar técnicas de caracterización, como el análisis de espectrofotometría de luz ultravioleta (Uv-Vis) y microscopía electrónica de transmisión (MET) para determinar la formación de Np-Ag, su estabilización, forma y tamaño, así como la polidispersión obtenida con los tres diferentes reductores</w:t>
      </w:r>
    </w:p>
    <w:p>
      <w:pPr>
        <w:pStyle w:val="BodyText"/>
      </w:pPr>
    </w:p>
    <w:p>
      <w:pPr>
        <w:pStyle w:val="BodyText"/>
        <w:spacing w:line="360" w:lineRule="auto" w:before="142"/>
        <w:ind w:left="160" w:right="177"/>
        <w:jc w:val="both"/>
      </w:pPr>
      <w:r>
        <w:rPr/>
        <w:t>Evaluar el comportamiento de las Np-Ag en los dientes temporales mediante un  análisis elemental y con la ayuda del microscopio electrónico de barrido (MEB) determinar su grado de impregnación en los diferentes tejidos</w:t>
      </w:r>
      <w:r>
        <w:rPr>
          <w:spacing w:val="-35"/>
        </w:rPr>
        <w:t> </w:t>
      </w:r>
      <w:r>
        <w:rPr/>
        <w:t>dentarios</w:t>
      </w:r>
    </w:p>
    <w:p>
      <w:pPr>
        <w:pStyle w:val="BodyText"/>
      </w:pPr>
    </w:p>
    <w:p>
      <w:pPr>
        <w:spacing w:line="360" w:lineRule="auto" w:before="139"/>
        <w:ind w:left="160" w:right="171" w:firstLine="0"/>
        <w:jc w:val="both"/>
        <w:rPr>
          <w:i/>
          <w:sz w:val="24"/>
        </w:rPr>
      </w:pPr>
      <w:r>
        <w:rPr>
          <w:sz w:val="24"/>
        </w:rPr>
        <w:t>Analizar el efecto antibacteriano de la Clorhexidina sobre </w:t>
      </w:r>
      <w:r>
        <w:rPr>
          <w:i/>
          <w:sz w:val="24"/>
        </w:rPr>
        <w:t>Streptococcus mutans </w:t>
      </w:r>
      <w:r>
        <w:rPr>
          <w:sz w:val="24"/>
        </w:rPr>
        <w:t>y </w:t>
      </w:r>
      <w:r>
        <w:rPr>
          <w:i/>
          <w:sz w:val="24"/>
        </w:rPr>
        <w:t>Lactobacillus casei, </w:t>
      </w:r>
      <w:r>
        <w:rPr>
          <w:sz w:val="24"/>
        </w:rPr>
        <w:t>así como de las Np-Ag reducidas por </w:t>
      </w:r>
      <w:r>
        <w:rPr>
          <w:i/>
          <w:sz w:val="24"/>
        </w:rPr>
        <w:t>Camellia sinensis </w:t>
      </w:r>
      <w:r>
        <w:rPr>
          <w:sz w:val="24"/>
        </w:rPr>
        <w:t>y </w:t>
      </w:r>
      <w:r>
        <w:rPr>
          <w:i/>
          <w:sz w:val="24"/>
        </w:rPr>
        <w:t>Heterotheca inuloides</w:t>
      </w:r>
    </w:p>
    <w:p>
      <w:pPr>
        <w:pStyle w:val="BodyText"/>
        <w:rPr>
          <w:i/>
        </w:rPr>
      </w:pPr>
    </w:p>
    <w:p>
      <w:pPr>
        <w:pStyle w:val="BodyText"/>
        <w:spacing w:line="360" w:lineRule="auto" w:before="144"/>
        <w:ind w:left="160" w:right="183"/>
        <w:jc w:val="both"/>
      </w:pPr>
      <w:r>
        <w:rPr/>
        <w:t>Concluir si las nanopartículas de plata promueven un efecto antibacterial mayor que la Clorhexidina sobre los dos principales agentes cariogénicos y poder recomendar su  uso en el área</w:t>
      </w:r>
      <w:r>
        <w:rPr>
          <w:spacing w:val="-11"/>
        </w:rPr>
        <w:t> </w:t>
      </w:r>
      <w:r>
        <w:rPr/>
        <w:t>odontológica</w:t>
      </w:r>
    </w:p>
    <w:p>
      <w:pPr>
        <w:spacing w:after="0" w:line="360" w:lineRule="auto"/>
        <w:jc w:val="both"/>
        <w:sectPr>
          <w:pgSz w:w="12240" w:h="15840"/>
          <w:pgMar w:header="736" w:footer="1024" w:top="1180" w:bottom="1220" w:left="128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5"/>
        </w:numPr>
        <w:tabs>
          <w:tab w:pos="4484" w:val="left" w:leader="none"/>
        </w:tabs>
        <w:spacing w:line="276" w:lineRule="auto" w:before="147" w:after="0"/>
        <w:ind w:left="2753" w:right="607" w:firstLine="1010"/>
        <w:jc w:val="left"/>
        <w:rPr>
          <w:rFonts w:ascii="Times New Roman" w:hAnsi="Times New Roman"/>
          <w:b/>
          <w:sz w:val="76"/>
        </w:rPr>
      </w:pPr>
      <w:bookmarkStart w:name="_TOC_250005" w:id="11"/>
      <w:r>
        <w:rPr>
          <w:b/>
          <w:sz w:val="76"/>
        </w:rPr>
        <w:t>MARCO </w:t>
      </w:r>
      <w:bookmarkEnd w:id="11"/>
      <w:r>
        <w:rPr>
          <w:b/>
          <w:spacing w:val="-1"/>
          <w:sz w:val="76"/>
        </w:rPr>
        <w:t>METODOLÓGICO</w:t>
      </w:r>
    </w:p>
    <w:p>
      <w:pPr>
        <w:spacing w:after="0" w:line="276" w:lineRule="auto"/>
        <w:jc w:val="left"/>
        <w:rPr>
          <w:rFonts w:ascii="Times New Roman" w:hAnsi="Times New Roman"/>
          <w:sz w:val="76"/>
        </w:rPr>
        <w:sectPr>
          <w:pgSz w:w="12240" w:h="15840"/>
          <w:pgMar w:header="736" w:footer="1024" w:top="1180" w:bottom="1220" w:left="1280" w:right="1260"/>
        </w:sectPr>
      </w:pPr>
    </w:p>
    <w:p>
      <w:pPr>
        <w:pStyle w:val="BodyText"/>
        <w:rPr>
          <w:b/>
          <w:sz w:val="20"/>
        </w:rPr>
      </w:pPr>
    </w:p>
    <w:p>
      <w:pPr>
        <w:pStyle w:val="Heading2"/>
        <w:numPr>
          <w:ilvl w:val="1"/>
          <w:numId w:val="11"/>
        </w:numPr>
        <w:tabs>
          <w:tab w:pos="1643" w:val="left" w:leader="none"/>
        </w:tabs>
        <w:spacing w:line="240" w:lineRule="auto" w:before="195" w:after="0"/>
        <w:ind w:left="1642" w:right="0" w:hanging="402"/>
        <w:jc w:val="left"/>
      </w:pPr>
      <w:r>
        <w:rPr/>
        <w:t>MARCO</w:t>
      </w:r>
      <w:r>
        <w:rPr>
          <w:spacing w:val="-7"/>
        </w:rPr>
        <w:t> </w:t>
      </w:r>
      <w:r>
        <w:rPr/>
        <w:t>METODOLÓGICO</w:t>
      </w:r>
    </w:p>
    <w:p>
      <w:pPr>
        <w:pStyle w:val="BodyText"/>
        <w:rPr>
          <w:b/>
        </w:rPr>
      </w:pPr>
    </w:p>
    <w:p>
      <w:pPr>
        <w:pStyle w:val="ListParagraph"/>
        <w:numPr>
          <w:ilvl w:val="1"/>
          <w:numId w:val="11"/>
        </w:numPr>
        <w:tabs>
          <w:tab w:pos="1646" w:val="left" w:leader="none"/>
        </w:tabs>
        <w:spacing w:line="240" w:lineRule="auto" w:before="197" w:after="0"/>
        <w:ind w:left="1646" w:right="0" w:hanging="406"/>
        <w:jc w:val="left"/>
        <w:rPr>
          <w:b/>
          <w:sz w:val="24"/>
        </w:rPr>
      </w:pPr>
      <w:r>
        <w:rPr>
          <w:b/>
          <w:sz w:val="24"/>
        </w:rPr>
        <w:t>DISEÑO DE LA</w:t>
      </w:r>
      <w:r>
        <w:rPr>
          <w:b/>
          <w:spacing w:val="-10"/>
          <w:sz w:val="24"/>
        </w:rPr>
        <w:t> </w:t>
      </w:r>
      <w:r>
        <w:rPr>
          <w:b/>
          <w:sz w:val="24"/>
        </w:rPr>
        <w:t>INVESTIGACIÓN</w:t>
      </w:r>
    </w:p>
    <w:p>
      <w:pPr>
        <w:pStyle w:val="BodyText"/>
        <w:rPr>
          <w:b/>
        </w:rPr>
      </w:pPr>
    </w:p>
    <w:p>
      <w:pPr>
        <w:pStyle w:val="BodyText"/>
        <w:ind w:left="160"/>
      </w:pPr>
      <w:r>
        <w:rPr/>
        <w:t>Se trata de una investigación: experimental, observacional y longitudinal</w:t>
      </w:r>
    </w:p>
    <w:p>
      <w:pPr>
        <w:pStyle w:val="BodyText"/>
        <w:spacing w:before="2"/>
      </w:pPr>
    </w:p>
    <w:p>
      <w:pPr>
        <w:pStyle w:val="Heading2"/>
        <w:spacing w:before="0"/>
        <w:ind w:left="160"/>
      </w:pPr>
      <w:r>
        <w:rPr/>
        <w:t>ANÁLISIS DE LAS VARIABLES</w:t>
      </w:r>
    </w:p>
    <w:p>
      <w:pPr>
        <w:pStyle w:val="BodyText"/>
        <w:spacing w:before="2" w:after="1"/>
        <w:rPr>
          <w:b/>
          <w:sz w:val="2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9"/>
        <w:gridCol w:w="2996"/>
        <w:gridCol w:w="3060"/>
        <w:gridCol w:w="1529"/>
        <w:gridCol w:w="1222"/>
        <w:gridCol w:w="1531"/>
      </w:tblGrid>
      <w:tr>
        <w:trPr>
          <w:trHeight w:val="699" w:hRule="exact"/>
        </w:trPr>
        <w:tc>
          <w:tcPr>
            <w:tcW w:w="2729" w:type="dxa"/>
          </w:tcPr>
          <w:p>
            <w:pPr>
              <w:pStyle w:val="TableParagraph"/>
              <w:spacing w:line="225" w:lineRule="exact"/>
              <w:ind w:left="103" w:right="103"/>
              <w:rPr>
                <w:b/>
                <w:sz w:val="20"/>
              </w:rPr>
            </w:pPr>
            <w:r>
              <w:rPr>
                <w:b/>
                <w:sz w:val="20"/>
              </w:rPr>
              <w:t>Variable</w:t>
            </w:r>
          </w:p>
        </w:tc>
        <w:tc>
          <w:tcPr>
            <w:tcW w:w="2996" w:type="dxa"/>
          </w:tcPr>
          <w:p>
            <w:pPr>
              <w:pStyle w:val="TableParagraph"/>
              <w:spacing w:line="225" w:lineRule="exact"/>
              <w:ind w:left="103"/>
              <w:rPr>
                <w:b/>
                <w:sz w:val="20"/>
              </w:rPr>
            </w:pPr>
            <w:r>
              <w:rPr>
                <w:b/>
                <w:sz w:val="20"/>
              </w:rPr>
              <w:t>Definición Conceptual</w:t>
            </w:r>
          </w:p>
        </w:tc>
        <w:tc>
          <w:tcPr>
            <w:tcW w:w="3060" w:type="dxa"/>
          </w:tcPr>
          <w:p>
            <w:pPr>
              <w:pStyle w:val="TableParagraph"/>
              <w:spacing w:line="225" w:lineRule="exact"/>
              <w:ind w:left="100"/>
              <w:rPr>
                <w:b/>
                <w:sz w:val="20"/>
              </w:rPr>
            </w:pPr>
            <w:r>
              <w:rPr>
                <w:b/>
                <w:sz w:val="20"/>
              </w:rPr>
              <w:t>Definición Operacional</w:t>
            </w:r>
          </w:p>
        </w:tc>
        <w:tc>
          <w:tcPr>
            <w:tcW w:w="1529" w:type="dxa"/>
          </w:tcPr>
          <w:p>
            <w:pPr>
              <w:pStyle w:val="TableParagraph"/>
              <w:tabs>
                <w:tab w:pos="1182" w:val="left" w:leader="none"/>
              </w:tabs>
              <w:spacing w:line="225" w:lineRule="exact"/>
              <w:ind w:left="100"/>
              <w:rPr>
                <w:b/>
                <w:sz w:val="20"/>
              </w:rPr>
            </w:pPr>
            <w:r>
              <w:rPr>
                <w:b/>
                <w:sz w:val="20"/>
              </w:rPr>
              <w:t>Tipo</w:t>
              <w:tab/>
              <w:t>de</w:t>
            </w:r>
          </w:p>
          <w:p>
            <w:pPr>
              <w:pStyle w:val="TableParagraph"/>
              <w:spacing w:before="115"/>
              <w:ind w:left="100"/>
              <w:rPr>
                <w:b/>
                <w:sz w:val="20"/>
              </w:rPr>
            </w:pPr>
            <w:r>
              <w:rPr>
                <w:b/>
                <w:sz w:val="20"/>
              </w:rPr>
              <w:t>variable</w:t>
            </w:r>
          </w:p>
        </w:tc>
        <w:tc>
          <w:tcPr>
            <w:tcW w:w="1222" w:type="dxa"/>
          </w:tcPr>
          <w:p>
            <w:pPr>
              <w:pStyle w:val="TableParagraph"/>
              <w:spacing w:line="360" w:lineRule="auto"/>
              <w:ind w:left="103"/>
              <w:rPr>
                <w:b/>
                <w:sz w:val="20"/>
              </w:rPr>
            </w:pPr>
            <w:r>
              <w:rPr>
                <w:b/>
                <w:sz w:val="20"/>
              </w:rPr>
              <w:t>Escala de medición</w:t>
            </w:r>
          </w:p>
        </w:tc>
        <w:tc>
          <w:tcPr>
            <w:tcW w:w="1531" w:type="dxa"/>
          </w:tcPr>
          <w:p>
            <w:pPr>
              <w:pStyle w:val="TableParagraph"/>
              <w:tabs>
                <w:tab w:pos="1021" w:val="left" w:leader="none"/>
              </w:tabs>
              <w:spacing w:line="360" w:lineRule="auto"/>
              <w:ind w:left="86" w:right="265"/>
              <w:rPr>
                <w:b/>
                <w:sz w:val="20"/>
              </w:rPr>
            </w:pPr>
            <w:r>
              <w:rPr>
                <w:b/>
                <w:sz w:val="20"/>
              </w:rPr>
              <w:t>Unidad</w:t>
              <w:tab/>
              <w:t>de medición</w:t>
            </w:r>
          </w:p>
        </w:tc>
      </w:tr>
      <w:tr>
        <w:trPr>
          <w:trHeight w:val="355" w:hRule="exact"/>
        </w:trPr>
        <w:tc>
          <w:tcPr>
            <w:tcW w:w="2729" w:type="dxa"/>
          </w:tcPr>
          <w:p>
            <w:pPr>
              <w:pStyle w:val="TableParagraph"/>
              <w:spacing w:line="227" w:lineRule="exact"/>
              <w:ind w:left="103" w:right="103"/>
              <w:rPr>
                <w:b/>
                <w:sz w:val="20"/>
              </w:rPr>
            </w:pPr>
            <w:r>
              <w:rPr>
                <w:b/>
                <w:sz w:val="20"/>
              </w:rPr>
              <w:t>INDEPENDIENTES</w:t>
            </w:r>
          </w:p>
        </w:tc>
        <w:tc>
          <w:tcPr>
            <w:tcW w:w="2996" w:type="dxa"/>
          </w:tcPr>
          <w:p>
            <w:pPr/>
          </w:p>
        </w:tc>
        <w:tc>
          <w:tcPr>
            <w:tcW w:w="3060" w:type="dxa"/>
          </w:tcPr>
          <w:p>
            <w:pPr/>
          </w:p>
        </w:tc>
        <w:tc>
          <w:tcPr>
            <w:tcW w:w="1529" w:type="dxa"/>
          </w:tcPr>
          <w:p>
            <w:pPr/>
          </w:p>
        </w:tc>
        <w:tc>
          <w:tcPr>
            <w:tcW w:w="1222" w:type="dxa"/>
          </w:tcPr>
          <w:p>
            <w:pPr/>
          </w:p>
        </w:tc>
        <w:tc>
          <w:tcPr>
            <w:tcW w:w="1531" w:type="dxa"/>
          </w:tcPr>
          <w:p>
            <w:pPr/>
          </w:p>
        </w:tc>
      </w:tr>
      <w:tr>
        <w:trPr>
          <w:trHeight w:val="2081" w:hRule="exact"/>
        </w:trPr>
        <w:tc>
          <w:tcPr>
            <w:tcW w:w="2729" w:type="dxa"/>
          </w:tcPr>
          <w:p>
            <w:pPr>
              <w:pStyle w:val="TableParagraph"/>
              <w:tabs>
                <w:tab w:pos="1524" w:val="left" w:leader="none"/>
              </w:tabs>
              <w:spacing w:line="360" w:lineRule="auto"/>
              <w:ind w:left="823" w:right="103" w:hanging="360"/>
              <w:rPr>
                <w:i/>
                <w:sz w:val="20"/>
              </w:rPr>
            </w:pPr>
            <w:r>
              <w:rPr>
                <w:sz w:val="20"/>
              </w:rPr>
              <w:t>1. Espectrofotometría de luz ultravioleta visible (Uv-Vis) de Np-Ag sintetizadas por</w:t>
              <w:tab/>
            </w:r>
            <w:r>
              <w:rPr>
                <w:i/>
                <w:sz w:val="20"/>
              </w:rPr>
              <w:t>Heterotheca </w:t>
            </w:r>
            <w:r>
              <w:rPr>
                <w:i/>
                <w:sz w:val="20"/>
              </w:rPr>
              <w:t>inuloides</w:t>
            </w:r>
          </w:p>
        </w:tc>
        <w:tc>
          <w:tcPr>
            <w:tcW w:w="2996" w:type="dxa"/>
          </w:tcPr>
          <w:p>
            <w:pPr>
              <w:pStyle w:val="TableParagraph"/>
              <w:spacing w:line="360" w:lineRule="auto"/>
              <w:ind w:left="103" w:right="103"/>
              <w:jc w:val="both"/>
              <w:rPr>
                <w:sz w:val="20"/>
              </w:rPr>
            </w:pPr>
            <w:r>
              <w:rPr>
                <w:sz w:val="20"/>
              </w:rPr>
              <w:t>Intervalo de energía (frecuencia) y por tanto, de longitud de onda. Región que abarca  el  espectro ultravioleta</w:t>
            </w:r>
          </w:p>
          <w:p>
            <w:pPr>
              <w:pStyle w:val="TableParagraph"/>
              <w:spacing w:line="234" w:lineRule="exact"/>
              <w:ind w:left="103"/>
              <w:jc w:val="both"/>
              <w:rPr>
                <w:sz w:val="13"/>
              </w:rPr>
            </w:pPr>
            <w:r>
              <w:rPr>
                <w:sz w:val="20"/>
              </w:rPr>
              <w:t>entre 180nm y 380nm </w:t>
            </w:r>
            <w:r>
              <w:rPr>
                <w:position w:val="10"/>
                <w:sz w:val="13"/>
              </w:rPr>
              <w:t>96</w:t>
            </w:r>
          </w:p>
        </w:tc>
        <w:tc>
          <w:tcPr>
            <w:tcW w:w="3060" w:type="dxa"/>
          </w:tcPr>
          <w:p>
            <w:pPr>
              <w:pStyle w:val="TableParagraph"/>
              <w:spacing w:line="360" w:lineRule="auto"/>
              <w:ind w:left="100" w:right="103"/>
              <w:jc w:val="both"/>
              <w:rPr>
                <w:i/>
                <w:sz w:val="20"/>
              </w:rPr>
            </w:pPr>
            <w:r>
              <w:rPr>
                <w:sz w:val="20"/>
              </w:rPr>
              <w:t>Observación del plasmón (punto más alto de la curva) y determinación de la formación de Np-Ag mediante la  reducción con </w:t>
            </w:r>
            <w:r>
              <w:rPr>
                <w:i/>
                <w:sz w:val="20"/>
              </w:rPr>
              <w:t>Heterotheca </w:t>
            </w:r>
            <w:r>
              <w:rPr>
                <w:i/>
                <w:sz w:val="20"/>
              </w:rPr>
              <w:t>inuloides</w:t>
            </w:r>
          </w:p>
        </w:tc>
        <w:tc>
          <w:tcPr>
            <w:tcW w:w="1529" w:type="dxa"/>
          </w:tcPr>
          <w:p>
            <w:pPr>
              <w:pStyle w:val="TableParagraph"/>
              <w:spacing w:line="357" w:lineRule="auto"/>
              <w:ind w:left="100"/>
              <w:rPr>
                <w:sz w:val="20"/>
              </w:rPr>
            </w:pPr>
            <w:r>
              <w:rPr>
                <w:w w:val="95"/>
                <w:sz w:val="20"/>
              </w:rPr>
              <w:t>Independiente </w:t>
            </w:r>
            <w:r>
              <w:rPr>
                <w:sz w:val="20"/>
              </w:rPr>
              <w:t>cuantitativa</w:t>
            </w:r>
          </w:p>
        </w:tc>
        <w:tc>
          <w:tcPr>
            <w:tcW w:w="1222" w:type="dxa"/>
          </w:tcPr>
          <w:p>
            <w:pPr>
              <w:pStyle w:val="TableParagraph"/>
              <w:spacing w:line="230" w:lineRule="exact"/>
              <w:ind w:left="103"/>
              <w:rPr>
                <w:sz w:val="20"/>
              </w:rPr>
            </w:pPr>
            <w:r>
              <w:rPr>
                <w:sz w:val="20"/>
              </w:rPr>
              <w:t>Discreta</w:t>
            </w:r>
          </w:p>
        </w:tc>
        <w:tc>
          <w:tcPr>
            <w:tcW w:w="1531" w:type="dxa"/>
          </w:tcPr>
          <w:p>
            <w:pPr>
              <w:pStyle w:val="TableParagraph"/>
              <w:spacing w:line="230" w:lineRule="exact"/>
              <w:ind w:left="103" w:right="265"/>
              <w:rPr>
                <w:sz w:val="20"/>
              </w:rPr>
            </w:pPr>
            <w:r>
              <w:rPr>
                <w:sz w:val="20"/>
              </w:rPr>
              <w:t>Nanómetros</w:t>
            </w:r>
          </w:p>
        </w:tc>
      </w:tr>
      <w:tr>
        <w:trPr>
          <w:trHeight w:val="2081" w:hRule="exact"/>
        </w:trPr>
        <w:tc>
          <w:tcPr>
            <w:tcW w:w="2729" w:type="dxa"/>
          </w:tcPr>
          <w:p>
            <w:pPr>
              <w:pStyle w:val="TableParagraph"/>
              <w:tabs>
                <w:tab w:pos="1836" w:val="left" w:leader="none"/>
              </w:tabs>
              <w:spacing w:line="360" w:lineRule="auto"/>
              <w:ind w:left="823" w:right="103" w:hanging="360"/>
              <w:rPr>
                <w:i/>
                <w:sz w:val="20"/>
              </w:rPr>
            </w:pPr>
            <w:r>
              <w:rPr>
                <w:sz w:val="20"/>
              </w:rPr>
              <w:t>2. Espectrofotometría de luz ultravioleta visible (Uv-Vis) de Np-Ag sintetizadas por</w:t>
              <w:tab/>
            </w:r>
            <w:r>
              <w:rPr>
                <w:i/>
                <w:sz w:val="20"/>
              </w:rPr>
              <w:t>Camellia </w:t>
            </w:r>
            <w:r>
              <w:rPr>
                <w:i/>
                <w:sz w:val="20"/>
              </w:rPr>
              <w:t>sinensis</w:t>
            </w:r>
          </w:p>
        </w:tc>
        <w:tc>
          <w:tcPr>
            <w:tcW w:w="2996" w:type="dxa"/>
          </w:tcPr>
          <w:p>
            <w:pPr>
              <w:pStyle w:val="TableParagraph"/>
              <w:spacing w:line="360" w:lineRule="auto"/>
              <w:ind w:left="103" w:right="103"/>
              <w:jc w:val="both"/>
              <w:rPr>
                <w:sz w:val="20"/>
              </w:rPr>
            </w:pPr>
            <w:r>
              <w:rPr>
                <w:sz w:val="20"/>
              </w:rPr>
              <w:t>Intervalo de energía (frecuencia) y por tanto, de longitud de onda. Región que abarca  el  espectro ultravioleta</w:t>
            </w:r>
          </w:p>
          <w:p>
            <w:pPr>
              <w:pStyle w:val="TableParagraph"/>
              <w:spacing w:line="234" w:lineRule="exact"/>
              <w:ind w:left="103"/>
              <w:jc w:val="both"/>
              <w:rPr>
                <w:sz w:val="13"/>
              </w:rPr>
            </w:pPr>
            <w:r>
              <w:rPr>
                <w:sz w:val="20"/>
              </w:rPr>
              <w:t>entre 180nm y 380nm </w:t>
            </w:r>
            <w:r>
              <w:rPr>
                <w:position w:val="10"/>
                <w:sz w:val="13"/>
              </w:rPr>
              <w:t>96</w:t>
            </w:r>
          </w:p>
        </w:tc>
        <w:tc>
          <w:tcPr>
            <w:tcW w:w="3060" w:type="dxa"/>
          </w:tcPr>
          <w:p>
            <w:pPr>
              <w:pStyle w:val="TableParagraph"/>
              <w:spacing w:line="360" w:lineRule="auto"/>
              <w:ind w:left="100" w:right="103"/>
              <w:jc w:val="both"/>
              <w:rPr>
                <w:i/>
                <w:sz w:val="20"/>
              </w:rPr>
            </w:pPr>
            <w:r>
              <w:rPr>
                <w:sz w:val="20"/>
              </w:rPr>
              <w:t>Observación del plasmón (punto más alto de la curva) y determinación de la formación de Np-Ag mediante la  reducción con </w:t>
            </w:r>
            <w:r>
              <w:rPr>
                <w:i/>
                <w:sz w:val="20"/>
              </w:rPr>
              <w:t>Camellia  </w:t>
            </w:r>
            <w:r>
              <w:rPr>
                <w:i/>
                <w:sz w:val="20"/>
              </w:rPr>
              <w:t>sinensis</w:t>
            </w:r>
          </w:p>
        </w:tc>
        <w:tc>
          <w:tcPr>
            <w:tcW w:w="1529" w:type="dxa"/>
          </w:tcPr>
          <w:p>
            <w:pPr>
              <w:pStyle w:val="TableParagraph"/>
              <w:spacing w:line="360" w:lineRule="auto"/>
              <w:ind w:left="100"/>
              <w:rPr>
                <w:sz w:val="20"/>
              </w:rPr>
            </w:pPr>
            <w:r>
              <w:rPr>
                <w:w w:val="95"/>
                <w:sz w:val="20"/>
              </w:rPr>
              <w:t>Independiente </w:t>
            </w:r>
            <w:r>
              <w:rPr>
                <w:sz w:val="20"/>
              </w:rPr>
              <w:t>cuantitativa</w:t>
            </w:r>
          </w:p>
        </w:tc>
        <w:tc>
          <w:tcPr>
            <w:tcW w:w="1222" w:type="dxa"/>
          </w:tcPr>
          <w:p>
            <w:pPr>
              <w:pStyle w:val="TableParagraph"/>
              <w:spacing w:line="227" w:lineRule="exact"/>
              <w:ind w:left="103"/>
              <w:rPr>
                <w:sz w:val="20"/>
              </w:rPr>
            </w:pPr>
            <w:r>
              <w:rPr>
                <w:sz w:val="20"/>
              </w:rPr>
              <w:t>Discreta</w:t>
            </w:r>
          </w:p>
        </w:tc>
        <w:tc>
          <w:tcPr>
            <w:tcW w:w="1531" w:type="dxa"/>
          </w:tcPr>
          <w:p>
            <w:pPr>
              <w:pStyle w:val="TableParagraph"/>
              <w:spacing w:line="227" w:lineRule="exact"/>
              <w:ind w:left="103" w:right="265"/>
              <w:rPr>
                <w:sz w:val="20"/>
              </w:rPr>
            </w:pPr>
            <w:r>
              <w:rPr>
                <w:sz w:val="20"/>
              </w:rPr>
              <w:t>Nanómetros</w:t>
            </w:r>
          </w:p>
        </w:tc>
      </w:tr>
      <w:tr>
        <w:trPr>
          <w:trHeight w:val="1736" w:hRule="exact"/>
        </w:trPr>
        <w:tc>
          <w:tcPr>
            <w:tcW w:w="2729" w:type="dxa"/>
          </w:tcPr>
          <w:p>
            <w:pPr>
              <w:pStyle w:val="TableParagraph"/>
              <w:spacing w:line="360" w:lineRule="auto"/>
              <w:ind w:left="823" w:right="101" w:hanging="360"/>
              <w:rPr>
                <w:sz w:val="20"/>
              </w:rPr>
            </w:pPr>
            <w:r>
              <w:rPr>
                <w:sz w:val="20"/>
              </w:rPr>
              <w:t>3. Espectrofotometría de luz ultravioleta visible (Uv-Vis) de Np-Ag sintetizadas por  Borohidruro </w:t>
            </w:r>
            <w:r>
              <w:rPr>
                <w:spacing w:val="10"/>
                <w:sz w:val="20"/>
              </w:rPr>
              <w:t> </w:t>
            </w:r>
            <w:r>
              <w:rPr>
                <w:sz w:val="20"/>
              </w:rPr>
              <w:t>de</w:t>
            </w:r>
          </w:p>
        </w:tc>
        <w:tc>
          <w:tcPr>
            <w:tcW w:w="2996" w:type="dxa"/>
          </w:tcPr>
          <w:p>
            <w:pPr>
              <w:pStyle w:val="TableParagraph"/>
              <w:spacing w:line="360" w:lineRule="auto"/>
              <w:ind w:left="103" w:right="103"/>
              <w:jc w:val="both"/>
              <w:rPr>
                <w:sz w:val="20"/>
              </w:rPr>
            </w:pPr>
            <w:r>
              <w:rPr>
                <w:sz w:val="20"/>
              </w:rPr>
              <w:t>Intervalo de energía (frecuencia) y por tanto, de longitud de onda. Región que abarca  el  espectro ultravioleta</w:t>
            </w:r>
          </w:p>
          <w:p>
            <w:pPr>
              <w:pStyle w:val="TableParagraph"/>
              <w:spacing w:line="234" w:lineRule="exact"/>
              <w:ind w:left="103"/>
              <w:jc w:val="both"/>
              <w:rPr>
                <w:sz w:val="13"/>
              </w:rPr>
            </w:pPr>
            <w:r>
              <w:rPr>
                <w:sz w:val="20"/>
              </w:rPr>
              <w:t>entre 180nm y 380nm </w:t>
            </w:r>
            <w:r>
              <w:rPr>
                <w:position w:val="10"/>
                <w:sz w:val="13"/>
              </w:rPr>
              <w:t>96</w:t>
            </w:r>
          </w:p>
        </w:tc>
        <w:tc>
          <w:tcPr>
            <w:tcW w:w="3060" w:type="dxa"/>
          </w:tcPr>
          <w:p>
            <w:pPr>
              <w:pStyle w:val="TableParagraph"/>
              <w:spacing w:line="360" w:lineRule="auto"/>
              <w:ind w:left="100" w:right="103"/>
              <w:jc w:val="both"/>
              <w:rPr>
                <w:sz w:val="20"/>
              </w:rPr>
            </w:pPr>
            <w:r>
              <w:rPr>
                <w:sz w:val="20"/>
              </w:rPr>
              <w:t>Observación del plasmón (punto más alto de la curva) y determinación de la formación de Np-Ag mediante la  reducción  con  Borohidruro </w:t>
            </w:r>
            <w:r>
              <w:rPr>
                <w:spacing w:val="46"/>
                <w:sz w:val="20"/>
              </w:rPr>
              <w:t> </w:t>
            </w:r>
            <w:r>
              <w:rPr>
                <w:sz w:val="20"/>
              </w:rPr>
              <w:t>de</w:t>
            </w:r>
          </w:p>
        </w:tc>
        <w:tc>
          <w:tcPr>
            <w:tcW w:w="1529" w:type="dxa"/>
          </w:tcPr>
          <w:p>
            <w:pPr>
              <w:pStyle w:val="TableParagraph"/>
              <w:spacing w:line="357" w:lineRule="auto"/>
              <w:ind w:left="100"/>
              <w:rPr>
                <w:sz w:val="20"/>
              </w:rPr>
            </w:pPr>
            <w:r>
              <w:rPr>
                <w:w w:val="95"/>
                <w:sz w:val="20"/>
              </w:rPr>
              <w:t>Independiente </w:t>
            </w:r>
            <w:r>
              <w:rPr>
                <w:sz w:val="20"/>
              </w:rPr>
              <w:t>cuantitativa</w:t>
            </w:r>
          </w:p>
        </w:tc>
        <w:tc>
          <w:tcPr>
            <w:tcW w:w="1222" w:type="dxa"/>
          </w:tcPr>
          <w:p>
            <w:pPr>
              <w:pStyle w:val="TableParagraph"/>
              <w:spacing w:line="227" w:lineRule="exact"/>
              <w:ind w:left="103"/>
              <w:rPr>
                <w:sz w:val="20"/>
              </w:rPr>
            </w:pPr>
            <w:r>
              <w:rPr>
                <w:sz w:val="20"/>
              </w:rPr>
              <w:t>Discreta</w:t>
            </w:r>
          </w:p>
        </w:tc>
        <w:tc>
          <w:tcPr>
            <w:tcW w:w="1531" w:type="dxa"/>
          </w:tcPr>
          <w:p>
            <w:pPr>
              <w:pStyle w:val="TableParagraph"/>
              <w:spacing w:line="227" w:lineRule="exact"/>
              <w:ind w:left="103" w:right="265"/>
              <w:rPr>
                <w:sz w:val="20"/>
              </w:rPr>
            </w:pPr>
            <w:r>
              <w:rPr>
                <w:sz w:val="20"/>
              </w:rPr>
              <w:t>Nanómetros</w:t>
            </w:r>
          </w:p>
        </w:tc>
      </w:tr>
    </w:tbl>
    <w:p>
      <w:pPr>
        <w:spacing w:after="0" w:line="227" w:lineRule="exact"/>
        <w:rPr>
          <w:sz w:val="20"/>
        </w:rPr>
        <w:sectPr>
          <w:headerReference w:type="default" r:id="rId25"/>
          <w:footerReference w:type="default" r:id="rId26"/>
          <w:pgSz w:w="15840" w:h="12240" w:orient="landscape"/>
          <w:pgMar w:header="739" w:footer="1024" w:top="1000" w:bottom="1220" w:left="1280" w:right="1260"/>
          <w:pgNumType w:start="56"/>
        </w:sectPr>
      </w:pPr>
    </w:p>
    <w:p>
      <w:pPr>
        <w:pStyle w:val="BodyText"/>
        <w:rPr>
          <w:rFonts w:ascii="Times New Roman"/>
          <w:sz w:val="20"/>
        </w:rPr>
      </w:pPr>
    </w:p>
    <w:p>
      <w:pPr>
        <w:pStyle w:val="BodyText"/>
        <w:spacing w:before="2"/>
        <w:rPr>
          <w:rFonts w:ascii="Times New Roman"/>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9"/>
        <w:gridCol w:w="2996"/>
        <w:gridCol w:w="3060"/>
        <w:gridCol w:w="1529"/>
        <w:gridCol w:w="1222"/>
        <w:gridCol w:w="1531"/>
      </w:tblGrid>
      <w:tr>
        <w:trPr>
          <w:trHeight w:val="355" w:hRule="exact"/>
        </w:trPr>
        <w:tc>
          <w:tcPr>
            <w:tcW w:w="2729" w:type="dxa"/>
          </w:tcPr>
          <w:p>
            <w:pPr>
              <w:pStyle w:val="TableParagraph"/>
              <w:spacing w:line="227" w:lineRule="exact"/>
              <w:ind w:left="823" w:right="103"/>
              <w:rPr>
                <w:sz w:val="20"/>
              </w:rPr>
            </w:pPr>
            <w:r>
              <w:rPr>
                <w:sz w:val="20"/>
              </w:rPr>
              <w:t>sodio</w:t>
            </w:r>
          </w:p>
        </w:tc>
        <w:tc>
          <w:tcPr>
            <w:tcW w:w="2996" w:type="dxa"/>
          </w:tcPr>
          <w:p>
            <w:pPr/>
          </w:p>
        </w:tc>
        <w:tc>
          <w:tcPr>
            <w:tcW w:w="3060" w:type="dxa"/>
          </w:tcPr>
          <w:p>
            <w:pPr>
              <w:pStyle w:val="TableParagraph"/>
              <w:spacing w:line="227" w:lineRule="exact"/>
              <w:ind w:left="100"/>
              <w:rPr>
                <w:sz w:val="20"/>
              </w:rPr>
            </w:pPr>
            <w:r>
              <w:rPr>
                <w:sz w:val="20"/>
              </w:rPr>
              <w:t>sodio</w:t>
            </w:r>
          </w:p>
        </w:tc>
        <w:tc>
          <w:tcPr>
            <w:tcW w:w="1529" w:type="dxa"/>
          </w:tcPr>
          <w:p>
            <w:pPr/>
          </w:p>
        </w:tc>
        <w:tc>
          <w:tcPr>
            <w:tcW w:w="1222" w:type="dxa"/>
          </w:tcPr>
          <w:p>
            <w:pPr/>
          </w:p>
        </w:tc>
        <w:tc>
          <w:tcPr>
            <w:tcW w:w="1531" w:type="dxa"/>
          </w:tcPr>
          <w:p>
            <w:pPr/>
          </w:p>
        </w:tc>
      </w:tr>
      <w:tr>
        <w:trPr>
          <w:trHeight w:val="2425" w:hRule="exact"/>
        </w:trPr>
        <w:tc>
          <w:tcPr>
            <w:tcW w:w="2729" w:type="dxa"/>
          </w:tcPr>
          <w:p>
            <w:pPr>
              <w:pStyle w:val="TableParagraph"/>
              <w:tabs>
                <w:tab w:pos="2389" w:val="left" w:leader="none"/>
              </w:tabs>
              <w:spacing w:line="360" w:lineRule="auto"/>
              <w:ind w:left="823" w:right="102" w:hanging="360"/>
              <w:jc w:val="both"/>
              <w:rPr>
                <w:sz w:val="20"/>
              </w:rPr>
            </w:pPr>
            <w:r>
              <w:rPr>
                <w:sz w:val="20"/>
              </w:rPr>
              <w:t>4. Análisis  elemental del órgano dentario por microscopía electrónica</w:t>
              <w:tab/>
              <w:t>de barrido</w:t>
            </w:r>
            <w:r>
              <w:rPr>
                <w:spacing w:val="-6"/>
                <w:sz w:val="20"/>
              </w:rPr>
              <w:t> </w:t>
            </w:r>
            <w:r>
              <w:rPr>
                <w:sz w:val="20"/>
              </w:rPr>
              <w:t>(MEB)</w:t>
            </w:r>
          </w:p>
        </w:tc>
        <w:tc>
          <w:tcPr>
            <w:tcW w:w="2996" w:type="dxa"/>
          </w:tcPr>
          <w:p>
            <w:pPr>
              <w:pStyle w:val="TableParagraph"/>
              <w:tabs>
                <w:tab w:pos="1576" w:val="left" w:leader="none"/>
              </w:tabs>
              <w:spacing w:line="360" w:lineRule="auto"/>
              <w:ind w:left="103" w:right="104"/>
              <w:jc w:val="both"/>
              <w:rPr>
                <w:sz w:val="20"/>
              </w:rPr>
            </w:pPr>
            <w:r>
              <w:rPr>
                <w:sz w:val="20"/>
              </w:rPr>
              <w:t>Conjunto de elementos presentes en diferentes tejidos dentarios</w:t>
              <w:tab/>
              <w:t>mediante    </w:t>
            </w:r>
            <w:r>
              <w:rPr>
                <w:spacing w:val="46"/>
                <w:sz w:val="20"/>
              </w:rPr>
              <w:t> </w:t>
            </w:r>
            <w:r>
              <w:rPr>
                <w:sz w:val="20"/>
              </w:rPr>
              <w:t>el</w:t>
            </w:r>
            <w:r>
              <w:rPr>
                <w:w w:val="99"/>
                <w:sz w:val="20"/>
              </w:rPr>
              <w:t> </w:t>
            </w:r>
            <w:r>
              <w:rPr>
                <w:sz w:val="20"/>
              </w:rPr>
              <w:t>microanálisis      de    </w:t>
            </w:r>
            <w:r>
              <w:rPr>
                <w:spacing w:val="13"/>
                <w:sz w:val="20"/>
              </w:rPr>
              <w:t> </w:t>
            </w:r>
            <w:r>
              <w:rPr>
                <w:sz w:val="20"/>
              </w:rPr>
              <w:t>regiones</w:t>
            </w:r>
          </w:p>
          <w:p>
            <w:pPr>
              <w:pStyle w:val="TableParagraph"/>
              <w:spacing w:line="234" w:lineRule="exact"/>
              <w:ind w:left="103"/>
              <w:jc w:val="both"/>
              <w:rPr>
                <w:sz w:val="13"/>
              </w:rPr>
            </w:pPr>
            <w:r>
              <w:rPr>
                <w:sz w:val="20"/>
              </w:rPr>
              <w:t>menores a 1µm </w:t>
            </w:r>
            <w:r>
              <w:rPr>
                <w:position w:val="10"/>
                <w:sz w:val="13"/>
              </w:rPr>
              <w:t>104</w:t>
            </w:r>
          </w:p>
        </w:tc>
        <w:tc>
          <w:tcPr>
            <w:tcW w:w="3060" w:type="dxa"/>
          </w:tcPr>
          <w:p>
            <w:pPr>
              <w:pStyle w:val="TableParagraph"/>
              <w:spacing w:line="360" w:lineRule="auto"/>
              <w:ind w:left="100" w:right="106"/>
              <w:jc w:val="both"/>
              <w:rPr>
                <w:sz w:val="20"/>
              </w:rPr>
            </w:pPr>
            <w:r>
              <w:rPr>
                <w:sz w:val="20"/>
              </w:rPr>
              <w:t>Porcentaje de los elementos presentes en el diente al momento del análisis mediante EDS por MEB, (sodio, fósforo, magnesio, potasio, calcio, oxigeno, flúor, carbono,  oxígeno y</w:t>
            </w:r>
            <w:r>
              <w:rPr>
                <w:spacing w:val="-7"/>
                <w:sz w:val="20"/>
              </w:rPr>
              <w:t> </w:t>
            </w:r>
            <w:r>
              <w:rPr>
                <w:sz w:val="20"/>
              </w:rPr>
              <w:t>cloro)</w:t>
            </w:r>
          </w:p>
        </w:tc>
        <w:tc>
          <w:tcPr>
            <w:tcW w:w="1529" w:type="dxa"/>
          </w:tcPr>
          <w:p>
            <w:pPr>
              <w:pStyle w:val="TableParagraph"/>
              <w:spacing w:line="360" w:lineRule="auto"/>
              <w:ind w:left="100"/>
              <w:rPr>
                <w:sz w:val="20"/>
              </w:rPr>
            </w:pPr>
            <w:r>
              <w:rPr>
                <w:w w:val="95"/>
                <w:sz w:val="20"/>
              </w:rPr>
              <w:t>Independiente </w:t>
            </w:r>
            <w:r>
              <w:rPr>
                <w:sz w:val="20"/>
              </w:rPr>
              <w:t>cuantitativa</w:t>
            </w:r>
          </w:p>
        </w:tc>
        <w:tc>
          <w:tcPr>
            <w:tcW w:w="1222" w:type="dxa"/>
          </w:tcPr>
          <w:p>
            <w:pPr>
              <w:pStyle w:val="TableParagraph"/>
              <w:spacing w:line="227" w:lineRule="exact"/>
              <w:ind w:left="103"/>
              <w:rPr>
                <w:sz w:val="20"/>
              </w:rPr>
            </w:pPr>
            <w:r>
              <w:rPr>
                <w:sz w:val="20"/>
              </w:rPr>
              <w:t>Discreta</w:t>
            </w:r>
          </w:p>
        </w:tc>
        <w:tc>
          <w:tcPr>
            <w:tcW w:w="1531" w:type="dxa"/>
          </w:tcPr>
          <w:p>
            <w:pPr>
              <w:pStyle w:val="TableParagraph"/>
              <w:tabs>
                <w:tab w:pos="1192" w:val="left" w:leader="none"/>
              </w:tabs>
              <w:spacing w:line="360" w:lineRule="auto"/>
              <w:ind w:left="103" w:right="103"/>
              <w:rPr>
                <w:sz w:val="20"/>
              </w:rPr>
            </w:pPr>
            <w:r>
              <w:rPr>
                <w:sz w:val="20"/>
              </w:rPr>
              <w:t>Porciento</w:t>
              <w:tab/>
              <w:t>en peso</w:t>
            </w:r>
            <w:r>
              <w:rPr>
                <w:spacing w:val="52"/>
                <w:sz w:val="20"/>
              </w:rPr>
              <w:t> </w:t>
            </w:r>
            <w:r>
              <w:rPr>
                <w:sz w:val="20"/>
              </w:rPr>
              <w:t>atómico</w:t>
            </w:r>
          </w:p>
        </w:tc>
      </w:tr>
      <w:tr>
        <w:trPr>
          <w:trHeight w:val="2770" w:hRule="exact"/>
        </w:trPr>
        <w:tc>
          <w:tcPr>
            <w:tcW w:w="2729" w:type="dxa"/>
          </w:tcPr>
          <w:p>
            <w:pPr>
              <w:pStyle w:val="TableParagraph"/>
              <w:tabs>
                <w:tab w:pos="1413" w:val="left" w:leader="none"/>
                <w:tab w:pos="2034" w:val="left" w:leader="none"/>
                <w:tab w:pos="2516" w:val="left" w:leader="none"/>
              </w:tabs>
              <w:spacing w:line="360" w:lineRule="auto"/>
              <w:ind w:left="823" w:right="101" w:hanging="360"/>
              <w:rPr>
                <w:sz w:val="20"/>
              </w:rPr>
            </w:pPr>
            <w:r>
              <w:rPr>
                <w:sz w:val="20"/>
              </w:rPr>
              <w:t>5.  </w:t>
            </w:r>
            <w:r>
              <w:rPr>
                <w:spacing w:val="23"/>
                <w:sz w:val="20"/>
              </w:rPr>
              <w:t> </w:t>
            </w:r>
            <w:r>
              <w:rPr>
                <w:sz w:val="20"/>
              </w:rPr>
              <w:t>Presencia</w:t>
              <w:tab/>
              <w:tab/>
              <w:t>y absorción de plata en</w:t>
              <w:tab/>
              <w:t>los</w:t>
              <w:tab/>
              <w:t>tejidos dentarios con Np- Ag sintetizadas por </w:t>
            </w:r>
            <w:r>
              <w:rPr>
                <w:i/>
                <w:sz w:val="20"/>
              </w:rPr>
              <w:t>Heterotheca </w:t>
            </w:r>
            <w:r>
              <w:rPr>
                <w:i/>
                <w:sz w:val="20"/>
              </w:rPr>
              <w:t>inuloides </w:t>
            </w:r>
            <w:r>
              <w:rPr>
                <w:sz w:val="20"/>
              </w:rPr>
              <w:t>mediante MEB</w:t>
            </w:r>
          </w:p>
        </w:tc>
        <w:tc>
          <w:tcPr>
            <w:tcW w:w="2996" w:type="dxa"/>
          </w:tcPr>
          <w:p>
            <w:pPr>
              <w:pStyle w:val="TableParagraph"/>
              <w:spacing w:line="348" w:lineRule="auto"/>
              <w:ind w:left="103" w:right="99"/>
              <w:jc w:val="both"/>
              <w:rPr>
                <w:sz w:val="13"/>
              </w:rPr>
            </w:pPr>
            <w:r>
              <w:rPr>
                <w:sz w:val="20"/>
              </w:rPr>
              <w:t>Es la energía necesaria para arrancar los electrones de las capas electrónicas del átomo,  y está dada en KeV</w:t>
            </w:r>
            <w:r>
              <w:rPr>
                <w:spacing w:val="-9"/>
                <w:sz w:val="20"/>
              </w:rPr>
              <w:t> </w:t>
            </w:r>
            <w:r>
              <w:rPr>
                <w:position w:val="10"/>
                <w:sz w:val="13"/>
              </w:rPr>
              <w:t>105</w:t>
            </w:r>
          </w:p>
        </w:tc>
        <w:tc>
          <w:tcPr>
            <w:tcW w:w="3060" w:type="dxa"/>
          </w:tcPr>
          <w:p>
            <w:pPr>
              <w:pStyle w:val="TableParagraph"/>
              <w:spacing w:line="360" w:lineRule="auto"/>
              <w:ind w:left="100" w:right="105"/>
              <w:jc w:val="both"/>
              <w:rPr>
                <w:i/>
                <w:sz w:val="20"/>
              </w:rPr>
            </w:pPr>
            <w:r>
              <w:rPr>
                <w:sz w:val="20"/>
              </w:rPr>
              <w:t>Presencia y absorción de plata en peso atómico al análisis elemental del órgano dentario por MEB con Np-Ag  sintetizadas por </w:t>
            </w:r>
            <w:r>
              <w:rPr>
                <w:i/>
                <w:sz w:val="20"/>
              </w:rPr>
              <w:t>Heterotheca </w:t>
            </w:r>
            <w:r>
              <w:rPr>
                <w:i/>
                <w:sz w:val="20"/>
              </w:rPr>
              <w:t>inuloides</w:t>
            </w:r>
          </w:p>
        </w:tc>
        <w:tc>
          <w:tcPr>
            <w:tcW w:w="1529" w:type="dxa"/>
          </w:tcPr>
          <w:p>
            <w:pPr>
              <w:pStyle w:val="TableParagraph"/>
              <w:spacing w:line="360" w:lineRule="auto"/>
              <w:ind w:left="100"/>
              <w:rPr>
                <w:sz w:val="20"/>
              </w:rPr>
            </w:pPr>
            <w:r>
              <w:rPr>
                <w:w w:val="95"/>
                <w:sz w:val="20"/>
              </w:rPr>
              <w:t>Independiente </w:t>
            </w:r>
            <w:r>
              <w:rPr>
                <w:sz w:val="20"/>
              </w:rPr>
              <w:t>cuantitativa</w:t>
            </w:r>
          </w:p>
        </w:tc>
        <w:tc>
          <w:tcPr>
            <w:tcW w:w="1222" w:type="dxa"/>
          </w:tcPr>
          <w:p>
            <w:pPr>
              <w:pStyle w:val="TableParagraph"/>
              <w:spacing w:line="227" w:lineRule="exact"/>
              <w:ind w:left="103"/>
              <w:rPr>
                <w:sz w:val="20"/>
              </w:rPr>
            </w:pPr>
            <w:r>
              <w:rPr>
                <w:sz w:val="20"/>
              </w:rPr>
              <w:t>Discreta</w:t>
            </w:r>
          </w:p>
        </w:tc>
        <w:tc>
          <w:tcPr>
            <w:tcW w:w="1531" w:type="dxa"/>
          </w:tcPr>
          <w:p>
            <w:pPr>
              <w:pStyle w:val="TableParagraph"/>
              <w:tabs>
                <w:tab w:pos="1192" w:val="left" w:leader="none"/>
              </w:tabs>
              <w:spacing w:line="360" w:lineRule="auto"/>
              <w:ind w:left="103" w:right="103"/>
              <w:rPr>
                <w:sz w:val="20"/>
              </w:rPr>
            </w:pPr>
            <w:r>
              <w:rPr>
                <w:sz w:val="20"/>
              </w:rPr>
              <w:t>Porciento</w:t>
              <w:tab/>
              <w:t>en peso</w:t>
            </w:r>
            <w:r>
              <w:rPr>
                <w:spacing w:val="52"/>
                <w:sz w:val="20"/>
              </w:rPr>
              <w:t> </w:t>
            </w:r>
            <w:r>
              <w:rPr>
                <w:sz w:val="20"/>
              </w:rPr>
              <w:t>atómico</w:t>
            </w:r>
          </w:p>
        </w:tc>
      </w:tr>
      <w:tr>
        <w:trPr>
          <w:trHeight w:val="2427" w:hRule="exact"/>
        </w:trPr>
        <w:tc>
          <w:tcPr>
            <w:tcW w:w="2729" w:type="dxa"/>
          </w:tcPr>
          <w:p>
            <w:pPr>
              <w:pStyle w:val="TableParagraph"/>
              <w:tabs>
                <w:tab w:pos="2516" w:val="left" w:leader="none"/>
              </w:tabs>
              <w:spacing w:line="360" w:lineRule="auto"/>
              <w:ind w:left="823" w:right="101" w:hanging="360"/>
              <w:jc w:val="both"/>
              <w:rPr>
                <w:sz w:val="20"/>
              </w:rPr>
            </w:pPr>
            <w:r>
              <w:rPr>
                <w:sz w:val="20"/>
              </w:rPr>
              <w:t>6.  </w:t>
            </w:r>
            <w:r>
              <w:rPr>
                <w:spacing w:val="23"/>
                <w:sz w:val="20"/>
              </w:rPr>
              <w:t> </w:t>
            </w:r>
            <w:r>
              <w:rPr>
                <w:sz w:val="20"/>
              </w:rPr>
              <w:t>Presencia</w:t>
              <w:tab/>
              <w:t>y absorción de plata en los tejidos dentarios con Np- Ag sintetizadas por </w:t>
            </w:r>
            <w:r>
              <w:rPr>
                <w:i/>
                <w:sz w:val="20"/>
              </w:rPr>
              <w:t>Camellia sinensis </w:t>
            </w:r>
            <w:r>
              <w:rPr>
                <w:sz w:val="20"/>
              </w:rPr>
              <w:t>mediante</w:t>
            </w:r>
            <w:r>
              <w:rPr>
                <w:spacing w:val="-4"/>
                <w:sz w:val="20"/>
              </w:rPr>
              <w:t> </w:t>
            </w:r>
            <w:r>
              <w:rPr>
                <w:sz w:val="20"/>
              </w:rPr>
              <w:t>MEB</w:t>
            </w:r>
          </w:p>
        </w:tc>
        <w:tc>
          <w:tcPr>
            <w:tcW w:w="2996" w:type="dxa"/>
          </w:tcPr>
          <w:p>
            <w:pPr>
              <w:pStyle w:val="TableParagraph"/>
              <w:spacing w:line="348" w:lineRule="auto"/>
              <w:ind w:left="103" w:right="101"/>
              <w:jc w:val="both"/>
              <w:rPr>
                <w:sz w:val="13"/>
              </w:rPr>
            </w:pPr>
            <w:r>
              <w:rPr>
                <w:sz w:val="20"/>
              </w:rPr>
              <w:t>Es la energía necesaria para arrancar los electrones de las capas electrónicas del átomo,  y está dada en KeV</w:t>
            </w:r>
            <w:r>
              <w:rPr>
                <w:spacing w:val="-8"/>
                <w:sz w:val="20"/>
              </w:rPr>
              <w:t> </w:t>
            </w:r>
            <w:r>
              <w:rPr>
                <w:position w:val="10"/>
                <w:sz w:val="13"/>
              </w:rPr>
              <w:t>105</w:t>
            </w:r>
          </w:p>
        </w:tc>
        <w:tc>
          <w:tcPr>
            <w:tcW w:w="3060" w:type="dxa"/>
          </w:tcPr>
          <w:p>
            <w:pPr>
              <w:pStyle w:val="TableParagraph"/>
              <w:spacing w:line="360" w:lineRule="auto"/>
              <w:ind w:left="100" w:right="105"/>
              <w:jc w:val="both"/>
              <w:rPr>
                <w:i/>
                <w:sz w:val="20"/>
              </w:rPr>
            </w:pPr>
            <w:r>
              <w:rPr>
                <w:sz w:val="20"/>
              </w:rPr>
              <w:t>Presencia y absorción de plata en peso atómico al análisis elemental del órgano dentario por MEB con Np-Ag  sintetizadas por </w:t>
            </w:r>
            <w:r>
              <w:rPr>
                <w:i/>
                <w:sz w:val="20"/>
              </w:rPr>
              <w:t>Camellia </w:t>
            </w:r>
            <w:r>
              <w:rPr>
                <w:i/>
                <w:sz w:val="20"/>
              </w:rPr>
              <w:t>sinensis</w:t>
            </w:r>
          </w:p>
        </w:tc>
        <w:tc>
          <w:tcPr>
            <w:tcW w:w="1529" w:type="dxa"/>
          </w:tcPr>
          <w:p>
            <w:pPr>
              <w:pStyle w:val="TableParagraph"/>
              <w:spacing w:line="360" w:lineRule="auto"/>
              <w:ind w:left="100"/>
              <w:rPr>
                <w:sz w:val="20"/>
              </w:rPr>
            </w:pPr>
            <w:r>
              <w:rPr>
                <w:w w:val="95"/>
                <w:sz w:val="20"/>
              </w:rPr>
              <w:t>Independiente </w:t>
            </w:r>
            <w:r>
              <w:rPr>
                <w:sz w:val="20"/>
              </w:rPr>
              <w:t>cuantitativa</w:t>
            </w:r>
          </w:p>
        </w:tc>
        <w:tc>
          <w:tcPr>
            <w:tcW w:w="1222" w:type="dxa"/>
          </w:tcPr>
          <w:p>
            <w:pPr>
              <w:pStyle w:val="TableParagraph"/>
              <w:spacing w:line="227" w:lineRule="exact"/>
              <w:ind w:left="103"/>
              <w:rPr>
                <w:sz w:val="20"/>
              </w:rPr>
            </w:pPr>
            <w:r>
              <w:rPr>
                <w:sz w:val="20"/>
              </w:rPr>
              <w:t>Discreta</w:t>
            </w:r>
          </w:p>
        </w:tc>
        <w:tc>
          <w:tcPr>
            <w:tcW w:w="1531" w:type="dxa"/>
          </w:tcPr>
          <w:p>
            <w:pPr>
              <w:pStyle w:val="TableParagraph"/>
              <w:tabs>
                <w:tab w:pos="1192" w:val="left" w:leader="none"/>
              </w:tabs>
              <w:spacing w:line="360" w:lineRule="auto"/>
              <w:ind w:left="103" w:right="103"/>
              <w:rPr>
                <w:sz w:val="20"/>
              </w:rPr>
            </w:pPr>
            <w:r>
              <w:rPr>
                <w:sz w:val="20"/>
              </w:rPr>
              <w:t>Porciento</w:t>
              <w:tab/>
              <w:t>en peso</w:t>
            </w:r>
            <w:r>
              <w:rPr>
                <w:spacing w:val="52"/>
                <w:sz w:val="20"/>
              </w:rPr>
              <w:t> </w:t>
            </w:r>
            <w:r>
              <w:rPr>
                <w:sz w:val="20"/>
              </w:rPr>
              <w:t>atómico</w:t>
            </w:r>
          </w:p>
        </w:tc>
      </w:tr>
      <w:tr>
        <w:trPr>
          <w:trHeight w:val="1044" w:hRule="exact"/>
        </w:trPr>
        <w:tc>
          <w:tcPr>
            <w:tcW w:w="2729" w:type="dxa"/>
          </w:tcPr>
          <w:p>
            <w:pPr>
              <w:pStyle w:val="TableParagraph"/>
              <w:spacing w:line="357" w:lineRule="auto"/>
              <w:ind w:left="823" w:right="103" w:hanging="360"/>
              <w:jc w:val="both"/>
              <w:rPr>
                <w:i/>
                <w:sz w:val="20"/>
              </w:rPr>
            </w:pPr>
            <w:r>
              <w:rPr>
                <w:sz w:val="20"/>
              </w:rPr>
              <w:t>7. Tamaño de Np-Ag sintetizadas por </w:t>
            </w:r>
            <w:r>
              <w:rPr>
                <w:i/>
                <w:sz w:val="20"/>
              </w:rPr>
              <w:t>Heterotheca</w:t>
            </w:r>
          </w:p>
        </w:tc>
        <w:tc>
          <w:tcPr>
            <w:tcW w:w="2996" w:type="dxa"/>
          </w:tcPr>
          <w:p>
            <w:pPr>
              <w:pStyle w:val="TableParagraph"/>
              <w:spacing w:line="360" w:lineRule="auto"/>
              <w:ind w:left="103" w:right="104"/>
              <w:jc w:val="both"/>
              <w:rPr>
                <w:sz w:val="20"/>
              </w:rPr>
            </w:pPr>
            <w:r>
              <w:rPr>
                <w:sz w:val="20"/>
              </w:rPr>
              <w:t>Dimensiones del rango que presentan las partículas nanométricas      con      efecto</w:t>
            </w:r>
          </w:p>
        </w:tc>
        <w:tc>
          <w:tcPr>
            <w:tcW w:w="3060" w:type="dxa"/>
          </w:tcPr>
          <w:p>
            <w:pPr>
              <w:pStyle w:val="TableParagraph"/>
              <w:spacing w:line="357" w:lineRule="auto"/>
              <w:ind w:left="100" w:right="103"/>
              <w:jc w:val="both"/>
              <w:rPr>
                <w:i/>
                <w:sz w:val="20"/>
              </w:rPr>
            </w:pPr>
            <w:r>
              <w:rPr>
                <w:sz w:val="20"/>
              </w:rPr>
              <w:t>Tamaño de 5 nm y 30 nm de  las nanopartículas de plata sintetizadas    por  </w:t>
            </w:r>
            <w:r>
              <w:rPr>
                <w:spacing w:val="12"/>
                <w:sz w:val="20"/>
              </w:rPr>
              <w:t> </w:t>
            </w:r>
            <w:r>
              <w:rPr>
                <w:i/>
                <w:sz w:val="20"/>
              </w:rPr>
              <w:t>Heterotheca</w:t>
            </w:r>
          </w:p>
        </w:tc>
        <w:tc>
          <w:tcPr>
            <w:tcW w:w="1529" w:type="dxa"/>
          </w:tcPr>
          <w:p>
            <w:pPr>
              <w:pStyle w:val="TableParagraph"/>
              <w:spacing w:line="360" w:lineRule="auto"/>
              <w:ind w:left="100"/>
              <w:rPr>
                <w:sz w:val="20"/>
              </w:rPr>
            </w:pPr>
            <w:r>
              <w:rPr>
                <w:w w:val="95"/>
                <w:sz w:val="20"/>
              </w:rPr>
              <w:t>Independiente </w:t>
            </w:r>
            <w:r>
              <w:rPr>
                <w:sz w:val="20"/>
              </w:rPr>
              <w:t>cuantitativa discreta</w:t>
            </w:r>
          </w:p>
        </w:tc>
        <w:tc>
          <w:tcPr>
            <w:tcW w:w="1222" w:type="dxa"/>
          </w:tcPr>
          <w:p>
            <w:pPr>
              <w:pStyle w:val="TableParagraph"/>
              <w:spacing w:line="227" w:lineRule="exact"/>
              <w:ind w:left="103"/>
              <w:rPr>
                <w:sz w:val="20"/>
              </w:rPr>
            </w:pPr>
            <w:r>
              <w:rPr>
                <w:sz w:val="20"/>
              </w:rPr>
              <w:t>Intervalo</w:t>
            </w:r>
          </w:p>
        </w:tc>
        <w:tc>
          <w:tcPr>
            <w:tcW w:w="1531" w:type="dxa"/>
          </w:tcPr>
          <w:p>
            <w:pPr>
              <w:pStyle w:val="TableParagraph"/>
              <w:spacing w:line="227" w:lineRule="exact"/>
              <w:ind w:left="103" w:right="265"/>
              <w:rPr>
                <w:sz w:val="20"/>
              </w:rPr>
            </w:pPr>
            <w:r>
              <w:rPr>
                <w:sz w:val="20"/>
              </w:rPr>
              <w:t>Nanómetros</w:t>
            </w:r>
          </w:p>
        </w:tc>
      </w:tr>
    </w:tbl>
    <w:p>
      <w:pPr>
        <w:spacing w:after="0" w:line="227" w:lineRule="exact"/>
        <w:rPr>
          <w:sz w:val="20"/>
        </w:rPr>
        <w:sectPr>
          <w:pgSz w:w="15840" w:h="12240" w:orient="landscape"/>
          <w:pgMar w:header="739" w:footer="1024" w:top="1000" w:bottom="1220" w:left="1280" w:right="1260"/>
        </w:sectPr>
      </w:pPr>
    </w:p>
    <w:p>
      <w:pPr>
        <w:pStyle w:val="BodyText"/>
        <w:rPr>
          <w:rFonts w:ascii="Times New Roman"/>
          <w:sz w:val="20"/>
        </w:rPr>
      </w:pPr>
    </w:p>
    <w:p>
      <w:pPr>
        <w:pStyle w:val="BodyText"/>
        <w:spacing w:before="2"/>
        <w:rPr>
          <w:rFonts w:ascii="Times New Roman"/>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9"/>
        <w:gridCol w:w="2996"/>
        <w:gridCol w:w="3060"/>
        <w:gridCol w:w="1529"/>
        <w:gridCol w:w="1222"/>
        <w:gridCol w:w="1531"/>
      </w:tblGrid>
      <w:tr>
        <w:trPr>
          <w:trHeight w:val="1390" w:hRule="exact"/>
        </w:trPr>
        <w:tc>
          <w:tcPr>
            <w:tcW w:w="2729" w:type="dxa"/>
          </w:tcPr>
          <w:p>
            <w:pPr>
              <w:pStyle w:val="TableParagraph"/>
              <w:tabs>
                <w:tab w:pos="2389" w:val="left" w:leader="none"/>
              </w:tabs>
              <w:spacing w:line="360" w:lineRule="auto"/>
              <w:ind w:left="823" w:right="103"/>
              <w:rPr>
                <w:sz w:val="20"/>
              </w:rPr>
            </w:pPr>
            <w:r>
              <w:rPr>
                <w:i/>
                <w:sz w:val="20"/>
              </w:rPr>
              <w:t>inuloides </w:t>
            </w:r>
            <w:r>
              <w:rPr>
                <w:sz w:val="20"/>
              </w:rPr>
              <w:t>mediante microscopía electrónica</w:t>
              <w:tab/>
              <w:t>de transmisión</w:t>
            </w:r>
            <w:r>
              <w:rPr>
                <w:spacing w:val="-3"/>
                <w:sz w:val="20"/>
              </w:rPr>
              <w:t> </w:t>
            </w:r>
            <w:r>
              <w:rPr>
                <w:sz w:val="20"/>
              </w:rPr>
              <w:t>(MET)</w:t>
            </w:r>
          </w:p>
        </w:tc>
        <w:tc>
          <w:tcPr>
            <w:tcW w:w="2996" w:type="dxa"/>
          </w:tcPr>
          <w:p>
            <w:pPr>
              <w:pStyle w:val="TableParagraph"/>
              <w:tabs>
                <w:tab w:pos="616" w:val="left" w:leader="none"/>
                <w:tab w:pos="1163" w:val="left" w:leader="none"/>
                <w:tab w:pos="2211" w:val="left" w:leader="none"/>
                <w:tab w:pos="2726" w:val="left" w:leader="none"/>
              </w:tabs>
              <w:spacing w:line="360" w:lineRule="auto"/>
              <w:ind w:left="103" w:right="103"/>
              <w:rPr>
                <w:sz w:val="20"/>
              </w:rPr>
            </w:pPr>
            <w:r>
              <w:rPr>
                <w:sz w:val="20"/>
              </w:rPr>
              <w:t>antibacterial que producen lisis en</w:t>
              <w:tab/>
              <w:t>los</w:t>
              <w:tab/>
              <w:t>péptidos</w:t>
              <w:tab/>
              <w:t>de</w:t>
              <w:tab/>
              <w:t>la</w:t>
            </w:r>
          </w:p>
          <w:p>
            <w:pPr>
              <w:pStyle w:val="TableParagraph"/>
              <w:tabs>
                <w:tab w:pos="1729" w:val="left" w:leader="none"/>
                <w:tab w:pos="2623" w:val="left" w:leader="none"/>
              </w:tabs>
              <w:spacing w:line="321" w:lineRule="auto" w:before="4"/>
              <w:ind w:left="103" w:right="106"/>
              <w:rPr>
                <w:sz w:val="13"/>
              </w:rPr>
            </w:pPr>
            <w:r>
              <w:rPr>
                <w:sz w:val="20"/>
              </w:rPr>
              <w:t>membrana</w:t>
              <w:tab/>
              <w:t>de</w:t>
              <w:tab/>
              <w:t>los</w:t>
            </w:r>
            <w:r>
              <w:rPr>
                <w:w w:val="99"/>
                <w:sz w:val="20"/>
              </w:rPr>
              <w:t> </w:t>
            </w:r>
            <w:r>
              <w:rPr>
                <w:sz w:val="20"/>
              </w:rPr>
              <w:t>microorganismos.</w:t>
            </w:r>
            <w:r>
              <w:rPr>
                <w:spacing w:val="-7"/>
                <w:sz w:val="20"/>
              </w:rPr>
              <w:t> </w:t>
            </w:r>
            <w:r>
              <w:rPr>
                <w:position w:val="10"/>
                <w:sz w:val="13"/>
              </w:rPr>
              <w:t>10</w:t>
            </w:r>
          </w:p>
        </w:tc>
        <w:tc>
          <w:tcPr>
            <w:tcW w:w="3060" w:type="dxa"/>
          </w:tcPr>
          <w:p>
            <w:pPr>
              <w:pStyle w:val="TableParagraph"/>
              <w:spacing w:line="225" w:lineRule="exact"/>
              <w:ind w:left="100"/>
              <w:rPr>
                <w:i/>
                <w:sz w:val="20"/>
              </w:rPr>
            </w:pPr>
            <w:r>
              <w:rPr>
                <w:i/>
                <w:sz w:val="20"/>
              </w:rPr>
              <w:t>inuloides</w:t>
            </w:r>
          </w:p>
        </w:tc>
        <w:tc>
          <w:tcPr>
            <w:tcW w:w="1529" w:type="dxa"/>
          </w:tcPr>
          <w:p>
            <w:pPr/>
          </w:p>
        </w:tc>
        <w:tc>
          <w:tcPr>
            <w:tcW w:w="1222" w:type="dxa"/>
          </w:tcPr>
          <w:p>
            <w:pPr/>
          </w:p>
        </w:tc>
        <w:tc>
          <w:tcPr>
            <w:tcW w:w="1531" w:type="dxa"/>
          </w:tcPr>
          <w:p>
            <w:pPr/>
          </w:p>
        </w:tc>
      </w:tr>
      <w:tr>
        <w:trPr>
          <w:trHeight w:val="2425" w:hRule="exact"/>
        </w:trPr>
        <w:tc>
          <w:tcPr>
            <w:tcW w:w="2729" w:type="dxa"/>
          </w:tcPr>
          <w:p>
            <w:pPr>
              <w:pStyle w:val="TableParagraph"/>
              <w:tabs>
                <w:tab w:pos="1890" w:val="left" w:leader="none"/>
                <w:tab w:pos="2324" w:val="left" w:leader="none"/>
                <w:tab w:pos="2389" w:val="left" w:leader="none"/>
              </w:tabs>
              <w:spacing w:line="360" w:lineRule="auto"/>
              <w:ind w:left="823" w:right="103" w:hanging="360"/>
              <w:rPr>
                <w:sz w:val="20"/>
              </w:rPr>
            </w:pPr>
            <w:r>
              <w:rPr>
                <w:sz w:val="20"/>
              </w:rPr>
              <w:t>8. Tamaño de Np-Ag sintetizadas</w:t>
              <w:tab/>
              <w:tab/>
              <w:t>por </w:t>
            </w:r>
            <w:r>
              <w:rPr>
                <w:i/>
                <w:sz w:val="20"/>
              </w:rPr>
              <w:t>Camellia</w:t>
              <w:tab/>
              <w:t>sinensis </w:t>
            </w:r>
            <w:r>
              <w:rPr>
                <w:sz w:val="20"/>
              </w:rPr>
              <w:t>mediante microscopía electrónica</w:t>
              <w:tab/>
              <w:tab/>
              <w:tab/>
              <w:t>de transmisión</w:t>
            </w:r>
            <w:r>
              <w:rPr>
                <w:spacing w:val="-3"/>
                <w:sz w:val="20"/>
              </w:rPr>
              <w:t> </w:t>
            </w:r>
            <w:r>
              <w:rPr>
                <w:sz w:val="20"/>
              </w:rPr>
              <w:t>(MET)</w:t>
            </w:r>
          </w:p>
        </w:tc>
        <w:tc>
          <w:tcPr>
            <w:tcW w:w="2996" w:type="dxa"/>
          </w:tcPr>
          <w:p>
            <w:pPr>
              <w:pStyle w:val="TableParagraph"/>
              <w:spacing w:line="360" w:lineRule="auto"/>
              <w:ind w:left="103" w:right="104"/>
              <w:jc w:val="both"/>
              <w:rPr>
                <w:sz w:val="20"/>
              </w:rPr>
            </w:pPr>
            <w:r>
              <w:rPr>
                <w:sz w:val="20"/>
              </w:rPr>
              <w:t>Dimensiones del rango que presenta las partículas orgánicas e inorgánicas con efecto antibacterial que producen lisis en los péptidos de    la    membrana    de     los</w:t>
            </w:r>
          </w:p>
          <w:p>
            <w:pPr>
              <w:pStyle w:val="TableParagraph"/>
              <w:spacing w:line="234" w:lineRule="exact"/>
              <w:ind w:left="103"/>
              <w:jc w:val="both"/>
              <w:rPr>
                <w:sz w:val="13"/>
              </w:rPr>
            </w:pPr>
            <w:r>
              <w:rPr>
                <w:sz w:val="20"/>
              </w:rPr>
              <w:t>microorganismos. </w:t>
            </w:r>
            <w:r>
              <w:rPr>
                <w:position w:val="10"/>
                <w:sz w:val="13"/>
              </w:rPr>
              <w:t>10</w:t>
            </w:r>
          </w:p>
        </w:tc>
        <w:tc>
          <w:tcPr>
            <w:tcW w:w="3060" w:type="dxa"/>
          </w:tcPr>
          <w:p>
            <w:pPr>
              <w:pStyle w:val="TableParagraph"/>
              <w:spacing w:line="360" w:lineRule="auto"/>
              <w:ind w:left="100" w:right="103"/>
              <w:jc w:val="both"/>
              <w:rPr>
                <w:i/>
                <w:sz w:val="20"/>
              </w:rPr>
            </w:pPr>
            <w:r>
              <w:rPr>
                <w:sz w:val="20"/>
              </w:rPr>
              <w:t>Tamaño de 25nm y 70nm  de las nanopartículas de plata sintetizadas por </w:t>
            </w:r>
            <w:r>
              <w:rPr>
                <w:i/>
                <w:sz w:val="20"/>
              </w:rPr>
              <w:t>Camellia </w:t>
            </w:r>
            <w:r>
              <w:rPr>
                <w:i/>
                <w:sz w:val="20"/>
              </w:rPr>
              <w:t>sinensis</w:t>
            </w:r>
          </w:p>
        </w:tc>
        <w:tc>
          <w:tcPr>
            <w:tcW w:w="1529" w:type="dxa"/>
          </w:tcPr>
          <w:p>
            <w:pPr>
              <w:pStyle w:val="TableParagraph"/>
              <w:spacing w:line="360" w:lineRule="auto"/>
              <w:ind w:left="100"/>
              <w:rPr>
                <w:sz w:val="20"/>
              </w:rPr>
            </w:pPr>
            <w:r>
              <w:rPr>
                <w:w w:val="95"/>
                <w:sz w:val="20"/>
              </w:rPr>
              <w:t>Independiente </w:t>
            </w:r>
            <w:r>
              <w:rPr>
                <w:sz w:val="20"/>
              </w:rPr>
              <w:t>cuantitativa discreta</w:t>
            </w:r>
          </w:p>
        </w:tc>
        <w:tc>
          <w:tcPr>
            <w:tcW w:w="1222" w:type="dxa"/>
          </w:tcPr>
          <w:p>
            <w:pPr>
              <w:pStyle w:val="TableParagraph"/>
              <w:spacing w:line="227" w:lineRule="exact"/>
              <w:ind w:left="103"/>
              <w:rPr>
                <w:sz w:val="20"/>
              </w:rPr>
            </w:pPr>
            <w:r>
              <w:rPr>
                <w:sz w:val="20"/>
              </w:rPr>
              <w:t>Intervalo</w:t>
            </w:r>
          </w:p>
        </w:tc>
        <w:tc>
          <w:tcPr>
            <w:tcW w:w="1531" w:type="dxa"/>
          </w:tcPr>
          <w:p>
            <w:pPr>
              <w:pStyle w:val="TableParagraph"/>
              <w:spacing w:line="227" w:lineRule="exact"/>
              <w:ind w:left="103" w:right="265"/>
              <w:rPr>
                <w:sz w:val="20"/>
              </w:rPr>
            </w:pPr>
            <w:r>
              <w:rPr>
                <w:sz w:val="20"/>
              </w:rPr>
              <w:t>Nanómetros</w:t>
            </w:r>
          </w:p>
        </w:tc>
      </w:tr>
      <w:tr>
        <w:trPr>
          <w:trHeight w:val="360" w:hRule="exact"/>
        </w:trPr>
        <w:tc>
          <w:tcPr>
            <w:tcW w:w="2729" w:type="dxa"/>
          </w:tcPr>
          <w:p>
            <w:pPr>
              <w:pStyle w:val="TableParagraph"/>
              <w:spacing w:line="227" w:lineRule="exact"/>
              <w:ind w:left="103" w:right="103"/>
              <w:rPr>
                <w:b/>
                <w:sz w:val="20"/>
              </w:rPr>
            </w:pPr>
            <w:r>
              <w:rPr>
                <w:b/>
                <w:sz w:val="20"/>
              </w:rPr>
              <w:t>DEPENDIENTE</w:t>
            </w:r>
          </w:p>
        </w:tc>
        <w:tc>
          <w:tcPr>
            <w:tcW w:w="2996" w:type="dxa"/>
          </w:tcPr>
          <w:p>
            <w:pPr/>
          </w:p>
        </w:tc>
        <w:tc>
          <w:tcPr>
            <w:tcW w:w="3060" w:type="dxa"/>
          </w:tcPr>
          <w:p>
            <w:pPr/>
          </w:p>
        </w:tc>
        <w:tc>
          <w:tcPr>
            <w:tcW w:w="1529" w:type="dxa"/>
          </w:tcPr>
          <w:p>
            <w:pPr/>
          </w:p>
        </w:tc>
        <w:tc>
          <w:tcPr>
            <w:tcW w:w="1222" w:type="dxa"/>
          </w:tcPr>
          <w:p>
            <w:pPr/>
          </w:p>
        </w:tc>
        <w:tc>
          <w:tcPr>
            <w:tcW w:w="1531" w:type="dxa"/>
          </w:tcPr>
          <w:p>
            <w:pPr/>
          </w:p>
        </w:tc>
      </w:tr>
      <w:tr>
        <w:trPr>
          <w:trHeight w:val="2081" w:hRule="exact"/>
        </w:trPr>
        <w:tc>
          <w:tcPr>
            <w:tcW w:w="2729" w:type="dxa"/>
          </w:tcPr>
          <w:p>
            <w:pPr>
              <w:pStyle w:val="TableParagraph"/>
              <w:spacing w:line="360" w:lineRule="auto"/>
              <w:ind w:left="823" w:right="103" w:hanging="360"/>
              <w:jc w:val="both"/>
              <w:rPr>
                <w:i/>
                <w:sz w:val="20"/>
              </w:rPr>
            </w:pPr>
            <w:r>
              <w:rPr>
                <w:sz w:val="20"/>
              </w:rPr>
              <w:t>9. Efecto inhibitorio de Np-Ag sintetizadas por </w:t>
            </w:r>
            <w:r>
              <w:rPr>
                <w:i/>
                <w:sz w:val="20"/>
              </w:rPr>
              <w:t>Heterotheca </w:t>
            </w:r>
            <w:r>
              <w:rPr>
                <w:i/>
                <w:sz w:val="20"/>
              </w:rPr>
              <w:t>inuloides </w:t>
            </w:r>
            <w:r>
              <w:rPr>
                <w:sz w:val="20"/>
              </w:rPr>
              <w:t>sobre </w:t>
            </w:r>
            <w:r>
              <w:rPr>
                <w:i/>
                <w:sz w:val="20"/>
              </w:rPr>
              <w:t>S. </w:t>
            </w:r>
            <w:r>
              <w:rPr>
                <w:i/>
                <w:sz w:val="20"/>
              </w:rPr>
              <w:t>mutans </w:t>
            </w:r>
            <w:r>
              <w:rPr>
                <w:sz w:val="20"/>
              </w:rPr>
              <w:t>y sobre </w:t>
            </w:r>
            <w:r>
              <w:rPr>
                <w:i/>
                <w:sz w:val="20"/>
              </w:rPr>
              <w:t>L. </w:t>
            </w:r>
            <w:r>
              <w:rPr>
                <w:i/>
                <w:sz w:val="20"/>
              </w:rPr>
              <w:t>casei</w:t>
            </w:r>
          </w:p>
        </w:tc>
        <w:tc>
          <w:tcPr>
            <w:tcW w:w="2996" w:type="dxa"/>
          </w:tcPr>
          <w:p>
            <w:pPr>
              <w:pStyle w:val="TableParagraph"/>
              <w:spacing w:line="360" w:lineRule="auto"/>
              <w:ind w:left="103" w:right="103"/>
              <w:jc w:val="both"/>
              <w:rPr>
                <w:sz w:val="20"/>
              </w:rPr>
            </w:pPr>
            <w:r>
              <w:rPr>
                <w:i/>
                <w:sz w:val="20"/>
              </w:rPr>
              <w:t>Heterotheca inuloides: </w:t>
            </w:r>
            <w:r>
              <w:rPr>
                <w:sz w:val="20"/>
              </w:rPr>
              <w:t>planta de té perteneciente a la especie </w:t>
            </w:r>
            <w:r>
              <w:rPr>
                <w:i/>
                <w:sz w:val="20"/>
              </w:rPr>
              <w:t>Heterotheca inuloides</w:t>
            </w:r>
            <w:r>
              <w:rPr>
                <w:sz w:val="20"/>
              </w:rPr>
              <w:t>, cuyas hojas y brotes se utilizan</w:t>
            </w:r>
          </w:p>
          <w:p>
            <w:pPr>
              <w:pStyle w:val="TableParagraph"/>
              <w:spacing w:line="234" w:lineRule="exact"/>
              <w:ind w:left="103"/>
              <w:jc w:val="both"/>
              <w:rPr>
                <w:sz w:val="13"/>
              </w:rPr>
            </w:pPr>
            <w:r>
              <w:rPr>
                <w:sz w:val="20"/>
              </w:rPr>
              <w:t>para elaborar infusiones </w:t>
            </w:r>
            <w:r>
              <w:rPr>
                <w:position w:val="10"/>
                <w:sz w:val="13"/>
              </w:rPr>
              <w:t>106</w:t>
            </w:r>
          </w:p>
        </w:tc>
        <w:tc>
          <w:tcPr>
            <w:tcW w:w="3060" w:type="dxa"/>
          </w:tcPr>
          <w:p>
            <w:pPr>
              <w:pStyle w:val="TableParagraph"/>
              <w:spacing w:line="360" w:lineRule="auto"/>
              <w:ind w:left="100" w:right="105"/>
              <w:jc w:val="both"/>
              <w:rPr>
                <w:i/>
                <w:sz w:val="20"/>
              </w:rPr>
            </w:pPr>
            <w:r>
              <w:rPr>
                <w:sz w:val="20"/>
              </w:rPr>
              <w:t>Medición de los milímetros que abarca la zona de inhibición producida por Np-Ag sintetizadas por </w:t>
            </w:r>
            <w:r>
              <w:rPr>
                <w:i/>
                <w:sz w:val="20"/>
              </w:rPr>
              <w:t>Heterotheca </w:t>
            </w:r>
            <w:r>
              <w:rPr>
                <w:i/>
                <w:sz w:val="20"/>
              </w:rPr>
              <w:t>inuloides</w:t>
            </w:r>
          </w:p>
        </w:tc>
        <w:tc>
          <w:tcPr>
            <w:tcW w:w="1529" w:type="dxa"/>
          </w:tcPr>
          <w:p>
            <w:pPr>
              <w:pStyle w:val="TableParagraph"/>
              <w:spacing w:line="357" w:lineRule="auto"/>
              <w:ind w:left="100"/>
              <w:rPr>
                <w:sz w:val="20"/>
              </w:rPr>
            </w:pPr>
            <w:r>
              <w:rPr>
                <w:w w:val="95"/>
                <w:sz w:val="20"/>
              </w:rPr>
              <w:t>Dependiente </w:t>
            </w:r>
            <w:r>
              <w:rPr>
                <w:sz w:val="20"/>
              </w:rPr>
              <w:t>cuantitativa</w:t>
            </w:r>
          </w:p>
        </w:tc>
        <w:tc>
          <w:tcPr>
            <w:tcW w:w="1222" w:type="dxa"/>
          </w:tcPr>
          <w:p>
            <w:pPr>
              <w:pStyle w:val="TableParagraph"/>
              <w:spacing w:line="230" w:lineRule="exact"/>
              <w:ind w:left="103"/>
              <w:rPr>
                <w:sz w:val="20"/>
              </w:rPr>
            </w:pPr>
            <w:r>
              <w:rPr>
                <w:sz w:val="20"/>
              </w:rPr>
              <w:t>Continua</w:t>
            </w:r>
          </w:p>
        </w:tc>
        <w:tc>
          <w:tcPr>
            <w:tcW w:w="1531" w:type="dxa"/>
          </w:tcPr>
          <w:p>
            <w:pPr>
              <w:pStyle w:val="TableParagraph"/>
              <w:spacing w:line="230" w:lineRule="exact"/>
              <w:ind w:left="103" w:right="265"/>
              <w:rPr>
                <w:sz w:val="20"/>
              </w:rPr>
            </w:pPr>
            <w:r>
              <w:rPr>
                <w:sz w:val="20"/>
              </w:rPr>
              <w:t>Milímetros</w:t>
            </w:r>
          </w:p>
        </w:tc>
      </w:tr>
      <w:tr>
        <w:trPr>
          <w:trHeight w:val="2081" w:hRule="exact"/>
        </w:trPr>
        <w:tc>
          <w:tcPr>
            <w:tcW w:w="2729" w:type="dxa"/>
          </w:tcPr>
          <w:p>
            <w:pPr>
              <w:pStyle w:val="TableParagraph"/>
              <w:tabs>
                <w:tab w:pos="1836" w:val="left" w:leader="none"/>
              </w:tabs>
              <w:spacing w:line="360" w:lineRule="auto"/>
              <w:ind w:left="823" w:right="103" w:hanging="360"/>
              <w:jc w:val="both"/>
              <w:rPr>
                <w:i/>
                <w:sz w:val="20"/>
              </w:rPr>
            </w:pPr>
            <w:r>
              <w:rPr>
                <w:sz w:val="20"/>
              </w:rPr>
              <w:t>10. Efecto inhibitorio de Np-Ag sintetizadas por</w:t>
              <w:tab/>
            </w:r>
            <w:r>
              <w:rPr>
                <w:i/>
                <w:sz w:val="20"/>
              </w:rPr>
              <w:t>Camellia </w:t>
            </w:r>
            <w:r>
              <w:rPr>
                <w:i/>
                <w:sz w:val="20"/>
              </w:rPr>
              <w:t>sinensis </w:t>
            </w:r>
            <w:r>
              <w:rPr>
                <w:sz w:val="20"/>
              </w:rPr>
              <w:t>sobre </w:t>
            </w:r>
            <w:r>
              <w:rPr>
                <w:i/>
                <w:sz w:val="20"/>
              </w:rPr>
              <w:t>S. </w:t>
            </w:r>
            <w:r>
              <w:rPr>
                <w:i/>
                <w:sz w:val="20"/>
              </w:rPr>
              <w:t>mutans </w:t>
            </w:r>
            <w:r>
              <w:rPr>
                <w:sz w:val="20"/>
              </w:rPr>
              <w:t>y sobre </w:t>
            </w:r>
            <w:r>
              <w:rPr>
                <w:i/>
                <w:sz w:val="20"/>
              </w:rPr>
              <w:t>L. </w:t>
            </w:r>
            <w:r>
              <w:rPr>
                <w:i/>
                <w:sz w:val="20"/>
              </w:rPr>
              <w:t>casei</w:t>
            </w:r>
          </w:p>
        </w:tc>
        <w:tc>
          <w:tcPr>
            <w:tcW w:w="2996" w:type="dxa"/>
          </w:tcPr>
          <w:p>
            <w:pPr>
              <w:pStyle w:val="TableParagraph"/>
              <w:spacing w:line="360" w:lineRule="auto"/>
              <w:ind w:left="103" w:right="103"/>
              <w:jc w:val="both"/>
              <w:rPr>
                <w:sz w:val="20"/>
              </w:rPr>
            </w:pPr>
            <w:r>
              <w:rPr>
                <w:i/>
                <w:sz w:val="20"/>
              </w:rPr>
              <w:t>Camellia sinensis: </w:t>
            </w:r>
            <w:r>
              <w:rPr>
                <w:sz w:val="20"/>
              </w:rPr>
              <w:t>planta de té perteneciente a la especie </w:t>
            </w:r>
            <w:r>
              <w:rPr>
                <w:i/>
                <w:sz w:val="20"/>
              </w:rPr>
              <w:t>Camellia sinensis</w:t>
            </w:r>
            <w:r>
              <w:rPr>
                <w:sz w:val="20"/>
              </w:rPr>
              <w:t>, cuyas hojas</w:t>
            </w:r>
          </w:p>
          <w:p>
            <w:pPr>
              <w:pStyle w:val="TableParagraph"/>
              <w:spacing w:line="324" w:lineRule="auto" w:before="4"/>
              <w:ind w:left="103" w:right="105"/>
              <w:jc w:val="both"/>
              <w:rPr>
                <w:sz w:val="13"/>
              </w:rPr>
            </w:pPr>
            <w:r>
              <w:rPr>
                <w:sz w:val="20"/>
              </w:rPr>
              <w:t>y brotes se utilizan para elaborar infusiones </w:t>
            </w:r>
            <w:r>
              <w:rPr>
                <w:position w:val="10"/>
                <w:sz w:val="13"/>
              </w:rPr>
              <w:t>106</w:t>
            </w:r>
          </w:p>
        </w:tc>
        <w:tc>
          <w:tcPr>
            <w:tcW w:w="3060" w:type="dxa"/>
          </w:tcPr>
          <w:p>
            <w:pPr>
              <w:pStyle w:val="TableParagraph"/>
              <w:spacing w:line="360" w:lineRule="auto"/>
              <w:ind w:left="100" w:right="105"/>
              <w:jc w:val="both"/>
              <w:rPr>
                <w:i/>
                <w:sz w:val="20"/>
              </w:rPr>
            </w:pPr>
            <w:r>
              <w:rPr>
                <w:sz w:val="20"/>
              </w:rPr>
              <w:t>Medición de los milímetros que abarca la zona de inhibición producida por Np-Ag sintetizadas por </w:t>
            </w:r>
            <w:r>
              <w:rPr>
                <w:i/>
                <w:sz w:val="20"/>
              </w:rPr>
              <w:t>Camellia </w:t>
            </w:r>
            <w:r>
              <w:rPr>
                <w:i/>
                <w:sz w:val="20"/>
              </w:rPr>
              <w:t>sinensis</w:t>
            </w:r>
          </w:p>
        </w:tc>
        <w:tc>
          <w:tcPr>
            <w:tcW w:w="1529" w:type="dxa"/>
          </w:tcPr>
          <w:p>
            <w:pPr>
              <w:pStyle w:val="TableParagraph"/>
              <w:spacing w:line="360" w:lineRule="auto"/>
              <w:ind w:left="100"/>
              <w:rPr>
                <w:sz w:val="20"/>
              </w:rPr>
            </w:pPr>
            <w:r>
              <w:rPr>
                <w:w w:val="95"/>
                <w:sz w:val="20"/>
              </w:rPr>
              <w:t>Dependiente </w:t>
            </w:r>
            <w:r>
              <w:rPr>
                <w:sz w:val="20"/>
              </w:rPr>
              <w:t>cuantitativa</w:t>
            </w:r>
          </w:p>
        </w:tc>
        <w:tc>
          <w:tcPr>
            <w:tcW w:w="1222" w:type="dxa"/>
          </w:tcPr>
          <w:p>
            <w:pPr>
              <w:pStyle w:val="TableParagraph"/>
              <w:spacing w:line="227" w:lineRule="exact"/>
              <w:ind w:left="103"/>
              <w:rPr>
                <w:sz w:val="20"/>
              </w:rPr>
            </w:pPr>
            <w:r>
              <w:rPr>
                <w:sz w:val="20"/>
              </w:rPr>
              <w:t>Continua</w:t>
            </w:r>
          </w:p>
        </w:tc>
        <w:tc>
          <w:tcPr>
            <w:tcW w:w="1531" w:type="dxa"/>
          </w:tcPr>
          <w:p>
            <w:pPr>
              <w:pStyle w:val="TableParagraph"/>
              <w:spacing w:line="227" w:lineRule="exact"/>
              <w:ind w:left="103" w:right="265"/>
              <w:rPr>
                <w:sz w:val="20"/>
              </w:rPr>
            </w:pPr>
            <w:r>
              <w:rPr>
                <w:sz w:val="20"/>
              </w:rPr>
              <w:t>Milímetros</w:t>
            </w:r>
          </w:p>
        </w:tc>
      </w:tr>
      <w:tr>
        <w:trPr>
          <w:trHeight w:val="698" w:hRule="exact"/>
        </w:trPr>
        <w:tc>
          <w:tcPr>
            <w:tcW w:w="2729" w:type="dxa"/>
          </w:tcPr>
          <w:p>
            <w:pPr>
              <w:pStyle w:val="TableParagraph"/>
              <w:spacing w:line="360" w:lineRule="auto"/>
              <w:ind w:left="823" w:right="97" w:hanging="360"/>
              <w:rPr>
                <w:sz w:val="20"/>
              </w:rPr>
            </w:pPr>
            <w:r>
              <w:rPr>
                <w:sz w:val="20"/>
              </w:rPr>
              <w:t>11. Efecto inhibitorio de Clorhexidina   sobre</w:t>
            </w:r>
          </w:p>
        </w:tc>
        <w:tc>
          <w:tcPr>
            <w:tcW w:w="2996" w:type="dxa"/>
          </w:tcPr>
          <w:p>
            <w:pPr>
              <w:pStyle w:val="TableParagraph"/>
              <w:tabs>
                <w:tab w:pos="1258" w:val="left" w:leader="none"/>
                <w:tab w:pos="1780" w:val="left" w:leader="none"/>
                <w:tab w:pos="2268" w:val="left" w:leader="none"/>
              </w:tabs>
              <w:spacing w:line="360" w:lineRule="auto"/>
              <w:ind w:left="103" w:right="103"/>
              <w:rPr>
                <w:sz w:val="20"/>
              </w:rPr>
            </w:pPr>
            <w:r>
              <w:rPr>
                <w:sz w:val="20"/>
              </w:rPr>
              <w:t>Clorhexidina:</w:t>
              <w:tab/>
              <w:tab/>
              <w:t>agente antiséptico</w:t>
              <w:tab/>
              <w:t>con</w:t>
              <w:tab/>
              <w:t>propiedades</w:t>
            </w:r>
          </w:p>
        </w:tc>
        <w:tc>
          <w:tcPr>
            <w:tcW w:w="3060" w:type="dxa"/>
          </w:tcPr>
          <w:p>
            <w:pPr>
              <w:pStyle w:val="TableParagraph"/>
              <w:spacing w:line="360" w:lineRule="auto"/>
              <w:ind w:left="100"/>
              <w:rPr>
                <w:sz w:val="20"/>
              </w:rPr>
            </w:pPr>
            <w:r>
              <w:rPr>
                <w:sz w:val="20"/>
              </w:rPr>
              <w:t>Medición de los milímetros que abarca   la   zona   de inhibición</w:t>
            </w:r>
          </w:p>
        </w:tc>
        <w:tc>
          <w:tcPr>
            <w:tcW w:w="1529" w:type="dxa"/>
          </w:tcPr>
          <w:p>
            <w:pPr>
              <w:pStyle w:val="TableParagraph"/>
              <w:spacing w:line="360" w:lineRule="auto"/>
              <w:ind w:left="100"/>
              <w:rPr>
                <w:sz w:val="20"/>
              </w:rPr>
            </w:pPr>
            <w:r>
              <w:rPr>
                <w:w w:val="95"/>
                <w:sz w:val="20"/>
              </w:rPr>
              <w:t>Dependiente </w:t>
            </w:r>
            <w:r>
              <w:rPr>
                <w:sz w:val="20"/>
              </w:rPr>
              <w:t>cuantitativa</w:t>
            </w:r>
          </w:p>
        </w:tc>
        <w:tc>
          <w:tcPr>
            <w:tcW w:w="1222" w:type="dxa"/>
          </w:tcPr>
          <w:p>
            <w:pPr>
              <w:pStyle w:val="TableParagraph"/>
              <w:spacing w:line="227" w:lineRule="exact"/>
              <w:ind w:left="103"/>
              <w:rPr>
                <w:sz w:val="20"/>
              </w:rPr>
            </w:pPr>
            <w:r>
              <w:rPr>
                <w:sz w:val="20"/>
              </w:rPr>
              <w:t>Continua</w:t>
            </w:r>
          </w:p>
        </w:tc>
        <w:tc>
          <w:tcPr>
            <w:tcW w:w="1531" w:type="dxa"/>
          </w:tcPr>
          <w:p>
            <w:pPr>
              <w:pStyle w:val="TableParagraph"/>
              <w:spacing w:line="227" w:lineRule="exact"/>
              <w:ind w:left="103" w:right="265"/>
              <w:rPr>
                <w:sz w:val="20"/>
              </w:rPr>
            </w:pPr>
            <w:r>
              <w:rPr>
                <w:sz w:val="20"/>
              </w:rPr>
              <w:t>Milímetros</w:t>
            </w:r>
          </w:p>
        </w:tc>
      </w:tr>
    </w:tbl>
    <w:p>
      <w:pPr>
        <w:spacing w:after="0" w:line="227" w:lineRule="exact"/>
        <w:rPr>
          <w:sz w:val="20"/>
        </w:rPr>
        <w:sectPr>
          <w:pgSz w:w="15840" w:h="12240" w:orient="landscape"/>
          <w:pgMar w:header="739" w:footer="1024" w:top="1000" w:bottom="1220" w:left="1280" w:right="1260"/>
        </w:sectPr>
      </w:pPr>
    </w:p>
    <w:p>
      <w:pPr>
        <w:pStyle w:val="BodyText"/>
        <w:rPr>
          <w:rFonts w:ascii="Times New Roman"/>
          <w:sz w:val="20"/>
        </w:rPr>
      </w:pPr>
    </w:p>
    <w:p>
      <w:pPr>
        <w:pStyle w:val="BodyText"/>
        <w:spacing w:before="2"/>
        <w:rPr>
          <w:rFonts w:ascii="Times New Roman"/>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9"/>
        <w:gridCol w:w="2996"/>
        <w:gridCol w:w="3060"/>
        <w:gridCol w:w="1529"/>
        <w:gridCol w:w="1222"/>
        <w:gridCol w:w="1531"/>
      </w:tblGrid>
      <w:tr>
        <w:trPr>
          <w:trHeight w:val="1735" w:hRule="exact"/>
        </w:trPr>
        <w:tc>
          <w:tcPr>
            <w:tcW w:w="2729" w:type="dxa"/>
          </w:tcPr>
          <w:p>
            <w:pPr>
              <w:pStyle w:val="TableParagraph"/>
              <w:spacing w:line="225" w:lineRule="exact"/>
              <w:ind w:left="823"/>
              <w:rPr>
                <w:sz w:val="20"/>
              </w:rPr>
            </w:pPr>
            <w:r>
              <w:rPr>
                <w:i/>
                <w:sz w:val="20"/>
              </w:rPr>
              <w:t>S.  mutans  </w:t>
            </w:r>
            <w:r>
              <w:rPr>
                <w:sz w:val="20"/>
              </w:rPr>
              <w:t>y  sobre</w:t>
            </w:r>
          </w:p>
          <w:p>
            <w:pPr>
              <w:pStyle w:val="TableParagraph"/>
              <w:spacing w:before="115"/>
              <w:ind w:left="823" w:right="103"/>
              <w:rPr>
                <w:i/>
                <w:sz w:val="20"/>
              </w:rPr>
            </w:pPr>
            <w:r>
              <w:rPr>
                <w:i/>
                <w:sz w:val="20"/>
              </w:rPr>
              <w:t>L. casei</w:t>
            </w:r>
          </w:p>
        </w:tc>
        <w:tc>
          <w:tcPr>
            <w:tcW w:w="2996" w:type="dxa"/>
          </w:tcPr>
          <w:p>
            <w:pPr>
              <w:pStyle w:val="TableParagraph"/>
              <w:tabs>
                <w:tab w:pos="1412" w:val="left" w:leader="none"/>
                <w:tab w:pos="2381" w:val="left" w:leader="none"/>
              </w:tabs>
              <w:spacing w:line="360" w:lineRule="auto"/>
              <w:ind w:left="103" w:right="103"/>
              <w:rPr>
                <w:sz w:val="20"/>
              </w:rPr>
            </w:pPr>
            <w:r>
              <w:rPr>
                <w:sz w:val="20"/>
              </w:rPr>
              <w:t>bacteriostáticas y bactericidas; con  </w:t>
            </w:r>
            <w:r>
              <w:rPr>
                <w:spacing w:val="29"/>
                <w:sz w:val="20"/>
              </w:rPr>
              <w:t> </w:t>
            </w:r>
            <w:r>
              <w:rPr>
                <w:sz w:val="20"/>
              </w:rPr>
              <w:t>amplio</w:t>
              <w:tab/>
              <w:t>espectro</w:t>
              <w:tab/>
              <w:t>sobre</w:t>
            </w:r>
          </w:p>
          <w:p>
            <w:pPr>
              <w:pStyle w:val="TableParagraph"/>
              <w:tabs>
                <w:tab w:pos="903" w:val="left" w:leader="none"/>
                <w:tab w:pos="1982" w:val="left" w:leader="none"/>
                <w:tab w:pos="2378" w:val="left" w:leader="none"/>
              </w:tabs>
              <w:spacing w:line="321" w:lineRule="auto" w:before="4"/>
              <w:ind w:left="103" w:right="106"/>
              <w:rPr>
                <w:sz w:val="13"/>
              </w:rPr>
            </w:pPr>
            <w:r>
              <w:rPr>
                <w:sz w:val="20"/>
              </w:rPr>
              <w:t>Gram</w:t>
              <w:tab/>
              <w:t>positivos</w:t>
              <w:tab/>
              <w:t>y</w:t>
              <w:tab/>
              <w:t>Gram negativos. </w:t>
            </w:r>
            <w:r>
              <w:rPr>
                <w:position w:val="10"/>
                <w:sz w:val="13"/>
              </w:rPr>
              <w:t>6, 42,</w:t>
            </w:r>
            <w:r>
              <w:rPr>
                <w:spacing w:val="-9"/>
                <w:position w:val="10"/>
                <w:sz w:val="13"/>
              </w:rPr>
              <w:t> </w:t>
            </w:r>
            <w:r>
              <w:rPr>
                <w:position w:val="10"/>
                <w:sz w:val="13"/>
              </w:rPr>
              <w:t>45</w:t>
            </w:r>
          </w:p>
        </w:tc>
        <w:tc>
          <w:tcPr>
            <w:tcW w:w="3060" w:type="dxa"/>
          </w:tcPr>
          <w:p>
            <w:pPr>
              <w:pStyle w:val="TableParagraph"/>
              <w:spacing w:line="360" w:lineRule="auto"/>
              <w:ind w:left="100"/>
              <w:rPr>
                <w:sz w:val="20"/>
              </w:rPr>
            </w:pPr>
            <w:r>
              <w:rPr>
                <w:sz w:val="20"/>
              </w:rPr>
              <w:t>producida por la solución de Clorhexidina</w:t>
            </w:r>
          </w:p>
        </w:tc>
        <w:tc>
          <w:tcPr>
            <w:tcW w:w="1529" w:type="dxa"/>
          </w:tcPr>
          <w:p>
            <w:pPr/>
          </w:p>
        </w:tc>
        <w:tc>
          <w:tcPr>
            <w:tcW w:w="1222" w:type="dxa"/>
          </w:tcPr>
          <w:p>
            <w:pPr/>
          </w:p>
        </w:tc>
        <w:tc>
          <w:tcPr>
            <w:tcW w:w="1531" w:type="dxa"/>
          </w:tcPr>
          <w:p>
            <w:pPr/>
          </w:p>
        </w:tc>
      </w:tr>
    </w:tbl>
    <w:p>
      <w:pPr>
        <w:spacing w:after="0"/>
        <w:sectPr>
          <w:pgSz w:w="15840" w:h="12240" w:orient="landscape"/>
          <w:pgMar w:header="739" w:footer="1024" w:top="1000" w:bottom="1220" w:left="1280" w:right="1260"/>
        </w:sectPr>
      </w:pPr>
    </w:p>
    <w:p>
      <w:pPr>
        <w:pStyle w:val="BodyText"/>
        <w:spacing w:before="11"/>
        <w:rPr>
          <w:rFonts w:ascii="Times New Roman"/>
          <w:sz w:val="16"/>
        </w:rPr>
      </w:pPr>
    </w:p>
    <w:p>
      <w:pPr>
        <w:pStyle w:val="Heading2"/>
        <w:numPr>
          <w:ilvl w:val="1"/>
          <w:numId w:val="11"/>
        </w:numPr>
        <w:tabs>
          <w:tab w:pos="1646" w:val="left" w:leader="none"/>
        </w:tabs>
        <w:spacing w:line="240" w:lineRule="auto" w:before="69" w:after="0"/>
        <w:ind w:left="1646" w:right="0" w:hanging="406"/>
        <w:jc w:val="left"/>
      </w:pPr>
      <w:r>
        <w:rPr/>
        <w:t>MATERIALES Y</w:t>
      </w:r>
      <w:r>
        <w:rPr>
          <w:spacing w:val="-6"/>
        </w:rPr>
        <w:t> </w:t>
      </w:r>
      <w:r>
        <w:rPr/>
        <w:t>MÉTODOS</w:t>
      </w:r>
    </w:p>
    <w:p>
      <w:pPr>
        <w:pStyle w:val="BodyText"/>
        <w:rPr>
          <w:b/>
        </w:rPr>
      </w:pPr>
    </w:p>
    <w:p>
      <w:pPr>
        <w:spacing w:before="0"/>
        <w:ind w:left="1240" w:right="270" w:firstLine="0"/>
        <w:jc w:val="left"/>
        <w:rPr>
          <w:b/>
          <w:sz w:val="24"/>
        </w:rPr>
      </w:pPr>
      <w:r>
        <w:rPr>
          <w:b/>
          <w:sz w:val="24"/>
        </w:rPr>
        <w:t>8.2.1   EQUIPO Y MATERIALES</w:t>
      </w:r>
    </w:p>
    <w:p>
      <w:pPr>
        <w:pStyle w:val="BodyText"/>
        <w:rPr>
          <w:b/>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b/>
          <w:sz w:val="24"/>
        </w:rPr>
      </w:pPr>
      <w:r>
        <w:rPr>
          <w:b/>
          <w:sz w:val="24"/>
        </w:rPr>
        <w:t>Equipo. Etapa</w:t>
      </w:r>
      <w:r>
        <w:rPr>
          <w:b/>
          <w:spacing w:val="-4"/>
          <w:sz w:val="24"/>
        </w:rPr>
        <w:t> </w:t>
      </w:r>
      <w:r>
        <w:rPr>
          <w:b/>
          <w:sz w:val="24"/>
        </w:rPr>
        <w:t>1:</w:t>
      </w:r>
    </w:p>
    <w:p>
      <w:pPr>
        <w:pStyle w:val="BodyText"/>
        <w:spacing w:before="10"/>
        <w:rPr>
          <w:b/>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hAnsi="Symbol"/>
          <w:sz w:val="24"/>
        </w:rPr>
      </w:pPr>
      <w:r>
        <w:rPr>
          <w:sz w:val="24"/>
        </w:rPr>
        <w:t>Balanza analítica (Explorer Pro Model EP213C, OHAUS</w:t>
      </w:r>
      <w:r>
        <w:rPr>
          <w:spacing w:val="-14"/>
          <w:sz w:val="24"/>
        </w:rPr>
        <w:t> </w:t>
      </w:r>
      <w:r>
        <w:rPr>
          <w:sz w:val="24"/>
        </w:rPr>
        <w:t>Co).</w:t>
      </w:r>
    </w:p>
    <w:p>
      <w:pPr>
        <w:pStyle w:val="BodyText"/>
        <w:spacing w:before="7"/>
        <w:rPr>
          <w:sz w:val="23"/>
        </w:rPr>
      </w:pPr>
    </w:p>
    <w:p>
      <w:pPr>
        <w:pStyle w:val="ListParagraph"/>
        <w:numPr>
          <w:ilvl w:val="1"/>
          <w:numId w:val="8"/>
        </w:numPr>
        <w:tabs>
          <w:tab w:pos="880" w:val="left" w:leader="none"/>
          <w:tab w:pos="881" w:val="left" w:leader="none"/>
        </w:tabs>
        <w:spacing w:line="240" w:lineRule="auto" w:before="1" w:after="0"/>
        <w:ind w:left="880" w:right="0" w:hanging="360"/>
        <w:jc w:val="left"/>
        <w:rPr>
          <w:rFonts w:ascii="Symbol" w:hAnsi="Symbol"/>
          <w:sz w:val="24"/>
        </w:rPr>
      </w:pPr>
      <w:r>
        <w:rPr>
          <w:sz w:val="24"/>
        </w:rPr>
        <w:t>2 parrillas electromagnéticas. (Thermo Scientific</w:t>
      </w:r>
      <w:r>
        <w:rPr>
          <w:spacing w:val="-13"/>
          <w:sz w:val="24"/>
        </w:rPr>
        <w:t> </w:t>
      </w:r>
      <w:r>
        <w:rPr>
          <w:sz w:val="24"/>
        </w:rPr>
        <w:t>Cimarec)</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sz w:val="24"/>
        </w:rPr>
      </w:pPr>
      <w:r>
        <w:rPr>
          <w:sz w:val="24"/>
        </w:rPr>
        <w:t>1 sonicador (Bransonic Ultrasonic Cleaner</w:t>
      </w:r>
      <w:r>
        <w:rPr>
          <w:spacing w:val="-16"/>
          <w:sz w:val="24"/>
        </w:rPr>
        <w:t> </w:t>
      </w:r>
      <w:r>
        <w:rPr>
          <w:sz w:val="24"/>
        </w:rPr>
        <w:t>2510)</w:t>
      </w:r>
    </w:p>
    <w:p>
      <w:pPr>
        <w:pStyle w:val="BodyText"/>
        <w:spacing w:before="10"/>
        <w:rPr>
          <w:sz w:val="23"/>
        </w:rPr>
      </w:pPr>
    </w:p>
    <w:p>
      <w:pPr>
        <w:pStyle w:val="Heading2"/>
        <w:numPr>
          <w:ilvl w:val="1"/>
          <w:numId w:val="8"/>
        </w:numPr>
        <w:tabs>
          <w:tab w:pos="880" w:val="left" w:leader="none"/>
          <w:tab w:pos="881" w:val="left" w:leader="none"/>
        </w:tabs>
        <w:spacing w:line="240" w:lineRule="auto" w:before="0" w:after="0"/>
        <w:ind w:left="880" w:right="0" w:hanging="360"/>
        <w:jc w:val="left"/>
        <w:rPr>
          <w:rFonts w:ascii="Symbol"/>
        </w:rPr>
      </w:pPr>
      <w:r>
        <w:rPr/>
        <w:t>Etapa</w:t>
      </w:r>
      <w:r>
        <w:rPr>
          <w:spacing w:val="-2"/>
        </w:rPr>
        <w:t> </w:t>
      </w:r>
      <w:r>
        <w:rPr/>
        <w:t>2:</w:t>
      </w:r>
    </w:p>
    <w:p>
      <w:pPr>
        <w:pStyle w:val="BodyText"/>
        <w:spacing w:before="10"/>
        <w:rPr>
          <w:b/>
          <w:sz w:val="23"/>
        </w:rPr>
      </w:pPr>
    </w:p>
    <w:p>
      <w:pPr>
        <w:pStyle w:val="ListParagraph"/>
        <w:numPr>
          <w:ilvl w:val="1"/>
          <w:numId w:val="8"/>
        </w:numPr>
        <w:tabs>
          <w:tab w:pos="880" w:val="left" w:leader="none"/>
          <w:tab w:pos="881" w:val="left" w:leader="none"/>
        </w:tabs>
        <w:spacing w:line="460" w:lineRule="auto" w:before="1" w:after="0"/>
        <w:ind w:left="880" w:right="1665" w:hanging="360"/>
        <w:jc w:val="left"/>
        <w:rPr>
          <w:rFonts w:ascii="Symbol" w:hAnsi="Symbol"/>
          <w:sz w:val="24"/>
        </w:rPr>
      </w:pPr>
      <w:r>
        <w:rPr>
          <w:sz w:val="24"/>
        </w:rPr>
        <w:t>Espectrofotómetro de Luz ultravioleta (Boeco Germany Model S-26 Spectophototemer)</w:t>
      </w:r>
    </w:p>
    <w:p>
      <w:pPr>
        <w:pStyle w:val="ListParagraph"/>
        <w:numPr>
          <w:ilvl w:val="1"/>
          <w:numId w:val="8"/>
        </w:numPr>
        <w:tabs>
          <w:tab w:pos="880" w:val="left" w:leader="none"/>
          <w:tab w:pos="881" w:val="left" w:leader="none"/>
        </w:tabs>
        <w:spacing w:line="463" w:lineRule="auto" w:before="30" w:after="0"/>
        <w:ind w:left="880" w:right="175" w:hanging="360"/>
        <w:jc w:val="left"/>
        <w:rPr>
          <w:rFonts w:ascii="Symbol" w:hAnsi="Symbol"/>
          <w:sz w:val="24"/>
        </w:rPr>
      </w:pPr>
      <w:r>
        <w:rPr>
          <w:sz w:val="24"/>
        </w:rPr>
        <w:t>Microscopio electrónico de barrido (MEB) (Scanning Electron Microscope JEOL, JSM-6510LV)</w:t>
      </w:r>
    </w:p>
    <w:p>
      <w:pPr>
        <w:pStyle w:val="ListParagraph"/>
        <w:numPr>
          <w:ilvl w:val="1"/>
          <w:numId w:val="8"/>
        </w:numPr>
        <w:tabs>
          <w:tab w:pos="880" w:val="left" w:leader="none"/>
          <w:tab w:pos="881" w:val="left" w:leader="none"/>
        </w:tabs>
        <w:spacing w:line="463" w:lineRule="auto" w:before="27" w:after="0"/>
        <w:ind w:left="880" w:right="175" w:hanging="360"/>
        <w:jc w:val="left"/>
        <w:rPr>
          <w:rFonts w:ascii="Symbol" w:hAnsi="Symbol"/>
          <w:sz w:val="24"/>
        </w:rPr>
      </w:pPr>
      <w:r>
        <w:rPr>
          <w:sz w:val="24"/>
        </w:rPr>
        <w:t>Microscopio electrónico de transmisión (MET) (Transmision Electron Microscope JEOL</w:t>
      </w:r>
      <w:r>
        <w:rPr>
          <w:spacing w:val="-3"/>
          <w:sz w:val="24"/>
        </w:rPr>
        <w:t> </w:t>
      </w:r>
      <w:r>
        <w:rPr>
          <w:sz w:val="24"/>
        </w:rPr>
        <w:t>JEM-2100)</w:t>
      </w:r>
    </w:p>
    <w:p>
      <w:pPr>
        <w:pStyle w:val="Heading2"/>
        <w:numPr>
          <w:ilvl w:val="1"/>
          <w:numId w:val="8"/>
        </w:numPr>
        <w:tabs>
          <w:tab w:pos="880" w:val="left" w:leader="none"/>
          <w:tab w:pos="881" w:val="left" w:leader="none"/>
        </w:tabs>
        <w:spacing w:line="240" w:lineRule="auto" w:before="27" w:after="0"/>
        <w:ind w:left="880" w:right="0" w:hanging="360"/>
        <w:jc w:val="left"/>
        <w:rPr>
          <w:rFonts w:ascii="Symbol"/>
        </w:rPr>
      </w:pPr>
      <w:r>
        <w:rPr/>
        <w:t>Etapa</w:t>
      </w:r>
      <w:r>
        <w:rPr>
          <w:spacing w:val="-2"/>
        </w:rPr>
        <w:t> </w:t>
      </w:r>
      <w:r>
        <w:rPr/>
        <w:t>3:</w:t>
      </w:r>
    </w:p>
    <w:p>
      <w:pPr>
        <w:pStyle w:val="BodyText"/>
        <w:spacing w:before="7"/>
        <w:rPr>
          <w:b/>
          <w:sz w:val="23"/>
        </w:rPr>
      </w:pPr>
    </w:p>
    <w:p>
      <w:pPr>
        <w:pStyle w:val="ListParagraph"/>
        <w:numPr>
          <w:ilvl w:val="1"/>
          <w:numId w:val="8"/>
        </w:numPr>
        <w:tabs>
          <w:tab w:pos="880" w:val="left" w:leader="none"/>
          <w:tab w:pos="881" w:val="left" w:leader="none"/>
        </w:tabs>
        <w:spacing w:line="240" w:lineRule="auto" w:before="1" w:after="0"/>
        <w:ind w:left="880" w:right="0" w:hanging="360"/>
        <w:jc w:val="left"/>
        <w:rPr>
          <w:rFonts w:ascii="Symbol"/>
          <w:sz w:val="24"/>
        </w:rPr>
      </w:pPr>
      <w:r>
        <w:rPr>
          <w:sz w:val="24"/>
        </w:rPr>
        <w:t>Estufas de cultivo (marca</w:t>
      </w:r>
      <w:r>
        <w:rPr>
          <w:spacing w:val="-7"/>
          <w:sz w:val="24"/>
        </w:rPr>
        <w:t> </w:t>
      </w:r>
      <w:r>
        <w:rPr>
          <w:sz w:val="24"/>
        </w:rPr>
        <w:t>Melisa)</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sz w:val="24"/>
        </w:rPr>
      </w:pPr>
      <w:r>
        <w:rPr>
          <w:sz w:val="24"/>
        </w:rPr>
        <w:t>Congeladores</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sz w:val="24"/>
        </w:rPr>
      </w:pPr>
      <w:r>
        <w:rPr>
          <w:sz w:val="24"/>
        </w:rPr>
        <w:t>Autoclave (All American Portable Pressure Sterilizer No. 1925 Wisconsin</w:t>
      </w:r>
      <w:r>
        <w:rPr>
          <w:spacing w:val="-25"/>
          <w:sz w:val="24"/>
        </w:rPr>
        <w:t> </w:t>
      </w:r>
      <w:r>
        <w:rPr>
          <w:sz w:val="24"/>
        </w:rPr>
        <w:t>USA)</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hAnsi="Symbol"/>
          <w:sz w:val="24"/>
        </w:rPr>
      </w:pPr>
      <w:r>
        <w:rPr>
          <w:sz w:val="24"/>
        </w:rPr>
        <w:t>Balanza analítica (Explorer Pro Model EP213C, OHAUS</w:t>
      </w:r>
      <w:r>
        <w:rPr>
          <w:spacing w:val="-13"/>
          <w:sz w:val="24"/>
        </w:rPr>
        <w:t> </w:t>
      </w:r>
      <w:r>
        <w:rPr>
          <w:sz w:val="24"/>
        </w:rPr>
        <w:t>Co)</w:t>
      </w:r>
    </w:p>
    <w:p>
      <w:pPr>
        <w:pStyle w:val="BodyText"/>
        <w:spacing w:before="7"/>
        <w:rPr>
          <w:sz w:val="23"/>
        </w:rPr>
      </w:pPr>
    </w:p>
    <w:p>
      <w:pPr>
        <w:pStyle w:val="ListParagraph"/>
        <w:numPr>
          <w:ilvl w:val="1"/>
          <w:numId w:val="8"/>
        </w:numPr>
        <w:tabs>
          <w:tab w:pos="880" w:val="left" w:leader="none"/>
          <w:tab w:pos="881" w:val="left" w:leader="none"/>
        </w:tabs>
        <w:spacing w:line="240" w:lineRule="auto" w:before="1" w:after="0"/>
        <w:ind w:left="880" w:right="0" w:hanging="360"/>
        <w:jc w:val="left"/>
        <w:rPr>
          <w:rFonts w:ascii="Symbol" w:hAnsi="Symbol"/>
          <w:sz w:val="24"/>
        </w:rPr>
      </w:pPr>
      <w:r>
        <w:rPr>
          <w:sz w:val="24"/>
        </w:rPr>
        <w:t>Cámara de anaerobiosis (Gas Pack TM EZ anaerobe container</w:t>
      </w:r>
      <w:r>
        <w:rPr>
          <w:spacing w:val="-19"/>
          <w:sz w:val="24"/>
        </w:rPr>
        <w:t> </w:t>
      </w:r>
      <w:r>
        <w:rPr>
          <w:sz w:val="24"/>
        </w:rPr>
        <w:t>system)</w:t>
      </w:r>
    </w:p>
    <w:p>
      <w:pPr>
        <w:pStyle w:val="BodyText"/>
        <w:spacing w:before="10"/>
        <w:rPr>
          <w:sz w:val="23"/>
        </w:rPr>
      </w:pPr>
    </w:p>
    <w:p>
      <w:pPr>
        <w:pStyle w:val="Heading2"/>
        <w:numPr>
          <w:ilvl w:val="1"/>
          <w:numId w:val="8"/>
        </w:numPr>
        <w:tabs>
          <w:tab w:pos="880" w:val="left" w:leader="none"/>
          <w:tab w:pos="881" w:val="left" w:leader="none"/>
        </w:tabs>
        <w:spacing w:line="240" w:lineRule="auto" w:before="1" w:after="0"/>
        <w:ind w:left="880" w:right="0" w:hanging="360"/>
        <w:jc w:val="left"/>
        <w:rPr>
          <w:rFonts w:ascii="Symbol"/>
        </w:rPr>
      </w:pPr>
      <w:r>
        <w:rPr/>
        <w:t>Materiales:</w:t>
      </w:r>
    </w:p>
    <w:p>
      <w:pPr>
        <w:pStyle w:val="BodyText"/>
        <w:spacing w:before="10"/>
        <w:rPr>
          <w:b/>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b/>
          <w:sz w:val="24"/>
        </w:rPr>
      </w:pPr>
      <w:r>
        <w:rPr>
          <w:b/>
          <w:sz w:val="24"/>
        </w:rPr>
        <w:t>Etapa</w:t>
      </w:r>
      <w:r>
        <w:rPr>
          <w:b/>
          <w:spacing w:val="-1"/>
          <w:sz w:val="24"/>
        </w:rPr>
        <w:t> </w:t>
      </w:r>
      <w:r>
        <w:rPr>
          <w:b/>
          <w:sz w:val="24"/>
        </w:rPr>
        <w:t>1</w:t>
      </w:r>
    </w:p>
    <w:p>
      <w:pPr>
        <w:pStyle w:val="BodyText"/>
        <w:spacing w:before="7"/>
        <w:rPr>
          <w:b/>
          <w:sz w:val="23"/>
        </w:rPr>
      </w:pPr>
    </w:p>
    <w:p>
      <w:pPr>
        <w:pStyle w:val="BodyText"/>
        <w:spacing w:line="468" w:lineRule="auto"/>
        <w:ind w:left="880" w:right="1041"/>
      </w:pPr>
      <w:r>
        <w:rPr/>
        <w:t>Sales de nitrato de plata AgNO</w:t>
      </w:r>
      <w:r>
        <w:rPr>
          <w:position w:val="-2"/>
          <w:sz w:val="16"/>
        </w:rPr>
        <w:t>3. </w:t>
      </w:r>
      <w:r>
        <w:rPr/>
        <w:t>(Silver nitrate - Sigma Aldrich) Borohidruro de sodio (NaBH</w:t>
      </w:r>
      <w:r>
        <w:rPr>
          <w:position w:val="-2"/>
          <w:sz w:val="16"/>
        </w:rPr>
        <w:t>4 </w:t>
      </w:r>
      <w:r>
        <w:rPr/>
        <w:t>– Sigma Aldrich)</w:t>
      </w:r>
    </w:p>
    <w:p>
      <w:pPr>
        <w:spacing w:after="0" w:line="468" w:lineRule="auto"/>
        <w:sectPr>
          <w:headerReference w:type="default" r:id="rId27"/>
          <w:footerReference w:type="default" r:id="rId28"/>
          <w:pgSz w:w="12240" w:h="15840"/>
          <w:pgMar w:header="736" w:footer="1024" w:top="1180" w:bottom="1220" w:left="1280" w:right="1260"/>
          <w:pgNumType w:start="60"/>
        </w:sectPr>
      </w:pPr>
    </w:p>
    <w:p>
      <w:pPr>
        <w:pStyle w:val="BodyText"/>
        <w:spacing w:before="11"/>
        <w:rPr>
          <w:sz w:val="16"/>
        </w:rPr>
      </w:pPr>
    </w:p>
    <w:p>
      <w:pPr>
        <w:pStyle w:val="BodyText"/>
        <w:spacing w:line="480" w:lineRule="auto" w:before="69"/>
        <w:ind w:left="880" w:right="5257"/>
      </w:pPr>
      <w:r>
        <w:rPr/>
        <w:t>Té verde (Therbal Infusion</w:t>
      </w:r>
      <w:r>
        <w:rPr>
          <w:spacing w:val="-7"/>
        </w:rPr>
        <w:t> </w:t>
      </w:r>
      <w:r>
        <w:rPr/>
        <w:t>herbs) Árnica (Therbal Infusion herbs) 10 matraces aforados de 100mL Espátulas metálicas y de teflón Agua</w:t>
      </w:r>
      <w:r>
        <w:rPr>
          <w:spacing w:val="-3"/>
        </w:rPr>
        <w:t> </w:t>
      </w:r>
      <w:r>
        <w:rPr/>
        <w:t>bidestilada</w:t>
      </w:r>
    </w:p>
    <w:p>
      <w:pPr>
        <w:pStyle w:val="BodyText"/>
        <w:spacing w:before="8"/>
        <w:ind w:left="880" w:right="270"/>
      </w:pPr>
      <w:r>
        <w:rPr/>
        <w:t>Alcohol etílico</w:t>
      </w:r>
    </w:p>
    <w:p>
      <w:pPr>
        <w:pStyle w:val="BodyText"/>
      </w:pPr>
    </w:p>
    <w:p>
      <w:pPr>
        <w:pStyle w:val="BodyText"/>
        <w:spacing w:line="480" w:lineRule="auto"/>
        <w:ind w:left="880" w:right="6185"/>
      </w:pPr>
      <w:r>
        <w:rPr/>
        <w:t>10 vasos de precipitado 2 agitadores magnéticos</w:t>
      </w:r>
    </w:p>
    <w:p>
      <w:pPr>
        <w:pStyle w:val="BodyText"/>
        <w:spacing w:before="8"/>
        <w:ind w:left="880" w:right="270"/>
      </w:pPr>
      <w:r>
        <w:rPr/>
        <w:t>5 matraces Kitazato</w:t>
      </w:r>
    </w:p>
    <w:p>
      <w:pPr>
        <w:pStyle w:val="BodyText"/>
      </w:pPr>
    </w:p>
    <w:p>
      <w:pPr>
        <w:pStyle w:val="BodyText"/>
        <w:spacing w:line="480" w:lineRule="auto"/>
        <w:ind w:left="880" w:right="4797"/>
      </w:pPr>
      <w:r>
        <w:rPr/>
        <w:t>2 cajas de papel filtro Whatman No. 5 10 pipetas de 10mL</w:t>
      </w:r>
    </w:p>
    <w:p>
      <w:pPr>
        <w:pStyle w:val="BodyText"/>
        <w:spacing w:before="8"/>
        <w:ind w:left="880" w:right="270"/>
      </w:pPr>
      <w:r>
        <w:rPr/>
        <w:t>10 perillas</w:t>
      </w:r>
    </w:p>
    <w:p>
      <w:pPr>
        <w:pStyle w:val="BodyText"/>
      </w:pPr>
    </w:p>
    <w:p>
      <w:pPr>
        <w:pStyle w:val="BodyText"/>
        <w:ind w:left="880" w:right="270"/>
      </w:pPr>
      <w:r>
        <w:rPr/>
        <w:t>30 tubos de diluciones de 10mL</w:t>
      </w:r>
    </w:p>
    <w:p>
      <w:pPr>
        <w:pStyle w:val="BodyText"/>
      </w:pPr>
    </w:p>
    <w:p>
      <w:pPr>
        <w:pStyle w:val="BodyText"/>
        <w:ind w:left="880" w:right="270"/>
      </w:pPr>
      <w:r>
        <w:rPr/>
        <w:t>30 matraces con tapa estéril de 100mL</w:t>
      </w:r>
    </w:p>
    <w:p>
      <w:pPr>
        <w:pStyle w:val="BodyText"/>
      </w:pPr>
    </w:p>
    <w:p>
      <w:pPr>
        <w:pStyle w:val="Heading2"/>
        <w:numPr>
          <w:ilvl w:val="1"/>
          <w:numId w:val="8"/>
        </w:numPr>
        <w:tabs>
          <w:tab w:pos="880" w:val="left" w:leader="none"/>
          <w:tab w:pos="881" w:val="left" w:leader="none"/>
        </w:tabs>
        <w:spacing w:line="240" w:lineRule="auto" w:before="0" w:after="0"/>
        <w:ind w:left="880" w:right="0" w:hanging="360"/>
        <w:jc w:val="left"/>
        <w:rPr>
          <w:rFonts w:ascii="Symbol"/>
        </w:rPr>
      </w:pPr>
      <w:r>
        <w:rPr/>
        <w:t>Etapa</w:t>
      </w:r>
      <w:r>
        <w:rPr>
          <w:spacing w:val="-2"/>
        </w:rPr>
        <w:t> </w:t>
      </w:r>
      <w:r>
        <w:rPr/>
        <w:t>2:</w:t>
      </w:r>
    </w:p>
    <w:p>
      <w:pPr>
        <w:pStyle w:val="BodyText"/>
        <w:spacing w:before="7"/>
        <w:rPr>
          <w:b/>
          <w:sz w:val="23"/>
        </w:rPr>
      </w:pPr>
    </w:p>
    <w:p>
      <w:pPr>
        <w:pStyle w:val="ListParagraph"/>
        <w:numPr>
          <w:ilvl w:val="1"/>
          <w:numId w:val="8"/>
        </w:numPr>
        <w:tabs>
          <w:tab w:pos="880" w:val="left" w:leader="none"/>
          <w:tab w:pos="881" w:val="left" w:leader="none"/>
        </w:tabs>
        <w:spacing w:line="240" w:lineRule="auto" w:before="1" w:after="0"/>
        <w:ind w:left="880" w:right="0" w:hanging="360"/>
        <w:jc w:val="left"/>
        <w:rPr>
          <w:rFonts w:ascii="Symbol"/>
          <w:sz w:val="24"/>
        </w:rPr>
      </w:pPr>
      <w:r>
        <w:rPr>
          <w:sz w:val="24"/>
        </w:rPr>
        <w:t>Celdas de cuarzo (Precision Cells Hellma 2-100-0S</w:t>
      </w:r>
      <w:r>
        <w:rPr>
          <w:spacing w:val="-12"/>
          <w:sz w:val="24"/>
        </w:rPr>
        <w:t> </w:t>
      </w:r>
      <w:r>
        <w:rPr>
          <w:sz w:val="24"/>
        </w:rPr>
        <w:t>1Omm)</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sz w:val="24"/>
        </w:rPr>
      </w:pPr>
      <w:r>
        <w:rPr>
          <w:sz w:val="24"/>
        </w:rPr>
        <w:t>5 dientes incisivos, 15 dientes</w:t>
      </w:r>
      <w:r>
        <w:rPr>
          <w:spacing w:val="-7"/>
          <w:sz w:val="24"/>
        </w:rPr>
        <w:t> </w:t>
      </w:r>
      <w:r>
        <w:rPr>
          <w:sz w:val="24"/>
        </w:rPr>
        <w:t>molares</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hAnsi="Symbol"/>
          <w:sz w:val="24"/>
        </w:rPr>
      </w:pPr>
      <w:r>
        <w:rPr>
          <w:sz w:val="24"/>
        </w:rPr>
        <w:t>Agua estéril-</w:t>
      </w:r>
      <w:r>
        <w:rPr>
          <w:spacing w:val="-6"/>
          <w:sz w:val="24"/>
        </w:rPr>
        <w:t> </w:t>
      </w:r>
      <w:r>
        <w:rPr>
          <w:sz w:val="24"/>
        </w:rPr>
        <w:t>timol</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hAnsi="Symbol"/>
          <w:sz w:val="24"/>
        </w:rPr>
      </w:pPr>
      <w:r>
        <w:rPr>
          <w:sz w:val="24"/>
        </w:rPr>
        <w:t>Guantes</w:t>
      </w:r>
      <w:r>
        <w:rPr>
          <w:spacing w:val="-4"/>
          <w:sz w:val="24"/>
        </w:rPr>
        <w:t> </w:t>
      </w:r>
      <w:r>
        <w:rPr>
          <w:sz w:val="24"/>
        </w:rPr>
        <w:t>estériles</w:t>
      </w:r>
    </w:p>
    <w:p>
      <w:pPr>
        <w:pStyle w:val="BodyText"/>
        <w:spacing w:before="8"/>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sz w:val="24"/>
        </w:rPr>
      </w:pPr>
      <w:r>
        <w:rPr>
          <w:sz w:val="24"/>
        </w:rPr>
        <w:t>Cubrebocas</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hAnsi="Symbol"/>
          <w:sz w:val="24"/>
        </w:rPr>
      </w:pPr>
      <w:r>
        <w:rPr>
          <w:sz w:val="24"/>
        </w:rPr>
        <w:t>Lentes de</w:t>
      </w:r>
      <w:r>
        <w:rPr>
          <w:spacing w:val="-7"/>
          <w:sz w:val="24"/>
        </w:rPr>
        <w:t> </w:t>
      </w:r>
      <w:r>
        <w:rPr>
          <w:sz w:val="24"/>
        </w:rPr>
        <w:t>protección</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sz w:val="24"/>
        </w:rPr>
      </w:pPr>
      <w:r>
        <w:rPr>
          <w:sz w:val="24"/>
        </w:rPr>
        <w:t>Clorhexidina al 2%</w:t>
      </w:r>
      <w:r>
        <w:rPr>
          <w:spacing w:val="-9"/>
          <w:sz w:val="24"/>
        </w:rPr>
        <w:t> </w:t>
      </w:r>
      <w:r>
        <w:rPr>
          <w:sz w:val="24"/>
        </w:rPr>
        <w:t>(Dentsply)</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sz w:val="24"/>
        </w:rPr>
      </w:pPr>
      <w:r>
        <w:rPr>
          <w:sz w:val="24"/>
        </w:rPr>
        <w:t>20 jeringas de 3mL BD (Becton</w:t>
      </w:r>
      <w:r>
        <w:rPr>
          <w:spacing w:val="-10"/>
          <w:sz w:val="24"/>
        </w:rPr>
        <w:t> </w:t>
      </w:r>
      <w:r>
        <w:rPr>
          <w:sz w:val="24"/>
        </w:rPr>
        <w:t>Dickinson)</w:t>
      </w:r>
    </w:p>
    <w:p>
      <w:pPr>
        <w:spacing w:after="0" w:line="240" w:lineRule="auto"/>
        <w:jc w:val="left"/>
        <w:rPr>
          <w:rFonts w:ascii="Symbol"/>
          <w:sz w:val="24"/>
        </w:rPr>
        <w:sectPr>
          <w:pgSz w:w="12240" w:h="15840"/>
          <w:pgMar w:header="736" w:footer="1024" w:top="1180" w:bottom="1220" w:left="1280" w:right="1260"/>
        </w:sectPr>
      </w:pPr>
    </w:p>
    <w:p>
      <w:pPr>
        <w:pStyle w:val="BodyText"/>
        <w:spacing w:before="2"/>
        <w:rPr>
          <w:sz w:val="18"/>
        </w:rPr>
      </w:pPr>
    </w:p>
    <w:p>
      <w:pPr>
        <w:pStyle w:val="Heading2"/>
        <w:numPr>
          <w:ilvl w:val="1"/>
          <w:numId w:val="8"/>
        </w:numPr>
        <w:tabs>
          <w:tab w:pos="880" w:val="left" w:leader="none"/>
          <w:tab w:pos="881" w:val="left" w:leader="none"/>
        </w:tabs>
        <w:spacing w:line="240" w:lineRule="auto" w:before="56" w:after="0"/>
        <w:ind w:left="880" w:right="0" w:hanging="360"/>
        <w:jc w:val="left"/>
        <w:rPr>
          <w:rFonts w:ascii="Symbol"/>
        </w:rPr>
      </w:pPr>
      <w:r>
        <w:rPr/>
        <w:t>Etapa</w:t>
      </w:r>
      <w:r>
        <w:rPr>
          <w:spacing w:val="-2"/>
        </w:rPr>
        <w:t> </w:t>
      </w:r>
      <w:r>
        <w:rPr/>
        <w:t>3:</w:t>
      </w:r>
    </w:p>
    <w:p>
      <w:pPr>
        <w:pStyle w:val="BodyText"/>
        <w:spacing w:before="8"/>
        <w:rPr>
          <w:b/>
          <w:sz w:val="23"/>
        </w:rPr>
      </w:pPr>
    </w:p>
    <w:p>
      <w:pPr>
        <w:pStyle w:val="ListParagraph"/>
        <w:numPr>
          <w:ilvl w:val="1"/>
          <w:numId w:val="8"/>
        </w:numPr>
        <w:tabs>
          <w:tab w:pos="880" w:val="left" w:leader="none"/>
          <w:tab w:pos="881" w:val="left" w:leader="none"/>
          <w:tab w:pos="4706" w:val="left" w:leader="none"/>
        </w:tabs>
        <w:spacing w:line="463" w:lineRule="auto" w:before="0" w:after="0"/>
        <w:ind w:left="880" w:right="178" w:hanging="360"/>
        <w:jc w:val="left"/>
        <w:rPr>
          <w:rFonts w:ascii="Symbol" w:hAnsi="Symbol"/>
          <w:sz w:val="24"/>
        </w:rPr>
      </w:pPr>
      <w:r>
        <w:rPr>
          <w:sz w:val="24"/>
        </w:rPr>
        <w:t>Cepas  de</w:t>
      </w:r>
      <w:r>
        <w:rPr>
          <w:spacing w:val="16"/>
          <w:sz w:val="24"/>
        </w:rPr>
        <w:t> </w:t>
      </w:r>
      <w:r>
        <w:rPr>
          <w:i/>
          <w:sz w:val="24"/>
        </w:rPr>
        <w:t>Streptococcus</w:t>
      </w:r>
      <w:r>
        <w:rPr>
          <w:i/>
          <w:spacing w:val="40"/>
          <w:sz w:val="24"/>
        </w:rPr>
        <w:t> </w:t>
      </w:r>
      <w:r>
        <w:rPr>
          <w:i/>
          <w:sz w:val="24"/>
        </w:rPr>
        <w:t>mutans</w:t>
        <w:tab/>
      </w:r>
      <w:r>
        <w:rPr>
          <w:sz w:val="24"/>
        </w:rPr>
        <w:t>y </w:t>
      </w:r>
      <w:r>
        <w:rPr>
          <w:i/>
          <w:sz w:val="24"/>
        </w:rPr>
        <w:t>Lactobacillus casei </w:t>
      </w:r>
      <w:r>
        <w:rPr>
          <w:sz w:val="24"/>
        </w:rPr>
        <w:t>proporcionadas  </w:t>
      </w:r>
      <w:r>
        <w:rPr>
          <w:spacing w:val="34"/>
          <w:sz w:val="24"/>
        </w:rPr>
        <w:t> </w:t>
      </w:r>
      <w:r>
        <w:rPr>
          <w:sz w:val="24"/>
        </w:rPr>
        <w:t>por</w:t>
      </w:r>
      <w:r>
        <w:rPr>
          <w:spacing w:val="40"/>
          <w:sz w:val="24"/>
        </w:rPr>
        <w:t> </w:t>
      </w:r>
      <w:r>
        <w:rPr>
          <w:sz w:val="24"/>
        </w:rPr>
        <w:t>el</w:t>
      </w:r>
      <w:r>
        <w:rPr>
          <w:w w:val="99"/>
          <w:sz w:val="24"/>
        </w:rPr>
        <w:t> </w:t>
      </w:r>
      <w:r>
        <w:rPr>
          <w:sz w:val="24"/>
        </w:rPr>
        <w:t>laboratorio de microbiología de la</w:t>
      </w:r>
      <w:r>
        <w:rPr>
          <w:spacing w:val="-12"/>
          <w:sz w:val="24"/>
        </w:rPr>
        <w:t> </w:t>
      </w:r>
      <w:r>
        <w:rPr>
          <w:sz w:val="24"/>
        </w:rPr>
        <w:t>UNAM</w:t>
      </w:r>
    </w:p>
    <w:p>
      <w:pPr>
        <w:pStyle w:val="ListParagraph"/>
        <w:numPr>
          <w:ilvl w:val="1"/>
          <w:numId w:val="8"/>
        </w:numPr>
        <w:tabs>
          <w:tab w:pos="880" w:val="left" w:leader="none"/>
          <w:tab w:pos="881" w:val="left" w:leader="none"/>
        </w:tabs>
        <w:spacing w:line="240" w:lineRule="auto" w:before="25" w:after="0"/>
        <w:ind w:left="880" w:right="0" w:hanging="360"/>
        <w:jc w:val="left"/>
        <w:rPr>
          <w:rFonts w:ascii="Symbol"/>
          <w:sz w:val="24"/>
        </w:rPr>
      </w:pPr>
      <w:r>
        <w:rPr>
          <w:i/>
          <w:sz w:val="24"/>
        </w:rPr>
        <w:t>mitis salivarius agar </w:t>
      </w:r>
      <w:r>
        <w:rPr>
          <w:sz w:val="24"/>
        </w:rPr>
        <w:t>(con bacitracina .02% U/ml y telurito de sodio</w:t>
      </w:r>
      <w:r>
        <w:rPr>
          <w:i/>
          <w:sz w:val="24"/>
        </w:rPr>
        <w:t>)  </w:t>
      </w:r>
      <w:r>
        <w:rPr>
          <w:sz w:val="24"/>
        </w:rPr>
        <w:t>BD-</w:t>
      </w:r>
      <w:r>
        <w:rPr>
          <w:spacing w:val="-18"/>
          <w:sz w:val="24"/>
        </w:rPr>
        <w:t> </w:t>
      </w:r>
      <w:r>
        <w:rPr>
          <w:sz w:val="24"/>
        </w:rPr>
        <w:t>Difco</w:t>
      </w:r>
    </w:p>
    <w:p>
      <w:pPr>
        <w:pStyle w:val="BodyText"/>
        <w:spacing w:before="1"/>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sz w:val="24"/>
        </w:rPr>
      </w:pPr>
      <w:r>
        <w:rPr>
          <w:sz w:val="24"/>
        </w:rPr>
        <w:t>Rogosa agar</w:t>
      </w:r>
      <w:r>
        <w:rPr>
          <w:spacing w:val="-3"/>
          <w:sz w:val="24"/>
        </w:rPr>
        <w:t> </w:t>
      </w:r>
      <w:r>
        <w:rPr>
          <w:sz w:val="24"/>
        </w:rPr>
        <w:t>BD-Difco</w:t>
      </w:r>
    </w:p>
    <w:p>
      <w:pPr>
        <w:pStyle w:val="BodyText"/>
        <w:spacing w:before="10"/>
        <w:rPr>
          <w:sz w:val="23"/>
        </w:rPr>
      </w:pPr>
    </w:p>
    <w:p>
      <w:pPr>
        <w:pStyle w:val="ListParagraph"/>
        <w:numPr>
          <w:ilvl w:val="1"/>
          <w:numId w:val="8"/>
        </w:numPr>
        <w:tabs>
          <w:tab w:pos="880" w:val="left" w:leader="none"/>
          <w:tab w:pos="881" w:val="left" w:leader="none"/>
          <w:tab w:pos="2057" w:val="left" w:leader="none"/>
          <w:tab w:pos="2556" w:val="left" w:leader="none"/>
          <w:tab w:pos="3889" w:val="left" w:leader="none"/>
          <w:tab w:pos="4306" w:val="left" w:leader="none"/>
          <w:tab w:pos="5083" w:val="left" w:leader="none"/>
          <w:tab w:pos="6085" w:val="left" w:leader="none"/>
          <w:tab w:pos="6433" w:val="left" w:leader="none"/>
          <w:tab w:pos="7440" w:val="left" w:leader="none"/>
          <w:tab w:pos="8148" w:val="left" w:leader="none"/>
          <w:tab w:pos="9246" w:val="left" w:leader="none"/>
        </w:tabs>
        <w:spacing w:line="463" w:lineRule="auto" w:before="0" w:after="0"/>
        <w:ind w:left="880" w:right="184" w:hanging="360"/>
        <w:jc w:val="left"/>
        <w:rPr>
          <w:rFonts w:ascii="Symbol" w:hAnsi="Symbol"/>
          <w:sz w:val="24"/>
        </w:rPr>
      </w:pPr>
      <w:r>
        <w:rPr>
          <w:sz w:val="24"/>
        </w:rPr>
        <w:t>Peróxido</w:t>
        <w:tab/>
        <w:t>de</w:t>
        <w:tab/>
        <w:t>Hidrógeno</w:t>
        <w:tab/>
        <w:t>al</w:t>
        <w:tab/>
        <w:t>30%,</w:t>
        <w:tab/>
        <w:t>sorbitol</w:t>
        <w:tab/>
        <w:t>y</w:t>
        <w:tab/>
        <w:t>manitol</w:t>
        <w:tab/>
        <w:t>para</w:t>
        <w:tab/>
        <w:t>pruebas</w:t>
        <w:tab/>
        <w:t>de susceptibilidad (productos químicos Monterrey</w:t>
      </w:r>
      <w:r>
        <w:rPr>
          <w:spacing w:val="-17"/>
          <w:sz w:val="24"/>
        </w:rPr>
        <w:t> </w:t>
      </w:r>
      <w:r>
        <w:rPr>
          <w:sz w:val="24"/>
        </w:rPr>
        <w:t>SA.)</w:t>
      </w:r>
    </w:p>
    <w:p>
      <w:pPr>
        <w:pStyle w:val="ListParagraph"/>
        <w:numPr>
          <w:ilvl w:val="1"/>
          <w:numId w:val="8"/>
        </w:numPr>
        <w:tabs>
          <w:tab w:pos="880" w:val="left" w:leader="none"/>
          <w:tab w:pos="881" w:val="left" w:leader="none"/>
        </w:tabs>
        <w:spacing w:line="240" w:lineRule="auto" w:before="28" w:after="0"/>
        <w:ind w:left="880" w:right="0" w:hanging="360"/>
        <w:jc w:val="left"/>
        <w:rPr>
          <w:rFonts w:ascii="Symbol"/>
          <w:sz w:val="24"/>
        </w:rPr>
      </w:pPr>
      <w:r>
        <w:rPr>
          <w:sz w:val="24"/>
        </w:rPr>
        <w:t>30 Placas de Petri; cristal 10</w:t>
      </w:r>
      <w:r>
        <w:rPr>
          <w:spacing w:val="-8"/>
          <w:sz w:val="24"/>
        </w:rPr>
        <w:t> </w:t>
      </w:r>
      <w:r>
        <w:rPr>
          <w:sz w:val="24"/>
        </w:rPr>
        <w:t>cm</w:t>
      </w:r>
    </w:p>
    <w:p>
      <w:pPr>
        <w:pStyle w:val="BodyText"/>
        <w:spacing w:before="7"/>
        <w:rPr>
          <w:sz w:val="23"/>
        </w:rPr>
      </w:pPr>
    </w:p>
    <w:p>
      <w:pPr>
        <w:pStyle w:val="ListParagraph"/>
        <w:numPr>
          <w:ilvl w:val="1"/>
          <w:numId w:val="8"/>
        </w:numPr>
        <w:tabs>
          <w:tab w:pos="880" w:val="left" w:leader="none"/>
          <w:tab w:pos="881" w:val="left" w:leader="none"/>
        </w:tabs>
        <w:spacing w:line="240" w:lineRule="auto" w:before="1" w:after="0"/>
        <w:ind w:left="880" w:right="0" w:hanging="360"/>
        <w:jc w:val="left"/>
        <w:rPr>
          <w:rFonts w:ascii="Symbol" w:hAnsi="Symbol"/>
          <w:sz w:val="24"/>
        </w:rPr>
      </w:pPr>
      <w:r>
        <w:rPr>
          <w:sz w:val="24"/>
        </w:rPr>
        <w:t>Tubos estériles y tubos de</w:t>
      </w:r>
      <w:r>
        <w:rPr>
          <w:spacing w:val="-17"/>
          <w:sz w:val="24"/>
        </w:rPr>
        <w:t> </w:t>
      </w:r>
      <w:r>
        <w:rPr>
          <w:sz w:val="24"/>
        </w:rPr>
        <w:t>centrífuga</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hAnsi="Symbol"/>
          <w:sz w:val="24"/>
        </w:rPr>
      </w:pPr>
      <w:r>
        <w:rPr>
          <w:sz w:val="24"/>
        </w:rPr>
        <w:t>Torundas</w:t>
      </w:r>
      <w:r>
        <w:rPr>
          <w:spacing w:val="-8"/>
          <w:sz w:val="24"/>
        </w:rPr>
        <w:t> </w:t>
      </w:r>
      <w:r>
        <w:rPr>
          <w:sz w:val="24"/>
        </w:rPr>
        <w:t>estériles</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sz w:val="24"/>
        </w:rPr>
      </w:pPr>
      <w:r>
        <w:rPr>
          <w:sz w:val="24"/>
        </w:rPr>
        <w:t>Asas de</w:t>
      </w:r>
      <w:r>
        <w:rPr>
          <w:spacing w:val="-3"/>
          <w:sz w:val="24"/>
        </w:rPr>
        <w:t> </w:t>
      </w:r>
      <w:r>
        <w:rPr>
          <w:sz w:val="24"/>
        </w:rPr>
        <w:t>platino</w:t>
      </w:r>
    </w:p>
    <w:p>
      <w:pPr>
        <w:pStyle w:val="BodyText"/>
        <w:spacing w:before="7"/>
        <w:rPr>
          <w:sz w:val="23"/>
        </w:rPr>
      </w:pPr>
    </w:p>
    <w:p>
      <w:pPr>
        <w:pStyle w:val="ListParagraph"/>
        <w:numPr>
          <w:ilvl w:val="1"/>
          <w:numId w:val="8"/>
        </w:numPr>
        <w:tabs>
          <w:tab w:pos="880" w:val="left" w:leader="none"/>
          <w:tab w:pos="881" w:val="left" w:leader="none"/>
        </w:tabs>
        <w:spacing w:line="240" w:lineRule="auto" w:before="1" w:after="0"/>
        <w:ind w:left="880" w:right="0" w:hanging="360"/>
        <w:jc w:val="left"/>
        <w:rPr>
          <w:rFonts w:ascii="Symbol"/>
          <w:sz w:val="24"/>
        </w:rPr>
      </w:pPr>
      <w:r>
        <w:rPr>
          <w:sz w:val="24"/>
        </w:rPr>
        <w:t>Portaobjetos y</w:t>
      </w:r>
      <w:r>
        <w:rPr>
          <w:spacing w:val="-8"/>
          <w:sz w:val="24"/>
        </w:rPr>
        <w:t> </w:t>
      </w:r>
      <w:r>
        <w:rPr>
          <w:sz w:val="24"/>
        </w:rPr>
        <w:t>cubreobjetos</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sz w:val="24"/>
        </w:rPr>
      </w:pPr>
      <w:r>
        <w:rPr>
          <w:sz w:val="24"/>
        </w:rPr>
        <w:t>Hisopos con cloruro de sodio 3M (Minnesota Mining and Manufacturing</w:t>
      </w:r>
      <w:r>
        <w:rPr>
          <w:spacing w:val="-17"/>
          <w:sz w:val="24"/>
        </w:rPr>
        <w:t> </w:t>
      </w:r>
      <w:r>
        <w:rPr>
          <w:sz w:val="24"/>
        </w:rPr>
        <w:t>Co.)</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hAnsi="Symbol"/>
          <w:sz w:val="24"/>
        </w:rPr>
      </w:pPr>
      <w:r>
        <w:rPr>
          <w:sz w:val="24"/>
        </w:rPr>
        <w:t>Bolsas de</w:t>
      </w:r>
      <w:r>
        <w:rPr>
          <w:spacing w:val="-10"/>
          <w:sz w:val="24"/>
        </w:rPr>
        <w:t> </w:t>
      </w:r>
      <w:r>
        <w:rPr>
          <w:sz w:val="24"/>
        </w:rPr>
        <w:t>esterilización</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hAnsi="Symbol"/>
          <w:sz w:val="24"/>
        </w:rPr>
      </w:pPr>
      <w:r>
        <w:rPr>
          <w:sz w:val="24"/>
        </w:rPr>
        <w:t>Espátulas</w:t>
      </w:r>
    </w:p>
    <w:p>
      <w:pPr>
        <w:pStyle w:val="BodyText"/>
        <w:spacing w:before="7"/>
        <w:rPr>
          <w:sz w:val="23"/>
        </w:rPr>
      </w:pPr>
    </w:p>
    <w:p>
      <w:pPr>
        <w:pStyle w:val="ListParagraph"/>
        <w:numPr>
          <w:ilvl w:val="1"/>
          <w:numId w:val="8"/>
        </w:numPr>
        <w:tabs>
          <w:tab w:pos="880" w:val="left" w:leader="none"/>
          <w:tab w:pos="881" w:val="left" w:leader="none"/>
        </w:tabs>
        <w:spacing w:line="240" w:lineRule="auto" w:before="1" w:after="0"/>
        <w:ind w:left="880" w:right="0" w:hanging="360"/>
        <w:jc w:val="left"/>
        <w:rPr>
          <w:rFonts w:ascii="Symbol"/>
          <w:sz w:val="24"/>
        </w:rPr>
      </w:pPr>
      <w:r>
        <w:rPr>
          <w:sz w:val="24"/>
        </w:rPr>
        <w:t>Gradillas</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hAnsi="Symbol"/>
          <w:sz w:val="24"/>
        </w:rPr>
      </w:pPr>
      <w:r>
        <w:rPr>
          <w:sz w:val="24"/>
        </w:rPr>
        <w:t>Algodón</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sz w:val="24"/>
        </w:rPr>
      </w:pPr>
      <w:r>
        <w:rPr>
          <w:sz w:val="24"/>
        </w:rPr>
        <w:t>Guantes de</w:t>
      </w:r>
      <w:r>
        <w:rPr>
          <w:spacing w:val="-10"/>
          <w:sz w:val="24"/>
        </w:rPr>
        <w:t> </w:t>
      </w:r>
      <w:r>
        <w:rPr>
          <w:sz w:val="24"/>
        </w:rPr>
        <w:t>autoclave</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hAnsi="Symbol"/>
          <w:sz w:val="24"/>
        </w:rPr>
      </w:pPr>
      <w:r>
        <w:rPr>
          <w:sz w:val="24"/>
        </w:rPr>
        <w:t>Cinta termolábil (para verificar</w:t>
      </w:r>
      <w:r>
        <w:rPr>
          <w:spacing w:val="-15"/>
          <w:sz w:val="24"/>
        </w:rPr>
        <w:t> </w:t>
      </w:r>
      <w:r>
        <w:rPr>
          <w:sz w:val="24"/>
        </w:rPr>
        <w:t>esterilización)</w:t>
      </w:r>
    </w:p>
    <w:p>
      <w:pPr>
        <w:pStyle w:val="BodyText"/>
        <w:spacing w:before="8"/>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sz w:val="24"/>
        </w:rPr>
      </w:pPr>
      <w:r>
        <w:rPr>
          <w:sz w:val="24"/>
        </w:rPr>
        <w:t>Pinzas</w:t>
      </w:r>
      <w:r>
        <w:rPr>
          <w:spacing w:val="-4"/>
          <w:sz w:val="24"/>
        </w:rPr>
        <w:t> </w:t>
      </w:r>
      <w:r>
        <w:rPr>
          <w:sz w:val="24"/>
        </w:rPr>
        <w:t>portatubos</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sz w:val="24"/>
        </w:rPr>
      </w:pPr>
      <w:r>
        <w:rPr>
          <w:sz w:val="24"/>
        </w:rPr>
        <w:t>Papel de</w:t>
      </w:r>
      <w:r>
        <w:rPr>
          <w:spacing w:val="-7"/>
          <w:sz w:val="24"/>
        </w:rPr>
        <w:t> </w:t>
      </w:r>
      <w:r>
        <w:rPr>
          <w:sz w:val="24"/>
        </w:rPr>
        <w:t>aluminio</w:t>
      </w:r>
    </w:p>
    <w:p>
      <w:pPr>
        <w:pStyle w:val="BodyText"/>
        <w:spacing w:before="10"/>
        <w:rPr>
          <w:sz w:val="23"/>
        </w:rPr>
      </w:pPr>
    </w:p>
    <w:p>
      <w:pPr>
        <w:pStyle w:val="ListParagraph"/>
        <w:numPr>
          <w:ilvl w:val="1"/>
          <w:numId w:val="8"/>
        </w:numPr>
        <w:tabs>
          <w:tab w:pos="880" w:val="left" w:leader="none"/>
          <w:tab w:pos="881" w:val="left" w:leader="none"/>
        </w:tabs>
        <w:spacing w:line="240" w:lineRule="auto" w:before="0" w:after="0"/>
        <w:ind w:left="880" w:right="0" w:hanging="360"/>
        <w:jc w:val="left"/>
        <w:rPr>
          <w:rFonts w:ascii="Symbol"/>
          <w:sz w:val="24"/>
        </w:rPr>
      </w:pPr>
      <w:r>
        <w:rPr>
          <w:sz w:val="24"/>
        </w:rPr>
        <w:t>Mecheros Bunsen y de</w:t>
      </w:r>
      <w:r>
        <w:rPr>
          <w:spacing w:val="-10"/>
          <w:sz w:val="24"/>
        </w:rPr>
        <w:t> </w:t>
      </w:r>
      <w:r>
        <w:rPr>
          <w:sz w:val="24"/>
        </w:rPr>
        <w:t>alcohol</w:t>
      </w:r>
    </w:p>
    <w:p>
      <w:pPr>
        <w:pStyle w:val="BodyText"/>
        <w:spacing w:before="7"/>
        <w:rPr>
          <w:sz w:val="23"/>
        </w:rPr>
      </w:pPr>
    </w:p>
    <w:p>
      <w:pPr>
        <w:pStyle w:val="ListParagraph"/>
        <w:numPr>
          <w:ilvl w:val="1"/>
          <w:numId w:val="8"/>
        </w:numPr>
        <w:tabs>
          <w:tab w:pos="880" w:val="left" w:leader="none"/>
          <w:tab w:pos="881" w:val="left" w:leader="none"/>
        </w:tabs>
        <w:spacing w:line="240" w:lineRule="auto" w:before="1" w:after="0"/>
        <w:ind w:left="880" w:right="0" w:hanging="360"/>
        <w:jc w:val="left"/>
        <w:rPr>
          <w:rFonts w:ascii="Symbol"/>
          <w:sz w:val="24"/>
        </w:rPr>
      </w:pPr>
      <w:r>
        <w:rPr>
          <w:sz w:val="24"/>
        </w:rPr>
        <w:t>Cerillos</w:t>
      </w:r>
    </w:p>
    <w:p>
      <w:pPr>
        <w:spacing w:after="0" w:line="240" w:lineRule="auto"/>
        <w:jc w:val="left"/>
        <w:rPr>
          <w:rFonts w:ascii="Symbol"/>
          <w:sz w:val="24"/>
        </w:rPr>
        <w:sectPr>
          <w:pgSz w:w="12240" w:h="15840"/>
          <w:pgMar w:header="736" w:footer="1024" w:top="1180" w:bottom="1220" w:left="1280" w:right="1260"/>
        </w:sectPr>
      </w:pPr>
    </w:p>
    <w:p>
      <w:pPr>
        <w:pStyle w:val="BodyText"/>
        <w:spacing w:before="2"/>
        <w:rPr>
          <w:sz w:val="18"/>
        </w:rPr>
      </w:pPr>
    </w:p>
    <w:p>
      <w:pPr>
        <w:pStyle w:val="ListParagraph"/>
        <w:numPr>
          <w:ilvl w:val="1"/>
          <w:numId w:val="8"/>
        </w:numPr>
        <w:tabs>
          <w:tab w:pos="880" w:val="left" w:leader="none"/>
          <w:tab w:pos="881" w:val="left" w:leader="none"/>
        </w:tabs>
        <w:spacing w:line="240" w:lineRule="auto" w:before="56" w:after="0"/>
        <w:ind w:left="880" w:right="0" w:hanging="360"/>
        <w:jc w:val="left"/>
        <w:rPr>
          <w:rFonts w:ascii="Symbol" w:hAnsi="Symbol"/>
          <w:sz w:val="24"/>
        </w:rPr>
      </w:pPr>
      <w:r>
        <w:rPr>
          <w:sz w:val="24"/>
        </w:rPr>
        <w:t>Micropipeta 1 -10µl (microlitros) Boeco</w:t>
      </w:r>
      <w:r>
        <w:rPr>
          <w:spacing w:val="-11"/>
          <w:sz w:val="24"/>
        </w:rPr>
        <w:t> </w:t>
      </w:r>
      <w:r>
        <w:rPr>
          <w:sz w:val="24"/>
        </w:rPr>
        <w:t>Germany</w:t>
      </w:r>
    </w:p>
    <w:p>
      <w:pPr>
        <w:pStyle w:val="BodyText"/>
      </w:pPr>
    </w:p>
    <w:p>
      <w:pPr>
        <w:pStyle w:val="BodyText"/>
      </w:pPr>
    </w:p>
    <w:p>
      <w:pPr>
        <w:pStyle w:val="BodyText"/>
        <w:spacing w:before="10"/>
        <w:rPr>
          <w:sz w:val="23"/>
        </w:rPr>
      </w:pPr>
    </w:p>
    <w:p>
      <w:pPr>
        <w:pStyle w:val="Heading2"/>
        <w:numPr>
          <w:ilvl w:val="1"/>
          <w:numId w:val="8"/>
        </w:numPr>
        <w:tabs>
          <w:tab w:pos="880" w:val="left" w:leader="none"/>
          <w:tab w:pos="881" w:val="left" w:leader="none"/>
        </w:tabs>
        <w:spacing w:line="240" w:lineRule="auto" w:before="0" w:after="0"/>
        <w:ind w:left="880" w:right="0" w:hanging="360"/>
        <w:jc w:val="left"/>
        <w:rPr>
          <w:rFonts w:ascii="Symbol" w:hAnsi="Symbol"/>
        </w:rPr>
      </w:pPr>
      <w:r>
        <w:rPr/>
        <w:t>8.2.2 Descripción del</w:t>
      </w:r>
      <w:r>
        <w:rPr>
          <w:spacing w:val="-8"/>
        </w:rPr>
        <w:t> </w:t>
      </w:r>
      <w:r>
        <w:rPr/>
        <w:t>procedimiento</w:t>
      </w:r>
    </w:p>
    <w:p>
      <w:pPr>
        <w:pStyle w:val="BodyText"/>
        <w:spacing w:before="7"/>
        <w:rPr>
          <w:b/>
          <w:sz w:val="23"/>
        </w:rPr>
      </w:pPr>
    </w:p>
    <w:p>
      <w:pPr>
        <w:pStyle w:val="ListParagraph"/>
        <w:numPr>
          <w:ilvl w:val="1"/>
          <w:numId w:val="8"/>
        </w:numPr>
        <w:tabs>
          <w:tab w:pos="880" w:val="left" w:leader="none"/>
          <w:tab w:pos="881" w:val="left" w:leader="none"/>
        </w:tabs>
        <w:spacing w:line="240" w:lineRule="auto" w:before="1" w:after="0"/>
        <w:ind w:left="880" w:right="0" w:hanging="360"/>
        <w:jc w:val="left"/>
        <w:rPr>
          <w:rFonts w:ascii="Symbol" w:hAnsi="Symbol"/>
          <w:b/>
          <w:sz w:val="24"/>
        </w:rPr>
      </w:pPr>
      <w:r>
        <w:rPr>
          <w:b/>
          <w:sz w:val="24"/>
        </w:rPr>
        <w:t>Etapa 1: Síntesis y Caracterización de Nanopartículas de plata</w:t>
      </w:r>
      <w:r>
        <w:rPr>
          <w:b/>
          <w:spacing w:val="-14"/>
          <w:sz w:val="24"/>
        </w:rPr>
        <w:t> </w:t>
      </w:r>
      <w:r>
        <w:rPr>
          <w:b/>
          <w:sz w:val="24"/>
        </w:rPr>
        <w:t>(Np-Ag).</w:t>
      </w:r>
    </w:p>
    <w:p>
      <w:pPr>
        <w:pStyle w:val="BodyText"/>
        <w:spacing w:before="9"/>
        <w:rPr>
          <w:b/>
          <w:sz w:val="23"/>
        </w:rPr>
      </w:pPr>
    </w:p>
    <w:p>
      <w:pPr>
        <w:pStyle w:val="BodyText"/>
        <w:spacing w:line="477" w:lineRule="auto"/>
        <w:ind w:left="880" w:right="173"/>
        <w:jc w:val="both"/>
      </w:pPr>
      <w:r>
        <w:rPr/>
        <w:t>Para sintetizar nanopartículas de plata se partió de un precursor que es la sal de nitrato de plata (AgNO</w:t>
      </w:r>
      <w:r>
        <w:rPr>
          <w:position w:val="-2"/>
          <w:sz w:val="16"/>
        </w:rPr>
        <w:t>3</w:t>
      </w:r>
      <w:r>
        <w:rPr/>
        <w:t>), y se utilizaron tres agentes reductores distintos: Borohidruro de sodio (NaBH</w:t>
      </w:r>
      <w:r>
        <w:rPr>
          <w:position w:val="-2"/>
          <w:sz w:val="16"/>
        </w:rPr>
        <w:t>4</w:t>
      </w:r>
      <w:r>
        <w:rPr/>
        <w:t>), </w:t>
      </w:r>
      <w:r>
        <w:rPr>
          <w:i/>
        </w:rPr>
        <w:t>Camellia sinensis y Heterotheca inuloides</w:t>
      </w:r>
      <w:r>
        <w:rPr/>
        <w:t>; siendo un método químico y dos métodos verdes respectivamente. La molaridad se calculó con base en el número de moles de soluto por litro de solución, mediante la fórmula química M: n/V, en donde “n” son los moles (</w:t>
      </w:r>
      <w:hyperlink r:id="rId29">
        <w:r>
          <w:rPr/>
          <w:t>cantidad</w:t>
        </w:r>
      </w:hyperlink>
      <w:r>
        <w:rPr/>
        <w:t> de </w:t>
      </w:r>
      <w:hyperlink r:id="rId30">
        <w:r>
          <w:rPr/>
          <w:t>soluto</w:t>
        </w:r>
      </w:hyperlink>
      <w:r>
        <w:rPr/>
        <w:t>) y “V” es la unidad de volumen de </w:t>
      </w:r>
      <w:hyperlink r:id="rId31">
        <w:r>
          <w:rPr/>
          <w:t>disolución</w:t>
        </w:r>
      </w:hyperlink>
      <w:r>
        <w:rPr/>
        <w:t>. Se llevó a cabo el proceso de reducción inicialmente con el Borohidruro de sodio (NaBH</w:t>
      </w:r>
      <w:r>
        <w:rPr>
          <w:position w:val="-2"/>
          <w:sz w:val="16"/>
        </w:rPr>
        <w:t>4</w:t>
      </w:r>
      <w:r>
        <w:rPr/>
        <w:t>). Por reducción química, las sales de nitrato de plata se convirtieron en partículas de plata. Para verificar que la concentración molar fuera exacta; se pesaron por separado las cantidades en gramos de nitrato y Borohidruro en la balanza analítica. Una vez pesados, se colocaron en diferentes matraces aforados con agua destilada por unos minutos para lograr su solvatación. Posteriormente, se vació el contenido de ambos matraces aforados a un vaso de precipitado y se colocó en la parrilla térmica donde, mediante el calor y un agitador magnético, se logró la incorporación de los polvos que fueron llevados a un matraz Kitazato, en donde la solución se tornó verdosa, dando paso a la formación final de partículas de plata. Por último, mediante centrifugado y con el papel filtro Whatman 5, se obtuvieron las partículas de tamaño</w:t>
      </w:r>
      <w:r>
        <w:rPr>
          <w:spacing w:val="-14"/>
        </w:rPr>
        <w:t> </w:t>
      </w:r>
      <w:r>
        <w:rPr/>
        <w:t>nanométrico.</w:t>
      </w:r>
    </w:p>
    <w:p>
      <w:pPr>
        <w:spacing w:after="0" w:line="477" w:lineRule="auto"/>
        <w:jc w:val="both"/>
        <w:sectPr>
          <w:pgSz w:w="12240" w:h="15840"/>
          <w:pgMar w:header="736" w:footer="1024" w:top="1180" w:bottom="1220" w:left="1280" w:right="1260"/>
        </w:sectPr>
      </w:pPr>
    </w:p>
    <w:p>
      <w:pPr>
        <w:pStyle w:val="BodyText"/>
        <w:rPr>
          <w:sz w:val="20"/>
        </w:rPr>
      </w:pPr>
    </w:p>
    <w:p>
      <w:pPr>
        <w:pStyle w:val="BodyText"/>
        <w:rPr>
          <w:sz w:val="20"/>
        </w:rPr>
      </w:pPr>
    </w:p>
    <w:p>
      <w:pPr>
        <w:pStyle w:val="BodyText"/>
        <w:rPr>
          <w:sz w:val="25"/>
        </w:rPr>
      </w:pPr>
    </w:p>
    <w:p>
      <w:pPr>
        <w:tabs>
          <w:tab w:pos="5090" w:val="left" w:leader="none"/>
          <w:tab w:pos="5920" w:val="left" w:leader="none"/>
        </w:tabs>
        <w:spacing w:line="240" w:lineRule="auto"/>
        <w:ind w:left="449" w:right="0" w:firstLine="0"/>
        <w:rPr>
          <w:sz w:val="20"/>
        </w:rPr>
      </w:pPr>
      <w:r>
        <w:rPr>
          <w:sz w:val="20"/>
        </w:rPr>
        <w:pict>
          <v:group style="width:89.45pt;height:156.450pt;mso-position-horizontal-relative:char;mso-position-vertical-relative:line" coordorigin="0,0" coordsize="1789,3129">
            <v:shape style="position:absolute;left:40;top:40;width:1709;height:3049" type="#_x0000_t75" stroked="false">
              <v:imagedata r:id="rId32" o:title=""/>
            </v:shape>
            <v:rect style="position:absolute;left:20;top:20;width:1749;height:3089" filled="false" stroked="true" strokeweight="2.0pt" strokecolor="#4f81bc"/>
          </v:group>
        </w:pict>
      </w:r>
      <w:r>
        <w:rPr>
          <w:sz w:val="20"/>
        </w:rPr>
      </w:r>
      <w:r>
        <w:rPr>
          <w:rFonts w:ascii="Times New Roman"/>
          <w:spacing w:val="10"/>
          <w:sz w:val="20"/>
        </w:rPr>
        <w:t> </w:t>
      </w:r>
      <w:r>
        <w:rPr>
          <w:spacing w:val="10"/>
          <w:position w:val="171"/>
          <w:sz w:val="20"/>
        </w:rPr>
        <w:pict>
          <v:group style="width:27.35pt;height:15.5pt;mso-position-horizontal-relative:char;mso-position-vertical-relative:line" coordorigin="0,0" coordsize="547,310">
            <v:shape style="position:absolute;left:20;top:20;width:507;height:270" coordorigin="20,20" coordsize="507,270" path="m155,20l20,155,155,290,155,222,460,222,527,155,459,87,155,87,155,20xm460,222l392,222,392,290,460,222xm392,20l392,87,459,87,392,20xe" filled="true" fillcolor="#4f81bc" stroked="false">
              <v:path arrowok="t"/>
              <v:fill type="solid"/>
            </v:shape>
            <v:shape style="position:absolute;left:20;top:20;width:507;height:270" coordorigin="20,20" coordsize="507,270" path="m20,155l155,20,155,87,392,87,392,20,527,155,392,290,392,222,155,222,155,290,20,155xe" filled="false" stroked="true" strokeweight="2pt" strokecolor="#385d89">
              <v:path arrowok="t"/>
            </v:shape>
          </v:group>
        </w:pict>
      </w:r>
      <w:r>
        <w:rPr>
          <w:spacing w:val="10"/>
          <w:position w:val="171"/>
          <w:sz w:val="20"/>
        </w:rPr>
      </w:r>
      <w:r>
        <w:rPr>
          <w:rFonts w:ascii="Times New Roman"/>
          <w:spacing w:val="33"/>
          <w:position w:val="171"/>
          <w:sz w:val="20"/>
        </w:rPr>
        <w:t> </w:t>
      </w:r>
      <w:r>
        <w:rPr>
          <w:spacing w:val="33"/>
          <w:position w:val="5"/>
          <w:sz w:val="20"/>
        </w:rPr>
        <w:pict>
          <v:group style="width:95.45pt;height:154pt;mso-position-horizontal-relative:char;mso-position-vertical-relative:line" coordorigin="0,0" coordsize="1909,3080">
            <v:shape style="position:absolute;left:40;top:40;width:1829;height:3000" type="#_x0000_t75" stroked="false">
              <v:imagedata r:id="rId33" o:title=""/>
            </v:shape>
            <v:rect style="position:absolute;left:20;top:20;width:1869;height:3040" filled="false" stroked="true" strokeweight="2pt" strokecolor="#4f81bc"/>
          </v:group>
        </w:pict>
      </w:r>
      <w:r>
        <w:rPr>
          <w:spacing w:val="33"/>
          <w:position w:val="5"/>
          <w:sz w:val="20"/>
        </w:rPr>
      </w:r>
      <w:r>
        <w:rPr>
          <w:spacing w:val="33"/>
          <w:position w:val="5"/>
          <w:sz w:val="20"/>
        </w:rPr>
        <w:tab/>
      </w:r>
      <w:r>
        <w:rPr>
          <w:spacing w:val="33"/>
          <w:position w:val="157"/>
          <w:sz w:val="20"/>
        </w:rPr>
        <w:pict>
          <v:group style="width:32pt;height:16.25pt;mso-position-horizontal-relative:char;mso-position-vertical-relative:line" coordorigin="0,0" coordsize="640,325">
            <v:shape style="position:absolute;left:20;top:20;width:600;height:285" coordorigin="20,20" coordsize="600,285" path="m478,20l478,91,20,91,20,234,478,234,478,305,620,162,478,20xe" filled="true" fillcolor="#4f81bc" stroked="false">
              <v:path arrowok="t"/>
              <v:fill type="solid"/>
            </v:shape>
            <v:shape style="position:absolute;left:20;top:20;width:600;height:285" coordorigin="20,20" coordsize="600,285" path="m20,91l478,91,478,20,620,162,478,305,478,234,20,234,20,91xe" filled="false" stroked="true" strokeweight="2pt" strokecolor="#385d89">
              <v:path arrowok="t"/>
            </v:shape>
          </v:group>
        </w:pict>
      </w:r>
      <w:r>
        <w:rPr>
          <w:spacing w:val="33"/>
          <w:position w:val="157"/>
          <w:sz w:val="20"/>
        </w:rPr>
      </w:r>
      <w:r>
        <w:rPr>
          <w:spacing w:val="33"/>
          <w:position w:val="157"/>
          <w:sz w:val="20"/>
        </w:rPr>
        <w:tab/>
      </w:r>
      <w:r>
        <w:rPr>
          <w:spacing w:val="33"/>
          <w:position w:val="99"/>
          <w:sz w:val="20"/>
        </w:rPr>
        <w:pict>
          <v:group style="width:91.15pt;height:78pt;mso-position-horizontal-relative:char;mso-position-vertical-relative:line" coordorigin="0,0" coordsize="1823,1560">
            <v:shape style="position:absolute;left:40;top:40;width:1743;height:1480" type="#_x0000_t75" stroked="false">
              <v:imagedata r:id="rId34" o:title=""/>
            </v:shape>
            <v:rect style="position:absolute;left:20;top:20;width:1783;height:1520" filled="false" stroked="true" strokeweight="2pt" strokecolor="#4f81bc"/>
          </v:group>
        </w:pict>
      </w:r>
      <w:r>
        <w:rPr>
          <w:spacing w:val="33"/>
          <w:position w:val="99"/>
          <w:sz w:val="20"/>
        </w:rPr>
      </w:r>
      <w:r>
        <w:rPr>
          <w:rFonts w:ascii="Times New Roman"/>
          <w:spacing w:val="142"/>
          <w:position w:val="99"/>
          <w:sz w:val="20"/>
        </w:rPr>
        <w:t> </w:t>
      </w:r>
      <w:r>
        <w:rPr>
          <w:spacing w:val="142"/>
          <w:position w:val="27"/>
          <w:sz w:val="20"/>
        </w:rPr>
        <w:pict>
          <v:group style="width:110.75pt;height:142.75pt;mso-position-horizontal-relative:char;mso-position-vertical-relative:line" coordorigin="0,0" coordsize="2215,2855">
            <v:shape style="position:absolute;left:40;top:40;width:2135;height:2775" type="#_x0000_t75" stroked="false">
              <v:imagedata r:id="rId35" o:title=""/>
            </v:shape>
            <v:rect style="position:absolute;left:20;top:20;width:2175;height:2815" filled="false" stroked="true" strokeweight="2pt" strokecolor="#4f81bc"/>
          </v:group>
        </w:pict>
      </w:r>
      <w:r>
        <w:rPr>
          <w:spacing w:val="142"/>
          <w:position w:val="27"/>
          <w:sz w:val="20"/>
        </w:rPr>
      </w:r>
    </w:p>
    <w:p>
      <w:pPr>
        <w:pStyle w:val="BodyText"/>
        <w:spacing w:before="8"/>
        <w:rPr>
          <w:sz w:val="28"/>
        </w:rPr>
      </w:pPr>
    </w:p>
    <w:p>
      <w:pPr>
        <w:pStyle w:val="BodyText"/>
        <w:tabs>
          <w:tab w:pos="2740" w:val="left" w:leader="none"/>
          <w:tab w:pos="6046" w:val="left" w:leader="none"/>
        </w:tabs>
        <w:spacing w:before="51"/>
        <w:ind w:left="284"/>
        <w:rPr>
          <w:rFonts w:ascii="Calibri" w:hAnsi="Calibri"/>
        </w:rPr>
      </w:pPr>
      <w:r>
        <w:rPr>
          <w:rFonts w:ascii="Calibri" w:hAnsi="Calibri"/>
          <w:position w:val="-6"/>
        </w:rPr>
        <w:t>a. Nitrato</w:t>
      </w:r>
      <w:r>
        <w:rPr>
          <w:rFonts w:ascii="Calibri" w:hAnsi="Calibri"/>
          <w:spacing w:val="-7"/>
          <w:position w:val="-6"/>
        </w:rPr>
        <w:t> </w:t>
      </w:r>
      <w:r>
        <w:rPr>
          <w:rFonts w:ascii="Calibri" w:hAnsi="Calibri"/>
          <w:position w:val="-6"/>
        </w:rPr>
        <w:t>de</w:t>
      </w:r>
      <w:r>
        <w:rPr>
          <w:rFonts w:ascii="Calibri" w:hAnsi="Calibri"/>
          <w:spacing w:val="-5"/>
          <w:position w:val="-6"/>
        </w:rPr>
        <w:t> </w:t>
      </w:r>
      <w:r>
        <w:rPr>
          <w:rFonts w:ascii="Calibri" w:hAnsi="Calibri"/>
          <w:position w:val="-6"/>
        </w:rPr>
        <w:t>plata</w:t>
        <w:tab/>
      </w:r>
      <w:r>
        <w:rPr>
          <w:rFonts w:ascii="Calibri" w:hAnsi="Calibri"/>
          <w:position w:val="-2"/>
        </w:rPr>
        <w:t>b. Borohidruro</w:t>
      </w:r>
      <w:r>
        <w:rPr>
          <w:rFonts w:ascii="Calibri" w:hAnsi="Calibri"/>
          <w:spacing w:val="-6"/>
          <w:position w:val="-2"/>
        </w:rPr>
        <w:t> </w:t>
      </w:r>
      <w:r>
        <w:rPr>
          <w:rFonts w:ascii="Calibri" w:hAnsi="Calibri"/>
          <w:position w:val="-2"/>
        </w:rPr>
        <w:t>de</w:t>
      </w:r>
      <w:r>
        <w:rPr>
          <w:rFonts w:ascii="Calibri" w:hAnsi="Calibri"/>
          <w:spacing w:val="-5"/>
          <w:position w:val="-2"/>
        </w:rPr>
        <w:t> </w:t>
      </w:r>
      <w:r>
        <w:rPr>
          <w:rFonts w:ascii="Calibri" w:hAnsi="Calibri"/>
          <w:position w:val="-2"/>
        </w:rPr>
        <w:t>Sodio</w:t>
        <w:tab/>
      </w:r>
      <w:r>
        <w:rPr>
          <w:rFonts w:ascii="Calibri" w:hAnsi="Calibri"/>
        </w:rPr>
        <w:t>c. Polvos pesados en la balanza</w:t>
      </w:r>
      <w:r>
        <w:rPr>
          <w:rFonts w:ascii="Calibri" w:hAnsi="Calibri"/>
          <w:spacing w:val="-29"/>
        </w:rPr>
        <w:t> </w:t>
      </w:r>
      <w:r>
        <w:rPr>
          <w:rFonts w:ascii="Calibri" w:hAnsi="Calibri"/>
        </w:rPr>
        <w:t>analítica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21"/>
        </w:rPr>
      </w:pPr>
      <w:r>
        <w:rPr/>
        <w:pict>
          <v:group style="position:absolute;margin-left:95.449997pt;margin-top:15.089211pt;width:130.4500pt;height:179.5pt;mso-position-horizontal-relative:page;mso-position-vertical-relative:paragraph;z-index:1336;mso-wrap-distance-left:0;mso-wrap-distance-right:0" coordorigin="1909,302" coordsize="2609,3590">
            <v:shape style="position:absolute;left:1949;top:342;width:2529;height:3510" type="#_x0000_t75" stroked="false">
              <v:imagedata r:id="rId36" o:title=""/>
            </v:shape>
            <v:rect style="position:absolute;left:1929;top:322;width:2569;height:3550" filled="false" stroked="true" strokeweight="2pt" strokecolor="#4f81bc"/>
            <w10:wrap type="topAndBottom"/>
          </v:group>
        </w:pict>
      </w:r>
    </w:p>
    <w:p>
      <w:pPr>
        <w:pStyle w:val="BodyText"/>
        <w:spacing w:before="1"/>
        <w:rPr>
          <w:rFonts w:ascii="Calibri"/>
          <w:sz w:val="15"/>
        </w:rPr>
      </w:pPr>
    </w:p>
    <w:p>
      <w:pPr>
        <w:pStyle w:val="ListParagraph"/>
        <w:numPr>
          <w:ilvl w:val="0"/>
          <w:numId w:val="12"/>
        </w:numPr>
        <w:tabs>
          <w:tab w:pos="349" w:val="left" w:leader="none"/>
        </w:tabs>
        <w:spacing w:line="240" w:lineRule="auto" w:before="52" w:after="0"/>
        <w:ind w:left="348" w:right="0" w:hanging="241"/>
        <w:jc w:val="left"/>
        <w:rPr>
          <w:rFonts w:ascii="Calibri"/>
          <w:sz w:val="16"/>
        </w:rPr>
      </w:pPr>
      <w:r>
        <w:rPr/>
        <w:pict>
          <v:group style="position:absolute;margin-left:358pt;margin-top:-174.254227pt;width:151.85pt;height:185.5pt;mso-position-horizontal-relative:page;mso-position-vertical-relative:paragraph;z-index:1360" coordorigin="7160,-3485" coordsize="3037,3710">
            <v:shape style="position:absolute;left:7200;top:-3445;width:2957;height:3629" type="#_x0000_t75" stroked="false">
              <v:imagedata r:id="rId37" o:title=""/>
            </v:shape>
            <v:rect style="position:absolute;left:7180;top:-3465;width:2997;height:3669" filled="false" stroked="true" strokeweight="2pt" strokecolor="#4f81bc"/>
            <w10:wrap type="none"/>
          </v:group>
        </w:pict>
      </w:r>
      <w:r>
        <w:rPr>
          <w:rFonts w:ascii="Calibri"/>
          <w:sz w:val="24"/>
        </w:rPr>
        <w:t>Matraz aforado para disolver AgNO</w:t>
      </w:r>
      <w:r>
        <w:rPr>
          <w:rFonts w:ascii="Calibri"/>
          <w:position w:val="-2"/>
          <w:sz w:val="16"/>
        </w:rPr>
        <w:t>3 </w:t>
      </w:r>
      <w:r>
        <w:rPr>
          <w:rFonts w:ascii="Calibri"/>
          <w:sz w:val="24"/>
        </w:rPr>
        <w:t>y</w:t>
      </w:r>
      <w:r>
        <w:rPr>
          <w:rFonts w:ascii="Calibri"/>
          <w:spacing w:val="-17"/>
          <w:sz w:val="24"/>
        </w:rPr>
        <w:t> </w:t>
      </w:r>
      <w:r>
        <w:rPr>
          <w:rFonts w:ascii="Calibri"/>
          <w:sz w:val="24"/>
        </w:rPr>
        <w:t>NaBH</w:t>
      </w:r>
      <w:r>
        <w:rPr>
          <w:rFonts w:ascii="Calibri"/>
          <w:position w:val="-2"/>
          <w:sz w:val="16"/>
        </w:rPr>
        <w:t>4</w:t>
      </w:r>
    </w:p>
    <w:p>
      <w:pPr>
        <w:pStyle w:val="ListParagraph"/>
        <w:numPr>
          <w:ilvl w:val="0"/>
          <w:numId w:val="12"/>
        </w:numPr>
        <w:tabs>
          <w:tab w:pos="5237" w:val="left" w:leader="none"/>
        </w:tabs>
        <w:spacing w:line="240" w:lineRule="auto" w:before="65" w:after="0"/>
        <w:ind w:left="5236" w:right="0" w:hanging="235"/>
        <w:jc w:val="left"/>
        <w:rPr>
          <w:rFonts w:ascii="Calibri" w:hAnsi="Calibri"/>
          <w:sz w:val="24"/>
        </w:rPr>
      </w:pPr>
      <w:r>
        <w:rPr>
          <w:rFonts w:ascii="Calibri" w:hAnsi="Calibri"/>
          <w:sz w:val="24"/>
        </w:rPr>
        <w:t>Agitación e incorporación en la</w:t>
      </w:r>
      <w:r>
        <w:rPr>
          <w:rFonts w:ascii="Calibri" w:hAnsi="Calibri"/>
          <w:spacing w:val="-39"/>
          <w:sz w:val="24"/>
        </w:rPr>
        <w:t> </w:t>
      </w:r>
      <w:r>
        <w:rPr>
          <w:rFonts w:ascii="Calibri" w:hAnsi="Calibri"/>
          <w:sz w:val="24"/>
        </w:rPr>
        <w:t>Parrilla magnética</w:t>
      </w:r>
    </w:p>
    <w:p>
      <w:pPr>
        <w:spacing w:after="0" w:line="240" w:lineRule="auto"/>
        <w:jc w:val="left"/>
        <w:rPr>
          <w:rFonts w:ascii="Calibri" w:hAnsi="Calibri"/>
          <w:sz w:val="24"/>
        </w:rPr>
        <w:sectPr>
          <w:pgSz w:w="12240" w:h="15840"/>
          <w:pgMar w:header="736" w:footer="1024" w:top="1180" w:bottom="1220" w:left="980" w:right="1020"/>
        </w:sectPr>
      </w:pPr>
    </w:p>
    <w:p>
      <w:pPr>
        <w:pStyle w:val="BodyText"/>
        <w:rPr>
          <w:rFonts w:ascii="Calibri"/>
          <w:sz w:val="2"/>
        </w:rPr>
      </w:pPr>
    </w:p>
    <w:p>
      <w:pPr>
        <w:pStyle w:val="BodyText"/>
        <w:spacing w:line="89" w:lineRule="exact"/>
        <w:ind w:left="341"/>
        <w:rPr>
          <w:rFonts w:ascii="Calibri"/>
          <w:sz w:val="8"/>
        </w:rPr>
      </w:pPr>
      <w:r>
        <w:rPr>
          <w:rFonts w:ascii="Calibri"/>
          <w:position w:val="-1"/>
          <w:sz w:val="8"/>
        </w:rPr>
        <w:pict>
          <v:group style="width:473.95pt;height:4.5pt;mso-position-horizontal-relative:char;mso-position-vertical-relative:line" coordorigin="0,0" coordsize="9479,90">
            <v:line style="position:absolute" from="30,59" to="9449,59" stroked="true" strokeweight="3pt" strokecolor="#612322"/>
            <v:line style="position:absolute" from="30,8" to="9449,8" stroked="true" strokeweight=".72pt" strokecolor="#612322"/>
          </v:group>
        </w:pict>
      </w:r>
      <w:r>
        <w:rPr>
          <w:rFonts w:ascii="Calibri"/>
          <w:position w:val="-1"/>
          <w:sz w:val="8"/>
        </w:rPr>
      </w:r>
    </w:p>
    <w:p>
      <w:pPr>
        <w:pStyle w:val="BodyText"/>
        <w:spacing w:before="9"/>
        <w:rPr>
          <w:rFonts w:ascii="Calibri"/>
          <w:sz w:val="15"/>
        </w:rPr>
      </w:pPr>
      <w:r>
        <w:rPr/>
        <w:pict>
          <v:group style="position:absolute;margin-left:127pt;margin-top:11.604227pt;width:151pt;height:199.7pt;mso-position-horizontal-relative:page;mso-position-vertical-relative:paragraph;z-index:1408;mso-wrap-distance-left:0;mso-wrap-distance-right:0" coordorigin="2540,232" coordsize="3020,3994">
            <v:shape style="position:absolute;left:2580;top:272;width:2940;height:3914" type="#_x0000_t75" stroked="false">
              <v:imagedata r:id="rId39" o:title=""/>
            </v:shape>
            <v:rect style="position:absolute;left:2560;top:252;width:2980;height:3954" filled="false" stroked="true" strokeweight="2pt" strokecolor="#4f81bc"/>
            <w10:wrap type="topAndBottom"/>
          </v:group>
        </w:pict>
      </w:r>
      <w:r>
        <w:rPr/>
        <w:pict>
          <v:group style="position:absolute;margin-left:349pt;margin-top:11.594227pt;width:149.25pt;height:198.95pt;mso-position-horizontal-relative:page;mso-position-vertical-relative:paragraph;z-index:1432;mso-wrap-distance-left:0;mso-wrap-distance-right:0" coordorigin="6980,232" coordsize="2985,3979">
            <v:shape style="position:absolute;left:7020;top:272;width:2905;height:3899" type="#_x0000_t75" stroked="false">
              <v:imagedata r:id="rId40" o:title=""/>
            </v:shape>
            <v:rect style="position:absolute;left:7000;top:252;width:2945;height:3939" filled="false" stroked="true" strokeweight="2pt" strokecolor="#4f81bc"/>
            <w10:wrap type="topAndBottom"/>
          </v:group>
        </w:pict>
      </w:r>
    </w:p>
    <w:p>
      <w:pPr>
        <w:pStyle w:val="BodyText"/>
        <w:spacing w:before="5"/>
        <w:rPr>
          <w:rFonts w:ascii="Calibri"/>
          <w:sz w:val="16"/>
        </w:rPr>
      </w:pPr>
    </w:p>
    <w:p>
      <w:pPr>
        <w:pStyle w:val="ListParagraph"/>
        <w:numPr>
          <w:ilvl w:val="0"/>
          <w:numId w:val="12"/>
        </w:numPr>
        <w:tabs>
          <w:tab w:pos="686" w:val="left" w:leader="none"/>
          <w:tab w:pos="6317" w:val="left" w:leader="none"/>
        </w:tabs>
        <w:spacing w:line="240" w:lineRule="auto" w:before="54" w:after="0"/>
        <w:ind w:left="685" w:right="0" w:hanging="172"/>
        <w:jc w:val="left"/>
        <w:rPr>
          <w:rFonts w:ascii="Calibri" w:hAnsi="Calibri"/>
          <w:sz w:val="24"/>
        </w:rPr>
      </w:pPr>
      <w:r>
        <w:rPr>
          <w:rFonts w:ascii="Calibri" w:hAnsi="Calibri"/>
          <w:position w:val="1"/>
          <w:sz w:val="24"/>
        </w:rPr>
        <w:t>Incorporación del polvo precursor y</w:t>
      </w:r>
      <w:r>
        <w:rPr>
          <w:rFonts w:ascii="Calibri" w:hAnsi="Calibri"/>
          <w:spacing w:val="-22"/>
          <w:position w:val="1"/>
          <w:sz w:val="24"/>
        </w:rPr>
        <w:t> </w:t>
      </w:r>
      <w:r>
        <w:rPr>
          <w:rFonts w:ascii="Calibri" w:hAnsi="Calibri"/>
          <w:position w:val="1"/>
          <w:sz w:val="24"/>
        </w:rPr>
        <w:t>el</w:t>
      </w:r>
      <w:r>
        <w:rPr>
          <w:rFonts w:ascii="Calibri" w:hAnsi="Calibri"/>
          <w:spacing w:val="-5"/>
          <w:position w:val="1"/>
          <w:sz w:val="24"/>
        </w:rPr>
        <w:t> </w:t>
      </w:r>
      <w:r>
        <w:rPr>
          <w:rFonts w:ascii="Calibri" w:hAnsi="Calibri"/>
          <w:position w:val="1"/>
          <w:sz w:val="24"/>
        </w:rPr>
        <w:t>reductor</w:t>
        <w:tab/>
      </w:r>
      <w:r>
        <w:rPr>
          <w:rFonts w:ascii="Calibri" w:hAnsi="Calibri"/>
          <w:sz w:val="24"/>
        </w:rPr>
        <w:t>g. Formación de partículas de</w:t>
      </w:r>
      <w:r>
        <w:rPr>
          <w:rFonts w:ascii="Calibri" w:hAnsi="Calibri"/>
          <w:spacing w:val="-20"/>
          <w:sz w:val="24"/>
        </w:rPr>
        <w:t> </w:t>
      </w:r>
      <w:r>
        <w:rPr>
          <w:rFonts w:ascii="Calibri" w:hAnsi="Calibri"/>
          <w:sz w:val="24"/>
        </w:rPr>
        <w:t>plata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12"/>
        </w:rPr>
      </w:pPr>
      <w:r>
        <w:rPr/>
        <w:pict>
          <v:group style="position:absolute;margin-left:127.25pt;margin-top:9.686241pt;width:118pt;height:268.650pt;mso-position-horizontal-relative:page;mso-position-vertical-relative:paragraph;z-index:1456;mso-wrap-distance-left:0;mso-wrap-distance-right:0" coordorigin="2545,194" coordsize="2360,5373">
            <v:shape style="position:absolute;left:2585;top:234;width:2280;height:5293" type="#_x0000_t75" stroked="false">
              <v:imagedata r:id="rId41" o:title=""/>
            </v:shape>
            <v:rect style="position:absolute;left:2565;top:214;width:2320;height:5333" filled="false" stroked="true" strokeweight="2pt" strokecolor="#4f81bc"/>
            <w10:wrap type="topAndBottom"/>
          </v:group>
        </w:pict>
      </w:r>
      <w:r>
        <w:rPr/>
        <w:pict>
          <v:group style="position:absolute;margin-left:364pt;margin-top:47.686241pt;width:152.5pt;height:168.8pt;mso-position-horizontal-relative:page;mso-position-vertical-relative:paragraph;z-index:1480;mso-wrap-distance-left:0;mso-wrap-distance-right:0" coordorigin="7280,954" coordsize="3050,3376">
            <v:shape style="position:absolute;left:7320;top:994;width:2970;height:3296" type="#_x0000_t75" stroked="false">
              <v:imagedata r:id="rId42" o:title=""/>
            </v:shape>
            <v:rect style="position:absolute;left:7300;top:974;width:3010;height:3336" filled="false" stroked="true" strokeweight="2pt" strokecolor="#4f81bc"/>
            <w10:wrap type="topAndBottom"/>
          </v:group>
        </w:pict>
      </w:r>
    </w:p>
    <w:p>
      <w:pPr>
        <w:pStyle w:val="BodyText"/>
        <w:spacing w:before="11"/>
        <w:rPr>
          <w:rFonts w:ascii="Calibri"/>
          <w:sz w:val="26"/>
        </w:rPr>
      </w:pPr>
    </w:p>
    <w:p>
      <w:pPr>
        <w:spacing w:after="0"/>
        <w:rPr>
          <w:rFonts w:ascii="Calibri"/>
          <w:sz w:val="26"/>
        </w:rPr>
        <w:sectPr>
          <w:headerReference w:type="default" r:id="rId38"/>
          <w:pgSz w:w="12240" w:h="15840"/>
          <w:pgMar w:header="736" w:footer="1024" w:top="1080" w:bottom="1220" w:left="1040" w:right="1020"/>
        </w:sectPr>
      </w:pPr>
    </w:p>
    <w:p>
      <w:pPr>
        <w:pStyle w:val="ListParagraph"/>
        <w:numPr>
          <w:ilvl w:val="0"/>
          <w:numId w:val="13"/>
        </w:numPr>
        <w:tabs>
          <w:tab w:pos="347" w:val="left" w:leader="none"/>
        </w:tabs>
        <w:spacing w:line="290" w:lineRule="exact" w:before="49" w:after="0"/>
        <w:ind w:left="1415" w:right="0" w:hanging="1311"/>
        <w:jc w:val="left"/>
        <w:rPr>
          <w:rFonts w:ascii="Calibri" w:hAnsi="Calibri"/>
          <w:sz w:val="24"/>
        </w:rPr>
      </w:pPr>
      <w:r>
        <w:rPr/>
        <w:drawing>
          <wp:anchor distT="0" distB="0" distL="0" distR="0" allowOverlap="1" layoutInCell="1" locked="0" behindDoc="0" simplePos="0" relativeHeight="1504">
            <wp:simplePos x="0" y="0"/>
            <wp:positionH relativeFrom="page">
              <wp:posOffset>4533900</wp:posOffset>
            </wp:positionH>
            <wp:positionV relativeFrom="page">
              <wp:posOffset>0</wp:posOffset>
            </wp:positionV>
            <wp:extent cx="1616075" cy="6096"/>
            <wp:effectExtent l="0" t="0" r="0" b="0"/>
            <wp:wrapNone/>
            <wp:docPr id="7" name="image17.png" descr=""/>
            <wp:cNvGraphicFramePr>
              <a:graphicFrameLocks noChangeAspect="1"/>
            </wp:cNvGraphicFramePr>
            <a:graphic>
              <a:graphicData uri="http://schemas.openxmlformats.org/drawingml/2006/picture">
                <pic:pic>
                  <pic:nvPicPr>
                    <pic:cNvPr id="8" name="image17.png"/>
                    <pic:cNvPicPr/>
                  </pic:nvPicPr>
                  <pic:blipFill>
                    <a:blip r:embed="rId43" cstate="print"/>
                    <a:stretch>
                      <a:fillRect/>
                    </a:stretch>
                  </pic:blipFill>
                  <pic:spPr>
                    <a:xfrm>
                      <a:off x="0" y="0"/>
                      <a:ext cx="1616075" cy="6096"/>
                    </a:xfrm>
                    <a:prstGeom prst="rect">
                      <a:avLst/>
                    </a:prstGeom>
                  </pic:spPr>
                </pic:pic>
              </a:graphicData>
            </a:graphic>
          </wp:anchor>
        </w:drawing>
      </w:r>
      <w:r>
        <w:rPr>
          <w:rFonts w:ascii="Calibri" w:hAnsi="Calibri"/>
          <w:sz w:val="24"/>
        </w:rPr>
        <w:t>Filtrado</w:t>
      </w:r>
      <w:r>
        <w:rPr>
          <w:rFonts w:ascii="Calibri" w:hAnsi="Calibri"/>
          <w:spacing w:val="-9"/>
          <w:sz w:val="24"/>
        </w:rPr>
        <w:t> </w:t>
      </w:r>
      <w:r>
        <w:rPr>
          <w:rFonts w:ascii="Calibri" w:hAnsi="Calibri"/>
          <w:sz w:val="24"/>
        </w:rPr>
        <w:t>al</w:t>
      </w:r>
      <w:r>
        <w:rPr>
          <w:rFonts w:ascii="Calibri" w:hAnsi="Calibri"/>
          <w:spacing w:val="-8"/>
          <w:sz w:val="24"/>
        </w:rPr>
        <w:t> </w:t>
      </w:r>
      <w:r>
        <w:rPr>
          <w:rFonts w:ascii="Calibri" w:hAnsi="Calibri"/>
          <w:sz w:val="24"/>
        </w:rPr>
        <w:t>vacío</w:t>
      </w:r>
      <w:r>
        <w:rPr>
          <w:rFonts w:ascii="Calibri" w:hAnsi="Calibri"/>
          <w:spacing w:val="-8"/>
          <w:sz w:val="24"/>
        </w:rPr>
        <w:t> </w:t>
      </w:r>
      <w:r>
        <w:rPr>
          <w:rFonts w:ascii="Calibri" w:hAnsi="Calibri"/>
          <w:sz w:val="24"/>
        </w:rPr>
        <w:t>en</w:t>
      </w:r>
      <w:r>
        <w:rPr>
          <w:rFonts w:ascii="Calibri" w:hAnsi="Calibri"/>
          <w:spacing w:val="-7"/>
          <w:sz w:val="24"/>
        </w:rPr>
        <w:t> </w:t>
      </w:r>
      <w:r>
        <w:rPr>
          <w:rFonts w:ascii="Calibri" w:hAnsi="Calibri"/>
          <w:sz w:val="24"/>
        </w:rPr>
        <w:t>matraz</w:t>
      </w:r>
      <w:r>
        <w:rPr>
          <w:rFonts w:ascii="Calibri" w:hAnsi="Calibri"/>
          <w:spacing w:val="-9"/>
          <w:sz w:val="24"/>
        </w:rPr>
        <w:t> </w:t>
      </w:r>
      <w:r>
        <w:rPr>
          <w:rFonts w:ascii="Calibri" w:hAnsi="Calibri"/>
          <w:sz w:val="24"/>
        </w:rPr>
        <w:t>Kitazato</w:t>
      </w:r>
      <w:r>
        <w:rPr>
          <w:rFonts w:ascii="Calibri" w:hAnsi="Calibri"/>
          <w:spacing w:val="-9"/>
          <w:sz w:val="24"/>
        </w:rPr>
        <w:t> </w:t>
      </w:r>
      <w:r>
        <w:rPr>
          <w:rFonts w:ascii="Calibri" w:hAnsi="Calibri"/>
          <w:sz w:val="24"/>
        </w:rPr>
        <w:t>para</w:t>
      </w:r>
      <w:r>
        <w:rPr>
          <w:rFonts w:ascii="Calibri" w:hAnsi="Calibri"/>
          <w:spacing w:val="-8"/>
          <w:sz w:val="24"/>
        </w:rPr>
        <w:t> </w:t>
      </w:r>
      <w:r>
        <w:rPr>
          <w:rFonts w:ascii="Calibri" w:hAnsi="Calibri"/>
          <w:sz w:val="24"/>
        </w:rPr>
        <w:t>separar nanopartículas de</w:t>
      </w:r>
      <w:r>
        <w:rPr>
          <w:rFonts w:ascii="Calibri" w:hAnsi="Calibri"/>
          <w:spacing w:val="-13"/>
          <w:sz w:val="24"/>
        </w:rPr>
        <w:t> </w:t>
      </w:r>
      <w:r>
        <w:rPr>
          <w:rFonts w:ascii="Calibri" w:hAnsi="Calibri"/>
          <w:sz w:val="24"/>
        </w:rPr>
        <w:t>plata</w:t>
      </w:r>
    </w:p>
    <w:p>
      <w:pPr>
        <w:pStyle w:val="ListParagraph"/>
        <w:numPr>
          <w:ilvl w:val="0"/>
          <w:numId w:val="13"/>
        </w:numPr>
        <w:tabs>
          <w:tab w:pos="275" w:val="left" w:leader="none"/>
        </w:tabs>
        <w:spacing w:line="240" w:lineRule="auto" w:before="71" w:after="0"/>
        <w:ind w:left="274" w:right="0" w:hanging="170"/>
        <w:jc w:val="left"/>
        <w:rPr>
          <w:rFonts w:ascii="Calibri" w:hAnsi="Calibri"/>
          <w:sz w:val="24"/>
        </w:rPr>
      </w:pPr>
      <w:r>
        <w:rPr>
          <w:rFonts w:ascii="Calibri" w:hAnsi="Calibri"/>
          <w:w w:val="99"/>
          <w:sz w:val="24"/>
        </w:rPr>
        <w:br w:type="column"/>
      </w:r>
      <w:r>
        <w:rPr>
          <w:rFonts w:ascii="Calibri" w:hAnsi="Calibri"/>
          <w:sz w:val="24"/>
        </w:rPr>
        <w:t>Solución de Np-Ag </w:t>
      </w:r>
      <w:r>
        <w:rPr>
          <w:rFonts w:ascii="Calibri" w:hAnsi="Calibri"/>
          <w:i/>
          <w:sz w:val="24"/>
        </w:rPr>
        <w:t>vs </w:t>
      </w:r>
      <w:r>
        <w:rPr>
          <w:rFonts w:ascii="Calibri" w:hAnsi="Calibri"/>
          <w:sz w:val="24"/>
        </w:rPr>
        <w:t>Clorhexidina</w:t>
      </w:r>
      <w:r>
        <w:rPr>
          <w:rFonts w:ascii="Calibri" w:hAnsi="Calibri"/>
          <w:spacing w:val="-22"/>
          <w:sz w:val="24"/>
        </w:rPr>
        <w:t> </w:t>
      </w:r>
      <w:r>
        <w:rPr>
          <w:rFonts w:ascii="Calibri" w:hAnsi="Calibri"/>
          <w:sz w:val="24"/>
        </w:rPr>
        <w:t>Denstply</w:t>
      </w:r>
    </w:p>
    <w:p>
      <w:pPr>
        <w:spacing w:after="0" w:line="240" w:lineRule="auto"/>
        <w:jc w:val="left"/>
        <w:rPr>
          <w:rFonts w:ascii="Calibri" w:hAnsi="Calibri"/>
          <w:sz w:val="24"/>
        </w:rPr>
        <w:sectPr>
          <w:type w:val="continuous"/>
          <w:pgSz w:w="12240" w:h="15840"/>
          <w:pgMar w:top="1180" w:bottom="1140" w:left="1040" w:right="1020"/>
          <w:cols w:num="2" w:equalWidth="0">
            <w:col w:w="5009" w:space="560"/>
            <w:col w:w="4611"/>
          </w:cols>
        </w:sectPr>
      </w:pPr>
    </w:p>
    <w:p>
      <w:pPr>
        <w:pStyle w:val="BodyText"/>
        <w:spacing w:before="2"/>
        <w:rPr>
          <w:rFonts w:ascii="Calibri"/>
          <w:sz w:val="16"/>
        </w:rPr>
      </w:pPr>
    </w:p>
    <w:p>
      <w:pPr>
        <w:pStyle w:val="BodyText"/>
        <w:spacing w:before="69"/>
        <w:ind w:left="160" w:right="270"/>
      </w:pPr>
      <w:r>
        <w:rPr/>
        <w:t>Condiciones para Borohidruro de sodio</w:t>
      </w:r>
    </w:p>
    <w:p>
      <w:pPr>
        <w:pStyle w:val="BodyText"/>
        <w:spacing w:before="1"/>
        <w:rPr>
          <w:sz w:val="21"/>
        </w:rPr>
      </w:pPr>
    </w:p>
    <w:p>
      <w:pPr>
        <w:pStyle w:val="BodyText"/>
        <w:spacing w:line="360" w:lineRule="auto"/>
        <w:ind w:left="880" w:right="176"/>
        <w:jc w:val="both"/>
      </w:pPr>
      <w:r>
        <w:rPr/>
        <w:t>La diferencia entre este método y los ecoamigables, es que aquí no interviene la variable temperatura, la síntesis sólo contempla variación en las proporciones de agua etanol. Es decir no se llevaron a ebullición las muestras, pues este método químico no lo requiere.</w:t>
      </w:r>
    </w:p>
    <w:p>
      <w:pPr>
        <w:pStyle w:val="BodyText"/>
      </w:pPr>
    </w:p>
    <w:p>
      <w:pPr>
        <w:pStyle w:val="BodyText"/>
        <w:spacing w:line="319" w:lineRule="auto" w:before="142"/>
        <w:ind w:left="880" w:right="177"/>
        <w:jc w:val="both"/>
      </w:pPr>
      <w:r>
        <w:rPr/>
        <w:t>BHM1: se preparó una solución acuosa 100ml de AgNO</w:t>
      </w:r>
      <w:r>
        <w:rPr>
          <w:position w:val="-2"/>
          <w:sz w:val="16"/>
        </w:rPr>
        <w:t>3 </w:t>
      </w:r>
      <w:r>
        <w:rPr/>
        <w:t>a una concentración de 1x10</w:t>
      </w:r>
      <w:r>
        <w:rPr>
          <w:position w:val="11"/>
          <w:sz w:val="16"/>
        </w:rPr>
        <w:t>-3</w:t>
      </w:r>
      <w:r>
        <w:rPr/>
        <w:t>, por otro lado se preparó una solución de 100ml de NaBH</w:t>
      </w:r>
      <w:r>
        <w:rPr>
          <w:position w:val="-2"/>
          <w:sz w:val="16"/>
        </w:rPr>
        <w:t>4 </w:t>
      </w:r>
      <w:r>
        <w:rPr/>
        <w:t>a una concentración de 2x10</w:t>
      </w:r>
      <w:r>
        <w:rPr>
          <w:position w:val="11"/>
          <w:sz w:val="16"/>
        </w:rPr>
        <w:t>-2</w:t>
      </w:r>
      <w:r>
        <w:rPr/>
        <w:t>.</w:t>
      </w:r>
    </w:p>
    <w:p>
      <w:pPr>
        <w:pStyle w:val="BodyText"/>
        <w:spacing w:before="3"/>
        <w:rPr>
          <w:sz w:val="39"/>
        </w:rPr>
      </w:pPr>
    </w:p>
    <w:p>
      <w:pPr>
        <w:pStyle w:val="BodyText"/>
        <w:spacing w:line="333" w:lineRule="auto"/>
        <w:ind w:left="880" w:right="174"/>
        <w:jc w:val="both"/>
      </w:pPr>
      <w:r>
        <w:rPr/>
        <w:t>BHM2: se preparó una solución 50% de agua, 50% de alcohol de AgNO</w:t>
      </w:r>
      <w:r>
        <w:rPr>
          <w:position w:val="-2"/>
          <w:sz w:val="16"/>
        </w:rPr>
        <w:t>3 </w:t>
      </w:r>
      <w:r>
        <w:rPr/>
        <w:t>a una concentración de 1x10</w:t>
      </w:r>
      <w:r>
        <w:rPr>
          <w:position w:val="11"/>
          <w:sz w:val="16"/>
        </w:rPr>
        <w:t>-3</w:t>
      </w:r>
      <w:r>
        <w:rPr/>
        <w:t>, se diluyó NaBH</w:t>
      </w:r>
      <w:r>
        <w:rPr>
          <w:position w:val="-2"/>
          <w:sz w:val="16"/>
        </w:rPr>
        <w:t>4 </w:t>
      </w:r>
      <w:r>
        <w:rPr/>
        <w:t>(a una concentración de 2x10</w:t>
      </w:r>
      <w:r>
        <w:rPr>
          <w:position w:val="11"/>
          <w:sz w:val="16"/>
        </w:rPr>
        <w:t>-2</w:t>
      </w:r>
      <w:r>
        <w:rPr/>
        <w:t>) en 100ml de solución etanólica.</w:t>
      </w:r>
    </w:p>
    <w:p>
      <w:pPr>
        <w:pStyle w:val="BodyText"/>
      </w:pPr>
    </w:p>
    <w:p>
      <w:pPr>
        <w:pStyle w:val="BodyText"/>
        <w:spacing w:line="348" w:lineRule="auto" w:before="171"/>
        <w:ind w:left="880" w:right="174"/>
        <w:jc w:val="both"/>
        <w:rPr>
          <w:sz w:val="16"/>
        </w:rPr>
      </w:pPr>
      <w:r>
        <w:rPr/>
        <w:t>BHM3: Una solución de AgNO</w:t>
      </w:r>
      <w:r>
        <w:rPr>
          <w:position w:val="-2"/>
          <w:sz w:val="16"/>
        </w:rPr>
        <w:t>3 </w:t>
      </w:r>
      <w:r>
        <w:rPr/>
        <w:t>1:3 agua-etanol se preparó con 75ml de H</w:t>
      </w:r>
      <w:r>
        <w:rPr>
          <w:position w:val="-2"/>
          <w:sz w:val="16"/>
        </w:rPr>
        <w:t>2</w:t>
      </w:r>
      <w:r>
        <w:rPr/>
        <w:t>O y 25ml de ETOH:</w:t>
      </w:r>
      <w:r>
        <w:rPr>
          <w:position w:val="-2"/>
          <w:sz w:val="16"/>
        </w:rPr>
        <w:t>. </w:t>
      </w:r>
      <w:r>
        <w:rPr/>
        <w:t>Por otro lado se preparó una solución 1:1 agua-etanol, colocando 50ml de H</w:t>
      </w:r>
      <w:r>
        <w:rPr>
          <w:position w:val="-2"/>
          <w:sz w:val="16"/>
        </w:rPr>
        <w:t>2</w:t>
      </w:r>
      <w:r>
        <w:rPr/>
        <w:t>0, 50ml de ETOH para obtener la solución del reductor, NaBH</w:t>
      </w:r>
      <w:r>
        <w:rPr>
          <w:position w:val="-2"/>
          <w:sz w:val="16"/>
        </w:rPr>
        <w:t>4.</w:t>
      </w:r>
    </w:p>
    <w:p>
      <w:pPr>
        <w:pStyle w:val="BodyText"/>
        <w:spacing w:before="9"/>
        <w:rPr>
          <w:sz w:val="32"/>
        </w:rPr>
      </w:pPr>
    </w:p>
    <w:p>
      <w:pPr>
        <w:pStyle w:val="BodyText"/>
        <w:spacing w:line="348" w:lineRule="auto"/>
        <w:ind w:left="880" w:right="175"/>
        <w:jc w:val="both"/>
        <w:rPr>
          <w:sz w:val="16"/>
        </w:rPr>
      </w:pPr>
      <w:r>
        <w:rPr/>
        <w:t>BHM4: se preparó una solución 1:1 a una concentración 1x10</w:t>
      </w:r>
      <w:r>
        <w:rPr>
          <w:position w:val="11"/>
          <w:sz w:val="16"/>
        </w:rPr>
        <w:t>-3 </w:t>
      </w:r>
      <w:r>
        <w:rPr/>
        <w:t>AgNO</w:t>
      </w:r>
      <w:r>
        <w:rPr>
          <w:position w:val="-2"/>
          <w:sz w:val="16"/>
        </w:rPr>
        <w:t>3  </w:t>
      </w:r>
      <w:r>
        <w:rPr/>
        <w:t>colocando 50ml H</w:t>
      </w:r>
      <w:r>
        <w:rPr>
          <w:position w:val="-2"/>
          <w:sz w:val="16"/>
        </w:rPr>
        <w:t>2</w:t>
      </w:r>
      <w:r>
        <w:rPr/>
        <w:t>0, 50ml ETOH. Se preparó una solución de 100ml de etanol para</w:t>
      </w:r>
      <w:r>
        <w:rPr>
          <w:spacing w:val="-3"/>
        </w:rPr>
        <w:t> </w:t>
      </w:r>
      <w:r>
        <w:rPr/>
        <w:t>NaBH</w:t>
      </w:r>
      <w:r>
        <w:rPr>
          <w:position w:val="-2"/>
          <w:sz w:val="16"/>
        </w:rPr>
        <w:t>4.</w:t>
      </w:r>
    </w:p>
    <w:p>
      <w:pPr>
        <w:pStyle w:val="BodyText"/>
        <w:spacing w:before="10"/>
        <w:rPr>
          <w:sz w:val="35"/>
        </w:rPr>
      </w:pPr>
    </w:p>
    <w:p>
      <w:pPr>
        <w:pStyle w:val="BodyText"/>
        <w:spacing w:line="319" w:lineRule="auto"/>
        <w:ind w:left="880" w:right="175"/>
        <w:jc w:val="both"/>
        <w:rPr>
          <w:sz w:val="16"/>
        </w:rPr>
      </w:pPr>
      <w:r>
        <w:rPr/>
        <w:pict>
          <v:group style="position:absolute;margin-left:227pt;margin-top:43.008858pt;width:167pt;height:101.4pt;mso-position-horizontal-relative:page;mso-position-vertical-relative:paragraph;z-index:1528;mso-wrap-distance-left:0;mso-wrap-distance-right:0" coordorigin="4540,860" coordsize="3340,2028">
            <v:shape style="position:absolute;left:4580;top:900;width:3260;height:1948" type="#_x0000_t75" stroked="false">
              <v:imagedata r:id="rId45" o:title=""/>
            </v:shape>
            <v:rect style="position:absolute;left:4560;top:880;width:3300;height:1988" filled="false" stroked="true" strokeweight="2pt" strokecolor="#4f81bc"/>
            <w10:wrap type="topAndBottom"/>
          </v:group>
        </w:pict>
      </w:r>
      <w:r>
        <w:rPr/>
        <w:t>BHM5: se preparó una solución etanólica de 100ml de AgNO</w:t>
      </w:r>
      <w:r>
        <w:rPr>
          <w:position w:val="-2"/>
          <w:sz w:val="16"/>
        </w:rPr>
        <w:t>3 </w:t>
      </w:r>
      <w:r>
        <w:rPr/>
        <w:t>a una concentración de 1x10</w:t>
      </w:r>
      <w:r>
        <w:rPr>
          <w:position w:val="11"/>
          <w:sz w:val="16"/>
        </w:rPr>
        <w:t>-3 </w:t>
      </w:r>
      <w:r>
        <w:rPr/>
        <w:t>se colocaron 100ml de etanol para NaBH</w:t>
      </w:r>
      <w:r>
        <w:rPr>
          <w:position w:val="-2"/>
          <w:sz w:val="16"/>
        </w:rPr>
        <w:t>4.</w:t>
      </w:r>
    </w:p>
    <w:p>
      <w:pPr>
        <w:pStyle w:val="BodyText"/>
        <w:spacing w:before="6"/>
        <w:rPr>
          <w:sz w:val="8"/>
        </w:rPr>
      </w:pPr>
    </w:p>
    <w:p>
      <w:pPr>
        <w:pStyle w:val="ListParagraph"/>
        <w:numPr>
          <w:ilvl w:val="0"/>
          <w:numId w:val="13"/>
        </w:numPr>
        <w:tabs>
          <w:tab w:pos="3649" w:val="left" w:leader="none"/>
        </w:tabs>
        <w:spacing w:line="240" w:lineRule="auto" w:before="56" w:after="0"/>
        <w:ind w:left="3648" w:right="0" w:hanging="159"/>
        <w:jc w:val="left"/>
        <w:rPr>
          <w:rFonts w:ascii="Calibri"/>
          <w:sz w:val="22"/>
        </w:rPr>
      </w:pPr>
      <w:r>
        <w:rPr>
          <w:rFonts w:ascii="Calibri"/>
          <w:sz w:val="22"/>
        </w:rPr>
        <w:t>Np-Ag sintetizadas por</w:t>
      </w:r>
      <w:r>
        <w:rPr>
          <w:rFonts w:ascii="Calibri"/>
          <w:spacing w:val="-13"/>
          <w:sz w:val="22"/>
        </w:rPr>
        <w:t> </w:t>
      </w:r>
      <w:r>
        <w:rPr>
          <w:rFonts w:ascii="Calibri"/>
          <w:sz w:val="22"/>
        </w:rPr>
        <w:t>NaBH</w:t>
      </w:r>
      <w:r>
        <w:rPr>
          <w:rFonts w:ascii="Calibri"/>
          <w:position w:val="-2"/>
          <w:sz w:val="14"/>
        </w:rPr>
        <w:t>4</w:t>
      </w:r>
    </w:p>
    <w:p>
      <w:pPr>
        <w:spacing w:after="0" w:line="240" w:lineRule="auto"/>
        <w:jc w:val="left"/>
        <w:rPr>
          <w:rFonts w:ascii="Calibri"/>
          <w:sz w:val="22"/>
        </w:rPr>
        <w:sectPr>
          <w:headerReference w:type="default" r:id="rId44"/>
          <w:pgSz w:w="12240" w:h="15840"/>
          <w:pgMar w:header="736" w:footer="1024" w:top="1180" w:bottom="1220" w:left="1280" w:right="1260"/>
        </w:sectPr>
      </w:pPr>
    </w:p>
    <w:p>
      <w:pPr>
        <w:pStyle w:val="BodyText"/>
        <w:spacing w:before="9"/>
        <w:rPr>
          <w:rFonts w:ascii="Calibri"/>
          <w:sz w:val="15"/>
        </w:rPr>
      </w:pPr>
    </w:p>
    <w:p>
      <w:pPr>
        <w:pStyle w:val="BodyText"/>
        <w:spacing w:line="480" w:lineRule="auto" w:before="70"/>
        <w:ind w:left="880" w:right="174"/>
        <w:jc w:val="both"/>
      </w:pPr>
      <w:r>
        <w:rPr/>
        <w:t>Con el mismo fin de sintetizar nanopartículas de plata, se utilizaron </w:t>
      </w:r>
      <w:r>
        <w:rPr>
          <w:i/>
        </w:rPr>
        <w:t>Camellia </w:t>
      </w:r>
      <w:r>
        <w:rPr>
          <w:i/>
        </w:rPr>
        <w:t>sinensis </w:t>
      </w:r>
      <w:r>
        <w:rPr/>
        <w:t>y </w:t>
      </w:r>
      <w:r>
        <w:rPr>
          <w:i/>
        </w:rPr>
        <w:t>Heterotheca inuloides </w:t>
      </w:r>
      <w:r>
        <w:rPr/>
        <w:t>como reductores, con el procedimiento anteriormente mencionado y la incorporación de la variante temperatura. Se emplearon dos agentes reductores ecoamigables, dado que contienen compuestos antioxidantes y sustancias naturales no tóxicas, representan un daño menor al medio ambiente. Se realizaron 5 métodos diferentes de reducción, en los cuales se utilizó agua y alcohol etílico como disolventes, y algunos métodos se realizaron en frío y otros mediante ebullición, en proporciones de: 1:9, 1:3, 1:1 y 100% agua. Los cuales se muestran a continuación.</w:t>
      </w:r>
    </w:p>
    <w:p>
      <w:pPr>
        <w:pStyle w:val="BodyText"/>
      </w:pPr>
    </w:p>
    <w:p>
      <w:pPr>
        <w:pStyle w:val="BodyText"/>
        <w:spacing w:before="7"/>
      </w:pPr>
    </w:p>
    <w:p>
      <w:pPr>
        <w:spacing w:before="1"/>
        <w:ind w:left="880" w:right="0" w:firstLine="0"/>
        <w:jc w:val="both"/>
        <w:rPr>
          <w:sz w:val="24"/>
        </w:rPr>
      </w:pPr>
      <w:r>
        <w:rPr>
          <w:sz w:val="24"/>
        </w:rPr>
        <w:t>Condiciones para muestras de extracto de </w:t>
      </w:r>
      <w:r>
        <w:rPr>
          <w:i/>
          <w:sz w:val="24"/>
        </w:rPr>
        <w:t>Heterotheca inuloides</w:t>
      </w:r>
      <w:r>
        <w:rPr>
          <w:sz w:val="24"/>
        </w:rPr>
        <w:t>.</w:t>
      </w:r>
    </w:p>
    <w:p>
      <w:pPr>
        <w:pStyle w:val="BodyText"/>
      </w:pPr>
    </w:p>
    <w:p>
      <w:pPr>
        <w:pStyle w:val="BodyText"/>
      </w:pPr>
    </w:p>
    <w:p>
      <w:pPr>
        <w:pStyle w:val="BodyText"/>
        <w:spacing w:line="316" w:lineRule="auto"/>
        <w:ind w:left="880" w:right="174"/>
        <w:jc w:val="both"/>
      </w:pPr>
      <w:r>
        <w:rPr>
          <w:i/>
        </w:rPr>
        <w:t>Hi</w:t>
      </w:r>
      <w:r>
        <w:rPr/>
        <w:t>M-1 se preparó una solución acuosa 100ml de AgNO</w:t>
      </w:r>
      <w:r>
        <w:rPr>
          <w:position w:val="-2"/>
          <w:sz w:val="16"/>
        </w:rPr>
        <w:t>3 </w:t>
      </w:r>
      <w:r>
        <w:rPr/>
        <w:t>a una concentración de 1x10</w:t>
      </w:r>
      <w:r>
        <w:rPr>
          <w:position w:val="11"/>
          <w:sz w:val="16"/>
        </w:rPr>
        <w:t>-3</w:t>
      </w:r>
      <w:r>
        <w:rPr/>
        <w:t>, por otro lado se colocó 1gr de </w:t>
      </w:r>
      <w:r>
        <w:rPr>
          <w:i/>
        </w:rPr>
        <w:t>Heterotheca inuloides </w:t>
      </w:r>
      <w:r>
        <w:rPr/>
        <w:t>en 100% agua y   se</w:t>
      </w:r>
    </w:p>
    <w:p>
      <w:pPr>
        <w:pStyle w:val="BodyText"/>
        <w:spacing w:line="360" w:lineRule="auto" w:before="43"/>
        <w:ind w:left="880" w:right="177"/>
        <w:jc w:val="both"/>
      </w:pPr>
      <w:r>
        <w:rPr/>
        <w:t>llevó a ebullición por 10min, se procedió a filtrar a temperatura ambiente para posteriormente incorporarlo a la solución de nitrato de plata, la formación de las nanopartículas fue inmediata, obteniéndose un color marrón.</w:t>
      </w:r>
    </w:p>
    <w:p>
      <w:pPr>
        <w:pStyle w:val="BodyText"/>
      </w:pPr>
    </w:p>
    <w:p>
      <w:pPr>
        <w:pStyle w:val="BodyText"/>
        <w:spacing w:line="340" w:lineRule="auto" w:before="139"/>
        <w:ind w:left="880" w:right="175"/>
        <w:jc w:val="both"/>
      </w:pPr>
      <w:r>
        <w:rPr>
          <w:i/>
        </w:rPr>
        <w:t>Hi</w:t>
      </w:r>
      <w:r>
        <w:rPr/>
        <w:t>M-2 se preparó una solución acuosa 100ml de AgNO</w:t>
      </w:r>
      <w:r>
        <w:rPr>
          <w:position w:val="-2"/>
          <w:sz w:val="16"/>
        </w:rPr>
        <w:t>3 </w:t>
      </w:r>
      <w:r>
        <w:rPr/>
        <w:t>a una concentración de 1x10</w:t>
      </w:r>
      <w:r>
        <w:rPr>
          <w:position w:val="11"/>
          <w:sz w:val="16"/>
        </w:rPr>
        <w:t>-3</w:t>
      </w:r>
      <w:r>
        <w:rPr/>
        <w:t>, por otro lado se colocó 1gr de </w:t>
      </w:r>
      <w:r>
        <w:rPr>
          <w:i/>
        </w:rPr>
        <w:t>Heterotheca inuloides </w:t>
      </w:r>
      <w:r>
        <w:rPr/>
        <w:t>en 100% de alcohol en frío, se mezcló por agitación, se procedió a filtrar a temperatura ambiente,  se</w:t>
      </w:r>
    </w:p>
    <w:p>
      <w:pPr>
        <w:pStyle w:val="BodyText"/>
        <w:spacing w:line="360" w:lineRule="auto" w:before="25"/>
        <w:ind w:left="880" w:right="175"/>
        <w:jc w:val="both"/>
      </w:pPr>
      <w:r>
        <w:rPr/>
        <w:t>incorporaron las sales de nitrato de plata, tiempo de extracción 48hrs, tardó aproximadamente 1 hora en pasar de amarillo a ámbar claro.</w:t>
      </w:r>
    </w:p>
    <w:p>
      <w:pPr>
        <w:pStyle w:val="BodyText"/>
      </w:pPr>
    </w:p>
    <w:p>
      <w:pPr>
        <w:pStyle w:val="BodyText"/>
        <w:spacing w:line="316" w:lineRule="auto" w:before="139"/>
        <w:ind w:left="880" w:right="177"/>
        <w:jc w:val="both"/>
      </w:pPr>
      <w:r>
        <w:rPr>
          <w:i/>
        </w:rPr>
        <w:t>Hi</w:t>
      </w:r>
      <w:r>
        <w:rPr/>
        <w:t>M-3 se preparó una solución acuosa 100ml de AgNO</w:t>
      </w:r>
      <w:r>
        <w:rPr>
          <w:position w:val="-2"/>
          <w:sz w:val="16"/>
        </w:rPr>
        <w:t>3 </w:t>
      </w:r>
      <w:r>
        <w:rPr/>
        <w:t>a una concentración de 1x10</w:t>
      </w:r>
      <w:r>
        <w:rPr>
          <w:position w:val="11"/>
          <w:sz w:val="16"/>
        </w:rPr>
        <w:t>-3</w:t>
      </w:r>
      <w:r>
        <w:rPr/>
        <w:t>, por otro lado se colocó 1gr de </w:t>
      </w:r>
      <w:r>
        <w:rPr>
          <w:i/>
        </w:rPr>
        <w:t>Heterotheca inuloides </w:t>
      </w:r>
      <w:r>
        <w:rPr/>
        <w:t>en 50% de agua</w:t>
      </w:r>
    </w:p>
    <w:p>
      <w:pPr>
        <w:spacing w:after="0" w:line="316" w:lineRule="auto"/>
        <w:jc w:val="both"/>
        <w:sectPr>
          <w:pgSz w:w="12240" w:h="15840"/>
          <w:pgMar w:header="736" w:footer="1024" w:top="1180" w:bottom="1220" w:left="1280" w:right="1260"/>
        </w:sectPr>
      </w:pPr>
    </w:p>
    <w:p>
      <w:pPr>
        <w:pStyle w:val="BodyText"/>
        <w:spacing w:before="2"/>
        <w:rPr>
          <w:sz w:val="17"/>
        </w:rPr>
      </w:pPr>
    </w:p>
    <w:p>
      <w:pPr>
        <w:pStyle w:val="BodyText"/>
        <w:spacing w:line="360" w:lineRule="auto" w:before="69"/>
        <w:ind w:left="880" w:right="174"/>
        <w:jc w:val="both"/>
      </w:pPr>
      <w:r>
        <w:rPr/>
        <w:t>bidestilada y 50% de etanol en frío, se incorporaron las sales de nitrato de plata, tiempo de extracción 48hrs, se filtra a temperatura ambiente y pasó de una amarillo ámbar brillante a café, tardo en cambiar aproximadamente 40min.</w:t>
      </w:r>
    </w:p>
    <w:p>
      <w:pPr>
        <w:pStyle w:val="BodyText"/>
      </w:pPr>
    </w:p>
    <w:p>
      <w:pPr>
        <w:pStyle w:val="BodyText"/>
        <w:spacing w:line="340" w:lineRule="auto" w:before="139"/>
        <w:ind w:left="880" w:right="175"/>
        <w:jc w:val="both"/>
      </w:pPr>
      <w:r>
        <w:rPr>
          <w:i/>
        </w:rPr>
        <w:t>Hi</w:t>
      </w:r>
      <w:r>
        <w:rPr/>
        <w:t>M-4 se preparó una solución acuosa 100ml de AgNO</w:t>
      </w:r>
      <w:r>
        <w:rPr>
          <w:position w:val="-2"/>
          <w:sz w:val="16"/>
        </w:rPr>
        <w:t>3 </w:t>
      </w:r>
      <w:r>
        <w:rPr/>
        <w:t>a una concentración de 1x10</w:t>
      </w:r>
      <w:r>
        <w:rPr>
          <w:position w:val="11"/>
          <w:sz w:val="16"/>
        </w:rPr>
        <w:t>-3</w:t>
      </w:r>
      <w:r>
        <w:rPr/>
        <w:t>, por otro lado se colocó 1gr de </w:t>
      </w:r>
      <w:r>
        <w:rPr>
          <w:i/>
        </w:rPr>
        <w:t>Heterotheca inuloides </w:t>
      </w:r>
      <w:r>
        <w:rPr/>
        <w:t>en 50% de agua bidestilada y 50% de etanol se llevó a ebullición por 10min, se incorporaron las</w:t>
      </w:r>
    </w:p>
    <w:p>
      <w:pPr>
        <w:pStyle w:val="BodyText"/>
        <w:spacing w:line="360" w:lineRule="auto" w:before="24"/>
        <w:ind w:left="880" w:right="178"/>
        <w:jc w:val="both"/>
      </w:pPr>
      <w:r>
        <w:rPr/>
        <w:t>sales de nitrato de plata, se filtra a temperatura ambiente pasa de amarillo dorado.</w:t>
      </w:r>
    </w:p>
    <w:p>
      <w:pPr>
        <w:pStyle w:val="BodyText"/>
      </w:pPr>
    </w:p>
    <w:p>
      <w:pPr>
        <w:pStyle w:val="BodyText"/>
        <w:spacing w:line="340" w:lineRule="auto" w:before="140"/>
        <w:ind w:left="880" w:right="175"/>
        <w:jc w:val="both"/>
      </w:pPr>
      <w:r>
        <w:rPr>
          <w:i/>
        </w:rPr>
        <w:t>Hi</w:t>
      </w:r>
      <w:r>
        <w:rPr/>
        <w:t>M-5 se preparó una solución acuosa 100ml de AgNO</w:t>
      </w:r>
      <w:r>
        <w:rPr>
          <w:position w:val="-2"/>
          <w:sz w:val="16"/>
        </w:rPr>
        <w:t>3 </w:t>
      </w:r>
      <w:r>
        <w:rPr/>
        <w:t>a una concentración de 1x10</w:t>
      </w:r>
      <w:r>
        <w:rPr>
          <w:position w:val="11"/>
          <w:sz w:val="16"/>
        </w:rPr>
        <w:t>-3</w:t>
      </w:r>
      <w:r>
        <w:rPr/>
        <w:t>, por otro lado se colocó 1gr de </w:t>
      </w:r>
      <w:r>
        <w:rPr>
          <w:i/>
        </w:rPr>
        <w:t>Heterotheca inuloides </w:t>
      </w:r>
      <w:r>
        <w:rPr/>
        <w:t>en 100% de extracto alcohólico y se llevó a ebullición por 10min. Se procedió a filtrar a temperatura</w:t>
      </w:r>
    </w:p>
    <w:p>
      <w:pPr>
        <w:pStyle w:val="BodyText"/>
        <w:spacing w:line="360" w:lineRule="auto" w:before="24"/>
        <w:ind w:left="880" w:right="184"/>
        <w:jc w:val="both"/>
      </w:pPr>
      <w:r>
        <w:rPr/>
        <w:t>ambiente para posteriormente incorporarlo a la solución de nitrato de plata y pasó a color verde</w:t>
      </w:r>
      <w:r>
        <w:rPr>
          <w:spacing w:val="-5"/>
        </w:rPr>
        <w:t> </w:t>
      </w:r>
      <w:r>
        <w:rPr/>
        <w:t>limón.</w:t>
      </w:r>
    </w:p>
    <w:p>
      <w:pPr>
        <w:pStyle w:val="BodyText"/>
      </w:pPr>
    </w:p>
    <w:p>
      <w:pPr>
        <w:spacing w:before="139"/>
        <w:ind w:left="880" w:right="0" w:firstLine="0"/>
        <w:jc w:val="both"/>
        <w:rPr>
          <w:sz w:val="24"/>
        </w:rPr>
      </w:pPr>
      <w:r>
        <w:rPr>
          <w:sz w:val="24"/>
        </w:rPr>
        <w:t>Condiciones para muestras de extracto de </w:t>
      </w:r>
      <w:r>
        <w:rPr>
          <w:i/>
          <w:sz w:val="24"/>
        </w:rPr>
        <w:t>Camellia sinensis </w:t>
      </w:r>
      <w:r>
        <w:rPr>
          <w:sz w:val="24"/>
        </w:rPr>
        <w:t>de 1 a 5</w:t>
      </w:r>
    </w:p>
    <w:p>
      <w:pPr>
        <w:pStyle w:val="BodyText"/>
      </w:pPr>
    </w:p>
    <w:p>
      <w:pPr>
        <w:pStyle w:val="BodyText"/>
      </w:pPr>
    </w:p>
    <w:p>
      <w:pPr>
        <w:pStyle w:val="BodyText"/>
        <w:spacing w:line="340" w:lineRule="auto"/>
        <w:ind w:left="880" w:right="177"/>
        <w:jc w:val="both"/>
      </w:pPr>
      <w:r>
        <w:rPr>
          <w:i/>
        </w:rPr>
        <w:t>Cs</w:t>
      </w:r>
      <w:r>
        <w:rPr/>
        <w:t>M-1 se preparó una solución acuosa 100ml de AgNO</w:t>
      </w:r>
      <w:r>
        <w:rPr>
          <w:position w:val="-2"/>
          <w:sz w:val="16"/>
        </w:rPr>
        <w:t>3 </w:t>
      </w:r>
      <w:r>
        <w:rPr/>
        <w:t>a una concentración de 1x10</w:t>
      </w:r>
      <w:r>
        <w:rPr>
          <w:position w:val="11"/>
          <w:sz w:val="16"/>
        </w:rPr>
        <w:t>-3</w:t>
      </w:r>
      <w:r>
        <w:rPr/>
        <w:t>, por otro lado se colocó 1gr de </w:t>
      </w:r>
      <w:r>
        <w:rPr>
          <w:i/>
        </w:rPr>
        <w:t>Camellia sinensis </w:t>
      </w:r>
      <w:r>
        <w:rPr/>
        <w:t>en 100% agua y se llevó a  ebullición  por  10min,  se  procedió  a  filtrar  a  temperatura  ambiente     para</w:t>
      </w:r>
    </w:p>
    <w:p>
      <w:pPr>
        <w:pStyle w:val="BodyText"/>
        <w:spacing w:line="360" w:lineRule="auto" w:before="24"/>
        <w:ind w:left="880" w:right="184"/>
        <w:jc w:val="both"/>
      </w:pPr>
      <w:r>
        <w:rPr/>
        <w:t>posteriormente incorporarlo a la solución de nitrato de plata, la formación de las nanopartículas fue inmediata, obteniéndose un color amarillo ámbar.</w:t>
      </w:r>
    </w:p>
    <w:p>
      <w:pPr>
        <w:pStyle w:val="BodyText"/>
      </w:pPr>
    </w:p>
    <w:p>
      <w:pPr>
        <w:pStyle w:val="BodyText"/>
        <w:spacing w:line="340" w:lineRule="auto" w:before="139"/>
        <w:ind w:left="880" w:right="175"/>
        <w:jc w:val="both"/>
      </w:pPr>
      <w:r>
        <w:rPr>
          <w:i/>
        </w:rPr>
        <w:t>Cs</w:t>
      </w:r>
      <w:r>
        <w:rPr/>
        <w:t>M-2 se preparó una solución acuosa 100ml de AgNO</w:t>
      </w:r>
      <w:r>
        <w:rPr>
          <w:position w:val="-2"/>
          <w:sz w:val="16"/>
        </w:rPr>
        <w:t>3 </w:t>
      </w:r>
      <w:r>
        <w:rPr/>
        <w:t>a una concentración de 1x10</w:t>
      </w:r>
      <w:r>
        <w:rPr>
          <w:position w:val="11"/>
          <w:sz w:val="16"/>
        </w:rPr>
        <w:t>-3</w:t>
      </w:r>
      <w:r>
        <w:rPr/>
        <w:t>, por otro lado se colocó 1gr de </w:t>
      </w:r>
      <w:r>
        <w:rPr>
          <w:i/>
        </w:rPr>
        <w:t>Camellia sinensis </w:t>
      </w:r>
      <w:r>
        <w:rPr/>
        <w:t>en 100% de alcohol en frío, se mezcló por agitación, se procedió a filtrar a temperatura ambiente, se</w:t>
      </w:r>
    </w:p>
    <w:p>
      <w:pPr>
        <w:pStyle w:val="BodyText"/>
        <w:spacing w:line="360" w:lineRule="auto" w:before="24"/>
        <w:ind w:left="880" w:right="184"/>
        <w:jc w:val="both"/>
      </w:pPr>
      <w:r>
        <w:rPr/>
        <w:t>incorporaron las sales de nitrato de plata, tiempo de extracción 48hrs, tardó aproximadamente 1 hora en pasar a un color café rojizo.</w:t>
      </w:r>
    </w:p>
    <w:p>
      <w:pPr>
        <w:spacing w:after="0" w:line="360" w:lineRule="auto"/>
        <w:jc w:val="both"/>
        <w:sectPr>
          <w:pgSz w:w="12240" w:h="15840"/>
          <w:pgMar w:header="736" w:footer="1024" w:top="1180" w:bottom="1220" w:left="1280" w:right="1260"/>
        </w:sectPr>
      </w:pPr>
    </w:p>
    <w:p>
      <w:pPr>
        <w:pStyle w:val="BodyText"/>
        <w:spacing w:before="11"/>
        <w:rPr>
          <w:sz w:val="16"/>
        </w:rPr>
      </w:pPr>
    </w:p>
    <w:p>
      <w:pPr>
        <w:pStyle w:val="BodyText"/>
        <w:spacing w:line="319" w:lineRule="auto" w:before="69"/>
        <w:ind w:left="880" w:right="174"/>
        <w:jc w:val="both"/>
      </w:pPr>
      <w:r>
        <w:rPr>
          <w:i/>
        </w:rPr>
        <w:t>Cs</w:t>
      </w:r>
      <w:r>
        <w:rPr/>
        <w:t>M-3 se preparó una solución acuosa 100ml de AgNO</w:t>
      </w:r>
      <w:r>
        <w:rPr>
          <w:position w:val="-2"/>
          <w:sz w:val="16"/>
        </w:rPr>
        <w:t>3 </w:t>
      </w:r>
      <w:r>
        <w:rPr/>
        <w:t>a una concentración de 1x10</w:t>
      </w:r>
      <w:r>
        <w:rPr>
          <w:position w:val="11"/>
          <w:sz w:val="16"/>
        </w:rPr>
        <w:t>-3</w:t>
      </w:r>
      <w:r>
        <w:rPr/>
        <w:t>,  por  otro  lado  se  colocó  1gr  de  </w:t>
      </w:r>
      <w:r>
        <w:rPr>
          <w:i/>
        </w:rPr>
        <w:t>Camellia  sinensis  </w:t>
      </w:r>
      <w:r>
        <w:rPr/>
        <w:t>en  50%  de  agua</w:t>
      </w:r>
    </w:p>
    <w:p>
      <w:pPr>
        <w:pStyle w:val="BodyText"/>
        <w:spacing w:line="360" w:lineRule="auto" w:before="38"/>
        <w:ind w:left="880" w:right="174"/>
        <w:jc w:val="both"/>
      </w:pPr>
      <w:r>
        <w:rPr/>
        <w:t>bidestilada y 50% de etanol en frío, se incorporaron las sales de nitrato de plata, tiempo de extracción 48hrs, se filtra a temperatura ambiente y pasó a amarillo claro, tardó en cambiar aproximadamente 40min.</w:t>
      </w:r>
    </w:p>
    <w:p>
      <w:pPr>
        <w:pStyle w:val="BodyText"/>
      </w:pPr>
    </w:p>
    <w:p>
      <w:pPr>
        <w:pStyle w:val="BodyText"/>
        <w:spacing w:line="340" w:lineRule="auto" w:before="139"/>
        <w:ind w:left="880" w:right="175"/>
        <w:jc w:val="both"/>
      </w:pPr>
      <w:r>
        <w:rPr>
          <w:i/>
        </w:rPr>
        <w:t>Cs</w:t>
      </w:r>
      <w:r>
        <w:rPr/>
        <w:t>M-4 se preparó una solución acuosa 100ml de AgNO</w:t>
      </w:r>
      <w:r>
        <w:rPr>
          <w:position w:val="-2"/>
          <w:sz w:val="16"/>
        </w:rPr>
        <w:t>3 </w:t>
      </w:r>
      <w:r>
        <w:rPr/>
        <w:t>a una concentración de 1x10</w:t>
      </w:r>
      <w:r>
        <w:rPr>
          <w:position w:val="11"/>
          <w:sz w:val="16"/>
        </w:rPr>
        <w:t>-3</w:t>
      </w:r>
      <w:r>
        <w:rPr/>
        <w:t>, por otro lado se colocó 1gr de </w:t>
      </w:r>
      <w:r>
        <w:rPr>
          <w:i/>
        </w:rPr>
        <w:t>Camellia sinensis </w:t>
      </w:r>
      <w:r>
        <w:rPr/>
        <w:t>en 50% de agua bidestilada y 50% de etanol se llevó a ebullición por 10min, se incorporaron las</w:t>
      </w:r>
    </w:p>
    <w:p>
      <w:pPr>
        <w:pStyle w:val="BodyText"/>
        <w:spacing w:line="360" w:lineRule="auto" w:before="25"/>
        <w:ind w:left="880" w:right="178"/>
        <w:jc w:val="both"/>
      </w:pPr>
      <w:r>
        <w:rPr/>
        <w:t>sales de nitrato de plata, se filtra a temperatura ambiente pasa de amarillo intenso a café rojo intenso.</w:t>
      </w:r>
    </w:p>
    <w:p>
      <w:pPr>
        <w:pStyle w:val="BodyText"/>
      </w:pPr>
    </w:p>
    <w:p>
      <w:pPr>
        <w:pStyle w:val="BodyText"/>
        <w:spacing w:line="340" w:lineRule="auto" w:before="139"/>
        <w:ind w:left="880" w:right="175"/>
        <w:jc w:val="both"/>
      </w:pPr>
      <w:r>
        <w:rPr>
          <w:i/>
        </w:rPr>
        <w:t>Cs</w:t>
      </w:r>
      <w:r>
        <w:rPr/>
        <w:t>M-5 se preparó una solución acuosa 100ml de AgNO</w:t>
      </w:r>
      <w:r>
        <w:rPr>
          <w:position w:val="-2"/>
          <w:sz w:val="16"/>
        </w:rPr>
        <w:t>3 </w:t>
      </w:r>
      <w:r>
        <w:rPr/>
        <w:t>a una concentración de 1x10</w:t>
      </w:r>
      <w:r>
        <w:rPr>
          <w:position w:val="11"/>
          <w:sz w:val="16"/>
        </w:rPr>
        <w:t>-3</w:t>
      </w:r>
      <w:r>
        <w:rPr/>
        <w:t>, por otro lado se colocó 1gr de </w:t>
      </w:r>
      <w:r>
        <w:rPr>
          <w:i/>
        </w:rPr>
        <w:t>Camellia sinensis </w:t>
      </w:r>
      <w:r>
        <w:rPr/>
        <w:t>en 100% de extracto alcohólico y se llevó a ebullición por 10min. Se procedió a filtrar a temperatura</w:t>
      </w:r>
    </w:p>
    <w:p>
      <w:pPr>
        <w:pStyle w:val="BodyText"/>
        <w:spacing w:line="360" w:lineRule="auto" w:before="24"/>
        <w:ind w:left="880" w:right="176"/>
        <w:jc w:val="both"/>
      </w:pPr>
      <w:r>
        <w:rPr/>
        <w:t>ambiente para posteriormente incorporarlo a la solución de nitrato de plata y pasó a amarillo</w:t>
      </w:r>
      <w:r>
        <w:rPr>
          <w:spacing w:val="-10"/>
        </w:rPr>
        <w:t> </w:t>
      </w:r>
      <w:r>
        <w:rPr/>
        <w:t>intenso.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4"/>
        </w:rPr>
      </w:pPr>
      <w:r>
        <w:rPr/>
        <w:pict>
          <v:group style="position:absolute;margin-left:113.5pt;margin-top:10.169755pt;width:120pt;height:92.7pt;mso-position-horizontal-relative:page;mso-position-vertical-relative:paragraph;z-index:1552;mso-wrap-distance-left:0;mso-wrap-distance-right:0" coordorigin="2270,203" coordsize="2400,1854">
            <v:shape style="position:absolute;left:2310;top:243;width:2320;height:1774" type="#_x0000_t75" stroked="false">
              <v:imagedata r:id="rId46" o:title=""/>
            </v:shape>
            <v:rect style="position:absolute;left:2290;top:223;width:2360;height:1814" filled="false" stroked="true" strokeweight="2.0pt" strokecolor="#4f81bc"/>
            <w10:wrap type="topAndBottom"/>
          </v:group>
        </w:pict>
      </w:r>
    </w:p>
    <w:p>
      <w:pPr>
        <w:pStyle w:val="BodyText"/>
        <w:spacing w:before="9"/>
        <w:rPr>
          <w:sz w:val="7"/>
        </w:rPr>
      </w:pPr>
    </w:p>
    <w:p>
      <w:pPr>
        <w:pStyle w:val="ListParagraph"/>
        <w:numPr>
          <w:ilvl w:val="0"/>
          <w:numId w:val="13"/>
        </w:numPr>
        <w:tabs>
          <w:tab w:pos="1418" w:val="left" w:leader="none"/>
        </w:tabs>
        <w:spacing w:line="240" w:lineRule="auto" w:before="51" w:after="0"/>
        <w:ind w:left="1417" w:right="0" w:hanging="223"/>
        <w:jc w:val="left"/>
        <w:rPr>
          <w:rFonts w:ascii="Calibri"/>
          <w:sz w:val="24"/>
        </w:rPr>
      </w:pPr>
      <w:r>
        <w:rPr/>
        <w:pict>
          <v:group style="position:absolute;margin-left:282.25pt;margin-top:-144.764221pt;width:109pt;height:166.4pt;mso-position-horizontal-relative:page;mso-position-vertical-relative:paragraph;z-index:1576" coordorigin="5645,-2895" coordsize="2180,3328">
            <v:shape style="position:absolute;left:5685;top:-2855;width:2100;height:3248" type="#_x0000_t75" stroked="false">
              <v:imagedata r:id="rId47" o:title=""/>
            </v:shape>
            <v:rect style="position:absolute;left:5665;top:-2875;width:2140;height:3288" filled="false" stroked="true" strokeweight="2.0pt" strokecolor="#4f81bc"/>
            <w10:wrap type="none"/>
          </v:group>
        </w:pict>
      </w:r>
      <w:r>
        <w:rPr/>
        <w:pict>
          <v:group style="position:absolute;margin-left:415.75pt;margin-top:-146.614212pt;width:112.75pt;height:167.9pt;mso-position-horizontal-relative:page;mso-position-vertical-relative:paragraph;z-index:1600" coordorigin="8315,-2932" coordsize="2255,3358">
            <v:shape style="position:absolute;left:8355;top:-2892;width:2175;height:3278" type="#_x0000_t75" stroked="false">
              <v:imagedata r:id="rId48" o:title=""/>
            </v:shape>
            <v:rect style="position:absolute;left:8335;top:-2912;width:2215;height:3318" filled="false" stroked="true" strokeweight="2pt" strokecolor="#4f81bc"/>
            <w10:wrap type="none"/>
          </v:group>
        </w:pict>
      </w:r>
      <w:r>
        <w:rPr>
          <w:rFonts w:ascii="Calibri"/>
          <w:sz w:val="24"/>
        </w:rPr>
        <w:t>Precursor</w:t>
      </w:r>
      <w:r>
        <w:rPr>
          <w:rFonts w:ascii="Calibri"/>
          <w:spacing w:val="-9"/>
          <w:sz w:val="24"/>
        </w:rPr>
        <w:t> </w:t>
      </w:r>
      <w:r>
        <w:rPr>
          <w:rFonts w:ascii="Calibri"/>
          <w:sz w:val="24"/>
        </w:rPr>
        <w:t>AgNO3</w:t>
      </w:r>
    </w:p>
    <w:p>
      <w:pPr>
        <w:pStyle w:val="BodyText"/>
        <w:spacing w:before="2"/>
        <w:rPr>
          <w:rFonts w:ascii="Calibri"/>
          <w:sz w:val="28"/>
        </w:rPr>
      </w:pPr>
    </w:p>
    <w:p>
      <w:pPr>
        <w:pStyle w:val="ListParagraph"/>
        <w:numPr>
          <w:ilvl w:val="0"/>
          <w:numId w:val="13"/>
        </w:numPr>
        <w:tabs>
          <w:tab w:pos="5825" w:val="left" w:leader="none"/>
        </w:tabs>
        <w:spacing w:line="240" w:lineRule="auto" w:before="52" w:after="0"/>
        <w:ind w:left="5824" w:right="0" w:hanging="169"/>
        <w:jc w:val="left"/>
        <w:rPr>
          <w:rFonts w:ascii="Calibri"/>
          <w:sz w:val="24"/>
        </w:rPr>
      </w:pPr>
      <w:r>
        <w:rPr>
          <w:rFonts w:ascii="Calibri"/>
          <w:sz w:val="24"/>
        </w:rPr>
        <w:t>AgNO3 disuelto y</w:t>
      </w:r>
      <w:r>
        <w:rPr>
          <w:rFonts w:ascii="Calibri"/>
          <w:spacing w:val="-2"/>
          <w:sz w:val="24"/>
        </w:rPr>
        <w:t> </w:t>
      </w:r>
      <w:r>
        <w:rPr>
          <w:rFonts w:ascii="Calibri"/>
          <w:spacing w:val="-3"/>
          <w:sz w:val="24"/>
        </w:rPr>
        <w:t>aforado</w:t>
      </w:r>
    </w:p>
    <w:p>
      <w:pPr>
        <w:spacing w:after="0" w:line="240" w:lineRule="auto"/>
        <w:jc w:val="left"/>
        <w:rPr>
          <w:rFonts w:ascii="Calibri"/>
          <w:sz w:val="24"/>
        </w:rPr>
        <w:sectPr>
          <w:pgSz w:w="12240" w:h="15840"/>
          <w:pgMar w:header="736" w:footer="1024" w:top="1180" w:bottom="1220" w:left="1280" w:right="1260"/>
        </w:sectPr>
      </w:pPr>
    </w:p>
    <w:p>
      <w:pPr>
        <w:pStyle w:val="BodyText"/>
        <w:spacing w:before="8"/>
        <w:rPr>
          <w:rFonts w:ascii="Calibri"/>
          <w:sz w:val="18"/>
        </w:rPr>
      </w:pPr>
    </w:p>
    <w:p>
      <w:pPr>
        <w:tabs>
          <w:tab w:pos="5553" w:val="left" w:leader="none"/>
        </w:tabs>
        <w:spacing w:line="240" w:lineRule="auto"/>
        <w:ind w:left="1182" w:right="0" w:firstLine="0"/>
        <w:rPr>
          <w:rFonts w:ascii="Calibri"/>
          <w:sz w:val="20"/>
        </w:rPr>
      </w:pPr>
      <w:r>
        <w:rPr>
          <w:rFonts w:ascii="Calibri"/>
          <w:position w:val="2"/>
          <w:sz w:val="20"/>
        </w:rPr>
        <w:pict>
          <v:group style="width:127.4pt;height:190pt;mso-position-horizontal-relative:char;mso-position-vertical-relative:line" coordorigin="0,0" coordsize="2548,3800">
            <v:shape style="position:absolute;left:40;top:40;width:2468;height:3720" type="#_x0000_t75" stroked="false">
              <v:imagedata r:id="rId50" o:title=""/>
            </v:shape>
            <v:rect style="position:absolute;left:20;top:20;width:2508;height:3760" filled="false" stroked="true" strokeweight="2pt" strokecolor="#4f81bc"/>
          </v:group>
        </w:pict>
      </w:r>
      <w:r>
        <w:rPr>
          <w:rFonts w:ascii="Calibri"/>
          <w:position w:val="2"/>
          <w:sz w:val="20"/>
        </w:rPr>
      </w:r>
      <w:r>
        <w:rPr>
          <w:rFonts w:ascii="Calibri"/>
          <w:position w:val="2"/>
          <w:sz w:val="20"/>
        </w:rPr>
        <w:tab/>
      </w:r>
      <w:r>
        <w:rPr>
          <w:rFonts w:ascii="Calibri"/>
          <w:sz w:val="20"/>
        </w:rPr>
        <w:pict>
          <v:group style="width:127.4pt;height:190pt;mso-position-horizontal-relative:char;mso-position-vertical-relative:line" coordorigin="0,0" coordsize="2548,3800">
            <v:shape style="position:absolute;left:40;top:40;width:2468;height:3720" type="#_x0000_t75" stroked="false">
              <v:imagedata r:id="rId51" o:title=""/>
            </v:shape>
            <v:rect style="position:absolute;left:20;top:20;width:2508;height:3760" filled="false" stroked="true" strokeweight="2pt" strokecolor="#4f81bc"/>
          </v:group>
        </w:pict>
      </w:r>
      <w:r>
        <w:rPr>
          <w:rFonts w:ascii="Calibri"/>
          <w:sz w:val="20"/>
        </w:rPr>
      </w:r>
    </w:p>
    <w:p>
      <w:pPr>
        <w:pStyle w:val="BodyText"/>
        <w:spacing w:before="2"/>
        <w:rPr>
          <w:rFonts w:ascii="Calibri"/>
          <w:sz w:val="20"/>
        </w:rPr>
      </w:pPr>
    </w:p>
    <w:p>
      <w:pPr>
        <w:pStyle w:val="ListParagraph"/>
        <w:numPr>
          <w:ilvl w:val="0"/>
          <w:numId w:val="13"/>
        </w:numPr>
        <w:tabs>
          <w:tab w:pos="3533" w:val="left" w:leader="none"/>
        </w:tabs>
        <w:spacing w:line="240" w:lineRule="auto" w:before="52" w:after="0"/>
        <w:ind w:left="3532" w:right="0" w:hanging="307"/>
        <w:jc w:val="left"/>
        <w:rPr>
          <w:rFonts w:ascii="Calibri" w:hAnsi="Calibri"/>
          <w:sz w:val="24"/>
        </w:rPr>
      </w:pPr>
      <w:r>
        <w:rPr>
          <w:rFonts w:ascii="Calibri" w:hAnsi="Calibri"/>
          <w:sz w:val="24"/>
        </w:rPr>
        <w:t>Bio-reductores a</w:t>
      </w:r>
      <w:r>
        <w:rPr>
          <w:rFonts w:ascii="Calibri" w:hAnsi="Calibri"/>
          <w:spacing w:val="-21"/>
          <w:sz w:val="24"/>
        </w:rPr>
        <w:t> </w:t>
      </w:r>
      <w:r>
        <w:rPr>
          <w:rFonts w:ascii="Calibri" w:hAnsi="Calibri"/>
          <w:sz w:val="24"/>
        </w:rPr>
        <w:t>ebullición</w:t>
      </w:r>
    </w:p>
    <w:p>
      <w:pPr>
        <w:pStyle w:val="BodyText"/>
        <w:spacing w:before="3"/>
        <w:rPr>
          <w:rFonts w:ascii="Calibri"/>
          <w:sz w:val="23"/>
        </w:rPr>
      </w:pPr>
      <w:r>
        <w:rPr/>
        <w:pict>
          <v:group style="position:absolute;margin-left:169pt;margin-top:16.147358pt;width:270pt;height:155pt;mso-position-horizontal-relative:page;mso-position-vertical-relative:paragraph;z-index:1816;mso-wrap-distance-left:0;mso-wrap-distance-right:0" coordorigin="3380,323" coordsize="5400,3100">
            <v:shape style="position:absolute;left:3420;top:363;width:5320;height:3020" type="#_x0000_t75" stroked="false">
              <v:imagedata r:id="rId52" o:title=""/>
            </v:shape>
            <v:rect style="position:absolute;left:3400;top:343;width:5360;height:3060" filled="false" stroked="true" strokeweight="2pt" strokecolor="#4f81bc"/>
            <v:shape style="position:absolute;left:3793;top:1255;width:995;height:530" type="#_x0000_t75" stroked="false">
              <v:imagedata r:id="rId53" o:title=""/>
            </v:shape>
            <v:shape style="position:absolute;left:4733;top:1255;width:995;height:530" type="#_x0000_t75" stroked="false">
              <v:imagedata r:id="rId54" o:title=""/>
            </v:shape>
            <v:shape style="position:absolute;left:5673;top:1255;width:995;height:530" type="#_x0000_t75" stroked="false">
              <v:imagedata r:id="rId55" o:title=""/>
            </v:shape>
            <v:shape style="position:absolute;left:6513;top:1255;width:995;height:530" type="#_x0000_t75" stroked="false">
              <v:imagedata r:id="rId56" o:title=""/>
            </v:shape>
            <v:shape style="position:absolute;left:7353;top:1235;width:995;height:530" type="#_x0000_t75" stroked="false">
              <v:imagedata r:id="rId57" o:title=""/>
            </v:shape>
            <v:shape style="position:absolute;left:3951;top:1370;width:610;height:288" type="#_x0000_t202" filled="false" stroked="false">
              <v:textbox inset="0,0,0,0">
                <w:txbxContent>
                  <w:p>
                    <w:pPr>
                      <w:spacing w:line="122" w:lineRule="exact" w:before="0"/>
                      <w:ind w:left="0" w:right="-10" w:firstLine="0"/>
                      <w:jc w:val="left"/>
                      <w:rPr>
                        <w:rFonts w:ascii="Calibri"/>
                        <w:sz w:val="12"/>
                      </w:rPr>
                    </w:pPr>
                    <w:r>
                      <w:rPr>
                        <w:rFonts w:ascii="Calibri"/>
                        <w:spacing w:val="-1"/>
                        <w:sz w:val="12"/>
                      </w:rPr>
                      <w:t>Heterotheca</w:t>
                    </w:r>
                  </w:p>
                  <w:p>
                    <w:pPr>
                      <w:spacing w:line="144" w:lineRule="exact" w:before="21"/>
                      <w:ind w:left="0" w:right="-10" w:firstLine="0"/>
                      <w:jc w:val="left"/>
                      <w:rPr>
                        <w:rFonts w:ascii="Calibri"/>
                        <w:sz w:val="12"/>
                      </w:rPr>
                    </w:pPr>
                    <w:r>
                      <w:rPr>
                        <w:rFonts w:ascii="Calibri"/>
                        <w:sz w:val="12"/>
                      </w:rPr>
                      <w:t>inuloides 1</w:t>
                    </w:r>
                  </w:p>
                </w:txbxContent>
              </v:textbox>
              <w10:wrap type="none"/>
            </v:shape>
            <v:shape style="position:absolute;left:4892;top:1370;width:610;height:288" type="#_x0000_t202" filled="false" stroked="false">
              <v:textbox inset="0,0,0,0">
                <w:txbxContent>
                  <w:p>
                    <w:pPr>
                      <w:spacing w:line="122" w:lineRule="exact" w:before="0"/>
                      <w:ind w:left="0" w:right="-10" w:firstLine="0"/>
                      <w:jc w:val="left"/>
                      <w:rPr>
                        <w:rFonts w:ascii="Calibri"/>
                        <w:sz w:val="12"/>
                      </w:rPr>
                    </w:pPr>
                    <w:r>
                      <w:rPr>
                        <w:rFonts w:ascii="Calibri"/>
                        <w:spacing w:val="-1"/>
                        <w:sz w:val="12"/>
                      </w:rPr>
                      <w:t>Heterotheca</w:t>
                    </w:r>
                  </w:p>
                  <w:p>
                    <w:pPr>
                      <w:spacing w:line="144" w:lineRule="exact" w:before="21"/>
                      <w:ind w:left="0" w:right="-10" w:firstLine="0"/>
                      <w:jc w:val="left"/>
                      <w:rPr>
                        <w:rFonts w:ascii="Calibri"/>
                        <w:sz w:val="12"/>
                      </w:rPr>
                    </w:pPr>
                    <w:r>
                      <w:rPr>
                        <w:rFonts w:ascii="Calibri"/>
                        <w:sz w:val="12"/>
                      </w:rPr>
                      <w:t>inuloides 2</w:t>
                    </w:r>
                  </w:p>
                </w:txbxContent>
              </v:textbox>
              <w10:wrap type="none"/>
            </v:shape>
            <v:shape style="position:absolute;left:5833;top:1370;width:1450;height:120" type="#_x0000_t202" filled="false" stroked="false">
              <v:textbox inset="0,0,0,0">
                <w:txbxContent>
                  <w:p>
                    <w:pPr>
                      <w:tabs>
                        <w:tab w:pos="840" w:val="left" w:leader="none"/>
                      </w:tabs>
                      <w:spacing w:line="120" w:lineRule="exact" w:before="0"/>
                      <w:ind w:left="0" w:right="0" w:firstLine="0"/>
                      <w:jc w:val="left"/>
                      <w:rPr>
                        <w:rFonts w:ascii="Calibri"/>
                        <w:sz w:val="12"/>
                      </w:rPr>
                    </w:pPr>
                    <w:r>
                      <w:rPr>
                        <w:rFonts w:ascii="Calibri"/>
                        <w:sz w:val="12"/>
                      </w:rPr>
                      <w:t>Heterotheca</w:t>
                      <w:tab/>
                    </w:r>
                    <w:r>
                      <w:rPr>
                        <w:rFonts w:ascii="Calibri"/>
                        <w:spacing w:val="-1"/>
                        <w:sz w:val="12"/>
                      </w:rPr>
                      <w:t>Heterotheca</w:t>
                    </w:r>
                  </w:p>
                </w:txbxContent>
              </v:textbox>
              <w10:wrap type="none"/>
            </v:shape>
            <v:shape style="position:absolute;left:5833;top:1538;width:529;height:120" type="#_x0000_t202" filled="false" stroked="false">
              <v:textbox inset="0,0,0,0">
                <w:txbxContent>
                  <w:p>
                    <w:pPr>
                      <w:spacing w:line="120" w:lineRule="exact" w:before="0"/>
                      <w:ind w:left="0" w:right="-17" w:firstLine="0"/>
                      <w:jc w:val="left"/>
                      <w:rPr>
                        <w:rFonts w:ascii="Calibri"/>
                        <w:sz w:val="12"/>
                      </w:rPr>
                    </w:pPr>
                    <w:r>
                      <w:rPr>
                        <w:rFonts w:ascii="Calibri"/>
                        <w:sz w:val="12"/>
                      </w:rPr>
                      <w:t>inuloides</w:t>
                    </w:r>
                    <w:r>
                      <w:rPr>
                        <w:rFonts w:ascii="Calibri"/>
                        <w:spacing w:val="-4"/>
                        <w:sz w:val="12"/>
                      </w:rPr>
                      <w:t> </w:t>
                    </w:r>
                    <w:r>
                      <w:rPr>
                        <w:rFonts w:ascii="Calibri"/>
                        <w:sz w:val="12"/>
                      </w:rPr>
                      <w:t>3</w:t>
                    </w:r>
                  </w:p>
                </w:txbxContent>
              </v:textbox>
              <w10:wrap type="none"/>
            </v:shape>
            <v:shape style="position:absolute;left:6673;top:1538;width:529;height:120" type="#_x0000_t202" filled="false" stroked="false">
              <v:textbox inset="0,0,0,0">
                <w:txbxContent>
                  <w:p>
                    <w:pPr>
                      <w:spacing w:line="120" w:lineRule="exact" w:before="0"/>
                      <w:ind w:left="0" w:right="-17" w:firstLine="0"/>
                      <w:jc w:val="left"/>
                      <w:rPr>
                        <w:rFonts w:ascii="Calibri"/>
                        <w:sz w:val="12"/>
                      </w:rPr>
                    </w:pPr>
                    <w:r>
                      <w:rPr>
                        <w:rFonts w:ascii="Calibri"/>
                        <w:sz w:val="12"/>
                      </w:rPr>
                      <w:t>inuloides</w:t>
                    </w:r>
                    <w:r>
                      <w:rPr>
                        <w:rFonts w:ascii="Calibri"/>
                        <w:spacing w:val="-4"/>
                        <w:sz w:val="12"/>
                      </w:rPr>
                      <w:t> </w:t>
                    </w:r>
                    <w:r>
                      <w:rPr>
                        <w:rFonts w:ascii="Calibri"/>
                        <w:sz w:val="12"/>
                      </w:rPr>
                      <w:t>4</w:t>
                    </w:r>
                  </w:p>
                </w:txbxContent>
              </v:textbox>
              <w10:wrap type="none"/>
            </v:shape>
            <v:shape style="position:absolute;left:7513;top:1348;width:610;height:288" type="#_x0000_t202" filled="false" stroked="false">
              <v:textbox inset="0,0,0,0">
                <w:txbxContent>
                  <w:p>
                    <w:pPr>
                      <w:spacing w:line="122" w:lineRule="exact" w:before="0"/>
                      <w:ind w:left="0" w:right="-10" w:firstLine="0"/>
                      <w:jc w:val="left"/>
                      <w:rPr>
                        <w:rFonts w:ascii="Calibri"/>
                        <w:sz w:val="12"/>
                      </w:rPr>
                    </w:pPr>
                    <w:r>
                      <w:rPr>
                        <w:rFonts w:ascii="Calibri"/>
                        <w:spacing w:val="-1"/>
                        <w:sz w:val="12"/>
                      </w:rPr>
                      <w:t>Heterotheca</w:t>
                    </w:r>
                  </w:p>
                  <w:p>
                    <w:pPr>
                      <w:spacing w:line="144" w:lineRule="exact" w:before="21"/>
                      <w:ind w:left="0" w:right="-10" w:firstLine="0"/>
                      <w:jc w:val="left"/>
                      <w:rPr>
                        <w:rFonts w:ascii="Calibri"/>
                        <w:sz w:val="12"/>
                      </w:rPr>
                    </w:pPr>
                    <w:r>
                      <w:rPr>
                        <w:rFonts w:ascii="Calibri"/>
                        <w:sz w:val="12"/>
                      </w:rPr>
                      <w:t>inuloides 5</w:t>
                    </w:r>
                  </w:p>
                </w:txbxContent>
              </v:textbox>
              <w10:wrap type="none"/>
            </v:shape>
            <w10:wrap type="topAndBottom"/>
          </v:group>
        </w:pict>
      </w:r>
    </w:p>
    <w:p>
      <w:pPr>
        <w:pStyle w:val="BodyText"/>
        <w:spacing w:before="5"/>
        <w:rPr>
          <w:rFonts w:ascii="Calibri"/>
          <w:sz w:val="13"/>
        </w:rPr>
      </w:pPr>
    </w:p>
    <w:p>
      <w:pPr>
        <w:pStyle w:val="ListParagraph"/>
        <w:numPr>
          <w:ilvl w:val="0"/>
          <w:numId w:val="13"/>
        </w:numPr>
        <w:tabs>
          <w:tab w:pos="2920" w:val="left" w:leader="none"/>
        </w:tabs>
        <w:spacing w:line="240" w:lineRule="auto" w:before="51" w:after="0"/>
        <w:ind w:left="2919" w:right="0" w:hanging="241"/>
        <w:jc w:val="left"/>
        <w:rPr>
          <w:rFonts w:ascii="Calibri"/>
          <w:i/>
          <w:sz w:val="24"/>
        </w:rPr>
      </w:pPr>
      <w:r>
        <w:rPr>
          <w:rFonts w:ascii="Calibri"/>
          <w:sz w:val="24"/>
        </w:rPr>
        <w:t>Np-Ag reducidas por </w:t>
      </w:r>
      <w:r>
        <w:rPr>
          <w:rFonts w:ascii="Calibri"/>
          <w:i/>
          <w:sz w:val="24"/>
        </w:rPr>
        <w:t>Heterotheca</w:t>
      </w:r>
      <w:r>
        <w:rPr>
          <w:rFonts w:ascii="Calibri"/>
          <w:i/>
          <w:spacing w:val="-22"/>
          <w:sz w:val="24"/>
        </w:rPr>
        <w:t> </w:t>
      </w:r>
      <w:r>
        <w:rPr>
          <w:rFonts w:ascii="Calibri"/>
          <w:i/>
          <w:sz w:val="24"/>
        </w:rPr>
        <w:t>inuloides</w:t>
      </w:r>
    </w:p>
    <w:p>
      <w:pPr>
        <w:pStyle w:val="BodyText"/>
        <w:rPr>
          <w:rFonts w:ascii="Calibri"/>
          <w:i/>
          <w:sz w:val="20"/>
        </w:rPr>
      </w:pPr>
    </w:p>
    <w:p>
      <w:pPr>
        <w:pStyle w:val="BodyText"/>
        <w:rPr>
          <w:rFonts w:ascii="Calibri"/>
          <w:i/>
          <w:sz w:val="20"/>
        </w:rPr>
      </w:pPr>
    </w:p>
    <w:p>
      <w:pPr>
        <w:pStyle w:val="BodyText"/>
        <w:spacing w:before="12"/>
        <w:rPr>
          <w:rFonts w:ascii="Calibri"/>
          <w:i/>
          <w:sz w:val="10"/>
        </w:rPr>
      </w:pPr>
    </w:p>
    <w:tbl>
      <w:tblPr>
        <w:tblW w:w="0" w:type="auto"/>
        <w:jc w:val="left"/>
        <w:tblInd w:w="15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07"/>
        <w:gridCol w:w="1093"/>
        <w:gridCol w:w="1216"/>
        <w:gridCol w:w="1031"/>
        <w:gridCol w:w="1853"/>
      </w:tblGrid>
      <w:tr>
        <w:trPr>
          <w:trHeight w:val="2900" w:hRule="exact"/>
        </w:trPr>
        <w:tc>
          <w:tcPr>
            <w:tcW w:w="1507" w:type="dxa"/>
          </w:tcPr>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spacing w:line="276" w:lineRule="auto" w:before="95"/>
              <w:ind w:left="812" w:right="204"/>
              <w:rPr>
                <w:rFonts w:ascii="Calibri"/>
                <w:sz w:val="12"/>
              </w:rPr>
            </w:pPr>
            <w:r>
              <w:rPr>
                <w:rFonts w:ascii="Calibri"/>
                <w:sz w:val="12"/>
              </w:rPr>
              <w:t>Camellia sinensis 1</w:t>
            </w:r>
          </w:p>
        </w:tc>
        <w:tc>
          <w:tcPr>
            <w:tcW w:w="1093" w:type="dxa"/>
          </w:tcPr>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spacing w:before="8"/>
              <w:rPr>
                <w:rFonts w:ascii="Calibri"/>
                <w:i/>
                <w:sz w:val="16"/>
              </w:rPr>
            </w:pPr>
          </w:p>
          <w:p>
            <w:pPr>
              <w:pStyle w:val="TableParagraph"/>
              <w:spacing w:line="276" w:lineRule="auto"/>
              <w:ind w:left="225" w:right="378"/>
              <w:rPr>
                <w:rFonts w:ascii="Calibri"/>
                <w:sz w:val="12"/>
              </w:rPr>
            </w:pPr>
            <w:r>
              <w:rPr>
                <w:rFonts w:ascii="Calibri"/>
                <w:sz w:val="12"/>
              </w:rPr>
              <w:t>Camellia sinensis 2</w:t>
            </w:r>
          </w:p>
        </w:tc>
        <w:tc>
          <w:tcPr>
            <w:tcW w:w="1216" w:type="dxa"/>
          </w:tcPr>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spacing w:line="276" w:lineRule="auto" w:before="76"/>
              <w:ind w:left="471" w:right="255"/>
              <w:rPr>
                <w:rFonts w:ascii="Calibri"/>
                <w:sz w:val="12"/>
              </w:rPr>
            </w:pPr>
            <w:r>
              <w:rPr>
                <w:rFonts w:ascii="Calibri"/>
                <w:sz w:val="12"/>
              </w:rPr>
              <w:t>Camellia sinensis 3</w:t>
            </w:r>
          </w:p>
        </w:tc>
        <w:tc>
          <w:tcPr>
            <w:tcW w:w="1031" w:type="dxa"/>
          </w:tcPr>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spacing w:before="8"/>
              <w:rPr>
                <w:rFonts w:ascii="Calibri"/>
                <w:i/>
                <w:sz w:val="16"/>
              </w:rPr>
            </w:pPr>
          </w:p>
          <w:p>
            <w:pPr>
              <w:pStyle w:val="TableParagraph"/>
              <w:spacing w:line="276" w:lineRule="auto"/>
              <w:ind w:left="275" w:right="266"/>
              <w:rPr>
                <w:rFonts w:ascii="Calibri"/>
                <w:sz w:val="12"/>
              </w:rPr>
            </w:pPr>
            <w:r>
              <w:rPr>
                <w:rFonts w:ascii="Calibri"/>
                <w:sz w:val="12"/>
              </w:rPr>
              <w:t>Camellia sinensis 4</w:t>
            </w:r>
          </w:p>
        </w:tc>
        <w:tc>
          <w:tcPr>
            <w:tcW w:w="1853" w:type="dxa"/>
          </w:tcPr>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rPr>
                <w:rFonts w:ascii="Calibri"/>
                <w:i/>
                <w:sz w:val="12"/>
              </w:rPr>
            </w:pPr>
          </w:p>
          <w:p>
            <w:pPr>
              <w:pStyle w:val="TableParagraph"/>
              <w:spacing w:before="8"/>
              <w:rPr>
                <w:rFonts w:ascii="Calibri"/>
                <w:i/>
                <w:sz w:val="16"/>
              </w:rPr>
            </w:pPr>
          </w:p>
          <w:p>
            <w:pPr>
              <w:pStyle w:val="TableParagraph"/>
              <w:spacing w:line="276" w:lineRule="auto"/>
              <w:ind w:left="286" w:right="1077"/>
              <w:rPr>
                <w:rFonts w:ascii="Calibri"/>
                <w:sz w:val="12"/>
              </w:rPr>
            </w:pPr>
            <w:r>
              <w:rPr>
                <w:rFonts w:ascii="Calibri"/>
                <w:sz w:val="12"/>
              </w:rPr>
              <w:t>Camellia sinensis 5</w:t>
            </w:r>
          </w:p>
        </w:tc>
      </w:tr>
    </w:tbl>
    <w:p>
      <w:pPr>
        <w:pStyle w:val="BodyText"/>
        <w:spacing w:before="8"/>
        <w:rPr>
          <w:rFonts w:ascii="Calibri"/>
          <w:i/>
          <w:sz w:val="28"/>
        </w:rPr>
      </w:pPr>
    </w:p>
    <w:p>
      <w:pPr>
        <w:spacing w:before="52"/>
        <w:ind w:left="3098" w:right="270" w:firstLine="0"/>
        <w:jc w:val="left"/>
        <w:rPr>
          <w:rFonts w:ascii="Calibri" w:hAnsi="Calibri"/>
          <w:i/>
          <w:sz w:val="24"/>
        </w:rPr>
      </w:pPr>
      <w:r>
        <w:rPr/>
        <w:pict>
          <v:group style="position:absolute;margin-left:141pt;margin-top:-161.490219pt;width:333pt;height:143pt;mso-position-horizontal-relative:page;mso-position-vertical-relative:paragraph;z-index:-192880" coordorigin="2820,-3230" coordsize="6660,2860">
            <v:shape style="position:absolute;left:5400;top:-3230;width:4080;height:2860" type="#_x0000_t75" stroked="false">
              <v:imagedata r:id="rId58" o:title=""/>
            </v:shape>
            <v:shape style="position:absolute;left:2820;top:-3230;width:2580;height:2860" type="#_x0000_t75" stroked="false">
              <v:imagedata r:id="rId59" o:title=""/>
            </v:shape>
            <v:shape style="position:absolute;left:3453;top:-2217;width:795;height:475" type="#_x0000_t75" stroked="false">
              <v:imagedata r:id="rId60" o:title=""/>
            </v:shape>
            <v:shape style="position:absolute;left:4373;top:-2257;width:795;height:475" type="#_x0000_t75" stroked="false">
              <v:imagedata r:id="rId61" o:title=""/>
            </v:shape>
            <v:shape style="position:absolute;left:5713;top:-2237;width:795;height:475" type="#_x0000_t75" stroked="false">
              <v:imagedata r:id="rId60" o:title=""/>
            </v:shape>
            <v:shape style="position:absolute;left:6733;top:-2257;width:795;height:475" type="#_x0000_t75" stroked="false">
              <v:imagedata r:id="rId61" o:title=""/>
            </v:shape>
            <v:shape style="position:absolute;left:7773;top:-2257;width:795;height:475" type="#_x0000_t75" stroked="false">
              <v:imagedata r:id="rId61" o:title=""/>
            </v:shape>
            <w10:wrap type="none"/>
          </v:group>
        </w:pict>
      </w:r>
      <w:r>
        <w:rPr>
          <w:rFonts w:ascii="Calibri" w:hAnsi="Calibri"/>
          <w:sz w:val="24"/>
        </w:rPr>
        <w:t>ñ. Np-Ag reducidas por </w:t>
      </w:r>
      <w:r>
        <w:rPr>
          <w:rFonts w:ascii="Calibri" w:hAnsi="Calibri"/>
          <w:i/>
          <w:sz w:val="24"/>
        </w:rPr>
        <w:t>Camellia sinensis</w:t>
      </w:r>
    </w:p>
    <w:p>
      <w:pPr>
        <w:spacing w:after="0"/>
        <w:jc w:val="left"/>
        <w:rPr>
          <w:rFonts w:ascii="Calibri" w:hAnsi="Calibri"/>
          <w:sz w:val="24"/>
        </w:rPr>
        <w:sectPr>
          <w:footerReference w:type="default" r:id="rId49"/>
          <w:pgSz w:w="12240" w:h="15840"/>
          <w:pgMar w:footer="1024" w:header="736" w:top="1180" w:bottom="1220" w:left="1280" w:right="1260"/>
        </w:sectPr>
      </w:pPr>
    </w:p>
    <w:p>
      <w:pPr>
        <w:pStyle w:val="BodyText"/>
        <w:spacing w:before="1"/>
        <w:rPr>
          <w:rFonts w:ascii="Calibri"/>
          <w:i/>
          <w:sz w:val="17"/>
        </w:rPr>
      </w:pPr>
    </w:p>
    <w:p>
      <w:pPr>
        <w:pStyle w:val="Heading2"/>
        <w:numPr>
          <w:ilvl w:val="0"/>
          <w:numId w:val="14"/>
        </w:numPr>
        <w:tabs>
          <w:tab w:pos="880" w:val="left" w:leader="none"/>
          <w:tab w:pos="881" w:val="left" w:leader="none"/>
        </w:tabs>
        <w:spacing w:line="463" w:lineRule="auto" w:before="56" w:after="0"/>
        <w:ind w:left="880" w:right="178" w:hanging="360"/>
        <w:jc w:val="left"/>
      </w:pPr>
      <w:r>
        <w:rPr/>
        <w:t>Etapa 2: Caracterización de las Np-Ag y su análisis en los órganos dentarios</w:t>
      </w:r>
    </w:p>
    <w:p>
      <w:pPr>
        <w:pStyle w:val="BodyText"/>
        <w:rPr>
          <w:b/>
        </w:rPr>
      </w:pPr>
    </w:p>
    <w:p>
      <w:pPr>
        <w:pStyle w:val="BodyText"/>
        <w:spacing w:before="3"/>
        <w:rPr>
          <w:b/>
          <w:sz w:val="26"/>
        </w:rPr>
      </w:pPr>
    </w:p>
    <w:p>
      <w:pPr>
        <w:pStyle w:val="BodyText"/>
        <w:spacing w:line="480" w:lineRule="auto"/>
        <w:ind w:left="880" w:right="178"/>
        <w:jc w:val="both"/>
      </w:pPr>
      <w:r>
        <w:rPr/>
        <w:t>Finalizada la síntesis, las Np-Ag se encontraban en un medio acuoso, listas para ser utilizadas como medio de irrigación a través de una jeringa, de manera  similar a la presentación de</w:t>
      </w:r>
      <w:r>
        <w:rPr>
          <w:spacing w:val="-7"/>
        </w:rPr>
        <w:t> </w:t>
      </w:r>
      <w:r>
        <w:rPr/>
        <w:t>Clorhexidina.</w:t>
      </w:r>
    </w:p>
    <w:p>
      <w:pPr>
        <w:pStyle w:val="BodyText"/>
        <w:spacing w:line="480" w:lineRule="auto" w:before="8"/>
        <w:ind w:left="880" w:right="174"/>
        <w:jc w:val="both"/>
      </w:pPr>
      <w:r>
        <w:rPr/>
        <w:t>Para caracterizar las Np-Ag en cuanto al tamaño, forma y número, se realizó un análisis mediante espectrofotometría de luz ultravioleta-visible, conocido como Uv-Vis, que consistió en hacer pasar un haz de luz a través de la celda de cuarzo en la que se encontraban contenidas las soluciones con Np-Ag observándose la formación del plasmón, punto máximo en dónde se absorbe la luz.</w:t>
      </w:r>
    </w:p>
    <w:p>
      <w:pPr>
        <w:pStyle w:val="BodyText"/>
        <w:spacing w:line="480" w:lineRule="auto" w:before="8"/>
        <w:ind w:left="880" w:right="174"/>
        <w:jc w:val="both"/>
      </w:pPr>
      <w:r>
        <w:rPr/>
        <w:t>Las Np-Ag fueron depositadas en 20 dientes infantiles que fueron proporcionados por el departamento de Odontopediatría de la Facultad de Odontología mediante consentimiento informado de los padres y asentimiento informado de los pacientes infantiles (anexo 1). Los 5 dientes incisivos se encontraban libres de cavidad o lesión cariosa. De acuerdo a los criterios de inclusión de este trabajo, los 15 dientes molares presentaban caries de esmalte  o dentina y estaban libres de fracturas, defectos de esmalte y restauraciones. Los dientes molares fueron seccionados con disco de carburo y baja velocidad con agua estéril para ser colocados en el portaobjetos del microscopio electrónico de barrido (MEB) y mediante un análisis elemental del órgano dentario, se determinó el grado </w:t>
      </w:r>
      <w:r>
        <w:rPr>
          <w:spacing w:val="2"/>
        </w:rPr>
        <w:t>de </w:t>
      </w:r>
      <w:r>
        <w:rPr/>
        <w:t>absorción de la solución de nanopartículas</w:t>
      </w:r>
      <w:r>
        <w:rPr>
          <w:spacing w:val="-2"/>
        </w:rPr>
        <w:t> </w:t>
      </w:r>
      <w:r>
        <w:rPr/>
        <w:t>de</w:t>
      </w:r>
    </w:p>
    <w:p>
      <w:pPr>
        <w:spacing w:after="0" w:line="480" w:lineRule="auto"/>
        <w:jc w:val="both"/>
        <w:sectPr>
          <w:footerReference w:type="default" r:id="rId62"/>
          <w:pgSz w:w="12240" w:h="15840"/>
          <w:pgMar w:footer="1024" w:header="736" w:top="1180" w:bottom="1220" w:left="1280" w:right="1260"/>
          <w:pgNumType w:start="71"/>
        </w:sectPr>
      </w:pPr>
    </w:p>
    <w:p>
      <w:pPr>
        <w:pStyle w:val="BodyText"/>
        <w:spacing w:before="11"/>
        <w:rPr>
          <w:sz w:val="16"/>
        </w:rPr>
      </w:pPr>
    </w:p>
    <w:p>
      <w:pPr>
        <w:pStyle w:val="BodyText"/>
        <w:spacing w:line="480" w:lineRule="auto" w:before="69"/>
        <w:ind w:left="1160" w:right="749"/>
        <w:jc w:val="both"/>
      </w:pPr>
      <w:r>
        <w:rPr/>
        <w:t>plata en los diferentes tejidos dentales, para llegar a la comprobación de que la solución fue compatible con los dientes.</w:t>
      </w:r>
    </w:p>
    <w:p>
      <w:pPr>
        <w:pStyle w:val="BodyText"/>
        <w:spacing w:line="480" w:lineRule="auto" w:before="8"/>
        <w:ind w:left="1160" w:right="732"/>
        <w:jc w:val="both"/>
      </w:pPr>
      <w:r>
        <w:rPr/>
        <w:t>Se realizó un análisis mediante microscopía electrónica de transmisión (MET) para conocer el tamaño y la polidispersión de las Np-Ag obtenidas en las dos soluciones reducidas con los dos métodos verdes y con el método químico.</w:t>
      </w:r>
    </w:p>
    <w:p>
      <w:pPr>
        <w:pStyle w:val="BodyText"/>
        <w:spacing w:line="480" w:lineRule="auto" w:before="8"/>
        <w:ind w:left="1160" w:right="744"/>
        <w:jc w:val="both"/>
      </w:pPr>
      <w:r>
        <w:rPr/>
        <w:t>Ambas etapas fueron realizadas en el Centro Conjunto de Investigación en Química Sustentable (CCIQS) de la UAEM-UNAM.</w:t>
      </w:r>
    </w:p>
    <w:p>
      <w:pPr>
        <w:pStyle w:val="BodyText"/>
        <w:spacing w:before="1"/>
        <w:rPr>
          <w:sz w:val="21"/>
        </w:rPr>
      </w:pPr>
      <w:r>
        <w:rPr/>
        <w:pict>
          <v:group style="position:absolute;margin-left:121.75pt;margin-top:14.080801pt;width:377.5pt;height:188.25pt;mso-position-horizontal-relative:page;mso-position-vertical-relative:paragraph;z-index:1864;mso-wrap-distance-left:0;mso-wrap-distance-right:0" coordorigin="2435,282" coordsize="7550,3765">
            <v:shape style="position:absolute;left:2475;top:322;width:7470;height:3685" type="#_x0000_t75" stroked="false">
              <v:imagedata r:id="rId63" o:title=""/>
            </v:shape>
            <v:rect style="position:absolute;left:2455;top:302;width:7510;height:3725" filled="false" stroked="true" strokeweight="2pt" strokecolor="#4f81bc"/>
            <w10:wrap type="topAndBottom"/>
          </v:group>
        </w:pict>
      </w:r>
      <w:r>
        <w:rPr/>
        <w:drawing>
          <wp:anchor distT="0" distB="0" distL="0" distR="0" allowOverlap="1" layoutInCell="1" locked="0" behindDoc="0" simplePos="0" relativeHeight="1888">
            <wp:simplePos x="0" y="0"/>
            <wp:positionH relativeFrom="page">
              <wp:posOffset>2505075</wp:posOffset>
            </wp:positionH>
            <wp:positionV relativeFrom="paragraph">
              <wp:posOffset>2802011</wp:posOffset>
            </wp:positionV>
            <wp:extent cx="3130791" cy="2326005"/>
            <wp:effectExtent l="0" t="0" r="0" b="0"/>
            <wp:wrapTopAndBottom/>
            <wp:docPr id="9" name="image35.jpeg" descr=""/>
            <wp:cNvGraphicFramePr>
              <a:graphicFrameLocks noChangeAspect="1"/>
            </wp:cNvGraphicFramePr>
            <a:graphic>
              <a:graphicData uri="http://schemas.openxmlformats.org/drawingml/2006/picture">
                <pic:pic>
                  <pic:nvPicPr>
                    <pic:cNvPr id="10" name="image35.jpeg"/>
                    <pic:cNvPicPr/>
                  </pic:nvPicPr>
                  <pic:blipFill>
                    <a:blip r:embed="rId64" cstate="print"/>
                    <a:stretch>
                      <a:fillRect/>
                    </a:stretch>
                  </pic:blipFill>
                  <pic:spPr>
                    <a:xfrm>
                      <a:off x="0" y="0"/>
                      <a:ext cx="3130791" cy="2326005"/>
                    </a:xfrm>
                    <a:prstGeom prst="rect">
                      <a:avLst/>
                    </a:prstGeom>
                  </pic:spPr>
                </pic:pic>
              </a:graphicData>
            </a:graphic>
          </wp:anchor>
        </w:drawing>
      </w:r>
    </w:p>
    <w:p>
      <w:pPr>
        <w:pStyle w:val="BodyText"/>
        <w:spacing w:before="10"/>
        <w:rPr>
          <w:sz w:val="25"/>
        </w:rPr>
      </w:pPr>
    </w:p>
    <w:p>
      <w:pPr>
        <w:pStyle w:val="BodyText"/>
        <w:spacing w:before="6"/>
        <w:rPr>
          <w:sz w:val="12"/>
        </w:rPr>
      </w:pPr>
    </w:p>
    <w:p>
      <w:pPr>
        <w:pStyle w:val="ListParagraph"/>
        <w:numPr>
          <w:ilvl w:val="0"/>
          <w:numId w:val="13"/>
        </w:numPr>
        <w:tabs>
          <w:tab w:pos="346" w:val="left" w:leader="none"/>
        </w:tabs>
        <w:spacing w:line="240" w:lineRule="auto" w:before="52" w:after="0"/>
        <w:ind w:left="4581" w:right="113" w:hanging="4477"/>
        <w:jc w:val="left"/>
        <w:rPr>
          <w:rFonts w:ascii="Calibri" w:hAnsi="Calibri"/>
          <w:sz w:val="24"/>
        </w:rPr>
      </w:pPr>
      <w:r>
        <w:rPr>
          <w:rFonts w:ascii="Calibri" w:hAnsi="Calibri"/>
          <w:sz w:val="24"/>
        </w:rPr>
        <w:t>Centro</w:t>
      </w:r>
      <w:r>
        <w:rPr>
          <w:rFonts w:ascii="Calibri" w:hAnsi="Calibri"/>
          <w:spacing w:val="-9"/>
          <w:sz w:val="24"/>
        </w:rPr>
        <w:t> </w:t>
      </w:r>
      <w:r>
        <w:rPr>
          <w:rFonts w:ascii="Calibri" w:hAnsi="Calibri"/>
          <w:sz w:val="24"/>
        </w:rPr>
        <w:t>Conjunto</w:t>
      </w:r>
      <w:r>
        <w:rPr>
          <w:rFonts w:ascii="Calibri" w:hAnsi="Calibri"/>
          <w:spacing w:val="-9"/>
          <w:sz w:val="24"/>
        </w:rPr>
        <w:t> </w:t>
      </w:r>
      <w:r>
        <w:rPr>
          <w:rFonts w:ascii="Calibri" w:hAnsi="Calibri"/>
          <w:sz w:val="24"/>
        </w:rPr>
        <w:t>de</w:t>
      </w:r>
      <w:r>
        <w:rPr>
          <w:rFonts w:ascii="Calibri" w:hAnsi="Calibri"/>
          <w:spacing w:val="-7"/>
          <w:sz w:val="24"/>
        </w:rPr>
        <w:t> </w:t>
      </w:r>
      <w:r>
        <w:rPr>
          <w:rFonts w:ascii="Calibri" w:hAnsi="Calibri"/>
          <w:sz w:val="24"/>
        </w:rPr>
        <w:t>Investigación</w:t>
      </w:r>
      <w:r>
        <w:rPr>
          <w:rFonts w:ascii="Calibri" w:hAnsi="Calibri"/>
          <w:spacing w:val="-9"/>
          <w:sz w:val="24"/>
        </w:rPr>
        <w:t> </w:t>
      </w:r>
      <w:r>
        <w:rPr>
          <w:rFonts w:ascii="Calibri" w:hAnsi="Calibri"/>
          <w:sz w:val="24"/>
        </w:rPr>
        <w:t>en</w:t>
      </w:r>
      <w:r>
        <w:rPr>
          <w:rFonts w:ascii="Calibri" w:hAnsi="Calibri"/>
          <w:spacing w:val="-7"/>
          <w:sz w:val="24"/>
        </w:rPr>
        <w:t> </w:t>
      </w:r>
      <w:r>
        <w:rPr>
          <w:rFonts w:ascii="Calibri" w:hAnsi="Calibri"/>
          <w:sz w:val="24"/>
        </w:rPr>
        <w:t>Química</w:t>
      </w:r>
      <w:r>
        <w:rPr>
          <w:rFonts w:ascii="Calibri" w:hAnsi="Calibri"/>
          <w:spacing w:val="-8"/>
          <w:sz w:val="24"/>
        </w:rPr>
        <w:t> </w:t>
      </w:r>
      <w:r>
        <w:rPr>
          <w:rFonts w:ascii="Calibri" w:hAnsi="Calibri"/>
          <w:sz w:val="24"/>
        </w:rPr>
        <w:t>Sustentable</w:t>
      </w:r>
      <w:r>
        <w:rPr>
          <w:rFonts w:ascii="Calibri" w:hAnsi="Calibri"/>
          <w:spacing w:val="-10"/>
          <w:sz w:val="24"/>
        </w:rPr>
        <w:t> </w:t>
      </w:r>
      <w:r>
        <w:rPr>
          <w:rFonts w:ascii="Calibri" w:hAnsi="Calibri"/>
          <w:sz w:val="24"/>
        </w:rPr>
        <w:t>UAEM-UNAM.</w:t>
      </w:r>
      <w:r>
        <w:rPr>
          <w:rFonts w:ascii="Calibri" w:hAnsi="Calibri"/>
          <w:spacing w:val="-9"/>
          <w:sz w:val="24"/>
        </w:rPr>
        <w:t> </w:t>
      </w:r>
      <w:r>
        <w:rPr>
          <w:rFonts w:ascii="Calibri" w:hAnsi="Calibri"/>
          <w:sz w:val="24"/>
        </w:rPr>
        <w:t>Laboratorio</w:t>
      </w:r>
      <w:r>
        <w:rPr>
          <w:rFonts w:ascii="Calibri" w:hAnsi="Calibri"/>
          <w:spacing w:val="-9"/>
          <w:sz w:val="24"/>
        </w:rPr>
        <w:t> </w:t>
      </w:r>
      <w:r>
        <w:rPr>
          <w:rFonts w:ascii="Calibri" w:hAnsi="Calibri"/>
          <w:sz w:val="24"/>
        </w:rPr>
        <w:t>de</w:t>
      </w:r>
      <w:r>
        <w:rPr>
          <w:rFonts w:ascii="Calibri" w:hAnsi="Calibri"/>
          <w:spacing w:val="-10"/>
          <w:sz w:val="24"/>
        </w:rPr>
        <w:t> </w:t>
      </w:r>
      <w:r>
        <w:rPr>
          <w:rFonts w:ascii="Calibri" w:hAnsi="Calibri"/>
          <w:sz w:val="24"/>
        </w:rPr>
        <w:t>nanotecnología fuente</w:t>
      </w:r>
      <w:r>
        <w:rPr>
          <w:rFonts w:ascii="Calibri" w:hAnsi="Calibri"/>
          <w:spacing w:val="-16"/>
          <w:sz w:val="24"/>
        </w:rPr>
        <w:t> </w:t>
      </w:r>
      <w:r>
        <w:rPr>
          <w:rFonts w:ascii="Calibri" w:hAnsi="Calibri"/>
          <w:sz w:val="24"/>
        </w:rPr>
        <w:t>directa</w:t>
      </w:r>
    </w:p>
    <w:p>
      <w:pPr>
        <w:spacing w:after="0" w:line="240" w:lineRule="auto"/>
        <w:jc w:val="left"/>
        <w:rPr>
          <w:rFonts w:ascii="Calibri" w:hAnsi="Calibri"/>
          <w:sz w:val="24"/>
        </w:rPr>
        <w:sectPr>
          <w:pgSz w:w="12240" w:h="15840"/>
          <w:pgMar w:header="736" w:footer="1024" w:top="1180" w:bottom="1220" w:left="1000" w:right="700"/>
        </w:sectPr>
      </w:pPr>
    </w:p>
    <w:p>
      <w:pPr>
        <w:pStyle w:val="BodyText"/>
        <w:rPr>
          <w:rFonts w:ascii="Times New Roman"/>
          <w:sz w:val="28"/>
        </w:rPr>
      </w:pPr>
    </w:p>
    <w:p>
      <w:pPr>
        <w:tabs>
          <w:tab w:pos="7210" w:val="left" w:leader="none"/>
        </w:tabs>
        <w:spacing w:line="240" w:lineRule="auto"/>
        <w:ind w:left="1210" w:right="0" w:firstLine="0"/>
        <w:rPr>
          <w:rFonts w:ascii="Times New Roman"/>
          <w:sz w:val="20"/>
        </w:rPr>
      </w:pPr>
      <w:r>
        <w:rPr>
          <w:rFonts w:ascii="Times New Roman"/>
          <w:position w:val="21"/>
          <w:sz w:val="20"/>
        </w:rPr>
        <w:pict>
          <v:group style="width:230.5pt;height:154pt;mso-position-horizontal-relative:char;mso-position-vertical-relative:line" coordorigin="0,0" coordsize="4610,3080">
            <v:shape style="position:absolute;left:40;top:40;width:4530;height:3000" type="#_x0000_t75" stroked="false">
              <v:imagedata r:id="rId65" o:title=""/>
            </v:shape>
            <v:rect style="position:absolute;left:20;top:20;width:4570;height:3040" filled="false" stroked="true" strokeweight="2pt" strokecolor="#4f81bc"/>
          </v:group>
        </w:pict>
      </w:r>
      <w:r>
        <w:rPr>
          <w:rFonts w:ascii="Times New Roman"/>
          <w:position w:val="21"/>
          <w:sz w:val="20"/>
        </w:rPr>
      </w:r>
      <w:r>
        <w:rPr>
          <w:rFonts w:ascii="Times New Roman"/>
          <w:position w:val="21"/>
          <w:sz w:val="20"/>
        </w:rPr>
        <w:tab/>
      </w:r>
      <w:r>
        <w:rPr>
          <w:rFonts w:ascii="Times New Roman"/>
          <w:sz w:val="20"/>
        </w:rPr>
        <w:pict>
          <v:group style="width:119.5pt;height:164.5pt;mso-position-horizontal-relative:char;mso-position-vertical-relative:line" coordorigin="0,0" coordsize="2390,3290">
            <v:shape style="position:absolute;left:40;top:40;width:2310;height:3210" type="#_x0000_t75" stroked="false">
              <v:imagedata r:id="rId66" o:title=""/>
            </v:shape>
            <v:rect style="position:absolute;left:20;top:20;width:2350;height:3250" filled="false" stroked="true" strokeweight="2pt" strokecolor="#4f81bc"/>
            <v:line style="position:absolute" from="1075,2041" to="1360,2041" stroked="true" strokeweight="3.55pt" strokecolor="#4f81bc"/>
            <v:rect style="position:absolute;left:1075;top:2005;width:285;height:71" filled="false" stroked="true" strokeweight="2pt" strokecolor="#385d89"/>
          </v:group>
        </w:pict>
      </w:r>
      <w:r>
        <w:rPr>
          <w:rFonts w:ascii="Times New Roman"/>
          <w:sz w:val="20"/>
        </w:rPr>
      </w:r>
    </w:p>
    <w:p>
      <w:pPr>
        <w:pStyle w:val="BodyText"/>
        <w:spacing w:before="7"/>
        <w:rPr>
          <w:rFonts w:ascii="Times New Roman"/>
          <w:sz w:val="28"/>
        </w:rPr>
      </w:pPr>
      <w:r>
        <w:rPr/>
        <w:pict>
          <v:group style="position:absolute;margin-left:25.559999pt;margin-top:18.43pt;width:550pt;height:14.55pt;mso-position-horizontal-relative:page;mso-position-vertical-relative:paragraph;z-index:1984;mso-wrap-distance-left:0;mso-wrap-distance-right:0" coordorigin="511,369" coordsize="11000,291">
            <v:shape style="position:absolute;left:511;top:369;width:10999;height:290" type="#_x0000_t75" stroked="false">
              <v:imagedata r:id="rId67" o:title=""/>
            </v:shape>
            <v:shape style="position:absolute;left:511;top:369;width:11000;height:291" type="#_x0000_t202" filled="false" stroked="false">
              <v:textbox inset="0,0,0,0">
                <w:txbxContent>
                  <w:p>
                    <w:pPr>
                      <w:spacing w:line="290" w:lineRule="exact" w:before="0"/>
                      <w:ind w:left="242" w:right="0" w:firstLine="0"/>
                      <w:jc w:val="left"/>
                      <w:rPr>
                        <w:rFonts w:ascii="Calibri" w:hAnsi="Calibri"/>
                        <w:sz w:val="24"/>
                      </w:rPr>
                    </w:pPr>
                    <w:r>
                      <w:rPr>
                        <w:rFonts w:ascii="Calibri" w:hAnsi="Calibri"/>
                        <w:sz w:val="24"/>
                      </w:rPr>
                      <w:t>p. Espectrofotómetro Uv-Vis y celdas de cuarzo con las soluciones de Np-Ag sintetizadas por los tres agentes</w:t>
                    </w:r>
                  </w:p>
                </w:txbxContent>
              </v:textbox>
              <w10:wrap type="none"/>
            </v:shape>
            <w10:wrap type="topAndBottom"/>
          </v:group>
        </w:pict>
      </w:r>
    </w:p>
    <w:p>
      <w:pPr>
        <w:pStyle w:val="BodyText"/>
        <w:rPr>
          <w:rFonts w:ascii="Times New Roman"/>
          <w:sz w:val="20"/>
        </w:rPr>
      </w:pPr>
    </w:p>
    <w:p>
      <w:pPr>
        <w:pStyle w:val="BodyText"/>
        <w:spacing w:before="7"/>
        <w:rPr>
          <w:rFonts w:ascii="Times New Roman"/>
          <w:sz w:val="14"/>
        </w:rPr>
      </w:pPr>
      <w:r>
        <w:rPr/>
        <w:pict>
          <v:group style="position:absolute;margin-left:121pt;margin-top:14.850977pt;width:125.5pt;height:145pt;mso-position-horizontal-relative:page;mso-position-vertical-relative:paragraph;z-index:2008;mso-wrap-distance-left:0;mso-wrap-distance-right:0" coordorigin="2420,297" coordsize="2510,2900">
            <v:shape style="position:absolute;left:2460;top:337;width:2430;height:2820" type="#_x0000_t75" stroked="false">
              <v:imagedata r:id="rId68" o:title=""/>
            </v:shape>
            <v:rect style="position:absolute;left:2440;top:317;width:2470;height:2860" filled="false" stroked="true" strokeweight="2pt" strokecolor="#4f81bc"/>
            <w10:wrap type="topAndBottom"/>
          </v:group>
        </w:pict>
      </w:r>
      <w:r>
        <w:rPr/>
        <w:pict>
          <v:group style="position:absolute;margin-left:298pt;margin-top:10.350977pt;width:215.5pt;height:152.5pt;mso-position-horizontal-relative:page;mso-position-vertical-relative:paragraph;z-index:2032;mso-wrap-distance-left:0;mso-wrap-distance-right:0" coordorigin="5960,207" coordsize="4310,3050">
            <v:shape style="position:absolute;left:6000;top:247;width:4230;height:2970" type="#_x0000_t75" stroked="false">
              <v:imagedata r:id="rId69" o:title=""/>
            </v:shape>
            <v:rect style="position:absolute;left:5980;top:227;width:4270;height:3010" filled="false" stroked="true" strokeweight="2pt" strokecolor="#4f81bc"/>
            <w10:wrap type="topAndBottom"/>
          </v:group>
        </w:pict>
      </w:r>
    </w:p>
    <w:p>
      <w:pPr>
        <w:pStyle w:val="BodyText"/>
        <w:spacing w:before="7"/>
        <w:rPr>
          <w:rFonts w:ascii="Times New Roman"/>
          <w:sz w:val="5"/>
        </w:rPr>
      </w:pPr>
    </w:p>
    <w:p>
      <w:pPr>
        <w:pStyle w:val="BodyText"/>
        <w:ind w:left="200"/>
        <w:rPr>
          <w:rFonts w:ascii="Times New Roman"/>
          <w:sz w:val="20"/>
        </w:rPr>
      </w:pPr>
      <w:r>
        <w:rPr>
          <w:rFonts w:ascii="Times New Roman"/>
          <w:sz w:val="20"/>
        </w:rPr>
        <w:pict>
          <v:group style="width:540.5pt;height:16pt;mso-position-horizontal-relative:char;mso-position-vertical-relative:line" coordorigin="0,0" coordsize="10810,320">
            <v:shape style="position:absolute;left:0;top:0;width:5681;height:290" type="#_x0000_t75" stroked="false">
              <v:imagedata r:id="rId70" o:title=""/>
            </v:shape>
            <v:shape style="position:absolute;left:5131;top:29;width:5678;height:290" type="#_x0000_t75" stroked="false">
              <v:imagedata r:id="rId70" o:title=""/>
            </v:shape>
            <v:shape style="position:absolute;left:1570;top:49;width:2540;height:240" type="#_x0000_t202" filled="false" stroked="false">
              <v:textbox inset="0,0,0,0">
                <w:txbxContent>
                  <w:p>
                    <w:pPr>
                      <w:spacing w:line="240" w:lineRule="exact" w:before="0"/>
                      <w:ind w:left="0" w:right="-12" w:firstLine="0"/>
                      <w:jc w:val="left"/>
                      <w:rPr>
                        <w:rFonts w:ascii="Calibri"/>
                        <w:sz w:val="24"/>
                      </w:rPr>
                    </w:pPr>
                    <w:r>
                      <w:rPr>
                        <w:rFonts w:ascii="Calibri"/>
                        <w:sz w:val="24"/>
                      </w:rPr>
                      <w:t>q. Molar temporal</w:t>
                    </w:r>
                    <w:r>
                      <w:rPr>
                        <w:rFonts w:ascii="Calibri"/>
                        <w:spacing w:val="-24"/>
                        <w:sz w:val="24"/>
                      </w:rPr>
                      <w:t> </w:t>
                    </w:r>
                    <w:r>
                      <w:rPr>
                        <w:rFonts w:ascii="Calibri"/>
                        <w:sz w:val="24"/>
                      </w:rPr>
                      <w:t>inferior</w:t>
                    </w:r>
                  </w:p>
                </w:txbxContent>
              </v:textbox>
              <w10:wrap type="none"/>
            </v:shape>
            <v:shape style="position:absolute;left:5435;top:78;width:5071;height:240" type="#_x0000_t202" filled="false" stroked="false">
              <v:textbox inset="0,0,0,0">
                <w:txbxContent>
                  <w:p>
                    <w:pPr>
                      <w:spacing w:line="240" w:lineRule="exact" w:before="0"/>
                      <w:ind w:left="0" w:right="-3" w:firstLine="0"/>
                      <w:jc w:val="left"/>
                      <w:rPr>
                        <w:rFonts w:ascii="Calibri"/>
                        <w:sz w:val="24"/>
                      </w:rPr>
                    </w:pPr>
                    <w:r>
                      <w:rPr>
                        <w:rFonts w:ascii="Calibri"/>
                        <w:spacing w:val="-12"/>
                        <w:sz w:val="24"/>
                      </w:rPr>
                      <w:t>r. </w:t>
                    </w:r>
                    <w:r>
                      <w:rPr>
                        <w:rFonts w:ascii="Calibri"/>
                        <w:sz w:val="24"/>
                      </w:rPr>
                      <w:t>Dientes irrigados con Np-Ag, para observar al</w:t>
                    </w:r>
                    <w:r>
                      <w:rPr>
                        <w:rFonts w:ascii="Calibri"/>
                        <w:spacing w:val="-22"/>
                        <w:sz w:val="24"/>
                      </w:rPr>
                      <w:t> </w:t>
                    </w:r>
                    <w:r>
                      <w:rPr>
                        <w:rFonts w:ascii="Calibri"/>
                        <w:sz w:val="24"/>
                      </w:rPr>
                      <w:t>MEB</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spacing w:before="4"/>
        <w:rPr>
          <w:rFonts w:ascii="Times New Roman"/>
          <w:sz w:val="22"/>
        </w:rPr>
      </w:pPr>
      <w:r>
        <w:rPr/>
        <w:pict>
          <v:group style="position:absolute;margin-left:67pt;margin-top:25.327198pt;width:202pt;height:154pt;mso-position-horizontal-relative:page;mso-position-vertical-relative:paragraph;z-index:2128;mso-wrap-distance-left:0;mso-wrap-distance-right:0" coordorigin="1340,507" coordsize="4040,3080">
            <v:shape style="position:absolute;left:1380;top:547;width:3960;height:3000" type="#_x0000_t75" stroked="false">
              <v:imagedata r:id="rId71" o:title=""/>
            </v:shape>
            <v:rect style="position:absolute;left:1360;top:527;width:4000;height:3040" filled="false" stroked="true" strokeweight="2pt" strokecolor="#4f81bc"/>
            <w10:wrap type="topAndBottom"/>
          </v:group>
        </w:pict>
      </w:r>
      <w:r>
        <w:rPr/>
        <w:pict>
          <v:group style="position:absolute;margin-left:311.5pt;margin-top:14.827197pt;width:235pt;height:175pt;mso-position-horizontal-relative:page;mso-position-vertical-relative:paragraph;z-index:2152;mso-wrap-distance-left:0;mso-wrap-distance-right:0" coordorigin="6230,297" coordsize="4700,3500">
            <v:shape style="position:absolute;left:6270;top:337;width:4620;height:3420" type="#_x0000_t75" stroked="false">
              <v:imagedata r:id="rId72" o:title=""/>
            </v:shape>
            <v:rect style="position:absolute;left:6250;top:317;width:4660;height:3460" filled="false" stroked="true" strokeweight="2pt" strokecolor="#4f81bc"/>
            <w10:wrap type="topAndBottom"/>
          </v:group>
        </w:pict>
      </w:r>
      <w:r>
        <w:rPr/>
        <w:pict>
          <v:group style="position:absolute;margin-left:162pt;margin-top:206.507202pt;width:284.05pt;height:14.55pt;mso-position-horizontal-relative:page;mso-position-vertical-relative:paragraph;z-index:2200;mso-wrap-distance-left:0;mso-wrap-distance-right:0" coordorigin="3240,4130" coordsize="5681,291">
            <v:shape style="position:absolute;left:3240;top:4130;width:5681;height:290" type="#_x0000_t75" stroked="false">
              <v:imagedata r:id="rId70" o:title=""/>
            </v:shape>
            <v:shape style="position:absolute;left:3240;top:4130;width:5681;height:291" type="#_x0000_t202" filled="false" stroked="false">
              <v:textbox inset="0,0,0,0">
                <w:txbxContent>
                  <w:p>
                    <w:pPr>
                      <w:spacing w:line="289" w:lineRule="exact" w:before="1"/>
                      <w:ind w:left="996" w:right="0" w:firstLine="0"/>
                      <w:jc w:val="left"/>
                      <w:rPr>
                        <w:rFonts w:ascii="Calibri"/>
                        <w:sz w:val="24"/>
                      </w:rPr>
                    </w:pPr>
                    <w:r>
                      <w:rPr>
                        <w:rFonts w:ascii="Calibri"/>
                        <w:sz w:val="24"/>
                      </w:rPr>
                      <w:t>s. portaobjetos con los analitos y MEB</w:t>
                    </w:r>
                  </w:p>
                </w:txbxContent>
              </v:textbox>
              <w10:wrap type="none"/>
            </v:shape>
            <w10:wrap type="topAndBottom"/>
          </v:group>
        </w:pict>
      </w:r>
    </w:p>
    <w:p>
      <w:pPr>
        <w:pStyle w:val="BodyText"/>
        <w:spacing w:before="1"/>
        <w:rPr>
          <w:rFonts w:ascii="Times New Roman"/>
          <w:sz w:val="23"/>
        </w:rPr>
      </w:pPr>
    </w:p>
    <w:p>
      <w:pPr>
        <w:spacing w:after="0"/>
        <w:rPr>
          <w:rFonts w:ascii="Times New Roman"/>
          <w:sz w:val="23"/>
        </w:rPr>
        <w:sectPr>
          <w:pgSz w:w="12240" w:h="15840"/>
          <w:pgMar w:header="736" w:footer="1024" w:top="1180" w:bottom="1220" w:left="400" w:right="620"/>
        </w:sectPr>
      </w:pPr>
    </w:p>
    <w:p>
      <w:pPr>
        <w:pStyle w:val="BodyText"/>
        <w:spacing w:before="2"/>
        <w:rPr>
          <w:rFonts w:ascii="Times New Roman"/>
          <w:sz w:val="18"/>
        </w:rPr>
      </w:pPr>
    </w:p>
    <w:p>
      <w:pPr>
        <w:pStyle w:val="Heading2"/>
        <w:numPr>
          <w:ilvl w:val="1"/>
          <w:numId w:val="13"/>
        </w:numPr>
        <w:tabs>
          <w:tab w:pos="880" w:val="left" w:leader="none"/>
          <w:tab w:pos="881" w:val="left" w:leader="none"/>
        </w:tabs>
        <w:spacing w:line="240" w:lineRule="auto" w:before="56" w:after="0"/>
        <w:ind w:left="880" w:right="0" w:hanging="360"/>
        <w:jc w:val="left"/>
      </w:pPr>
      <w:r>
        <w:rPr/>
        <w:t>Etapa 3 Análisis del efecto</w:t>
      </w:r>
      <w:r>
        <w:rPr>
          <w:spacing w:val="-10"/>
        </w:rPr>
        <w:t> </w:t>
      </w:r>
      <w:r>
        <w:rPr/>
        <w:t>antimicrobiano</w:t>
      </w:r>
    </w:p>
    <w:p>
      <w:pPr>
        <w:pStyle w:val="BodyText"/>
        <w:spacing w:before="7"/>
        <w:rPr>
          <w:b/>
          <w:sz w:val="23"/>
        </w:rPr>
      </w:pPr>
    </w:p>
    <w:p>
      <w:pPr>
        <w:spacing w:line="480" w:lineRule="auto" w:before="0"/>
        <w:ind w:left="880" w:right="175" w:firstLine="0"/>
        <w:jc w:val="both"/>
        <w:rPr>
          <w:sz w:val="24"/>
        </w:rPr>
      </w:pPr>
      <w:r>
        <w:rPr>
          <w:sz w:val="24"/>
        </w:rPr>
        <w:t>Las cepas de </w:t>
      </w:r>
      <w:r>
        <w:rPr>
          <w:i/>
          <w:sz w:val="24"/>
        </w:rPr>
        <w:t>Streptococcus mutans </w:t>
      </w:r>
      <w:r>
        <w:rPr>
          <w:sz w:val="24"/>
        </w:rPr>
        <w:t>y </w:t>
      </w:r>
      <w:r>
        <w:rPr>
          <w:i/>
          <w:sz w:val="24"/>
        </w:rPr>
        <w:t>Lactobacillus casei</w:t>
      </w:r>
      <w:r>
        <w:rPr>
          <w:sz w:val="24"/>
        </w:rPr>
        <w:t>, fueron  proporcionadas por el Laboratorio de microbiología de la Facultad de Odontología de la Universidad Nacional Autónoma de México</w:t>
      </w:r>
      <w:r>
        <w:rPr>
          <w:spacing w:val="-24"/>
          <w:sz w:val="24"/>
        </w:rPr>
        <w:t> </w:t>
      </w:r>
      <w:r>
        <w:rPr>
          <w:sz w:val="24"/>
        </w:rPr>
        <w:t>(UNAM).</w:t>
      </w:r>
    </w:p>
    <w:p>
      <w:pPr>
        <w:pStyle w:val="BodyText"/>
      </w:pPr>
    </w:p>
    <w:p>
      <w:pPr>
        <w:pStyle w:val="BodyText"/>
        <w:spacing w:before="7"/>
      </w:pPr>
    </w:p>
    <w:p>
      <w:pPr>
        <w:pStyle w:val="ListParagraph"/>
        <w:numPr>
          <w:ilvl w:val="0"/>
          <w:numId w:val="15"/>
        </w:numPr>
        <w:tabs>
          <w:tab w:pos="1600" w:val="left" w:leader="none"/>
          <w:tab w:pos="1601" w:val="left" w:leader="none"/>
        </w:tabs>
        <w:spacing w:line="480" w:lineRule="auto" w:before="1" w:after="0"/>
        <w:ind w:left="1600" w:right="179" w:hanging="720"/>
        <w:jc w:val="left"/>
        <w:rPr>
          <w:sz w:val="24"/>
        </w:rPr>
      </w:pPr>
      <w:r>
        <w:rPr>
          <w:b/>
          <w:sz w:val="24"/>
        </w:rPr>
        <w:t>Método de resiembra </w:t>
      </w:r>
      <w:r>
        <w:rPr>
          <w:sz w:val="24"/>
        </w:rPr>
        <w:t>(para verificar viabilidad y realizar pruebas bioquímicas)</w:t>
      </w:r>
    </w:p>
    <w:p>
      <w:pPr>
        <w:pStyle w:val="BodyText"/>
        <w:spacing w:line="480" w:lineRule="auto" w:before="8"/>
        <w:ind w:left="880" w:right="174"/>
        <w:jc w:val="both"/>
      </w:pPr>
      <w:r>
        <w:rPr/>
        <w:t>Ambas cepas fueron resembradas colocando de 3 a 5 colonias en nuevas cajas de Petri para comprobar su viabilidad. </w:t>
      </w:r>
      <w:r>
        <w:rPr>
          <w:i/>
        </w:rPr>
        <w:t>S. mutans </w:t>
      </w:r>
      <w:r>
        <w:rPr/>
        <w:t>en el medio específico para su crecimiento (agar </w:t>
      </w:r>
      <w:r>
        <w:rPr>
          <w:i/>
        </w:rPr>
        <w:t>mitis salivarius </w:t>
      </w:r>
      <w:r>
        <w:rPr/>
        <w:t>con bacitracina al .2% y telurito de sodio</w:t>
      </w:r>
      <w:r>
        <w:rPr>
          <w:i/>
        </w:rPr>
        <w:t>) </w:t>
      </w:r>
      <w:r>
        <w:rPr/>
        <w:t>y </w:t>
      </w:r>
      <w:r>
        <w:rPr>
          <w:i/>
        </w:rPr>
        <w:t>L. </w:t>
      </w:r>
      <w:r>
        <w:rPr>
          <w:i/>
        </w:rPr>
        <w:t>casei </w:t>
      </w:r>
      <w:r>
        <w:rPr/>
        <w:t>en Rogosa. </w:t>
      </w:r>
      <w:r>
        <w:rPr>
          <w:i/>
        </w:rPr>
        <w:t>S. mutans </w:t>
      </w:r>
      <w:r>
        <w:rPr/>
        <w:t>presentó células esféricas o cocos que crecen en pares o bien en cadenas mientras que </w:t>
      </w:r>
      <w:r>
        <w:rPr>
          <w:i/>
        </w:rPr>
        <w:t>L. casei </w:t>
      </w:r>
      <w:r>
        <w:rPr/>
        <w:t>se presentó en forma de bastoncillos.</w:t>
      </w:r>
    </w:p>
    <w:p>
      <w:pPr>
        <w:pStyle w:val="BodyText"/>
        <w:spacing w:line="480" w:lineRule="auto" w:before="205"/>
        <w:ind w:left="880" w:right="177"/>
        <w:jc w:val="both"/>
      </w:pPr>
      <w:r>
        <w:rPr/>
        <w:t>Se realizaron pruebas bioquímicas: catalasa negativa en un portaobjetos que contenía el inoculo y 30% de peróxido de hidrógeno, y por otra parte fermentación de sorbitol y manitol en tubos de ensayo. Seguido a esto, se tomaron muestras pareadas con un asa de siembra y con un hisopo de algodón conteniendo solución salina y se colocaron en tubos de ensayo  para estandarizar el inóculo.</w:t>
      </w:r>
    </w:p>
    <w:p>
      <w:pPr>
        <w:spacing w:after="0" w:line="480" w:lineRule="auto"/>
        <w:jc w:val="both"/>
        <w:sectPr>
          <w:pgSz w:w="12240" w:h="15840"/>
          <w:pgMar w:header="736" w:footer="1024" w:top="1180" w:bottom="1220" w:left="1280" w:right="1260"/>
        </w:sectPr>
      </w:pPr>
    </w:p>
    <w:p>
      <w:pPr>
        <w:pStyle w:val="BodyText"/>
        <w:spacing w:before="9"/>
        <w:rPr>
          <w:rFonts w:ascii="Times New Roman"/>
          <w:sz w:val="2"/>
        </w:rPr>
      </w:pPr>
    </w:p>
    <w:p>
      <w:pPr>
        <w:tabs>
          <w:tab w:pos="6040" w:val="left" w:leader="none"/>
        </w:tabs>
        <w:spacing w:line="240" w:lineRule="auto"/>
        <w:ind w:left="1270" w:right="0" w:firstLine="0"/>
        <w:rPr>
          <w:rFonts w:ascii="Times New Roman"/>
          <w:sz w:val="20"/>
        </w:rPr>
      </w:pPr>
      <w:r>
        <w:rPr>
          <w:rFonts w:ascii="Times New Roman"/>
          <w:position w:val="48"/>
          <w:sz w:val="20"/>
        </w:rPr>
        <w:pict>
          <v:group style="width:165pt;height:124.5pt;mso-position-horizontal-relative:char;mso-position-vertical-relative:line" coordorigin="0,0" coordsize="3300,2490">
            <v:shape style="position:absolute;left:60;top:60;width:3180;height:2370" type="#_x0000_t75" stroked="false">
              <v:imagedata r:id="rId73" o:title=""/>
            </v:shape>
            <v:rect style="position:absolute;left:30;top:30;width:3240;height:2430" filled="false" stroked="true" strokeweight="3pt" strokecolor="#4f81bc"/>
          </v:group>
        </w:pict>
      </w:r>
      <w:r>
        <w:rPr>
          <w:rFonts w:ascii="Times New Roman"/>
          <w:position w:val="48"/>
          <w:sz w:val="20"/>
        </w:rPr>
      </w:r>
      <w:r>
        <w:rPr>
          <w:rFonts w:ascii="Times New Roman"/>
          <w:position w:val="48"/>
          <w:sz w:val="20"/>
        </w:rPr>
        <w:tab/>
      </w:r>
      <w:r>
        <w:rPr>
          <w:rFonts w:ascii="Times New Roman"/>
          <w:sz w:val="20"/>
        </w:rPr>
        <w:pict>
          <v:group style="width:121.5pt;height:160.5pt;mso-position-horizontal-relative:char;mso-position-vertical-relative:line" coordorigin="0,0" coordsize="2430,3210">
            <v:shape style="position:absolute;left:60;top:60;width:2310;height:3090" type="#_x0000_t75" stroked="false">
              <v:imagedata r:id="rId74" o:title=""/>
            </v:shape>
            <v:rect style="position:absolute;left:30;top:30;width:2370;height:3150" filled="false" stroked="true" strokeweight="3pt" strokecolor="#4f81bc"/>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2"/>
        </w:rPr>
      </w:pPr>
      <w:r>
        <w:rPr/>
        <w:pict>
          <v:group style="position:absolute;margin-left:88.5pt;margin-top:53.784004pt;width:212pt;height:125pt;mso-position-horizontal-relative:page;mso-position-vertical-relative:paragraph;z-index:2272;mso-wrap-distance-left:0;mso-wrap-distance-right:0" coordorigin="1770,1076" coordsize="4240,2500">
            <v:shape style="position:absolute;left:1830;top:1136;width:4120;height:2380" type="#_x0000_t75" stroked="false">
              <v:imagedata r:id="rId75" o:title=""/>
            </v:shape>
            <v:rect style="position:absolute;left:1800;top:1106;width:4180;height:2440" filled="false" stroked="true" strokeweight="3pt" strokecolor="#4f81bc"/>
            <w10:wrap type="topAndBottom"/>
          </v:group>
        </w:pict>
      </w:r>
      <w:r>
        <w:rPr/>
        <w:pict>
          <v:group style="position:absolute;margin-left:364.5pt;margin-top:14.784004pt;width:143pt;height:188pt;mso-position-horizontal-relative:page;mso-position-vertical-relative:paragraph;z-index:2296;mso-wrap-distance-left:0;mso-wrap-distance-right:0" coordorigin="7290,296" coordsize="2860,3760">
            <v:shape style="position:absolute;left:7350;top:356;width:2740;height:3640" type="#_x0000_t75" stroked="false">
              <v:imagedata r:id="rId76" o:title=""/>
            </v:shape>
            <v:rect style="position:absolute;left:7320;top:326;width:2800;height:3700" filled="false" stroked="true" strokeweight="3pt" strokecolor="#4f81bc"/>
            <w10:wrap type="topAndBottom"/>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2"/>
        </w:rPr>
      </w:pPr>
      <w:r>
        <w:rPr/>
        <w:pict>
          <v:group style="position:absolute;margin-left:88.5pt;margin-top:10.054883pt;width:208pt;height:132pt;mso-position-horizontal-relative:page;mso-position-vertical-relative:paragraph;z-index:2320;mso-wrap-distance-left:0;mso-wrap-distance-right:0" coordorigin="1770,201" coordsize="4160,2640">
            <v:shape style="position:absolute;left:1830;top:261;width:4040;height:2520" type="#_x0000_t75" stroked="false">
              <v:imagedata r:id="rId77" o:title=""/>
            </v:shape>
            <v:rect style="position:absolute;left:1800;top:231;width:4100;height:2580" filled="false" stroked="true" strokeweight="3pt" strokecolor="#4f81bc"/>
            <w10:wrap type="topAndBottom"/>
          </v:group>
        </w:pict>
      </w:r>
      <w:r>
        <w:rPr/>
        <w:pict>
          <v:group style="position:absolute;margin-left:321.5pt;margin-top:9.054883pt;width:211pt;height:131pt;mso-position-horizontal-relative:page;mso-position-vertical-relative:paragraph;z-index:2344;mso-wrap-distance-left:0;mso-wrap-distance-right:0" coordorigin="6430,181" coordsize="4220,2620">
            <v:shape style="position:absolute;left:6490;top:241;width:4100;height:2500" type="#_x0000_t75" stroked="false">
              <v:imagedata r:id="rId78" o:title=""/>
            </v:shape>
            <v:rect style="position:absolute;left:6460;top:211;width:4160;height:2560" filled="false" stroked="true" strokeweight="3pt" strokecolor="#4f81bc"/>
            <w10:wrap type="topAndBottom"/>
          </v:group>
        </w:pict>
      </w:r>
      <w:r>
        <w:rPr/>
        <w:pict>
          <v:group style="position:absolute;margin-left:133.559998pt;margin-top:161.70488pt;width:357.85pt;height:14.65pt;mso-position-horizontal-relative:page;mso-position-vertical-relative:paragraph;z-index:2392;mso-wrap-distance-left:0;mso-wrap-distance-right:0" coordorigin="2671,3234" coordsize="7157,293">
            <v:shape style="position:absolute;left:2671;top:3234;width:7157;height:293" type="#_x0000_t75" stroked="false">
              <v:imagedata r:id="rId79" o:title=""/>
            </v:shape>
            <v:shape style="position:absolute;left:2671;top:3234;width:7157;height:293" type="#_x0000_t202" filled="false" stroked="false">
              <v:textbox inset="0,0,0,0">
                <w:txbxContent>
                  <w:p>
                    <w:pPr>
                      <w:spacing w:line="291" w:lineRule="exact" w:before="1"/>
                      <w:ind w:left="338" w:right="0" w:firstLine="0"/>
                      <w:jc w:val="left"/>
                      <w:rPr>
                        <w:rFonts w:ascii="Calibri" w:hAnsi="Calibri"/>
                        <w:i/>
                        <w:sz w:val="24"/>
                      </w:rPr>
                    </w:pPr>
                    <w:r>
                      <w:rPr>
                        <w:rFonts w:ascii="Calibri" w:hAnsi="Calibri"/>
                        <w:sz w:val="24"/>
                      </w:rPr>
                      <w:t>t. Prueba bioquímica: reacción de catalasa negativa para </w:t>
                    </w:r>
                    <w:r>
                      <w:rPr>
                        <w:rFonts w:ascii="Calibri" w:hAnsi="Calibri"/>
                        <w:i/>
                        <w:sz w:val="24"/>
                      </w:rPr>
                      <w:t>S. mutans</w:t>
                    </w:r>
                  </w:p>
                </w:txbxContent>
              </v:textbox>
              <w10:wrap type="none"/>
            </v:shape>
            <w10:wrap type="topAndBottom"/>
          </v:group>
        </w:pict>
      </w:r>
    </w:p>
    <w:p>
      <w:pPr>
        <w:pStyle w:val="BodyText"/>
        <w:spacing w:before="3"/>
        <w:rPr>
          <w:rFonts w:ascii="Times New Roman"/>
          <w:sz w:val="28"/>
        </w:rPr>
      </w:pPr>
    </w:p>
    <w:p>
      <w:pPr>
        <w:spacing w:after="0"/>
        <w:rPr>
          <w:rFonts w:ascii="Times New Roman"/>
          <w:sz w:val="28"/>
        </w:rPr>
        <w:sectPr>
          <w:pgSz w:w="12240" w:h="15840"/>
          <w:pgMar w:header="736" w:footer="1024" w:top="1180" w:bottom="1220" w:left="1280" w:right="1260"/>
        </w:sectPr>
      </w:pPr>
    </w:p>
    <w:p>
      <w:pPr>
        <w:pStyle w:val="BodyText"/>
        <w:rPr>
          <w:rFonts w:ascii="Times New Roman"/>
          <w:sz w:val="20"/>
        </w:rPr>
      </w:pPr>
    </w:p>
    <w:p>
      <w:pPr>
        <w:pStyle w:val="BodyText"/>
        <w:spacing w:before="5"/>
        <w:rPr>
          <w:rFonts w:ascii="Times New Roman"/>
          <w:sz w:val="18"/>
        </w:rPr>
      </w:pPr>
    </w:p>
    <w:p>
      <w:pPr>
        <w:tabs>
          <w:tab w:pos="6240" w:val="left" w:leader="none"/>
        </w:tabs>
        <w:spacing w:line="240" w:lineRule="auto"/>
        <w:ind w:left="720" w:right="0" w:firstLine="0"/>
        <w:rPr>
          <w:rFonts w:ascii="Times New Roman"/>
          <w:sz w:val="20"/>
        </w:rPr>
      </w:pPr>
      <w:r>
        <w:rPr>
          <w:rFonts w:ascii="Times New Roman"/>
          <w:position w:val="21"/>
          <w:sz w:val="20"/>
        </w:rPr>
        <w:pict>
          <v:group style="width:194.5pt;height:139pt;mso-position-horizontal-relative:char;mso-position-vertical-relative:line" coordorigin="0,0" coordsize="3890,2780">
            <v:shape style="position:absolute;left:40;top:40;width:3810;height:2700" type="#_x0000_t75" stroked="false">
              <v:imagedata r:id="rId80" o:title=""/>
            </v:shape>
            <v:rect style="position:absolute;left:20;top:20;width:3850;height:2740" filled="false" stroked="true" strokeweight="2pt" strokecolor="#4f81bc"/>
          </v:group>
        </w:pict>
      </w:r>
      <w:r>
        <w:rPr>
          <w:rFonts w:ascii="Times New Roman"/>
          <w:position w:val="21"/>
          <w:sz w:val="20"/>
        </w:rPr>
      </w:r>
      <w:r>
        <w:rPr>
          <w:rFonts w:ascii="Times New Roman"/>
          <w:position w:val="21"/>
          <w:sz w:val="20"/>
        </w:rPr>
        <w:tab/>
      </w:r>
      <w:r>
        <w:rPr>
          <w:rFonts w:ascii="Times New Roman"/>
          <w:sz w:val="20"/>
        </w:rPr>
        <w:pict>
          <v:group style="width:98.5pt;height:160pt;mso-position-horizontal-relative:char;mso-position-vertical-relative:line" coordorigin="0,0" coordsize="1970,3200">
            <v:shape style="position:absolute;left:40;top:40;width:1890;height:3120" type="#_x0000_t75" stroked="false">
              <v:imagedata r:id="rId81" o:title=""/>
            </v:shape>
            <v:rect style="position:absolute;left:20;top:20;width:1930;height:3160" filled="false" stroked="true" strokeweight="2pt" strokecolor="#4f81bc"/>
          </v:group>
        </w:pict>
      </w:r>
      <w:r>
        <w:rPr>
          <w:rFonts w:ascii="Times New Roman"/>
          <w:sz w:val="20"/>
        </w:rPr>
      </w:r>
    </w:p>
    <w:p>
      <w:pPr>
        <w:pStyle w:val="BodyText"/>
        <w:spacing w:before="4"/>
        <w:rPr>
          <w:rFonts w:ascii="Times New Roman"/>
          <w:sz w:val="10"/>
        </w:rPr>
      </w:pPr>
      <w:r>
        <w:rPr/>
        <w:pict>
          <v:group style="position:absolute;margin-left:114pt;margin-top:7.93pt;width:371.3pt;height:29.3pt;mso-position-horizontal-relative:page;mso-position-vertical-relative:paragraph;z-index:2488;mso-wrap-distance-left:0;mso-wrap-distance-right:0" coordorigin="2280,159" coordsize="7426,586">
            <v:shape style="position:absolute;left:2280;top:159;width:7426;height:586" type="#_x0000_t75" stroked="false">
              <v:imagedata r:id="rId82" o:title=""/>
            </v:shape>
            <v:shape style="position:absolute;left:2280;top:159;width:7426;height:586" type="#_x0000_t202" filled="false" stroked="false">
              <v:textbox inset="0,0,0,0">
                <w:txbxContent>
                  <w:p>
                    <w:pPr>
                      <w:spacing w:before="0"/>
                      <w:ind w:left="3339" w:right="0" w:hanging="2955"/>
                      <w:jc w:val="left"/>
                      <w:rPr>
                        <w:rFonts w:ascii="Calibri" w:hAnsi="Calibri"/>
                        <w:sz w:val="24"/>
                      </w:rPr>
                    </w:pPr>
                    <w:r>
                      <w:rPr>
                        <w:rFonts w:ascii="Calibri" w:hAnsi="Calibri"/>
                        <w:sz w:val="24"/>
                      </w:rPr>
                      <w:t>u. Colocación del inóculo (</w:t>
                    </w:r>
                    <w:r>
                      <w:rPr>
                        <w:rFonts w:ascii="Calibri" w:hAnsi="Calibri"/>
                        <w:i/>
                        <w:sz w:val="24"/>
                      </w:rPr>
                      <w:t>L. casei</w:t>
                    </w:r>
                    <w:r>
                      <w:rPr>
                        <w:rFonts w:ascii="Calibri" w:hAnsi="Calibri"/>
                        <w:sz w:val="24"/>
                      </w:rPr>
                      <w:t>) en tubos que contienen sorbitol y manitol</w:t>
                    </w:r>
                  </w:p>
                </w:txbxContent>
              </v:textbox>
              <w10:wrap type="none"/>
            </v:shape>
            <w10:wrap type="topAndBottom"/>
          </v:group>
        </w:pict>
      </w:r>
      <w:r>
        <w:rPr/>
        <w:pict>
          <v:group style="position:absolute;margin-left:125.5pt;margin-top:53.25pt;width:127pt;height:155.5pt;mso-position-horizontal-relative:page;mso-position-vertical-relative:paragraph;z-index:2512;mso-wrap-distance-left:0;mso-wrap-distance-right:0" coordorigin="2510,1065" coordsize="2540,3110">
            <v:shape style="position:absolute;left:2550;top:1105;width:2460;height:3030" type="#_x0000_t75" stroked="false">
              <v:imagedata r:id="rId83" o:title=""/>
            </v:shape>
            <v:rect style="position:absolute;left:2530;top:1085;width:2500;height:3070" filled="false" stroked="true" strokeweight="2pt" strokecolor="#4f81bc"/>
            <w10:wrap type="topAndBottom"/>
          </v:group>
        </w:pict>
      </w:r>
      <w:r>
        <w:rPr/>
        <w:pict>
          <v:group style="position:absolute;margin-left:340pt;margin-top:63.75pt;width:151pt;height:140.5pt;mso-position-horizontal-relative:page;mso-position-vertical-relative:paragraph;z-index:2536;mso-wrap-distance-left:0;mso-wrap-distance-right:0" coordorigin="6800,1275" coordsize="3020,2810">
            <v:shape style="position:absolute;left:6840;top:1315;width:2940;height:2730" type="#_x0000_t75" stroked="false">
              <v:imagedata r:id="rId84" o:title=""/>
            </v:shape>
            <v:rect style="position:absolute;left:6820;top:1295;width:2980;height:2770" filled="false" stroked="true" strokeweight="2pt" strokecolor="#4f81bc"/>
            <w10:wrap type="topAndBottom"/>
          </v:group>
        </w:pict>
      </w:r>
    </w:p>
    <w:p>
      <w:pPr>
        <w:pStyle w:val="BodyText"/>
        <w:spacing w:before="11"/>
        <w:rPr>
          <w:rFonts w:ascii="Times New Roman"/>
          <w:sz w:val="21"/>
        </w:rPr>
      </w:pPr>
    </w:p>
    <w:p>
      <w:pPr>
        <w:pStyle w:val="BodyText"/>
        <w:spacing w:before="2"/>
        <w:rPr>
          <w:rFonts w:ascii="Times New Roman"/>
          <w:sz w:val="8"/>
        </w:rPr>
      </w:pPr>
    </w:p>
    <w:p>
      <w:pPr>
        <w:pStyle w:val="BodyText"/>
        <w:ind w:left="1391"/>
        <w:rPr>
          <w:rFonts w:ascii="Times New Roman"/>
          <w:sz w:val="20"/>
        </w:rPr>
      </w:pPr>
      <w:r>
        <w:rPr>
          <w:rFonts w:ascii="Times New Roman"/>
          <w:sz w:val="20"/>
        </w:rPr>
        <w:pict>
          <v:group style="width:346.45pt;height:14.55pt;mso-position-horizontal-relative:char;mso-position-vertical-relative:line" coordorigin="0,0" coordsize="6929,291">
            <v:shape style="position:absolute;left:0;top:0;width:6929;height:290" type="#_x0000_t75" stroked="false">
              <v:imagedata r:id="rId85" o:title=""/>
            </v:shape>
            <v:shape style="position:absolute;left:0;top:0;width:6929;height:291" type="#_x0000_t202" filled="false" stroked="false">
              <v:textbox inset="0,0,0,0">
                <w:txbxContent>
                  <w:p>
                    <w:pPr>
                      <w:spacing w:line="290" w:lineRule="exact" w:before="1"/>
                      <w:ind w:left="1082" w:right="0" w:firstLine="0"/>
                      <w:jc w:val="left"/>
                      <w:rPr>
                        <w:rFonts w:ascii="Calibri" w:hAnsi="Calibri"/>
                        <w:sz w:val="24"/>
                      </w:rPr>
                    </w:pPr>
                    <w:r>
                      <w:rPr>
                        <w:rFonts w:ascii="Calibri" w:hAnsi="Calibri"/>
                        <w:sz w:val="24"/>
                      </w:rPr>
                      <w:t>v. Fermentación de sorbitol y manitol a las 24hrs.</w:t>
                    </w:r>
                  </w:p>
                </w:txbxContent>
              </v:textbox>
              <w10:wrap type="none"/>
            </v:shape>
          </v:group>
        </w:pict>
      </w:r>
      <w:r>
        <w:rPr>
          <w:rFonts w:ascii="Times New Roman"/>
          <w:sz w:val="20"/>
        </w:rPr>
      </w:r>
    </w:p>
    <w:p>
      <w:pPr>
        <w:pStyle w:val="BodyText"/>
        <w:rPr>
          <w:rFonts w:ascii="Times New Roman"/>
          <w:sz w:val="20"/>
        </w:rPr>
      </w:pPr>
    </w:p>
    <w:p>
      <w:pPr>
        <w:pStyle w:val="BodyText"/>
        <w:spacing w:before="3"/>
        <w:rPr>
          <w:rFonts w:ascii="Times New Roman"/>
          <w:sz w:val="16"/>
        </w:rPr>
      </w:pPr>
      <w:r>
        <w:rPr/>
        <w:pict>
          <v:group style="position:absolute;margin-left:238pt;margin-top:11.301367pt;width:148pt;height:176.5pt;mso-position-horizontal-relative:page;mso-position-vertical-relative:paragraph;z-index:2608;mso-wrap-distance-left:0;mso-wrap-distance-right:0" coordorigin="4760,226" coordsize="2960,3530">
            <v:shape style="position:absolute;left:4800;top:266;width:2880;height:3450" type="#_x0000_t75" stroked="false">
              <v:imagedata r:id="rId86" o:title=""/>
            </v:shape>
            <v:rect style="position:absolute;left:4780;top:246;width:2920;height:3490" filled="false" stroked="true" strokeweight="2pt" strokecolor="#4f81bc"/>
            <w10:wrap type="topAndBottom"/>
          </v:group>
        </w:pict>
      </w:r>
      <w:r>
        <w:rPr/>
        <w:pict>
          <v:group style="position:absolute;margin-left:133.559998pt;margin-top:199.921371pt;width:346.45pt;height:14.55pt;mso-position-horizontal-relative:page;mso-position-vertical-relative:paragraph;z-index:2656;mso-wrap-distance-left:0;mso-wrap-distance-right:0" coordorigin="2671,3998" coordsize="6929,291">
            <v:shape style="position:absolute;left:2671;top:3998;width:6929;height:290" type="#_x0000_t75" stroked="false">
              <v:imagedata r:id="rId85" o:title=""/>
            </v:shape>
            <v:shape style="position:absolute;left:2671;top:3998;width:6929;height:291" type="#_x0000_t202" filled="false" stroked="false">
              <v:textbox inset="0,0,0,0">
                <w:txbxContent>
                  <w:p>
                    <w:pPr>
                      <w:spacing w:line="289" w:lineRule="exact" w:before="1"/>
                      <w:ind w:left="1049" w:right="0" w:firstLine="0"/>
                      <w:jc w:val="left"/>
                      <w:rPr>
                        <w:rFonts w:ascii="Calibri" w:hAnsi="Calibri"/>
                        <w:sz w:val="24"/>
                      </w:rPr>
                    </w:pPr>
                    <w:r>
                      <w:rPr>
                        <w:rFonts w:ascii="Calibri" w:hAnsi="Calibri"/>
                        <w:sz w:val="24"/>
                      </w:rPr>
                      <w:t>w. Fermentación de sorbitol y manitol a las 72hrs.</w:t>
                    </w:r>
                  </w:p>
                </w:txbxContent>
              </v:textbox>
              <w10:wrap type="none"/>
            </v:shape>
            <w10:wrap type="topAndBottom"/>
          </v:group>
        </w:pict>
      </w:r>
    </w:p>
    <w:p>
      <w:pPr>
        <w:pStyle w:val="BodyText"/>
        <w:spacing w:before="1"/>
        <w:rPr>
          <w:rFonts w:ascii="Times New Roman"/>
          <w:sz w:val="15"/>
        </w:rPr>
      </w:pPr>
    </w:p>
    <w:p>
      <w:pPr>
        <w:spacing w:after="0"/>
        <w:rPr>
          <w:rFonts w:ascii="Times New Roman"/>
          <w:sz w:val="15"/>
        </w:rPr>
        <w:sectPr>
          <w:pgSz w:w="12240" w:h="15840"/>
          <w:pgMar w:header="736" w:footer="1024" w:top="1180" w:bottom="1220" w:left="1280" w:right="1260"/>
        </w:sectPr>
      </w:pPr>
    </w:p>
    <w:p>
      <w:pPr>
        <w:pStyle w:val="BodyText"/>
        <w:spacing w:before="11"/>
        <w:rPr>
          <w:rFonts w:ascii="Times New Roman"/>
          <w:sz w:val="16"/>
        </w:rPr>
      </w:pPr>
    </w:p>
    <w:p>
      <w:pPr>
        <w:pStyle w:val="Heading2"/>
        <w:numPr>
          <w:ilvl w:val="0"/>
          <w:numId w:val="15"/>
        </w:numPr>
        <w:tabs>
          <w:tab w:pos="1601" w:val="left" w:leader="none"/>
        </w:tabs>
        <w:spacing w:line="240" w:lineRule="auto" w:before="69" w:after="0"/>
        <w:ind w:left="1600" w:right="0" w:hanging="720"/>
        <w:jc w:val="both"/>
      </w:pPr>
      <w:r>
        <w:rPr/>
        <w:t>Método de</w:t>
      </w:r>
      <w:r>
        <w:rPr>
          <w:spacing w:val="-8"/>
        </w:rPr>
        <w:t> </w:t>
      </w:r>
      <w:r>
        <w:rPr/>
        <w:t>Inoculación</w:t>
      </w:r>
    </w:p>
    <w:p>
      <w:pPr>
        <w:pStyle w:val="BodyText"/>
        <w:rPr>
          <w:b/>
        </w:rPr>
      </w:pPr>
    </w:p>
    <w:p>
      <w:pPr>
        <w:pStyle w:val="ListParagraph"/>
        <w:numPr>
          <w:ilvl w:val="0"/>
          <w:numId w:val="16"/>
        </w:numPr>
        <w:tabs>
          <w:tab w:pos="881" w:val="left" w:leader="none"/>
        </w:tabs>
        <w:spacing w:line="240" w:lineRule="auto" w:before="0" w:after="0"/>
        <w:ind w:left="880" w:right="0" w:hanging="360"/>
        <w:jc w:val="left"/>
        <w:rPr>
          <w:sz w:val="24"/>
        </w:rPr>
      </w:pPr>
      <w:r>
        <w:rPr>
          <w:sz w:val="24"/>
        </w:rPr>
        <w:t>Selección de las</w:t>
      </w:r>
      <w:r>
        <w:rPr>
          <w:spacing w:val="-8"/>
          <w:sz w:val="24"/>
        </w:rPr>
        <w:t> </w:t>
      </w:r>
      <w:r>
        <w:rPr>
          <w:sz w:val="24"/>
        </w:rPr>
        <w:t>colonias</w:t>
      </w:r>
    </w:p>
    <w:p>
      <w:pPr>
        <w:pStyle w:val="BodyText"/>
      </w:pPr>
    </w:p>
    <w:p>
      <w:pPr>
        <w:pStyle w:val="BodyText"/>
        <w:spacing w:line="480" w:lineRule="auto"/>
        <w:ind w:left="880" w:right="182"/>
        <w:jc w:val="both"/>
      </w:pPr>
      <w:r>
        <w:rPr/>
        <w:t>Uno de los pasos más importantes de la prueba fue la preparación del inóculo mediante la selección de colonias viables para la prueba, su suspensión en caldo y la estandarización de la</w:t>
      </w:r>
      <w:r>
        <w:rPr>
          <w:spacing w:val="-13"/>
        </w:rPr>
        <w:t> </w:t>
      </w:r>
      <w:r>
        <w:rPr/>
        <w:t>suspensión.</w:t>
      </w:r>
    </w:p>
    <w:p>
      <w:pPr>
        <w:pStyle w:val="BodyText"/>
      </w:pPr>
    </w:p>
    <w:p>
      <w:pPr>
        <w:pStyle w:val="BodyText"/>
        <w:spacing w:before="7"/>
      </w:pPr>
    </w:p>
    <w:p>
      <w:pPr>
        <w:pStyle w:val="ListParagraph"/>
        <w:numPr>
          <w:ilvl w:val="0"/>
          <w:numId w:val="16"/>
        </w:numPr>
        <w:tabs>
          <w:tab w:pos="881" w:val="left" w:leader="none"/>
        </w:tabs>
        <w:spacing w:line="240" w:lineRule="auto" w:before="1" w:after="0"/>
        <w:ind w:left="880" w:right="0" w:hanging="360"/>
        <w:jc w:val="left"/>
        <w:rPr>
          <w:sz w:val="24"/>
        </w:rPr>
      </w:pPr>
      <w:r>
        <w:rPr>
          <w:sz w:val="24"/>
        </w:rPr>
        <w:t>Preparación de la suspensión y estandarización del</w:t>
      </w:r>
      <w:r>
        <w:rPr>
          <w:spacing w:val="-19"/>
          <w:sz w:val="24"/>
        </w:rPr>
        <w:t> </w:t>
      </w:r>
      <w:r>
        <w:rPr>
          <w:sz w:val="24"/>
        </w:rPr>
        <w:t>inóculo</w:t>
      </w:r>
    </w:p>
    <w:p>
      <w:pPr>
        <w:pStyle w:val="BodyText"/>
      </w:pPr>
    </w:p>
    <w:p>
      <w:pPr>
        <w:pStyle w:val="BodyText"/>
        <w:spacing w:line="465" w:lineRule="auto"/>
        <w:ind w:left="880" w:right="181"/>
        <w:jc w:val="both"/>
      </w:pPr>
      <w:r>
        <w:rPr/>
        <w:t>La turbidez de la suspensión se preparó con el estándar 0.5 de McFarland (lo que corresponde a 1.5x10</w:t>
      </w:r>
      <w:r>
        <w:rPr>
          <w:position w:val="11"/>
          <w:sz w:val="16"/>
        </w:rPr>
        <w:t>8 </w:t>
      </w:r>
      <w:r>
        <w:rPr/>
        <w:t>CFU/ml) las suspensiones así estandarizadas deben ser utilizadas dentro de  los próximos 15 minutos.</w:t>
      </w:r>
    </w:p>
    <w:p>
      <w:pPr>
        <w:pStyle w:val="BodyText"/>
        <w:spacing w:before="2"/>
        <w:rPr>
          <w:sz w:val="19"/>
        </w:rPr>
      </w:pPr>
    </w:p>
    <w:p>
      <w:pPr>
        <w:pStyle w:val="BodyText"/>
        <w:spacing w:line="480" w:lineRule="auto"/>
        <w:ind w:left="880" w:right="175"/>
        <w:jc w:val="both"/>
      </w:pPr>
      <w:r>
        <w:rPr/>
        <w:t>Para el método de suspensión directa de colonias, las colonias no deben sobrepasar las 18-24hrs de aislamiento. Se estandarizó el inóculo al mismo tiempo que se preparó la suspensión, suspendiendo las colonias en solución salina o caldo (Muller-Hilton o soya tríptica). En seguida se ajustó el inóculo a una turbidez equivalente al estándar 0.5 McFarland. El método sugiere usar los mismos tubos que se utilizan rutinariamente para ajustar la densidad de las suspensiones antes de la</w:t>
      </w:r>
      <w:r>
        <w:rPr>
          <w:spacing w:val="-12"/>
        </w:rPr>
        <w:t> </w:t>
      </w:r>
      <w:r>
        <w:rPr/>
        <w:t>inoculación.</w:t>
      </w:r>
    </w:p>
    <w:p>
      <w:pPr>
        <w:pStyle w:val="ListParagraph"/>
        <w:numPr>
          <w:ilvl w:val="0"/>
          <w:numId w:val="16"/>
        </w:numPr>
        <w:tabs>
          <w:tab w:pos="881" w:val="left" w:leader="none"/>
        </w:tabs>
        <w:spacing w:line="240" w:lineRule="auto" w:before="8" w:after="0"/>
        <w:ind w:left="880" w:right="0" w:hanging="360"/>
        <w:jc w:val="left"/>
        <w:rPr>
          <w:sz w:val="24"/>
        </w:rPr>
      </w:pPr>
      <w:r>
        <w:rPr>
          <w:sz w:val="24"/>
        </w:rPr>
        <w:t>Inoculación de la placa y colocación de</w:t>
      </w:r>
      <w:r>
        <w:rPr>
          <w:spacing w:val="-13"/>
          <w:sz w:val="24"/>
        </w:rPr>
        <w:t> </w:t>
      </w:r>
      <w:r>
        <w:rPr>
          <w:sz w:val="24"/>
        </w:rPr>
        <w:t>discos</w:t>
      </w:r>
    </w:p>
    <w:p>
      <w:pPr>
        <w:pStyle w:val="BodyText"/>
        <w:spacing w:before="9"/>
        <w:rPr>
          <w:sz w:val="23"/>
        </w:rPr>
      </w:pPr>
    </w:p>
    <w:p>
      <w:pPr>
        <w:pStyle w:val="BodyText"/>
        <w:spacing w:line="482" w:lineRule="auto"/>
        <w:ind w:left="880" w:right="177"/>
        <w:jc w:val="both"/>
      </w:pPr>
      <w:r>
        <w:rPr/>
        <w:t>Se preparó agar </w:t>
      </w:r>
      <w:r>
        <w:rPr>
          <w:i/>
        </w:rPr>
        <w:t>mitis salivarius </w:t>
      </w:r>
      <w:r>
        <w:rPr/>
        <w:t>con bacitracina al .2% y solución de telurito de sodio para </w:t>
      </w:r>
      <w:r>
        <w:rPr>
          <w:i/>
        </w:rPr>
        <w:t>S. mutans </w:t>
      </w:r>
      <w:r>
        <w:rPr/>
        <w:t>y agar Rogosa para </w:t>
      </w:r>
      <w:r>
        <w:rPr>
          <w:i/>
        </w:rPr>
        <w:t>L. casei. </w:t>
      </w:r>
      <w:r>
        <w:rPr/>
        <w:t>Se esterilizaron y se depositaron en las cajas de Petri a una altura de 4mm.</w:t>
      </w:r>
    </w:p>
    <w:p>
      <w:pPr>
        <w:pStyle w:val="BodyText"/>
        <w:spacing w:line="480" w:lineRule="auto" w:before="202"/>
        <w:ind w:left="880" w:right="180"/>
        <w:jc w:val="both"/>
      </w:pPr>
      <w:r>
        <w:rPr/>
        <w:t>Las cajas contenían la re-siembra de ambas cepas, la cual se realizó de la siguiente manera. Se agitó la suspensión del organismo para homogeneizar.  Se</w:t>
      </w:r>
    </w:p>
    <w:p>
      <w:pPr>
        <w:spacing w:after="0" w:line="480" w:lineRule="auto"/>
        <w:jc w:val="both"/>
        <w:sectPr>
          <w:pgSz w:w="12240" w:h="15840"/>
          <w:pgMar w:header="736" w:footer="1024" w:top="1180" w:bottom="1220" w:left="1280" w:right="1260"/>
        </w:sectPr>
      </w:pPr>
    </w:p>
    <w:p>
      <w:pPr>
        <w:pStyle w:val="BodyText"/>
        <w:spacing w:before="11"/>
        <w:rPr>
          <w:sz w:val="16"/>
        </w:rPr>
      </w:pPr>
    </w:p>
    <w:p>
      <w:pPr>
        <w:pStyle w:val="BodyText"/>
        <w:spacing w:line="480" w:lineRule="auto" w:before="69"/>
        <w:ind w:left="880" w:right="179"/>
        <w:jc w:val="both"/>
      </w:pPr>
      <w:r>
        <w:rPr/>
        <w:t>sumergió un hisopo de algodón estéril en la suspensión y presionando el exceso contra la pared del tubo. Se inoculó con el hisopo toda la placa comenzando por la parte superior y frotando de ida y vuelta de un borde a otro, se rotó la placa aproximadamente 60° y se repitió el procedimiento de frotado, se rotó nuevamente y se frotó por tercera vez para garantizar que el inóculo se distribuyera correctamente.</w:t>
      </w:r>
    </w:p>
    <w:p>
      <w:pPr>
        <w:pStyle w:val="BodyText"/>
        <w:spacing w:line="480" w:lineRule="auto" w:before="205"/>
        <w:ind w:left="880" w:right="185"/>
        <w:jc w:val="both"/>
      </w:pPr>
      <w:r>
        <w:rPr/>
        <w:t>Se retiró el contenedor de discos del congelador permitiendo que se equilibraran a temperatura ambiente por 15 minutos aproximadamente.</w:t>
      </w:r>
    </w:p>
    <w:p>
      <w:pPr>
        <w:pStyle w:val="BodyText"/>
        <w:spacing w:line="284" w:lineRule="exact"/>
        <w:ind w:left="880"/>
        <w:jc w:val="both"/>
      </w:pPr>
      <w:r>
        <w:rPr/>
        <w:t>Se realizaron diluciones de 1x10</w:t>
      </w:r>
      <w:r>
        <w:rPr>
          <w:position w:val="11"/>
          <w:sz w:val="16"/>
        </w:rPr>
        <w:t>-1  </w:t>
      </w:r>
      <w:r>
        <w:rPr/>
        <w:t>hasta la 1x10</w:t>
      </w:r>
      <w:r>
        <w:rPr>
          <w:position w:val="11"/>
          <w:sz w:val="16"/>
        </w:rPr>
        <w:t>-4  </w:t>
      </w:r>
      <w:r>
        <w:rPr/>
        <w:t>y se esterilizaron a 35°C.    Se</w:t>
      </w:r>
    </w:p>
    <w:p>
      <w:pPr>
        <w:pStyle w:val="BodyText"/>
        <w:spacing w:before="9"/>
        <w:rPr>
          <w:sz w:val="23"/>
        </w:rPr>
      </w:pPr>
    </w:p>
    <w:p>
      <w:pPr>
        <w:pStyle w:val="BodyText"/>
        <w:spacing w:line="480" w:lineRule="auto"/>
        <w:ind w:left="880" w:right="173"/>
        <w:jc w:val="both"/>
      </w:pPr>
      <w:r>
        <w:rPr/>
        <w:t>tomaron muestras de 1ml (o 1mL de acuerdo al SI del </w:t>
      </w:r>
      <w:hyperlink r:id="rId87">
        <w:r>
          <w:rPr/>
          <w:t>francés</w:t>
        </w:r>
      </w:hyperlink>
      <w:r>
        <w:rPr/>
        <w:t>: </w:t>
      </w:r>
      <w:r>
        <w:rPr>
          <w:i/>
        </w:rPr>
        <w:t>Le Système </w:t>
      </w:r>
      <w:r>
        <w:rPr>
          <w:i/>
        </w:rPr>
        <w:t>International d'Unités</w:t>
      </w:r>
      <w:r>
        <w:rPr/>
        <w:t>), de cada dilución y se colocaron en cajas de Petri con los discos</w:t>
      </w:r>
      <w:r>
        <w:rPr>
          <w:spacing w:val="56"/>
        </w:rPr>
        <w:t> </w:t>
      </w:r>
      <w:r>
        <w:rPr/>
        <w:t>que</w:t>
      </w:r>
      <w:r>
        <w:rPr>
          <w:spacing w:val="56"/>
        </w:rPr>
        <w:t> </w:t>
      </w:r>
      <w:r>
        <w:rPr/>
        <w:t>fueron</w:t>
      </w:r>
      <w:r>
        <w:rPr>
          <w:spacing w:val="56"/>
        </w:rPr>
        <w:t> </w:t>
      </w:r>
      <w:r>
        <w:rPr/>
        <w:t>expuestos</w:t>
      </w:r>
      <w:r>
        <w:rPr>
          <w:spacing w:val="56"/>
        </w:rPr>
        <w:t> </w:t>
      </w:r>
      <w:r>
        <w:rPr/>
        <w:t>a</w:t>
      </w:r>
      <w:r>
        <w:rPr>
          <w:spacing w:val="56"/>
        </w:rPr>
        <w:t> </w:t>
      </w:r>
      <w:r>
        <w:rPr/>
        <w:t>10μl,</w:t>
      </w:r>
      <w:r>
        <w:rPr>
          <w:spacing w:val="56"/>
        </w:rPr>
        <w:t> </w:t>
      </w:r>
      <w:r>
        <w:rPr/>
        <w:t>20μl</w:t>
      </w:r>
      <w:r>
        <w:rPr>
          <w:spacing w:val="53"/>
        </w:rPr>
        <w:t> </w:t>
      </w:r>
      <w:r>
        <w:rPr/>
        <w:t>y</w:t>
      </w:r>
      <w:r>
        <w:rPr>
          <w:spacing w:val="53"/>
        </w:rPr>
        <w:t> </w:t>
      </w:r>
      <w:r>
        <w:rPr/>
        <w:t>30μl</w:t>
      </w:r>
      <w:r>
        <w:rPr>
          <w:spacing w:val="63"/>
        </w:rPr>
        <w:t> </w:t>
      </w:r>
      <w:r>
        <w:rPr/>
        <w:t>de</w:t>
      </w:r>
      <w:r>
        <w:rPr>
          <w:spacing w:val="56"/>
        </w:rPr>
        <w:t> </w:t>
      </w:r>
      <w:r>
        <w:rPr/>
        <w:t>CHX</w:t>
      </w:r>
      <w:r>
        <w:rPr>
          <w:spacing w:val="56"/>
        </w:rPr>
        <w:t> </w:t>
      </w:r>
      <w:r>
        <w:rPr/>
        <w:t>por</w:t>
      </w:r>
      <w:r>
        <w:rPr>
          <w:spacing w:val="55"/>
        </w:rPr>
        <w:t> </w:t>
      </w:r>
      <w:r>
        <w:rPr/>
        <w:t>otra</w:t>
      </w:r>
      <w:r>
        <w:rPr>
          <w:spacing w:val="56"/>
        </w:rPr>
        <w:t> </w:t>
      </w:r>
      <w:r>
        <w:rPr/>
        <w:t>parte</w:t>
      </w:r>
      <w:r>
        <w:rPr>
          <w:spacing w:val="56"/>
        </w:rPr>
        <w:t> </w:t>
      </w:r>
      <w:r>
        <w:rPr/>
        <w:t>se</w:t>
      </w:r>
    </w:p>
    <w:p>
      <w:pPr>
        <w:pStyle w:val="BodyText"/>
        <w:spacing w:line="470" w:lineRule="auto" w:before="8"/>
        <w:ind w:left="880" w:right="176"/>
        <w:jc w:val="both"/>
      </w:pPr>
      <w:r>
        <w:rPr/>
        <w:t>expusieron a 10μl, 20μl y 30μl de la solución con Np-Ag a una concentración de 1x10</w:t>
      </w:r>
      <w:r>
        <w:rPr>
          <w:position w:val="11"/>
          <w:sz w:val="16"/>
        </w:rPr>
        <w:t>-3</w:t>
      </w:r>
      <w:r>
        <w:rPr/>
        <w:t>, reducidas por </w:t>
      </w:r>
      <w:r>
        <w:rPr>
          <w:i/>
        </w:rPr>
        <w:t>Camellia sinensis </w:t>
      </w:r>
      <w:r>
        <w:rPr/>
        <w:t>y Np-Ag reducidas </w:t>
      </w:r>
      <w:r>
        <w:rPr>
          <w:i/>
        </w:rPr>
        <w:t>Heterotheca inuloides </w:t>
      </w:r>
      <w:r>
        <w:rPr/>
        <w:t>con micropipeta de 10-100µl. Las cajas se incubaron a 37° C durante 48 horas. Se estableció un grupo control, para lo cual algunos discos no se impregnaron</w:t>
      </w:r>
    </w:p>
    <w:p>
      <w:pPr>
        <w:pStyle w:val="BodyText"/>
        <w:spacing w:before="18"/>
        <w:ind w:left="880"/>
        <w:jc w:val="both"/>
      </w:pPr>
      <w:r>
        <w:rPr/>
        <w:t>con ninguna de las tres soluciones anteriores.</w:t>
      </w:r>
    </w:p>
    <w:p>
      <w:pPr>
        <w:pStyle w:val="BodyText"/>
      </w:pPr>
    </w:p>
    <w:p>
      <w:pPr>
        <w:pStyle w:val="BodyText"/>
        <w:spacing w:line="480" w:lineRule="auto"/>
        <w:ind w:left="880" w:right="178"/>
        <w:jc w:val="both"/>
      </w:pPr>
      <w:r>
        <w:rPr/>
        <w:t>En esta fase se utilizaron únicamente las Np-Ag sintetizadas con los reductores ecoamigables.</w:t>
      </w:r>
    </w:p>
    <w:p>
      <w:pPr>
        <w:spacing w:line="480" w:lineRule="auto" w:before="6"/>
        <w:ind w:left="880" w:right="175" w:firstLine="0"/>
        <w:jc w:val="both"/>
        <w:rPr>
          <w:sz w:val="24"/>
        </w:rPr>
      </w:pPr>
      <w:r>
        <w:rPr>
          <w:sz w:val="24"/>
        </w:rPr>
        <w:t>En la caja uno se colocó un disco impregnado con 10µl de </w:t>
      </w:r>
      <w:r>
        <w:rPr>
          <w:i/>
          <w:sz w:val="24"/>
        </w:rPr>
        <w:t>Heterotheca  </w:t>
      </w:r>
      <w:r>
        <w:rPr>
          <w:i/>
          <w:sz w:val="24"/>
        </w:rPr>
        <w:t>inuloides</w:t>
      </w:r>
      <w:r>
        <w:rPr>
          <w:sz w:val="24"/>
        </w:rPr>
        <w:t>, 20µl de </w:t>
      </w:r>
      <w:r>
        <w:rPr>
          <w:i/>
          <w:sz w:val="24"/>
        </w:rPr>
        <w:t>Camellia sinensis </w:t>
      </w:r>
      <w:r>
        <w:rPr>
          <w:sz w:val="24"/>
        </w:rPr>
        <w:t>y 30µl de Clorhexidina y un disco control;   se sembró por</w:t>
      </w:r>
      <w:r>
        <w:rPr>
          <w:spacing w:val="-6"/>
          <w:sz w:val="24"/>
        </w:rPr>
        <w:t> </w:t>
      </w:r>
      <w:r>
        <w:rPr>
          <w:sz w:val="24"/>
        </w:rPr>
        <w:t>triplicado.</w:t>
      </w:r>
    </w:p>
    <w:p>
      <w:pPr>
        <w:spacing w:after="0" w:line="480" w:lineRule="auto"/>
        <w:jc w:val="both"/>
        <w:rPr>
          <w:sz w:val="24"/>
        </w:rPr>
        <w:sectPr>
          <w:pgSz w:w="12240" w:h="15840"/>
          <w:pgMar w:header="736" w:footer="1024" w:top="1180" w:bottom="1220" w:left="1280" w:right="1260"/>
        </w:sectPr>
      </w:pPr>
    </w:p>
    <w:p>
      <w:pPr>
        <w:pStyle w:val="BodyText"/>
        <w:spacing w:before="8"/>
        <w:rPr>
          <w:sz w:val="16"/>
        </w:rPr>
      </w:pPr>
    </w:p>
    <w:p>
      <w:pPr>
        <w:spacing w:line="482" w:lineRule="auto" w:before="70"/>
        <w:ind w:left="880" w:right="175" w:firstLine="0"/>
        <w:jc w:val="both"/>
        <w:rPr>
          <w:sz w:val="24"/>
        </w:rPr>
      </w:pPr>
      <w:r>
        <w:rPr>
          <w:sz w:val="24"/>
        </w:rPr>
        <w:t>En la caja dos se colocó un disco impregnado con 20µl de </w:t>
      </w:r>
      <w:r>
        <w:rPr>
          <w:i/>
          <w:sz w:val="24"/>
        </w:rPr>
        <w:t>Heterotheca  </w:t>
      </w:r>
      <w:r>
        <w:rPr>
          <w:i/>
          <w:sz w:val="24"/>
        </w:rPr>
        <w:t>inuloides</w:t>
      </w:r>
      <w:r>
        <w:rPr>
          <w:sz w:val="24"/>
        </w:rPr>
        <w:t>, 30µl de </w:t>
      </w:r>
      <w:r>
        <w:rPr>
          <w:i/>
          <w:sz w:val="24"/>
        </w:rPr>
        <w:t>Camellia sinensis </w:t>
      </w:r>
      <w:r>
        <w:rPr>
          <w:sz w:val="24"/>
        </w:rPr>
        <w:t>y 10µl de Clorhexidina y un disco control;   se sembró por</w:t>
      </w:r>
      <w:r>
        <w:rPr>
          <w:spacing w:val="-7"/>
          <w:sz w:val="24"/>
        </w:rPr>
        <w:t> </w:t>
      </w:r>
      <w:r>
        <w:rPr>
          <w:sz w:val="24"/>
        </w:rPr>
        <w:t>triplicado.</w:t>
      </w:r>
    </w:p>
    <w:p>
      <w:pPr>
        <w:spacing w:line="480" w:lineRule="auto" w:before="3"/>
        <w:ind w:left="880" w:right="175" w:firstLine="0"/>
        <w:jc w:val="both"/>
        <w:rPr>
          <w:sz w:val="24"/>
        </w:rPr>
      </w:pPr>
      <w:r>
        <w:rPr>
          <w:sz w:val="24"/>
        </w:rPr>
        <w:t>En la caja tres se colocó un disco impregnado con 30µl de </w:t>
      </w:r>
      <w:r>
        <w:rPr>
          <w:i/>
          <w:sz w:val="24"/>
        </w:rPr>
        <w:t>Heterotheca  </w:t>
      </w:r>
      <w:r>
        <w:rPr>
          <w:i/>
          <w:sz w:val="24"/>
        </w:rPr>
        <w:t>inuloides</w:t>
      </w:r>
      <w:r>
        <w:rPr>
          <w:sz w:val="24"/>
        </w:rPr>
        <w:t>, 10µl de </w:t>
      </w:r>
      <w:r>
        <w:rPr>
          <w:i/>
          <w:sz w:val="24"/>
        </w:rPr>
        <w:t>Camellia sinensis </w:t>
      </w:r>
      <w:r>
        <w:rPr>
          <w:sz w:val="24"/>
        </w:rPr>
        <w:t>y 20µl de Clorhexidina y un disco control;   se sembró por</w:t>
      </w:r>
      <w:r>
        <w:rPr>
          <w:spacing w:val="-7"/>
          <w:sz w:val="24"/>
        </w:rPr>
        <w:t> </w:t>
      </w:r>
      <w:r>
        <w:rPr>
          <w:sz w:val="24"/>
        </w:rPr>
        <w:t>triplicado.</w:t>
      </w:r>
    </w:p>
    <w:p>
      <w:pPr>
        <w:pStyle w:val="BodyText"/>
        <w:spacing w:before="5"/>
        <w:ind w:left="880"/>
        <w:jc w:val="both"/>
      </w:pPr>
      <w:r>
        <w:rPr/>
        <w:t>El mismo procedimiento fue realizado para </w:t>
      </w:r>
      <w:r>
        <w:rPr>
          <w:i/>
        </w:rPr>
        <w:t>L. casei</w:t>
      </w:r>
      <w:r>
        <w:rPr/>
        <w:t>.</w:t>
      </w:r>
    </w:p>
    <w:p>
      <w:pPr>
        <w:pStyle w:val="BodyText"/>
      </w:pPr>
    </w:p>
    <w:p>
      <w:pPr>
        <w:pStyle w:val="BodyText"/>
      </w:pPr>
    </w:p>
    <w:p>
      <w:pPr>
        <w:pStyle w:val="BodyText"/>
        <w:spacing w:before="3"/>
      </w:pPr>
    </w:p>
    <w:p>
      <w:pPr>
        <w:pStyle w:val="BodyText"/>
        <w:spacing w:line="480" w:lineRule="auto"/>
        <w:ind w:left="880" w:right="182"/>
        <w:jc w:val="both"/>
      </w:pPr>
      <w:r>
        <w:rPr/>
        <w:t>Los discos fueron colocados uno a uno presionando cada disco firmemente para asegurar el contacto completo con la superficie del agar y fueron utilizados dentro de los 15 minutos siguientes a la inoculación de la placa en las cajas por triplicado para las 2 cepas; con lo que se obtuvieron 9 cajas de Petri con 36 discos para </w:t>
      </w:r>
      <w:r>
        <w:rPr>
          <w:i/>
        </w:rPr>
        <w:t>S.mutans </w:t>
      </w:r>
      <w:r>
        <w:rPr/>
        <w:t>y 9 cajas con 36 discos para </w:t>
      </w:r>
      <w:r>
        <w:rPr>
          <w:i/>
        </w:rPr>
        <w:t>L.</w:t>
      </w:r>
      <w:r>
        <w:rPr>
          <w:i/>
          <w:spacing w:val="-14"/>
        </w:rPr>
        <w:t> </w:t>
      </w:r>
      <w:r>
        <w:rPr>
          <w:i/>
        </w:rPr>
        <w:t>casei</w:t>
      </w:r>
      <w:r>
        <w:rPr/>
        <w:t>.</w:t>
      </w:r>
    </w:p>
    <w:p>
      <w:pPr>
        <w:pStyle w:val="BodyText"/>
        <w:rPr>
          <w:sz w:val="28"/>
        </w:rPr>
      </w:pPr>
      <w:r>
        <w:rPr/>
        <w:pict>
          <v:group style="position:absolute;margin-left:104.5pt;margin-top:49.560791pt;width:109pt;height:154pt;mso-position-horizontal-relative:page;mso-position-vertical-relative:paragraph;z-index:2680;mso-wrap-distance-left:0;mso-wrap-distance-right:0" coordorigin="2090,991" coordsize="2180,3080">
            <v:shape style="position:absolute;left:2130;top:1031;width:2100;height:2851" type="#_x0000_t75" stroked="false">
              <v:imagedata r:id="rId88" o:title=""/>
            </v:shape>
            <v:rect style="position:absolute;left:2110;top:1011;width:2140;height:3040" filled="false" stroked="true" strokeweight="2pt" strokecolor="#4f81bc"/>
            <w10:wrap type="topAndBottom"/>
          </v:group>
        </w:pict>
      </w:r>
      <w:r>
        <w:rPr/>
        <w:pict>
          <v:group style="position:absolute;margin-left:256pt;margin-top:18.060791pt;width:110.5pt;height:164.5pt;mso-position-horizontal-relative:page;mso-position-vertical-relative:paragraph;z-index:2704;mso-wrap-distance-left:0;mso-wrap-distance-right:0" coordorigin="5120,361" coordsize="2210,3290">
            <v:shape style="position:absolute;left:5160;top:401;width:2130;height:3210" type="#_x0000_t75" stroked="false">
              <v:imagedata r:id="rId89" o:title=""/>
            </v:shape>
            <v:rect style="position:absolute;left:5140;top:381;width:2170;height:3250" filled="false" stroked="true" strokeweight="2pt" strokecolor="#4f81bc"/>
            <w10:wrap type="topAndBottom"/>
          </v:group>
        </w:pict>
      </w:r>
      <w:r>
        <w:rPr/>
        <w:pict>
          <v:group style="position:absolute;margin-left:400pt;margin-top:42.060791pt;width:130pt;height:166pt;mso-position-horizontal-relative:page;mso-position-vertical-relative:paragraph;z-index:2728;mso-wrap-distance-left:0;mso-wrap-distance-right:0" coordorigin="8000,841" coordsize="2600,3320">
            <v:shape style="position:absolute;left:8040;top:881;width:2520;height:3240" type="#_x0000_t75" stroked="false">
              <v:imagedata r:id="rId90" o:title=""/>
            </v:shape>
            <v:rect style="position:absolute;left:8020;top:861;width:2560;height:3280" filled="false" stroked="true" strokeweight="2pt" strokecolor="#4f81bc"/>
            <w10:wrap type="topAndBottom"/>
          </v:group>
        </w:pict>
      </w:r>
    </w:p>
    <w:p>
      <w:pPr>
        <w:pStyle w:val="BodyText"/>
        <w:rPr>
          <w:sz w:val="20"/>
        </w:rPr>
      </w:pPr>
    </w:p>
    <w:p>
      <w:pPr>
        <w:pStyle w:val="BodyText"/>
        <w:rPr>
          <w:sz w:val="20"/>
        </w:rPr>
      </w:pPr>
    </w:p>
    <w:p>
      <w:pPr>
        <w:pStyle w:val="BodyText"/>
        <w:rPr>
          <w:sz w:val="20"/>
        </w:rPr>
      </w:pPr>
    </w:p>
    <w:p>
      <w:pPr>
        <w:pStyle w:val="BodyText"/>
        <w:spacing w:before="5"/>
        <w:rPr>
          <w:sz w:val="10"/>
        </w:rPr>
      </w:pPr>
      <w:r>
        <w:rPr/>
        <w:pict>
          <v:group style="position:absolute;margin-left:219.360001pt;margin-top:7.952929pt;width:195.25pt;height:24pt;mso-position-horizontal-relative:page;mso-position-vertical-relative:paragraph;z-index:2776;mso-wrap-distance-left:0;mso-wrap-distance-right:0" coordorigin="4387,159" coordsize="3905,480">
            <v:shape style="position:absolute;left:4387;top:159;width:3905;height:480" type="#_x0000_t75" stroked="false">
              <v:imagedata r:id="rId91" o:title=""/>
            </v:shape>
            <v:shape style="position:absolute;left:4387;top:159;width:3905;height:480" type="#_x0000_t202" filled="false" stroked="false">
              <v:textbox inset="0,0,0,0">
                <w:txbxContent>
                  <w:p>
                    <w:pPr>
                      <w:spacing w:before="1"/>
                      <w:ind w:left="145" w:right="0" w:firstLine="0"/>
                      <w:jc w:val="left"/>
                      <w:rPr>
                        <w:rFonts w:ascii="Calibri"/>
                        <w:i/>
                        <w:sz w:val="22"/>
                      </w:rPr>
                    </w:pPr>
                    <w:r>
                      <w:rPr>
                        <w:rFonts w:ascii="Calibri"/>
                        <w:sz w:val="22"/>
                      </w:rPr>
                      <w:t>x. Mitis Salivarius Agar para </w:t>
                    </w:r>
                    <w:r>
                      <w:rPr>
                        <w:rFonts w:ascii="Calibri"/>
                        <w:i/>
                        <w:sz w:val="22"/>
                      </w:rPr>
                      <w:t>S. mutans</w:t>
                    </w:r>
                  </w:p>
                </w:txbxContent>
              </v:textbox>
              <w10:wrap type="none"/>
            </v:shape>
            <w10:wrap type="topAndBottom"/>
          </v:group>
        </w:pict>
      </w:r>
    </w:p>
    <w:p>
      <w:pPr>
        <w:spacing w:after="0"/>
        <w:rPr>
          <w:sz w:val="10"/>
        </w:rPr>
        <w:sectPr>
          <w:pgSz w:w="12240" w:h="15840"/>
          <w:pgMar w:header="736" w:footer="1024" w:top="1180" w:bottom="1220" w:left="1280" w:right="1260"/>
        </w:sectPr>
      </w:pPr>
    </w:p>
    <w:p>
      <w:pPr>
        <w:pStyle w:val="BodyText"/>
        <w:spacing w:before="4"/>
        <w:rPr>
          <w:rFonts w:ascii="Times New Roman"/>
          <w:sz w:val="12"/>
        </w:rPr>
      </w:pPr>
      <w:r>
        <w:rPr/>
        <w:pict>
          <v:group style="position:absolute;margin-left:202.800003pt;margin-top:242.399994pt;width:186.85pt;height:23.65pt;mso-position-horizontal-relative:page;mso-position-vertical-relative:page;z-index:2968" coordorigin="4056,4848" coordsize="3737,473">
            <v:shape style="position:absolute;left:4056;top:4848;width:3737;height:473" type="#_x0000_t75" stroked="false">
              <v:imagedata r:id="rId93" o:title=""/>
            </v:shape>
            <v:shape style="position:absolute;left:4056;top:4848;width:3737;height:473" type="#_x0000_t202" filled="false" stroked="false">
              <v:textbox inset="0,0,0,0">
                <w:txbxContent>
                  <w:p>
                    <w:pPr>
                      <w:spacing w:line="268" w:lineRule="exact" w:before="0"/>
                      <w:ind w:left="807" w:right="0" w:firstLine="0"/>
                      <w:jc w:val="left"/>
                      <w:rPr>
                        <w:rFonts w:ascii="Calibri"/>
                        <w:i/>
                        <w:sz w:val="22"/>
                      </w:rPr>
                    </w:pPr>
                    <w:r>
                      <w:rPr>
                        <w:rFonts w:ascii="Calibri"/>
                        <w:sz w:val="22"/>
                      </w:rPr>
                      <w:t>y LSB Agar para  </w:t>
                    </w:r>
                    <w:r>
                      <w:rPr>
                        <w:rFonts w:ascii="Calibri"/>
                        <w:i/>
                        <w:sz w:val="22"/>
                      </w:rPr>
                      <w:t>L. casei</w:t>
                    </w:r>
                  </w:p>
                </w:txbxContent>
              </v:textbox>
              <w10:wrap type="none"/>
            </v:shape>
            <w10:wrap type="none"/>
          </v:group>
        </w:pict>
      </w:r>
      <w:r>
        <w:rPr/>
        <w:pict>
          <v:group style="position:absolute;margin-left:71.5pt;margin-top:260.480011pt;width:110.5pt;height:208pt;mso-position-horizontal-relative:page;mso-position-vertical-relative:page;z-index:2992" coordorigin="1430,5210" coordsize="2210,4160">
            <v:shape style="position:absolute;left:1470;top:5249;width:2130;height:4080" type="#_x0000_t75" stroked="false">
              <v:imagedata r:id="rId94" o:title=""/>
            </v:shape>
            <v:rect style="position:absolute;left:1450;top:5230;width:2170;height:4120" filled="false" stroked="true" strokeweight="2pt" strokecolor="#4f81bc"/>
            <w10:wrap type="none"/>
          </v:group>
        </w:pict>
      </w:r>
      <w:r>
        <w:rPr/>
        <w:pict>
          <v:group style="position:absolute;margin-left:428.5pt;margin-top:266.480011pt;width:115pt;height:205pt;mso-position-horizontal-relative:page;mso-position-vertical-relative:page;z-index:3016" coordorigin="8570,5330" coordsize="2300,4100">
            <v:shape style="position:absolute;left:8610;top:5370;width:2220;height:4020" type="#_x0000_t75" stroked="false">
              <v:imagedata r:id="rId95" o:title=""/>
            </v:shape>
            <v:rect style="position:absolute;left:8590;top:5350;width:2260;height:4060" filled="false" stroked="true" strokeweight="2pt" strokecolor="#4f81bc"/>
            <w10:wrap type="none"/>
          </v:group>
        </w:pict>
      </w:r>
      <w:r>
        <w:rPr/>
        <w:pict>
          <v:group style="position:absolute;margin-left:226pt;margin-top:404.480011pt;width:164.5pt;height:152.5pt;mso-position-horizontal-relative:page;mso-position-vertical-relative:page;z-index:3040" coordorigin="4520,8090" coordsize="3290,3050">
            <v:shape style="position:absolute;left:4560;top:8130;width:3210;height:2970" type="#_x0000_t75" stroked="false">
              <v:imagedata r:id="rId96" o:title=""/>
            </v:shape>
            <v:rect style="position:absolute;left:4540;top:8110;width:3250;height:3010" filled="false" stroked="true" strokeweight="2pt" strokecolor="#4f81bc"/>
            <w10:wrap type="none"/>
          </v:group>
        </w:pict>
      </w:r>
      <w:r>
        <w:rPr/>
        <w:pict>
          <v:group style="position:absolute;margin-left:235pt;margin-top:276.980011pt;width:140.5pt;height:115pt;mso-position-horizontal-relative:page;mso-position-vertical-relative:page;z-index:3064" coordorigin="4700,5540" coordsize="2810,2300">
            <v:shape style="position:absolute;left:4740;top:5580;width:2730;height:2220" type="#_x0000_t75" stroked="false">
              <v:imagedata r:id="rId97" o:title=""/>
            </v:shape>
            <v:rect style="position:absolute;left:4720;top:5560;width:2770;height:2260" filled="false" stroked="true" strokeweight="2pt" strokecolor="#4f81bc"/>
            <w10:wrap type="none"/>
          </v:group>
        </w:pict>
      </w:r>
    </w:p>
    <w:p>
      <w:pPr>
        <w:tabs>
          <w:tab w:pos="5710" w:val="left" w:leader="none"/>
        </w:tabs>
        <w:spacing w:line="240" w:lineRule="auto"/>
        <w:ind w:left="2740" w:right="0" w:firstLine="0"/>
        <w:rPr>
          <w:rFonts w:ascii="Times New Roman"/>
          <w:sz w:val="20"/>
        </w:rPr>
      </w:pPr>
      <w:r>
        <w:rPr>
          <w:rFonts w:ascii="Times New Roman"/>
          <w:sz w:val="20"/>
        </w:rPr>
        <w:pict>
          <v:group style="width:95.5pt;height:161.5pt;mso-position-horizontal-relative:char;mso-position-vertical-relative:line" coordorigin="0,0" coordsize="1910,3230">
            <v:shape style="position:absolute;left:40;top:40;width:1830;height:3150" type="#_x0000_t75" stroked="false">
              <v:imagedata r:id="rId98" o:title=""/>
            </v:shape>
            <v:rect style="position:absolute;left:20;top:20;width:1870;height:3190" filled="false" stroked="true" strokeweight="2pt" strokecolor="#4f81bc"/>
          </v:group>
        </w:pict>
      </w:r>
      <w:r>
        <w:rPr>
          <w:rFonts w:ascii="Times New Roman"/>
          <w:sz w:val="20"/>
        </w:rPr>
      </w:r>
      <w:r>
        <w:rPr>
          <w:rFonts w:ascii="Times New Roman"/>
          <w:sz w:val="20"/>
        </w:rPr>
        <w:tab/>
      </w:r>
      <w:r>
        <w:rPr>
          <w:rFonts w:ascii="Times New Roman"/>
          <w:position w:val="27"/>
          <w:sz w:val="20"/>
        </w:rPr>
        <w:pict>
          <v:group style="width:166pt;height:142pt;mso-position-horizontal-relative:char;mso-position-vertical-relative:line" coordorigin="0,0" coordsize="3320,2840">
            <v:shape style="position:absolute;left:40;top:40;width:3240;height:2760" type="#_x0000_t75" stroked="false">
              <v:imagedata r:id="rId99" o:title=""/>
            </v:shape>
            <v:rect style="position:absolute;left:20;top:20;width:3280;height:2800" filled="false" stroked="true" strokeweight="2pt" strokecolor="#4f81bc"/>
          </v:group>
        </w:pict>
      </w:r>
      <w:r>
        <w:rPr>
          <w:rFonts w:ascii="Times New Roman"/>
          <w:position w:val="27"/>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1"/>
        </w:rPr>
      </w:pPr>
      <w:r>
        <w:rPr/>
        <w:pict>
          <v:group style="position:absolute;margin-left:37pt;margin-top:8.773344pt;width:202pt;height:134.5pt;mso-position-horizontal-relative:page;mso-position-vertical-relative:paragraph;z-index:2848;mso-wrap-distance-left:0;mso-wrap-distance-right:0" coordorigin="740,175" coordsize="4040,2690">
            <v:shape style="position:absolute;left:780;top:215;width:3960;height:2610" type="#_x0000_t75" stroked="false">
              <v:imagedata r:id="rId100" o:title=""/>
            </v:shape>
            <v:rect style="position:absolute;left:760;top:195;width:4000;height:2650" filled="false" stroked="true" strokeweight="2pt" strokecolor="#4f81bc"/>
            <w10:wrap type="topAndBottom"/>
          </v:group>
        </w:pict>
      </w:r>
      <w:r>
        <w:rPr/>
        <w:pict>
          <v:group style="position:absolute;margin-left:376pt;margin-top:8.773344pt;width:209.5pt;height:134.5pt;mso-position-horizontal-relative:page;mso-position-vertical-relative:paragraph;z-index:2872;mso-wrap-distance-left:0;mso-wrap-distance-right:0" coordorigin="7520,175" coordsize="4190,2690">
            <v:shape style="position:absolute;left:7560;top:215;width:4110;height:2610" type="#_x0000_t75" stroked="false">
              <v:imagedata r:id="rId101" o:title=""/>
            </v:shape>
            <v:rect style="position:absolute;left:7540;top:195;width:4150;height:2650" filled="false" stroked="true" strokeweight="2pt" strokecolor="#4f81bc"/>
            <w10:wrap type="topAndBottom"/>
          </v:group>
        </w:pict>
      </w:r>
    </w:p>
    <w:p>
      <w:pPr>
        <w:pStyle w:val="BodyText"/>
        <w:spacing w:before="1"/>
        <w:rPr>
          <w:rFonts w:ascii="Times New Roman"/>
          <w:sz w:val="6"/>
        </w:rPr>
      </w:pPr>
    </w:p>
    <w:p>
      <w:pPr>
        <w:pStyle w:val="BodyText"/>
        <w:ind w:left="2576"/>
        <w:rPr>
          <w:rFonts w:ascii="Times New Roman"/>
          <w:sz w:val="20"/>
        </w:rPr>
      </w:pPr>
      <w:r>
        <w:rPr>
          <w:rFonts w:ascii="Times New Roman"/>
          <w:sz w:val="20"/>
        </w:rPr>
        <w:pict>
          <v:group style="width:320.4pt;height:24pt;mso-position-horizontal-relative:char;mso-position-vertical-relative:line" coordorigin="0,0" coordsize="6408,480">
            <v:shape style="position:absolute;left:0;top:0;width:6408;height:480" type="#_x0000_t75" stroked="false">
              <v:imagedata r:id="rId102" o:title=""/>
            </v:shape>
            <v:shape style="position:absolute;left:0;top:0;width:6408;height:480" type="#_x0000_t202" filled="false" stroked="false">
              <v:textbox inset="0,0,0,0">
                <w:txbxContent>
                  <w:p>
                    <w:pPr>
                      <w:spacing w:before="1"/>
                      <w:ind w:left="144" w:right="0" w:firstLine="0"/>
                      <w:jc w:val="left"/>
                      <w:rPr>
                        <w:rFonts w:ascii="Calibri" w:hAnsi="Calibri"/>
                        <w:sz w:val="22"/>
                      </w:rPr>
                    </w:pPr>
                    <w:r>
                      <w:rPr>
                        <w:rFonts w:ascii="Calibri" w:hAnsi="Calibri"/>
                        <w:sz w:val="22"/>
                      </w:rPr>
                      <w:t>z. Esterilización de ambos agares y vertido en las cajas de Petri</w:t>
                    </w:r>
                  </w:p>
                </w:txbxContent>
              </v:textbox>
              <w10:wrap type="none"/>
            </v:shape>
          </v:group>
        </w:pict>
      </w:r>
      <w:r>
        <w:rPr>
          <w:rFonts w:ascii="Times New Roman"/>
          <w:sz w:val="20"/>
        </w:rPr>
      </w:r>
    </w:p>
    <w:p>
      <w:pPr>
        <w:spacing w:after="0"/>
        <w:rPr>
          <w:rFonts w:ascii="Times New Roman"/>
          <w:sz w:val="20"/>
        </w:rPr>
        <w:sectPr>
          <w:footerReference w:type="default" r:id="rId92"/>
          <w:pgSz w:w="12240" w:h="15840"/>
          <w:pgMar w:footer="1024" w:header="736" w:top="1180" w:bottom="1220" w:left="640" w:right="420"/>
        </w:sectPr>
      </w:pPr>
    </w:p>
    <w:p>
      <w:pPr>
        <w:pStyle w:val="BodyText"/>
        <w:spacing w:before="2"/>
        <w:rPr>
          <w:rFonts w:ascii="Times New Roman"/>
          <w:sz w:val="20"/>
        </w:rPr>
      </w:pPr>
    </w:p>
    <w:p>
      <w:pPr>
        <w:spacing w:line="240" w:lineRule="auto"/>
        <w:ind w:left="560" w:right="0" w:firstLine="0"/>
        <w:rPr>
          <w:rFonts w:ascii="Times New Roman"/>
          <w:sz w:val="20"/>
        </w:rPr>
      </w:pPr>
      <w:r>
        <w:rPr>
          <w:rFonts w:ascii="Times New Roman"/>
          <w:sz w:val="20"/>
        </w:rPr>
        <w:pict>
          <v:group style="width:235pt;height:157pt;mso-position-horizontal-relative:char;mso-position-vertical-relative:line" coordorigin="0,0" coordsize="4700,3140">
            <v:shape style="position:absolute;left:40;top:40;width:4620;height:3060" type="#_x0000_t75" stroked="false">
              <v:imagedata r:id="rId104" o:title=""/>
            </v:shape>
            <v:rect style="position:absolute;left:20;top:20;width:4660;height:3100" filled="false" stroked="true" strokeweight="2pt" strokecolor="#4f81bc"/>
          </v:group>
        </w:pict>
      </w:r>
      <w:r>
        <w:rPr>
          <w:rFonts w:ascii="Times New Roman"/>
          <w:sz w:val="20"/>
        </w:rPr>
      </w:r>
      <w:r>
        <w:rPr>
          <w:rFonts w:ascii="Times New Roman"/>
          <w:spacing w:val="90"/>
          <w:sz w:val="20"/>
        </w:rPr>
        <w:t> </w:t>
      </w:r>
      <w:r>
        <w:rPr>
          <w:rFonts w:ascii="Times New Roman"/>
          <w:spacing w:val="90"/>
          <w:position w:val="6"/>
          <w:sz w:val="20"/>
        </w:rPr>
        <w:pict>
          <v:group style="width:230.5pt;height:154pt;mso-position-horizontal-relative:char;mso-position-vertical-relative:line" coordorigin="0,0" coordsize="4610,3080">
            <v:shape style="position:absolute;left:40;top:40;width:4530;height:3000" type="#_x0000_t75" stroked="false">
              <v:imagedata r:id="rId105" o:title=""/>
            </v:shape>
            <v:rect style="position:absolute;left:20;top:20;width:4570;height:3040" filled="false" stroked="true" strokeweight="2pt" strokecolor="#4f81bc"/>
          </v:group>
        </w:pict>
      </w:r>
      <w:r>
        <w:rPr>
          <w:rFonts w:ascii="Times New Roman"/>
          <w:spacing w:val="90"/>
          <w:position w:val="6"/>
          <w:sz w:val="20"/>
        </w:rPr>
      </w:r>
    </w:p>
    <w:p>
      <w:pPr>
        <w:pStyle w:val="BodyText"/>
        <w:rPr>
          <w:rFonts w:ascii="Times New Roman"/>
          <w:sz w:val="20"/>
        </w:rPr>
      </w:pPr>
    </w:p>
    <w:p>
      <w:pPr>
        <w:pStyle w:val="BodyText"/>
        <w:spacing w:before="3"/>
        <w:rPr>
          <w:rFonts w:ascii="Times New Roman"/>
          <w:sz w:val="22"/>
        </w:rPr>
      </w:pPr>
      <w:r>
        <w:rPr/>
        <w:pict>
          <v:group style="position:absolute;margin-left:200.5pt;margin-top:14.750977pt;width:211pt;height:142pt;mso-position-horizontal-relative:page;mso-position-vertical-relative:paragraph;z-index:3136;mso-wrap-distance-left:0;mso-wrap-distance-right:0" coordorigin="4010,295" coordsize="4220,2840">
            <v:shape style="position:absolute;left:4050;top:335;width:4140;height:2760" type="#_x0000_t75" stroked="false">
              <v:imagedata r:id="rId106" o:title=""/>
            </v:shape>
            <v:rect style="position:absolute;left:4030;top:315;width:4180;height:2800" filled="false" stroked="true" strokeweight="2pt" strokecolor="#4f81bc"/>
            <w10:wrap type="topAndBottom"/>
          </v:group>
        </w:pict>
      </w:r>
      <w:r>
        <w:rPr/>
        <w:pict>
          <v:group style="position:absolute;margin-left:100.800003pt;margin-top:166.170975pt;width:420.4pt;height:28.75pt;mso-position-horizontal-relative:page;mso-position-vertical-relative:paragraph;z-index:3184;mso-wrap-distance-left:0;mso-wrap-distance-right:0" coordorigin="2016,3323" coordsize="8408,575">
            <v:shape style="position:absolute;left:2016;top:3323;width:8407;height:480" type="#_x0000_t75" stroked="false">
              <v:imagedata r:id="rId107" o:title=""/>
            </v:shape>
            <v:shape style="position:absolute;left:2016;top:3323;width:8408;height:575" type="#_x0000_t202" filled="false" stroked="false">
              <v:textbox inset="0,0,0,0">
                <w:txbxContent>
                  <w:p>
                    <w:pPr>
                      <w:spacing w:line="266" w:lineRule="exact" w:before="0"/>
                      <w:ind w:left="144" w:right="0" w:firstLine="0"/>
                      <w:jc w:val="left"/>
                      <w:rPr>
                        <w:rFonts w:ascii="Calibri" w:hAnsi="Calibri"/>
                        <w:sz w:val="22"/>
                      </w:rPr>
                    </w:pPr>
                    <w:r>
                      <w:rPr>
                        <w:rFonts w:ascii="Calibri" w:hAnsi="Calibri"/>
                        <w:sz w:val="22"/>
                      </w:rPr>
                      <w:t>a1. Toma de una asada de cada cepa para estandarizarel inoculo con el índice de</w:t>
                    </w:r>
                  </w:p>
                  <w:p>
                    <w:pPr>
                      <w:spacing w:line="265" w:lineRule="exact" w:before="44"/>
                      <w:ind w:left="144" w:right="0" w:firstLine="0"/>
                      <w:jc w:val="left"/>
                      <w:rPr>
                        <w:rFonts w:ascii="Calibri"/>
                        <w:sz w:val="22"/>
                      </w:rPr>
                    </w:pPr>
                    <w:r>
                      <w:rPr>
                        <w:rFonts w:ascii="Calibri"/>
                        <w:sz w:val="22"/>
                      </w:rPr>
                      <w:t>McFarland</w:t>
                    </w:r>
                  </w:p>
                </w:txbxContent>
              </v:textbox>
              <w10:wrap type="none"/>
            </v:shape>
            <w10:wrap type="topAndBottom"/>
          </v:group>
        </w:pict>
      </w:r>
    </w:p>
    <w:p>
      <w:pPr>
        <w:pStyle w:val="BodyText"/>
        <w:spacing w:before="5"/>
        <w:rPr>
          <w:rFonts w:ascii="Times New Roman"/>
          <w:sz w:val="10"/>
        </w:rPr>
      </w:pPr>
    </w:p>
    <w:p>
      <w:pPr>
        <w:pStyle w:val="BodyText"/>
        <w:rPr>
          <w:rFonts w:ascii="Times New Roman"/>
          <w:sz w:val="20"/>
        </w:rPr>
      </w:pPr>
    </w:p>
    <w:p>
      <w:pPr>
        <w:pStyle w:val="BodyText"/>
        <w:spacing w:before="10"/>
        <w:rPr>
          <w:rFonts w:ascii="Times New Roman"/>
          <w:sz w:val="12"/>
        </w:rPr>
      </w:pPr>
      <w:r>
        <w:rPr/>
        <w:pict>
          <v:group style="position:absolute;margin-left:47.5pt;margin-top:9.380977pt;width:250pt;height:167.5pt;mso-position-horizontal-relative:page;mso-position-vertical-relative:paragraph;z-index:3208;mso-wrap-distance-left:0;mso-wrap-distance-right:0" coordorigin="950,188" coordsize="5000,3350">
            <v:shape style="position:absolute;left:990;top:228;width:4920;height:3270" type="#_x0000_t75" stroked="false">
              <v:imagedata r:id="rId108" o:title=""/>
            </v:shape>
            <v:rect style="position:absolute;left:970;top:208;width:4960;height:3310" filled="false" stroked="true" strokeweight="2pt" strokecolor="#4f81bc"/>
            <w10:wrap type="topAndBottom"/>
          </v:group>
        </w:pict>
      </w:r>
      <w:r>
        <w:rPr/>
        <w:pict>
          <v:group style="position:absolute;margin-left:325pt;margin-top:9.380977pt;width:250pt;height:167.5pt;mso-position-horizontal-relative:page;mso-position-vertical-relative:paragraph;z-index:3232;mso-wrap-distance-left:0;mso-wrap-distance-right:0" coordorigin="6500,188" coordsize="5000,3350">
            <v:shape style="position:absolute;left:6540;top:228;width:4920;height:3270" type="#_x0000_t75" stroked="false">
              <v:imagedata r:id="rId109" o:title=""/>
            </v:shape>
            <v:rect style="position:absolute;left:6520;top:208;width:4960;height:3310" filled="false" stroked="true" strokeweight="2pt" strokecolor="#4f81bc"/>
            <w10:wrap type="topAndBottom"/>
          </v:group>
        </w:pict>
      </w:r>
    </w:p>
    <w:p>
      <w:pPr>
        <w:pStyle w:val="BodyText"/>
        <w:rPr>
          <w:rFonts w:ascii="Times New Roman"/>
          <w:sz w:val="20"/>
        </w:rPr>
      </w:pPr>
    </w:p>
    <w:p>
      <w:pPr>
        <w:pStyle w:val="BodyText"/>
        <w:spacing w:before="11"/>
        <w:rPr>
          <w:rFonts w:ascii="Times New Roman"/>
          <w:sz w:val="26"/>
        </w:rPr>
      </w:pPr>
      <w:r>
        <w:rPr/>
        <w:pict>
          <v:group style="position:absolute;margin-left:112.800003pt;margin-top:17.470976pt;width:420.4pt;height:24pt;mso-position-horizontal-relative:page;mso-position-vertical-relative:paragraph;z-index:3280;mso-wrap-distance-left:0;mso-wrap-distance-right:0" coordorigin="2256,349" coordsize="8408,480">
            <v:shape style="position:absolute;left:2256;top:349;width:8407;height:480" type="#_x0000_t75" stroked="false">
              <v:imagedata r:id="rId107" o:title=""/>
            </v:shape>
            <v:shape style="position:absolute;left:2256;top:349;width:8408;height:480" type="#_x0000_t202" filled="false" stroked="false">
              <v:textbox inset="0,0,0,0">
                <w:txbxContent>
                  <w:p>
                    <w:pPr>
                      <w:spacing w:before="1"/>
                      <w:ind w:left="2201" w:right="0" w:firstLine="0"/>
                      <w:jc w:val="left"/>
                      <w:rPr>
                        <w:rFonts w:ascii="Calibri"/>
                        <w:sz w:val="22"/>
                      </w:rPr>
                    </w:pPr>
                    <w:r>
                      <w:rPr>
                        <w:rFonts w:ascii="Calibri"/>
                        <w:sz w:val="22"/>
                      </w:rPr>
                      <w:t>b1. Siembra de las cepas en las cajas de Petri</w:t>
                    </w:r>
                  </w:p>
                </w:txbxContent>
              </v:textbox>
              <w10:wrap type="none"/>
            </v:shape>
            <w10:wrap type="topAndBottom"/>
          </v:group>
        </w:pict>
      </w:r>
    </w:p>
    <w:p>
      <w:pPr>
        <w:spacing w:after="0"/>
        <w:rPr>
          <w:rFonts w:ascii="Times New Roman"/>
          <w:sz w:val="26"/>
        </w:rPr>
        <w:sectPr>
          <w:footerReference w:type="default" r:id="rId103"/>
          <w:pgSz w:w="12240" w:h="15840"/>
          <w:pgMar w:footer="1024" w:header="736" w:top="1180" w:bottom="1220" w:left="840" w:right="640"/>
          <w:pgNumType w:start="81"/>
        </w:sectPr>
      </w:pPr>
    </w:p>
    <w:p>
      <w:pPr>
        <w:pStyle w:val="BodyText"/>
        <w:rPr>
          <w:rFonts w:ascii="Times New Roman"/>
          <w:sz w:val="20"/>
        </w:rPr>
      </w:pPr>
    </w:p>
    <w:p>
      <w:pPr>
        <w:pStyle w:val="BodyText"/>
        <w:rPr>
          <w:rFonts w:ascii="Times New Roman"/>
          <w:sz w:val="21"/>
        </w:rPr>
      </w:pPr>
    </w:p>
    <w:p>
      <w:pPr>
        <w:pStyle w:val="BodyText"/>
        <w:ind w:left="3550"/>
        <w:rPr>
          <w:rFonts w:ascii="Times New Roman"/>
          <w:sz w:val="20"/>
        </w:rPr>
      </w:pPr>
      <w:r>
        <w:rPr>
          <w:rFonts w:ascii="Times New Roman"/>
          <w:sz w:val="20"/>
        </w:rPr>
        <w:pict>
          <v:group style="width:221.5pt;height:148pt;mso-position-horizontal-relative:char;mso-position-vertical-relative:line" coordorigin="0,0" coordsize="4430,2960">
            <v:shape style="position:absolute;left:40;top:40;width:4350;height:2880" type="#_x0000_t75" stroked="false">
              <v:imagedata r:id="rId110" o:title=""/>
            </v:shape>
            <v:rect style="position:absolute;left:20;top:20;width:4390;height:2920" filled="false" stroked="true" strokeweight="2pt" strokecolor="#4f81bc"/>
          </v:group>
        </w:pict>
      </w:r>
      <w:r>
        <w:rPr>
          <w:rFonts w:ascii="Times New Roman"/>
          <w:sz w:val="20"/>
        </w:rPr>
      </w:r>
    </w:p>
    <w:p>
      <w:pPr>
        <w:pStyle w:val="BodyText"/>
        <w:spacing w:before="8"/>
        <w:rPr>
          <w:rFonts w:ascii="Times New Roman"/>
          <w:sz w:val="5"/>
        </w:rPr>
      </w:pPr>
      <w:r>
        <w:rPr/>
        <w:pict>
          <v:group style="position:absolute;margin-left:31.799999pt;margin-top:5.23pt;width:558.4pt;height:30.15pt;mso-position-horizontal-relative:page;mso-position-vertical-relative:paragraph;z-index:3352;mso-wrap-distance-left:0;mso-wrap-distance-right:0" coordorigin="636,105" coordsize="11168,603">
            <v:shape style="position:absolute;left:636;top:105;width:11167;height:602" type="#_x0000_t75" stroked="false">
              <v:imagedata r:id="rId111" o:title=""/>
            </v:shape>
            <v:shape style="position:absolute;left:636;top:105;width:11168;height:603" type="#_x0000_t202" filled="false" stroked="false">
              <v:textbox inset="0,0,0,0">
                <w:txbxContent>
                  <w:p>
                    <w:pPr>
                      <w:spacing w:line="266" w:lineRule="exact" w:before="0"/>
                      <w:ind w:left="191" w:right="192" w:firstLine="0"/>
                      <w:jc w:val="center"/>
                      <w:rPr>
                        <w:rFonts w:ascii="Calibri" w:hAnsi="Calibri"/>
                        <w:sz w:val="22"/>
                      </w:rPr>
                    </w:pPr>
                    <w:r>
                      <w:rPr>
                        <w:rFonts w:ascii="Calibri" w:hAnsi="Calibri"/>
                        <w:sz w:val="22"/>
                      </w:rPr>
                      <w:t>c1. Se depositan Np-Ag sintetizadas por dos agentes reductores ecoamigables, en diferentes dosis, así como depósito de</w:t>
                    </w:r>
                  </w:p>
                  <w:p>
                    <w:pPr>
                      <w:spacing w:before="44"/>
                      <w:ind w:left="191" w:right="191" w:firstLine="0"/>
                      <w:jc w:val="center"/>
                      <w:rPr>
                        <w:rFonts w:ascii="Calibri"/>
                        <w:sz w:val="22"/>
                      </w:rPr>
                    </w:pPr>
                    <w:r>
                      <w:rPr>
                        <w:rFonts w:ascii="Calibri"/>
                        <w:sz w:val="22"/>
                      </w:rPr>
                      <w:t>clorhexidina sobre los discos para antibiograma</w:t>
                    </w:r>
                  </w:p>
                </w:txbxContent>
              </v:textbox>
              <w10:wrap type="none"/>
            </v:shape>
            <w10:wrap type="topAndBottom"/>
          </v:group>
        </w:pict>
      </w:r>
      <w:r>
        <w:rPr/>
        <w:pict>
          <v:group style="position:absolute;margin-left:194.5pt;margin-top:51.75pt;width:230.5pt;height:154pt;mso-position-horizontal-relative:page;mso-position-vertical-relative:paragraph;z-index:3376;mso-wrap-distance-left:0;mso-wrap-distance-right:0" coordorigin="3890,1035" coordsize="4610,3080">
            <v:shape style="position:absolute;left:3930;top:1075;width:4530;height:3000" type="#_x0000_t75" stroked="false">
              <v:imagedata r:id="rId112" o:title=""/>
            </v:shape>
            <v:rect style="position:absolute;left:3910;top:1055;width:4570;height:3040" filled="false" stroked="true" strokeweight="2pt" strokecolor="#4f81bc"/>
            <w10:wrap type="topAndBottom"/>
          </v:group>
        </w:pict>
      </w:r>
      <w:r>
        <w:rPr/>
        <w:pict>
          <v:group style="position:absolute;margin-left:90.360001pt;margin-top:212.229996pt;width:454.35pt;height:24pt;mso-position-horizontal-relative:page;mso-position-vertical-relative:paragraph;z-index:3424;mso-wrap-distance-left:0;mso-wrap-distance-right:0" coordorigin="1807,4245" coordsize="9087,480">
            <v:shape style="position:absolute;left:1807;top:4245;width:9086;height:480" type="#_x0000_t75" stroked="false">
              <v:imagedata r:id="rId113" o:title=""/>
            </v:shape>
            <v:shape style="position:absolute;left:1807;top:4245;width:9087;height:480" type="#_x0000_t202" filled="false" stroked="false">
              <v:textbox inset="0,0,0,0">
                <w:txbxContent>
                  <w:p>
                    <w:pPr>
                      <w:spacing w:before="0"/>
                      <w:ind w:left="1574" w:right="0" w:firstLine="0"/>
                      <w:jc w:val="left"/>
                      <w:rPr>
                        <w:rFonts w:ascii="Calibri" w:hAnsi="Calibri"/>
                        <w:sz w:val="22"/>
                      </w:rPr>
                    </w:pPr>
                    <w:r>
                      <w:rPr>
                        <w:rFonts w:ascii="Calibri" w:hAnsi="Calibri"/>
                        <w:sz w:val="22"/>
                      </w:rPr>
                      <w:t>d1. Colocación de los discos en las cajas de Petri para ambas cepas</w:t>
                    </w:r>
                  </w:p>
                </w:txbxContent>
              </v:textbox>
              <w10:wrap type="none"/>
            </v:shape>
            <w10:wrap type="topAndBottom"/>
          </v:group>
        </w:pict>
      </w:r>
      <w:r>
        <w:rPr/>
        <w:pict>
          <v:group style="position:absolute;margin-left:79pt;margin-top:255.75pt;width:197.5pt;height:149.5pt;mso-position-horizontal-relative:page;mso-position-vertical-relative:paragraph;z-index:3448;mso-wrap-distance-left:0;mso-wrap-distance-right:0" coordorigin="1580,5115" coordsize="3950,2990">
            <v:shape style="position:absolute;left:1620;top:5155;width:3870;height:2910" type="#_x0000_t75" stroked="false">
              <v:imagedata r:id="rId114" o:title=""/>
            </v:shape>
            <v:rect style="position:absolute;left:1600;top:5135;width:3910;height:2950" filled="false" stroked="true" strokeweight="2pt" strokecolor="#4f81bc"/>
            <w10:wrap type="topAndBottom"/>
          </v:group>
        </w:pict>
      </w:r>
      <w:r>
        <w:rPr/>
        <w:pict>
          <v:group style="position:absolute;margin-left:323.5pt;margin-top:254.25pt;width:218.5pt;height:149.5pt;mso-position-horizontal-relative:page;mso-position-vertical-relative:paragraph;z-index:3472;mso-wrap-distance-left:0;mso-wrap-distance-right:0" coordorigin="6470,5085" coordsize="4370,2990">
            <v:shape style="position:absolute;left:6510;top:5125;width:4290;height:2910" type="#_x0000_t75" stroked="false">
              <v:imagedata r:id="rId115" o:title=""/>
            </v:shape>
            <v:rect style="position:absolute;left:6490;top:5105;width:4330;height:2950" filled="false" stroked="true" strokeweight="2pt" strokecolor="#4f81bc"/>
            <w10:wrap type="topAndBottom"/>
          </v:group>
        </w:pict>
      </w:r>
    </w:p>
    <w:p>
      <w:pPr>
        <w:pStyle w:val="BodyText"/>
        <w:spacing w:before="7"/>
        <w:rPr>
          <w:rFonts w:ascii="Times New Roman"/>
          <w:sz w:val="22"/>
        </w:rPr>
      </w:pPr>
    </w:p>
    <w:p>
      <w:pPr>
        <w:pStyle w:val="BodyText"/>
        <w:spacing w:before="4"/>
        <w:rPr>
          <w:rFonts w:ascii="Times New Roman"/>
          <w:sz w:val="5"/>
        </w:rPr>
      </w:pPr>
    </w:p>
    <w:p>
      <w:pPr>
        <w:pStyle w:val="BodyText"/>
        <w:spacing w:before="4"/>
        <w:rPr>
          <w:rFonts w:ascii="Times New Roman"/>
          <w:sz w:val="25"/>
        </w:rPr>
      </w:pPr>
    </w:p>
    <w:p>
      <w:pPr>
        <w:pStyle w:val="BodyText"/>
        <w:rPr>
          <w:rFonts w:ascii="Times New Roman"/>
          <w:sz w:val="20"/>
        </w:rPr>
      </w:pPr>
    </w:p>
    <w:p>
      <w:pPr>
        <w:pStyle w:val="BodyText"/>
        <w:spacing w:before="3"/>
        <w:rPr>
          <w:rFonts w:ascii="Times New Roman"/>
          <w:sz w:val="11"/>
        </w:rPr>
      </w:pPr>
      <w:r>
        <w:rPr/>
        <w:pict>
          <v:group style="position:absolute;margin-left:36.360001pt;margin-top:8.470977pt;width:532.35pt;height:47.2pt;mso-position-horizontal-relative:page;mso-position-vertical-relative:paragraph;z-index:3520;mso-wrap-distance-left:0;mso-wrap-distance-right:0" coordorigin="727,169" coordsize="10647,944">
            <v:shape style="position:absolute;left:727;top:169;width:10646;height:943" type="#_x0000_t75" stroked="false">
              <v:imagedata r:id="rId116" o:title=""/>
            </v:shape>
            <v:shape style="position:absolute;left:727;top:169;width:10647;height:944" type="#_x0000_t202" filled="false" stroked="false">
              <v:textbox inset="0,0,0,0">
                <w:txbxContent>
                  <w:p>
                    <w:pPr>
                      <w:spacing w:line="278" w:lineRule="auto" w:before="0"/>
                      <w:ind w:left="206" w:right="202" w:firstLine="0"/>
                      <w:jc w:val="center"/>
                      <w:rPr>
                        <w:rFonts w:ascii="Calibri" w:hAnsi="Calibri"/>
                        <w:sz w:val="22"/>
                      </w:rPr>
                    </w:pPr>
                    <w:r>
                      <w:rPr>
                        <w:rFonts w:ascii="Calibri" w:hAnsi="Calibri"/>
                        <w:sz w:val="22"/>
                      </w:rPr>
                      <w:t>e1. Discos impregnados de las soluciones a evaluar: (Np-Ag sintetizadas por </w:t>
                    </w:r>
                    <w:r>
                      <w:rPr>
                        <w:rFonts w:ascii="Calibri" w:hAnsi="Calibri"/>
                        <w:i/>
                        <w:sz w:val="22"/>
                      </w:rPr>
                      <w:t>Heterotheca inuloides</w:t>
                    </w:r>
                    <w:r>
                      <w:rPr>
                        <w:rFonts w:ascii="Calibri" w:hAnsi="Calibri"/>
                        <w:sz w:val="22"/>
                      </w:rPr>
                      <w:t>, así como Np-Ag sintetizadas por </w:t>
                    </w:r>
                    <w:r>
                      <w:rPr>
                        <w:rFonts w:ascii="Calibri" w:hAnsi="Calibri"/>
                        <w:i/>
                        <w:sz w:val="22"/>
                      </w:rPr>
                      <w:t>Camellia sinensis</w:t>
                    </w:r>
                    <w:r>
                      <w:rPr>
                        <w:rFonts w:ascii="Calibri" w:hAnsi="Calibri"/>
                        <w:sz w:val="22"/>
                      </w:rPr>
                      <w:t>), la solución estándar (Clorhexidina) y el grupo control (ninguna de las soluciones), para ambas cepas.</w:t>
                    </w:r>
                  </w:p>
                </w:txbxContent>
              </v:textbox>
              <w10:wrap type="none"/>
            </v:shape>
            <w10:wrap type="topAndBottom"/>
          </v:group>
        </w:pict>
      </w:r>
    </w:p>
    <w:p>
      <w:pPr>
        <w:spacing w:after="0"/>
        <w:rPr>
          <w:rFonts w:ascii="Times New Roman"/>
          <w:sz w:val="11"/>
        </w:rPr>
        <w:sectPr>
          <w:pgSz w:w="12240" w:h="15840"/>
          <w:pgMar w:header="736" w:footer="1024" w:top="1180" w:bottom="1220" w:left="520" w:right="320"/>
        </w:sectPr>
      </w:pPr>
    </w:p>
    <w:p>
      <w:pPr>
        <w:pStyle w:val="BodyText"/>
        <w:spacing w:before="11"/>
        <w:rPr>
          <w:rFonts w:ascii="Times New Roman"/>
          <w:sz w:val="16"/>
        </w:rPr>
      </w:pPr>
      <w:r>
        <w:rPr/>
        <w:pict>
          <v:group style="position:absolute;margin-left:187.850006pt;margin-top:465.350006pt;width:99.4pt;height:90.7pt;mso-position-horizontal-relative:page;mso-position-vertical-relative:page;z-index:-190984" coordorigin="3757,9307" coordsize="1988,1814">
            <v:shape style="position:absolute;left:3777;top:9327;width:1948;height:1774" coordorigin="3777,9327" coordsize="1948,1774" path="m3777,10214l3780,10141,3790,10070,3805,10001,3827,9934,3854,9869,3886,9806,3923,9747,3965,9690,4011,9637,4062,9587,4117,9540,4176,9498,4238,9460,4303,9426,4372,9397,4443,9372,4517,9353,4593,9339,4671,9330,4751,9327,4831,9330,4909,9339,4985,9353,5059,9372,5130,9397,5199,9426,5264,9460,5326,9498,5385,9540,5440,9587,5491,9637,5537,9690,5579,9747,5616,9806,5648,9869,5675,9934,5697,10001,5712,10070,5722,10141,5725,10214,5722,10287,5712,10358,5697,10427,5675,10494,5648,10559,5616,10622,5579,10681,5537,10738,5491,10791,5440,10841,5385,10887,5326,10930,5264,10968,5199,11002,5130,11031,5059,11056,4985,11075,4909,11089,4831,11098,4751,11101,4671,11098,4593,11089,4517,11075,4443,11056,4372,11031,4303,11002,4238,10968,4176,10930,4117,10887,4062,10841,4011,10791,3965,10738,3923,10681,3886,10622,3854,10559,3827,10494,3805,10427,3790,10358,3780,10287,3777,10214xe" filled="false" stroked="true" strokeweight="2pt" strokecolor="#385d89">
              <v:path arrowok="t"/>
            </v:shape>
            <v:shape style="position:absolute;left:4167;top:9626;width:414;height:417" coordorigin="4167,9626" coordsize="414,417" path="m4374,9626l4309,9637,4252,9666,4207,9712,4178,9769,4167,9835,4178,9901,4207,9958,4252,10003,4309,10033,4374,10043,4440,10033,4496,10003,4541,9958,4571,9901,4581,9835,4571,9769,4541,9712,4496,9666,4440,9637,4374,9626xe" filled="true" fillcolor="#00af50" stroked="false">
              <v:path arrowok="t"/>
              <v:fill type="solid"/>
            </v:shape>
            <v:shape style="position:absolute;left:4167;top:9626;width:414;height:417" coordorigin="4167,9626" coordsize="414,417" path="m4167,9835l4178,9769,4207,9712,4252,9666,4309,9637,4374,9626,4440,9637,4496,9666,4541,9712,4571,9769,4581,9835,4571,9901,4541,9958,4496,10003,4440,10033,4374,10043,4309,10033,4252,10003,4207,9958,4178,9901,4167,9835xe" filled="false" stroked="true" strokeweight="2.0pt" strokecolor="#00af50">
              <v:path arrowok="t"/>
            </v:shape>
            <v:shape style="position:absolute;left:4175;top:10328;width:414;height:417" coordorigin="4175,10328" coordsize="414,417" path="m4175,10536l4186,10470,4215,10413,4260,10368,4317,10338,4382,10328,4448,10338,4505,10368,4549,10413,4579,10470,4589,10536,4579,10602,4549,10659,4505,10704,4448,10734,4382,10745,4317,10734,4260,10704,4215,10659,4186,10602,4175,10536xe" filled="false" stroked="true" strokeweight="2pt" strokecolor="#385d89">
              <v:path arrowok="t"/>
            </v:shape>
            <v:shape style="position:absolute;left:4915;top:10318;width:414;height:417" coordorigin="4915,10318" coordsize="414,417" path="m5122,10318l5057,10329,5000,10359,4955,10404,4926,10461,4915,10527,4926,10593,4955,10650,5000,10695,5057,10725,5122,10735,5187,10725,5244,10695,5289,10650,5318,10593,5329,10527,5318,10461,5289,10404,5244,10359,5187,10329,5122,10318xe" filled="true" fillcolor="#4f81bc" stroked="false">
              <v:path arrowok="t"/>
              <v:fill type="solid"/>
            </v:shape>
            <v:shape style="position:absolute;left:4915;top:10318;width:414;height:417" coordorigin="4915,10318" coordsize="414,417" path="m4915,10527l4926,10461,4955,10404,5000,10359,5057,10329,5122,10318,5187,10329,5244,10359,5289,10404,5318,10461,5329,10527,5318,10593,5289,10650,5244,10695,5187,10725,5122,10735,5057,10725,5000,10695,4955,10650,4926,10593,4915,10527xe" filled="false" stroked="true" strokeweight="2pt" strokecolor="#385d89">
              <v:path arrowok="t"/>
            </v:shape>
            <v:shape style="position:absolute;left:4899;top:9626;width:414;height:417" coordorigin="4899,9626" coordsize="414,417" path="m5106,9626l5040,9637,4984,9666,4939,9712,4909,9769,4899,9835,4909,9901,4939,9958,4984,10003,5040,10033,5106,10043,5171,10033,5228,10003,5273,9958,5302,9901,5313,9835,5302,9769,5273,9712,5228,9666,5171,9637,5106,9626xe" filled="true" fillcolor="#c0504d" stroked="false">
              <v:path arrowok="t"/>
              <v:fill type="solid"/>
            </v:shape>
            <v:shape style="position:absolute;left:4899;top:9626;width:414;height:417" coordorigin="4899,9626" coordsize="414,417" path="m4899,9835l4909,9769,4939,9712,4984,9666,5040,9637,5106,9626,5171,9637,5228,9666,5273,9712,5302,9769,5313,9835,5302,9901,5273,9958,5228,10003,5171,10033,5106,10043,5040,10033,4984,10003,4939,9958,4909,9901,4899,9835xe" filled="false" stroked="true" strokeweight="2.0pt" strokecolor="#c0504d">
              <v:path arrowok="t"/>
            </v:shape>
            <v:shape style="position:absolute;left:4114;top:9785;width:523;height:146" type="#_x0000_t75" stroked="false">
              <v:imagedata r:id="rId117" o:title=""/>
            </v:shape>
            <v:shape style="position:absolute;left:4838;top:9785;width:569;height:146" type="#_x0000_t75" stroked="false">
              <v:imagedata r:id="rId118" o:title=""/>
            </v:shape>
            <v:shape style="position:absolute;left:4838;top:10462;width:588;height:199" type="#_x0000_t75" stroked="false">
              <v:imagedata r:id="rId119" o:title=""/>
            </v:shape>
            <w10:wrap type="none"/>
          </v:group>
        </w:pict>
      </w:r>
      <w:r>
        <w:rPr/>
        <w:pict>
          <v:group style="position:absolute;margin-left:191pt;margin-top:576.98999pt;width:99.4pt;height:90.8pt;mso-position-horizontal-relative:page;mso-position-vertical-relative:page;z-index:-190960" coordorigin="3820,11540" coordsize="1988,1816">
            <v:shape style="position:absolute;left:3840;top:11560;width:1948;height:1776" coordorigin="3840,11560" coordsize="1948,1776" path="m3840,12448l3843,12375,3853,12304,3868,12234,3890,12167,3917,12102,3949,12040,3986,11980,4028,11923,4074,11870,4125,11820,4180,11774,4239,11731,4301,11693,4366,11659,4435,11630,4506,11605,4580,11586,4656,11571,4734,11563,4814,11560,4894,11563,4972,11571,5048,11586,5122,11605,5193,11630,5262,11659,5327,11693,5389,11731,5448,11774,5503,11820,5554,11870,5600,11923,5642,11980,5679,12040,5711,12102,5738,12167,5760,12234,5775,12304,5785,12375,5788,12448,5785,12521,5775,12592,5760,12661,5738,12728,5711,12793,5679,12856,5642,12916,5600,12972,5554,13026,5503,13076,5448,13122,5389,13164,5327,13203,5262,13237,5193,13266,5122,13291,5048,13310,4972,13324,4894,13333,4814,13336,4734,13333,4656,13324,4580,13310,4506,13291,4435,13266,4366,13237,4301,13203,4239,13164,4180,13122,4125,13076,4074,13026,4028,12972,3986,12916,3949,12856,3917,12793,3890,12728,3868,12661,3853,12592,3843,12521,3840,12448xe" filled="false" stroked="true" strokeweight="2pt" strokecolor="#385d89">
              <v:path arrowok="t"/>
            </v:shape>
            <v:shape style="position:absolute;left:4230;top:11859;width:414;height:418" coordorigin="4230,11859" coordsize="414,418" path="m4437,11859l4372,11870,4315,11900,4270,11945,4241,12002,4230,12068,4241,12134,4270,12191,4315,12237,4372,12266,4437,12277,4503,12266,4559,12237,4604,12191,4634,12134,4644,12068,4634,12002,4604,11945,4559,11900,4503,11870,4437,11859xe" filled="true" fillcolor="#00af50" stroked="false">
              <v:path arrowok="t"/>
              <v:fill type="solid"/>
            </v:shape>
            <v:shape style="position:absolute;left:4230;top:11859;width:414;height:418" coordorigin="4230,11859" coordsize="414,418" path="m4230,12068l4241,12002,4270,11945,4315,11900,4372,11870,4437,11859,4503,11870,4559,11900,4604,11945,4634,12002,4644,12068,4634,12134,4604,12191,4559,12237,4503,12266,4437,12277,4372,12266,4315,12237,4270,12191,4241,12134,4230,12068xe" filled="false" stroked="true" strokeweight="2pt" strokecolor="#00af50">
              <v:path arrowok="t"/>
            </v:shape>
            <v:shape style="position:absolute;left:4238;top:12562;width:414;height:418" coordorigin="4238,12562" coordsize="414,418" path="m4238,12770l4249,12704,4278,12647,4323,12602,4380,12572,4445,12562,4511,12572,4567,12602,4612,12647,4642,12704,4652,12770,4642,12836,4612,12894,4567,12939,4511,12968,4445,12979,4380,12968,4323,12939,4278,12894,4249,12836,4238,12770xe" filled="false" stroked="true" strokeweight="2pt" strokecolor="#385d89">
              <v:path arrowok="t"/>
            </v:shape>
            <v:shape style="position:absolute;left:4978;top:12552;width:414;height:418" coordorigin="4978,12552" coordsize="414,418" path="m5185,12552l5120,12563,5063,12593,5018,12638,4989,12695,4978,12761,4989,12827,5018,12884,5063,12929,5120,12959,5185,12970,5250,12959,5307,12929,5352,12884,5381,12827,5392,12761,5381,12695,5352,12638,5307,12593,5250,12563,5185,12552xe" filled="true" fillcolor="#4f81bc" stroked="false">
              <v:path arrowok="t"/>
              <v:fill type="solid"/>
            </v:shape>
            <v:shape style="position:absolute;left:4978;top:12552;width:414;height:418" coordorigin="4978,12552" coordsize="414,418" path="m4978,12761l4989,12695,5018,12638,5063,12593,5120,12563,5185,12552,5250,12563,5307,12593,5352,12638,5381,12695,5392,12761,5381,12827,5352,12884,5307,12929,5250,12959,5185,12970,5120,12959,5063,12929,5018,12884,4989,12827,4978,12761xe" filled="false" stroked="true" strokeweight="2pt" strokecolor="#385d89">
              <v:path arrowok="t"/>
            </v:shape>
            <v:shape style="position:absolute;left:4962;top:11859;width:414;height:418" coordorigin="4962,11859" coordsize="414,418" path="m5169,11859l5103,11870,5047,11900,5002,11945,4972,12002,4962,12068,4972,12134,5002,12191,5047,12237,5103,12266,5169,12277,5234,12266,5291,12237,5336,12191,5365,12134,5376,12068,5365,12002,5336,11945,5291,11900,5234,11870,5169,11859xe" filled="true" fillcolor="#c0504d" stroked="false">
              <v:path arrowok="t"/>
              <v:fill type="solid"/>
            </v:shape>
            <v:shape style="position:absolute;left:4962;top:11859;width:414;height:418" coordorigin="4962,11859" coordsize="414,418" path="m4962,12068l4972,12002,5002,11945,5047,11900,5103,11870,5169,11859,5234,11870,5291,11900,5336,11945,5365,12002,5376,12068,5365,12134,5336,12191,5291,12237,5234,12266,5169,12277,5103,12266,5047,12237,5002,12191,4972,12134,4962,12068xe" filled="false" stroked="true" strokeweight="2pt" strokecolor="#c0504d">
              <v:path arrowok="t"/>
            </v:shape>
            <v:shape style="position:absolute;left:4164;top:12019;width:571;height:113" type="#_x0000_t75" stroked="false">
              <v:imagedata r:id="rId120" o:title=""/>
            </v:shape>
            <v:shape style="position:absolute;left:4937;top:12019;width:533;height:113" type="#_x0000_t75" stroked="false">
              <v:imagedata r:id="rId121" o:title=""/>
            </v:shape>
            <v:shape style="position:absolute;left:4922;top:12682;width:547;height:199" type="#_x0000_t75" stroked="false">
              <v:imagedata r:id="rId122" o:title=""/>
            </v:shape>
            <w10:wrap type="none"/>
          </v:group>
        </w:pict>
      </w:r>
      <w:r>
        <w:rPr/>
        <w:pict>
          <v:group style="position:absolute;margin-left:306.299988pt;margin-top:468.5pt;width:99.4pt;height:90.7pt;mso-position-horizontal-relative:page;mso-position-vertical-relative:page;z-index:-190936" coordorigin="6126,9370" coordsize="1988,1814">
            <v:shape style="position:absolute;left:6146;top:9390;width:1948;height:1774" coordorigin="6146,9390" coordsize="1948,1774" path="m6146,10277l6149,10204,6159,10133,6174,10064,6196,9997,6223,9932,6255,9869,6292,9810,6334,9753,6380,9700,6431,9650,6486,9603,6545,9561,6607,9523,6672,9489,6741,9460,6812,9435,6886,9416,6962,9402,7040,9393,7120,9390,7200,9393,7278,9402,7354,9416,7428,9435,7499,9460,7568,9489,7633,9523,7695,9561,7754,9603,7809,9650,7860,9700,7906,9753,7948,9810,7985,9869,8017,9932,8044,9997,8066,10064,8081,10133,8091,10204,8094,10277,8091,10350,8081,10421,8066,10490,8044,10557,8017,10622,7985,10685,7948,10744,7906,10801,7860,10854,7809,10904,7754,10950,7695,10993,7633,11031,7568,11065,7499,11094,7428,11119,7354,11138,7278,11152,7200,11161,7120,11164,7040,11161,6962,11152,6886,11138,6812,11119,6741,11094,6672,11065,6607,11031,6545,10993,6486,10950,6431,10904,6380,10854,6334,10801,6292,10744,6255,10685,6223,10622,6196,10557,6174,10490,6159,10421,6149,10350,6146,10277xe" filled="false" stroked="true" strokeweight="2pt" strokecolor="#385d89">
              <v:path arrowok="t"/>
            </v:shape>
            <v:shape style="position:absolute;left:6536;top:9689;width:414;height:417" coordorigin="6536,9689" coordsize="414,417" path="m6743,9689l6678,9700,6621,9729,6576,9775,6547,9832,6536,9898,6547,9964,6576,10021,6621,10066,6678,10096,6743,10106,6809,10096,6865,10066,6910,10021,6940,9964,6950,9898,6940,9832,6910,9775,6865,9729,6809,9700,6743,9689xe" filled="true" fillcolor="#00af50" stroked="false">
              <v:path arrowok="t"/>
              <v:fill type="solid"/>
            </v:shape>
            <v:shape style="position:absolute;left:6536;top:9689;width:414;height:417" coordorigin="6536,9689" coordsize="414,417" path="m6536,9898l6547,9832,6576,9775,6621,9729,6678,9700,6743,9689,6809,9700,6865,9729,6910,9775,6940,9832,6950,9898,6940,9964,6910,10021,6865,10066,6809,10096,6743,10106,6678,10096,6621,10066,6576,10021,6547,9964,6536,9898xe" filled="false" stroked="true" strokeweight="2.0pt" strokecolor="#00af50">
              <v:path arrowok="t"/>
            </v:shape>
            <v:shape style="position:absolute;left:6544;top:10391;width:414;height:417" coordorigin="6544,10391" coordsize="414,417" path="m6544,10599l6555,10533,6584,10476,6629,10431,6686,10401,6751,10391,6817,10401,6874,10431,6918,10476,6948,10533,6958,10599,6948,10665,6918,10722,6874,10767,6817,10797,6751,10808,6686,10797,6629,10767,6584,10722,6555,10665,6544,10599xe" filled="false" stroked="true" strokeweight="2pt" strokecolor="#385d89">
              <v:path arrowok="t"/>
            </v:shape>
            <v:shape style="position:absolute;left:7284;top:10381;width:414;height:417" coordorigin="7284,10381" coordsize="414,417" path="m7491,10381l7426,10392,7369,10422,7324,10467,7295,10524,7284,10590,7295,10656,7324,10713,7369,10758,7426,10788,7491,10798,7556,10788,7613,10758,7658,10713,7687,10656,7698,10590,7687,10524,7658,10467,7613,10422,7556,10392,7491,10381xe" filled="true" fillcolor="#4f81bc" stroked="false">
              <v:path arrowok="t"/>
              <v:fill type="solid"/>
            </v:shape>
            <v:shape style="position:absolute;left:7284;top:10381;width:414;height:417" coordorigin="7284,10381" coordsize="414,417" path="m7284,10590l7295,10524,7324,10467,7369,10422,7426,10392,7491,10381,7556,10392,7613,10422,7658,10467,7687,10524,7698,10590,7687,10656,7658,10713,7613,10758,7556,10788,7491,10798,7426,10788,7369,10758,7324,10713,7295,10656,7284,10590xe" filled="false" stroked="true" strokeweight="2pt" strokecolor="#385d89">
              <v:path arrowok="t"/>
            </v:shape>
            <v:shape style="position:absolute;left:7268;top:9689;width:414;height:417" coordorigin="7268,9689" coordsize="414,417" path="m7475,9689l7409,9700,7353,9729,7308,9775,7278,9832,7268,9898,7278,9964,7308,10021,7353,10066,7409,10096,7475,10106,7540,10096,7597,10066,7642,10021,7671,9964,7682,9898,7671,9832,7642,9775,7597,9729,7540,9700,7475,9689xe" filled="true" fillcolor="#c0504d" stroked="false">
              <v:path arrowok="t"/>
              <v:fill type="solid"/>
            </v:shape>
            <v:shape style="position:absolute;left:7268;top:9689;width:414;height:417" coordorigin="7268,9689" coordsize="414,417" path="m7268,9898l7278,9832,7308,9775,7353,9729,7409,9700,7475,9689,7540,9700,7597,9729,7642,9775,7671,9832,7682,9898,7671,9964,7642,10021,7597,10066,7540,10096,7475,10106,7409,10096,7353,10066,7308,10021,7278,9964,7268,9898xe" filled="false" stroked="true" strokeweight="2.0pt" strokecolor="#c0504d">
              <v:path arrowok="t"/>
            </v:shape>
            <v:shape style="position:absolute;left:6482;top:9847;width:557;height:180" type="#_x0000_t75" stroked="false">
              <v:imagedata r:id="rId123" o:title=""/>
            </v:shape>
            <v:shape style="position:absolute;left:7207;top:9847;width:569;height:146" type="#_x0000_t75" stroked="false">
              <v:imagedata r:id="rId118" o:title=""/>
            </v:shape>
            <v:shape style="position:absolute;left:7243;top:10548;width:552;height:170" type="#_x0000_t75" stroked="false">
              <v:imagedata r:id="rId124" o:title=""/>
            </v:shape>
            <w10:wrap type="none"/>
          </v:group>
        </w:pict>
      </w:r>
      <w:r>
        <w:rPr/>
        <w:pict>
          <v:group style="position:absolute;margin-left:419.5pt;margin-top:467.950012pt;width:99.4pt;height:90.7pt;mso-position-horizontal-relative:page;mso-position-vertical-relative:page;z-index:-190912" coordorigin="8390,9359" coordsize="1988,1814">
            <v:shape style="position:absolute;left:8410;top:9379;width:1948;height:1774" coordorigin="8410,9379" coordsize="1948,1774" path="m8410,10266l8413,10193,8423,10122,8438,10053,8460,9986,8487,9921,8519,9858,8556,9799,8598,9742,8644,9689,8695,9639,8750,9592,8809,9550,8871,9512,8936,9478,9005,9449,9076,9424,9150,9405,9226,9391,9304,9382,9384,9379,9464,9382,9542,9391,9618,9405,9692,9424,9763,9449,9832,9478,9897,9512,9959,9550,10018,9592,10073,9639,10124,9689,10170,9742,10212,9799,10249,9858,10281,9921,10308,9986,10330,10053,10345,10122,10355,10193,10358,10266,10355,10339,10345,10410,10330,10479,10308,10546,10281,10611,10249,10674,10212,10733,10170,10790,10124,10843,10073,10893,10018,10939,9959,10982,9897,11020,9832,11054,9763,11083,9692,11108,9618,11127,9542,11141,9464,11150,9384,11153,9304,11150,9226,11141,9150,11127,9076,11108,9005,11083,8936,11054,8871,11020,8809,10982,8750,10939,8695,10893,8644,10843,8598,10790,8556,10733,8519,10674,8487,10611,8460,10546,8438,10479,8423,10410,8413,10339,8410,10266xe" filled="false" stroked="true" strokeweight="2pt" strokecolor="#385d89">
              <v:path arrowok="t"/>
            </v:shape>
            <v:shape style="position:absolute;left:8800;top:9678;width:414;height:417" coordorigin="8800,9678" coordsize="414,417" path="m9007,9678l8942,9689,8885,9718,8840,9764,8811,9821,8800,9887,8811,9953,8840,10010,8885,10055,8942,10085,9007,10095,9073,10085,9129,10055,9174,10010,9204,9953,9214,9887,9204,9821,9174,9764,9129,9718,9073,9689,9007,9678xe" filled="true" fillcolor="#00af50" stroked="false">
              <v:path arrowok="t"/>
              <v:fill type="solid"/>
            </v:shape>
            <v:shape style="position:absolute;left:8800;top:9678;width:414;height:417" coordorigin="8800,9678" coordsize="414,417" path="m8800,9887l8811,9821,8840,9764,8885,9718,8942,9689,9007,9678,9073,9689,9129,9718,9174,9764,9204,9821,9214,9887,9204,9953,9174,10010,9129,10055,9073,10085,9007,10095,8942,10085,8885,10055,8840,10010,8811,9953,8800,9887xe" filled="false" stroked="true" strokeweight="2pt" strokecolor="#00af50">
              <v:path arrowok="t"/>
            </v:shape>
            <v:shape style="position:absolute;left:8808;top:10380;width:414;height:417" coordorigin="8808,10380" coordsize="414,417" path="m8808,10588l8819,10522,8848,10465,8893,10420,8950,10390,9015,10380,9081,10390,9138,10420,9182,10465,9212,10522,9222,10588,9212,10654,9182,10711,9138,10756,9081,10786,9015,10797,8950,10786,8893,10756,8848,10711,8819,10654,8808,10588xe" filled="false" stroked="true" strokeweight="2pt" strokecolor="#385d89">
              <v:path arrowok="t"/>
            </v:shape>
            <v:shape style="position:absolute;left:9548;top:10370;width:414;height:417" coordorigin="9548,10370" coordsize="414,417" path="m9755,10370l9690,10381,9633,10411,9588,10456,9559,10513,9548,10579,9559,10645,9588,10702,9633,10747,9690,10777,9755,10787,9820,10777,9877,10747,9922,10702,9951,10645,9962,10579,9951,10513,9922,10456,9877,10411,9820,10381,9755,10370xe" filled="true" fillcolor="#4f81bc" stroked="false">
              <v:path arrowok="t"/>
              <v:fill type="solid"/>
            </v:shape>
            <v:shape style="position:absolute;left:9548;top:10370;width:414;height:417" coordorigin="9548,10370" coordsize="414,417" path="m9548,10579l9559,10513,9588,10456,9633,10411,9690,10381,9755,10370,9820,10381,9877,10411,9922,10456,9951,10513,9962,10579,9951,10645,9922,10702,9877,10747,9820,10777,9755,10787,9690,10777,9633,10747,9588,10702,9559,10645,9548,10579xe" filled="false" stroked="true" strokeweight="2pt" strokecolor="#385d89">
              <v:path arrowok="t"/>
            </v:shape>
            <v:shape style="position:absolute;left:9532;top:9678;width:414;height:417" coordorigin="9532,9678" coordsize="414,417" path="m9739,9678l9673,9689,9617,9718,9572,9764,9542,9821,9532,9887,9542,9953,9572,10010,9617,10055,9673,10085,9739,10095,9804,10085,9861,10055,9906,10010,9935,9953,9946,9887,9935,9821,9906,9764,9861,9718,9804,9689,9739,9678xe" filled="true" fillcolor="#c0504d" stroked="false">
              <v:path arrowok="t"/>
              <v:fill type="solid"/>
            </v:shape>
            <v:shape style="position:absolute;left:9532;top:9678;width:414;height:417" coordorigin="9532,9678" coordsize="414,417" path="m9532,9887l9542,9821,9572,9764,9617,9718,9673,9689,9739,9678,9804,9689,9861,9718,9906,9764,9935,9821,9946,9887,9935,9953,9906,10010,9861,10055,9804,10085,9739,10095,9673,10085,9617,10055,9572,10010,9542,9953,9532,9887xe" filled="false" stroked="true" strokeweight="2pt" strokecolor="#c0504d">
              <v:path arrowok="t"/>
            </v:shape>
            <v:shape style="position:absolute;left:8748;top:9838;width:557;height:156" type="#_x0000_t75" stroked="false">
              <v:imagedata r:id="rId125" o:title=""/>
            </v:shape>
            <v:shape style="position:absolute;left:9470;top:9838;width:569;height:144" type="#_x0000_t75" stroked="false">
              <v:imagedata r:id="rId118" o:title=""/>
            </v:shape>
            <v:shape style="position:absolute;left:9506;top:10538;width:554;height:170" type="#_x0000_t75" stroked="false">
              <v:imagedata r:id="rId126" o:title=""/>
            </v:shape>
            <w10:wrap type="none"/>
          </v:group>
        </w:pict>
      </w:r>
      <w:r>
        <w:rPr/>
        <w:pict>
          <v:group style="position:absolute;margin-left:306.299988pt;margin-top:576.98999pt;width:99.4pt;height:90.8pt;mso-position-horizontal-relative:page;mso-position-vertical-relative:page;z-index:-190888" coordorigin="6126,11540" coordsize="1988,1816">
            <v:shape style="position:absolute;left:6146;top:11560;width:1948;height:1776" coordorigin="6146,11560" coordsize="1948,1776" path="m6146,12448l6149,12375,6159,12304,6174,12234,6196,12167,6223,12102,6255,12040,6292,11980,6334,11923,6380,11870,6431,11820,6486,11774,6545,11731,6607,11693,6672,11659,6741,11630,6812,11605,6886,11586,6962,11571,7040,11563,7120,11560,7200,11563,7278,11571,7354,11586,7428,11605,7499,11630,7568,11659,7633,11693,7695,11731,7754,11774,7809,11820,7860,11870,7906,11923,7948,11980,7985,12040,8017,12102,8044,12167,8066,12234,8081,12304,8091,12375,8094,12448,8091,12521,8081,12592,8066,12661,8044,12728,8017,12793,7985,12856,7948,12916,7906,12972,7860,13026,7809,13076,7754,13122,7695,13164,7633,13203,7568,13237,7499,13266,7428,13291,7354,13310,7278,13324,7200,13333,7120,13336,7040,13333,6962,13324,6886,13310,6812,13291,6741,13266,6672,13237,6607,13203,6545,13164,6486,13122,6431,13076,6380,13026,6334,12972,6292,12916,6255,12856,6223,12793,6196,12728,6174,12661,6159,12592,6149,12521,6146,12448xe" filled="false" stroked="true" strokeweight="2pt" strokecolor="#385d89">
              <v:path arrowok="t"/>
            </v:shape>
            <v:shape style="position:absolute;left:6536;top:11859;width:414;height:418" coordorigin="6536,11859" coordsize="414,418" path="m6743,11859l6678,11870,6621,11900,6576,11945,6547,12002,6536,12068,6547,12134,6576,12191,6621,12237,6678,12266,6743,12277,6809,12266,6865,12237,6910,12191,6940,12134,6950,12068,6940,12002,6910,11945,6865,11900,6809,11870,6743,11859xe" filled="true" fillcolor="#00af50" stroked="false">
              <v:path arrowok="t"/>
              <v:fill type="solid"/>
            </v:shape>
            <v:shape style="position:absolute;left:6536;top:11859;width:414;height:418" coordorigin="6536,11859" coordsize="414,418" path="m6536,12068l6547,12002,6576,11945,6621,11900,6678,11870,6743,11859,6809,11870,6865,11900,6910,11945,6940,12002,6950,12068,6940,12134,6910,12191,6865,12237,6809,12266,6743,12277,6678,12266,6621,12237,6576,12191,6547,12134,6536,12068xe" filled="false" stroked="true" strokeweight="2pt" strokecolor="#00af50">
              <v:path arrowok="t"/>
            </v:shape>
            <v:shape style="position:absolute;left:6544;top:12562;width:414;height:418" coordorigin="6544,12562" coordsize="414,418" path="m6544,12770l6555,12704,6584,12647,6629,12602,6686,12572,6751,12562,6817,12572,6874,12602,6918,12647,6948,12704,6958,12770,6948,12836,6918,12894,6874,12939,6817,12968,6751,12979,6686,12968,6629,12939,6584,12894,6555,12836,6544,12770xe" filled="false" stroked="true" strokeweight="2pt" strokecolor="#385d89">
              <v:path arrowok="t"/>
            </v:shape>
            <v:shape style="position:absolute;left:7284;top:12552;width:414;height:418" coordorigin="7284,12552" coordsize="414,418" path="m7491,12552l7426,12563,7369,12593,7324,12638,7295,12695,7284,12761,7295,12827,7324,12884,7369,12929,7426,12959,7491,12970,7556,12959,7613,12929,7658,12884,7687,12827,7698,12761,7687,12695,7658,12638,7613,12593,7556,12563,7491,12552xe" filled="true" fillcolor="#4f81bc" stroked="false">
              <v:path arrowok="t"/>
              <v:fill type="solid"/>
            </v:shape>
            <v:shape style="position:absolute;left:7284;top:12552;width:414;height:418" coordorigin="7284,12552" coordsize="414,418" path="m7284,12761l7295,12695,7324,12638,7369,12593,7426,12563,7491,12552,7556,12563,7613,12593,7658,12638,7687,12695,7698,12761,7687,12827,7658,12884,7613,12929,7556,12959,7491,12970,7426,12959,7369,12929,7324,12884,7295,12827,7284,12761xe" filled="false" stroked="true" strokeweight="2pt" strokecolor="#385d89">
              <v:path arrowok="t"/>
            </v:shape>
            <v:shape style="position:absolute;left:7268;top:11859;width:414;height:418" coordorigin="7268,11859" coordsize="414,418" path="m7475,11859l7409,11870,7353,11900,7308,11945,7278,12002,7268,12068,7278,12134,7308,12191,7353,12237,7409,12266,7475,12277,7540,12266,7597,12237,7642,12191,7671,12134,7682,12068,7671,12002,7642,11945,7597,11900,7540,11870,7475,11859xe" filled="true" fillcolor="#c0504d" stroked="false">
              <v:path arrowok="t"/>
              <v:fill type="solid"/>
            </v:shape>
            <v:shape style="position:absolute;left:7268;top:11859;width:414;height:418" coordorigin="7268,11859" coordsize="414,418" path="m7268,12068l7278,12002,7308,11945,7353,11900,7409,11870,7475,11859,7540,11870,7597,11900,7642,11945,7671,12002,7682,12068,7671,12134,7642,12191,7597,12237,7540,12266,7475,12277,7409,12266,7353,12237,7308,12191,7278,12134,7268,12068xe" filled="false" stroked="true" strokeweight="2pt" strokecolor="#c0504d">
              <v:path arrowok="t"/>
            </v:shape>
            <v:shape style="position:absolute;left:6470;top:12019;width:569;height:113" type="#_x0000_t75" stroked="false">
              <v:imagedata r:id="rId120" o:title=""/>
            </v:shape>
            <v:shape style="position:absolute;left:7243;top:12019;width:533;height:113" type="#_x0000_t75" stroked="false">
              <v:imagedata r:id="rId121" o:title=""/>
            </v:shape>
            <v:shape style="position:absolute;left:7224;top:12677;width:552;height:156" type="#_x0000_t75" stroked="false">
              <v:imagedata r:id="rId127" o:title=""/>
            </v:shape>
            <w10:wrap type="none"/>
          </v:group>
        </w:pict>
      </w:r>
      <w:r>
        <w:rPr/>
        <w:pict>
          <v:group style="position:absolute;margin-left:420.549988pt;margin-top:576.48999pt;width:99.4pt;height:90.3pt;mso-position-horizontal-relative:page;mso-position-vertical-relative:page;z-index:-190864" coordorigin="8411,11530" coordsize="1988,1806">
            <v:shape style="position:absolute;left:8431;top:11550;width:1948;height:1766" coordorigin="8431,11550" coordsize="1948,1766" path="m8431,12433l8434,12360,8444,12290,8459,12221,8481,12154,8508,12089,8540,12027,8577,11968,8619,11911,8665,11858,8716,11808,8771,11762,8830,11720,8892,11682,8957,11648,9026,11619,9097,11595,9171,11575,9247,11561,9325,11553,9405,11550,9485,11553,9563,11561,9639,11575,9713,11595,9784,11619,9853,11648,9918,11682,9980,11720,10039,11762,10094,11808,10145,11858,10191,11911,10233,11968,10270,12027,10302,12089,10329,12154,10351,12221,10366,12290,10376,12360,10379,12433,10376,12505,10366,12576,10351,12645,10329,12712,10302,12776,10270,12839,10233,12898,10191,12954,10145,13007,10094,13057,10039,13103,9980,13145,9918,13183,9853,13217,9784,13246,9713,13271,9639,13290,9563,13304,9485,13313,9405,13316,9325,13313,9247,13304,9171,13290,9097,13271,9026,13246,8957,13217,8892,13183,8830,13145,8771,13103,8716,13057,8665,13007,8619,12954,8577,12898,8540,12839,8508,12776,8481,12712,8459,12645,8444,12576,8434,12505,8431,12433xe" filled="false" stroked="true" strokeweight="2.0pt" strokecolor="#385d89">
              <v:path arrowok="t"/>
            </v:shape>
            <v:shape style="position:absolute;left:8821;top:11848;width:414;height:415" coordorigin="8821,11848" coordsize="414,415" path="m9028,11848l8963,11858,8906,11888,8861,11933,8832,11990,8821,12055,8832,12121,8861,12178,8906,12223,8963,12252,9028,12263,9094,12252,9150,12223,9195,12178,9225,12121,9235,12055,9225,11990,9195,11933,9150,11888,9094,11858,9028,11848xe" filled="true" fillcolor="#00af50" stroked="false">
              <v:path arrowok="t"/>
              <v:fill type="solid"/>
            </v:shape>
            <v:shape style="position:absolute;left:8821;top:11848;width:414;height:415" coordorigin="8821,11848" coordsize="414,415" path="m8821,12055l8832,11990,8861,11933,8906,11888,8963,11858,9028,11848,9094,11858,9150,11888,9195,11933,9225,11990,9235,12055,9225,12121,9195,12178,9150,12223,9094,12252,9028,12263,8963,12252,8906,12223,8861,12178,8832,12121,8821,12055xe" filled="false" stroked="true" strokeweight="2pt" strokecolor="#00af50">
              <v:path arrowok="t"/>
            </v:shape>
            <v:shape style="position:absolute;left:8829;top:12546;width:414;height:415" coordorigin="8829,12546" coordsize="414,415" path="m8829,12754l8840,12688,8869,12631,8914,12586,8971,12557,9036,12546,9117,12562,9183,12607,9227,12673,9243,12754,9227,12834,9183,12900,9117,12945,9036,12961,8971,12950,8914,12921,8869,12876,8840,12819,8829,12754xe" filled="false" stroked="true" strokeweight="2pt" strokecolor="#385d89">
              <v:path arrowok="t"/>
            </v:shape>
            <v:shape style="position:absolute;left:9569;top:12537;width:414;height:415" coordorigin="9569,12537" coordsize="414,415" path="m9776,12537l9711,12547,9654,12577,9609,12622,9580,12679,9569,12744,9580,12810,9609,12867,9654,12912,9711,12941,9776,12952,9841,12941,9898,12912,9943,12867,9972,12810,9983,12744,9972,12679,9943,12622,9898,12577,9841,12547,9776,12537xe" filled="true" fillcolor="#4f81bc" stroked="false">
              <v:path arrowok="t"/>
              <v:fill type="solid"/>
            </v:shape>
            <v:shape style="position:absolute;left:9569;top:12537;width:414;height:415" coordorigin="9569,12537" coordsize="414,415" path="m9569,12744l9580,12679,9609,12622,9654,12577,9711,12547,9776,12537,9841,12547,9898,12577,9943,12622,9972,12679,9983,12744,9972,12810,9943,12867,9898,12912,9841,12941,9776,12952,9711,12941,9654,12912,9609,12867,9580,12810,9569,12744xe" filled="false" stroked="true" strokeweight="2pt" strokecolor="#385d89">
              <v:path arrowok="t"/>
            </v:shape>
            <v:shape style="position:absolute;left:9553;top:11848;width:414;height:415" coordorigin="9553,11848" coordsize="414,415" path="m9760,11848l9694,11858,9638,11888,9593,11933,9563,11990,9553,12055,9563,12121,9593,12178,9638,12223,9694,12252,9760,12263,9825,12252,9882,12223,9927,12178,9956,12121,9967,12055,9956,11990,9927,11933,9882,11888,9825,11858,9760,11848xe" filled="true" fillcolor="#c0504d" stroked="false">
              <v:path arrowok="t"/>
              <v:fill type="solid"/>
            </v:shape>
            <v:shape style="position:absolute;left:9553;top:11848;width:414;height:415" coordorigin="9553,11848" coordsize="414,415" path="m9553,12055l9563,11990,9593,11933,9638,11888,9694,11858,9760,11848,9825,11858,9882,11888,9927,11933,9956,11990,9967,12055,9956,12121,9927,12178,9882,12223,9825,12252,9760,12263,9694,12252,9638,12223,9593,12178,9563,12121,9553,12055xe" filled="false" stroked="true" strokeweight="2pt" strokecolor="#c0504d">
              <v:path arrowok="t"/>
            </v:shape>
            <v:shape style="position:absolute;left:8755;top:12007;width:569;height:175" type="#_x0000_t75" stroked="false">
              <v:imagedata r:id="rId128" o:title=""/>
            </v:shape>
            <v:shape style="position:absolute;left:9528;top:12007;width:533;height:125" type="#_x0000_t75" stroked="false">
              <v:imagedata r:id="rId129" o:title=""/>
            </v:shape>
            <v:shape style="position:absolute;left:9528;top:12703;width:533;height:130" type="#_x0000_t75" stroked="false">
              <v:imagedata r:id="rId129" o:title=""/>
            </v:shape>
            <w10:wrap type="none"/>
          </v:group>
        </w:pict>
      </w:r>
    </w:p>
    <w:p>
      <w:pPr>
        <w:pStyle w:val="BodyText"/>
        <w:spacing w:line="482" w:lineRule="auto" w:before="69"/>
        <w:ind w:left="1180"/>
      </w:pPr>
      <w:r>
        <w:rPr/>
        <w:t>A continuación se muestra el esquema que representa la manera en la que se observaban las cajas de Petri</w:t>
      </w:r>
    </w:p>
    <w:p>
      <w:pPr>
        <w:pStyle w:val="BodyText"/>
        <w:spacing w:line="484" w:lineRule="auto" w:before="199"/>
        <w:ind w:left="1180"/>
      </w:pPr>
      <w:r>
        <w:rPr/>
        <w:pict>
          <v:group style="position:absolute;margin-left:66.550003pt;margin-top:9.705876pt;width:32pt;height:20pt;mso-position-horizontal-relative:page;mso-position-vertical-relative:paragraph;z-index:3640" coordorigin="1331,194" coordsize="640,400">
            <v:shape style="position:absolute;left:1351;top:214;width:600;height:360" coordorigin="1351,214" coordsize="600,360" path="m1651,214l1556,223,1474,249,1409,288,1366,337,1351,394,1366,451,1409,500,1474,539,1556,565,1651,574,1746,565,1828,539,1893,500,1936,451,1951,394,1936,337,1893,288,1828,249,1746,223,1651,214xe" filled="true" fillcolor="#00af50" stroked="false">
              <v:path arrowok="t"/>
              <v:fill type="solid"/>
            </v:shape>
            <v:shape style="position:absolute;left:1351;top:214;width:600;height:360" coordorigin="1351,214" coordsize="600,360" path="m1351,394l1409,288,1474,249,1556,223,1651,214,1746,223,1828,249,1893,288,1936,337,1951,394,1936,451,1893,500,1828,539,1746,565,1651,574,1556,565,1474,539,1409,500,1366,451,1351,394xe" filled="false" stroked="true" strokeweight="2pt" strokecolor="#00af50">
              <v:path arrowok="t"/>
            </v:shape>
            <w10:wrap type="none"/>
          </v:group>
        </w:pict>
      </w:r>
      <w:r>
        <w:rPr>
          <w:i/>
        </w:rPr>
        <w:t>Camellia sinensis</w:t>
      </w:r>
      <w:r>
        <w:rPr/>
        <w:t>: se aplicó con micropipeta: 10microlitros, 20microlitros y 30microlitros de nanopartículas de plata sintetizadas por té verde en 3 cajas</w:t>
      </w:r>
    </w:p>
    <w:p>
      <w:pPr>
        <w:pStyle w:val="BodyText"/>
        <w:spacing w:line="484" w:lineRule="auto" w:before="199"/>
        <w:ind w:left="1180"/>
      </w:pPr>
      <w:r>
        <w:rPr/>
        <w:pict>
          <v:group style="position:absolute;margin-left:64.25pt;margin-top:9.675847pt;width:32pt;height:20pt;mso-position-horizontal-relative:page;mso-position-vertical-relative:paragraph;z-index:3568" coordorigin="1285,194" coordsize="640,400">
            <v:shape style="position:absolute;left:1305;top:214;width:600;height:360" coordorigin="1305,214" coordsize="600,360" path="m1605,214l1510,223,1428,248,1363,287,1320,337,1305,394,1320,450,1363,500,1428,539,1510,564,1605,574,1700,564,1782,539,1847,500,1890,450,1905,394,1890,337,1847,287,1782,248,1700,223,1605,214xe" filled="true" fillcolor="#c0504d" stroked="false">
              <v:path arrowok="t"/>
              <v:fill type="solid"/>
            </v:shape>
            <v:shape style="position:absolute;left:1305;top:214;width:600;height:360" coordorigin="1305,214" coordsize="600,360" path="m1305,394l1363,287,1428,248,1510,223,1605,214,1700,223,1782,248,1847,287,1890,337,1905,394,1890,450,1847,500,1782,539,1700,564,1605,574,1510,564,1428,539,1363,500,1320,450,1305,394xe" filled="false" stroked="true" strokeweight="2pt" strokecolor="#c0504d">
              <v:path arrowok="t"/>
            </v:shape>
            <w10:wrap type="none"/>
          </v:group>
        </w:pict>
      </w:r>
      <w:r>
        <w:rPr>
          <w:i/>
        </w:rPr>
        <w:t>Heterotheca inuloides</w:t>
      </w:r>
      <w:r>
        <w:rPr/>
        <w:t>: se aplicaron 10, 20 y 30 microlitros de nanopartículas de plata sintetizadas por árnica en 3 cajas</w:t>
      </w:r>
    </w:p>
    <w:p>
      <w:pPr>
        <w:pStyle w:val="BodyText"/>
        <w:spacing w:line="652" w:lineRule="auto" w:before="202" w:after="18"/>
        <w:ind w:left="1197" w:right="1495" w:firstLine="64"/>
      </w:pPr>
      <w:r>
        <w:rPr/>
        <w:pict>
          <v:group style="position:absolute;margin-left:64.25pt;margin-top:6.345854pt;width:32pt;height:20pt;mso-position-horizontal-relative:page;mso-position-vertical-relative:paragraph;z-index:3592" coordorigin="1285,127" coordsize="640,400">
            <v:shape style="position:absolute;left:1305;top:147;width:600;height:360" coordorigin="1305,147" coordsize="600,360" path="m1605,147l1510,156,1428,182,1363,221,1320,270,1305,327,1320,384,1363,433,1428,472,1510,498,1605,507,1700,498,1782,472,1847,433,1890,384,1905,327,1890,270,1847,221,1782,182,1700,156,1605,147xe" filled="true" fillcolor="#4f81bc" stroked="false">
              <v:path arrowok="t"/>
              <v:fill type="solid"/>
            </v:shape>
            <v:shape style="position:absolute;left:1305;top:147;width:600;height:360" coordorigin="1305,147" coordsize="600,360" path="m1305,327l1363,221,1428,182,1510,156,1605,147,1700,156,1782,182,1847,221,1890,270,1905,327,1890,384,1847,433,1782,472,1700,498,1605,507,1510,498,1428,472,1363,433,1320,384,1305,327xe" filled="false" stroked="true" strokeweight="2pt" strokecolor="#385d89">
              <v:path arrowok="t"/>
            </v:shape>
            <w10:wrap type="none"/>
          </v:group>
        </w:pict>
      </w:r>
      <w:r>
        <w:rPr/>
        <w:pict>
          <v:shape style="position:absolute;margin-left:66pt;margin-top:48.785854pt;width:30pt;height:18pt;mso-position-horizontal-relative:page;mso-position-vertical-relative:paragraph;z-index:3616" coordorigin="1320,976" coordsize="600,360" path="m1320,1156l1378,1049,1443,1010,1525,985,1620,976,1715,985,1797,1010,1862,1049,1905,1099,1920,1156,1905,1213,1862,1262,1797,1301,1715,1327,1620,1336,1525,1327,1443,1301,1378,1262,1335,1213,1320,1156xe" filled="false" stroked="true" strokeweight="2pt" strokecolor="#385d89">
            <v:path arrowok="t"/>
            <w10:wrap type="none"/>
          </v:shape>
        </w:pict>
      </w:r>
      <w:r>
        <w:rPr/>
        <w:pict>
          <v:group style="position:absolute;margin-left:191pt;margin-top:99.135857pt;width:99.4pt;height:90.7pt;mso-position-horizontal-relative:page;mso-position-vertical-relative:paragraph;z-index:-191056" coordorigin="3820,1983" coordsize="1988,1814">
            <v:shape style="position:absolute;left:3840;top:2003;width:1948;height:1774" coordorigin="3840,2003" coordsize="1948,1774" path="m3840,2890l3843,2817,3853,2746,3868,2677,3890,2609,3917,2544,3949,2482,3986,2422,4028,2366,4074,2312,4125,2262,4180,2216,4239,2174,4301,2136,4366,2102,4435,2072,4506,2048,4580,2028,4656,2014,4734,2006,4814,2003,4894,2006,4972,2014,5048,2028,5122,2048,5193,2072,5262,2102,5327,2136,5389,2174,5448,2216,5503,2262,5554,2312,5600,2366,5642,2422,5679,2482,5711,2544,5738,2609,5760,2677,5775,2746,5785,2817,5788,2890,5785,2962,5775,3034,5760,3103,5738,3170,5711,3235,5679,3297,5642,3357,5600,3414,5554,3467,5503,3517,5448,3563,5389,3606,5327,3644,5262,3678,5193,3707,5122,3731,5048,3751,4972,3765,4894,3774,4814,3777,4734,3774,4656,3765,4580,3751,4506,3731,4435,3707,4366,3678,4301,3644,4239,3606,4180,3563,4125,3517,4074,3467,4028,3414,3986,3357,3949,3297,3917,3235,3890,3170,3868,3103,3853,3034,3843,2962,3840,2890xe" filled="false" stroked="true" strokeweight="2pt" strokecolor="#385d89">
              <v:path arrowok="t"/>
            </v:shape>
            <v:shape style="position:absolute;left:4230;top:2302;width:414;height:417" coordorigin="4230,2302" coordsize="414,417" path="m4437,2302l4372,2313,4315,2342,4270,2387,4241,2444,4230,2510,4241,2576,4270,2634,4315,2679,4372,2708,4437,2719,4503,2708,4559,2679,4604,2634,4634,2576,4644,2510,4634,2444,4604,2387,4559,2342,4503,2313,4437,2302xe" filled="true" fillcolor="#00af50" stroked="false">
              <v:path arrowok="t"/>
              <v:fill type="solid"/>
            </v:shape>
            <v:shape style="position:absolute;left:4230;top:2302;width:414;height:417" coordorigin="4230,2302" coordsize="414,417" path="m4230,2510l4241,2444,4270,2387,4315,2342,4372,2313,4437,2302,4503,2313,4559,2342,4604,2387,4634,2444,4644,2510,4634,2576,4604,2634,4559,2679,4503,2708,4437,2719,4372,2708,4315,2679,4270,2634,4241,2576,4230,2510xe" filled="false" stroked="true" strokeweight="2.0pt" strokecolor="#00af50">
              <v:path arrowok="t"/>
            </v:shape>
            <v:shape style="position:absolute;left:4238;top:3004;width:414;height:417" coordorigin="4238,3004" coordsize="414,417" path="m4238,3212l4249,3146,4278,3089,4323,3044,4380,3014,4445,3004,4511,3014,4568,3044,4612,3089,4642,3146,4652,3212,4642,3278,4612,3335,4568,3380,4511,3410,4445,3420,4380,3410,4323,3380,4278,3335,4249,3278,4238,3212xe" filled="false" stroked="true" strokeweight="2pt" strokecolor="#385d89">
              <v:path arrowok="t"/>
            </v:shape>
            <v:shape style="position:absolute;left:4978;top:2994;width:414;height:417" coordorigin="4978,2994" coordsize="414,417" path="m5185,2994l5120,3005,5063,3034,5018,3079,4989,3137,4978,3203,4989,3268,5018,3326,5063,3371,5120,3400,5185,3411,5250,3400,5307,3371,5352,3326,5381,3268,5392,3203,5381,3137,5352,3079,5307,3034,5250,3005,5185,2994xe" filled="true" fillcolor="#4f81bc" stroked="false">
              <v:path arrowok="t"/>
              <v:fill type="solid"/>
            </v:shape>
            <v:shape style="position:absolute;left:4978;top:2994;width:414;height:417" coordorigin="4978,2994" coordsize="414,417" path="m4978,3203l4989,3137,5018,3079,5063,3034,5120,3005,5185,2994,5250,3005,5307,3034,5352,3079,5381,3137,5392,3203,5381,3268,5352,3326,5307,3371,5250,3400,5185,3411,5120,3400,5063,3371,5018,3326,4989,3268,4978,3203xe" filled="false" stroked="true" strokeweight="2.0pt" strokecolor="#385d89">
              <v:path arrowok="t"/>
            </v:shape>
            <v:shape style="position:absolute;left:4962;top:2302;width:414;height:417" coordorigin="4962,2302" coordsize="414,417" path="m5169,2302l5103,2313,5047,2342,5002,2387,4972,2444,4962,2510,4972,2576,5002,2634,5047,2679,5103,2708,5169,2719,5234,2708,5291,2679,5336,2634,5365,2576,5376,2510,5365,2444,5336,2387,5291,2342,5234,2313,5169,2302xe" filled="true" fillcolor="#c0504d" stroked="false">
              <v:path arrowok="t"/>
              <v:fill type="solid"/>
            </v:shape>
            <v:shape style="position:absolute;left:4962;top:2302;width:414;height:417" coordorigin="4962,2302" coordsize="414,417" path="m4962,2510l4972,2444,5002,2387,5047,2342,5103,2313,5169,2302,5234,2313,5291,2342,5336,2387,5365,2444,5376,2510,5365,2576,5336,2634,5291,2679,5234,2708,5169,2719,5103,2708,5047,2679,5002,2634,4972,2576,4962,2510xe" filled="false" stroked="true" strokeweight="2.0pt" strokecolor="#c0504d">
              <v:path arrowok="t"/>
            </v:shape>
            <v:shape style="position:absolute;left:4207;top:2461;width:605;height:110" type="#_x0000_t75" stroked="false">
              <v:imagedata r:id="rId130" o:title=""/>
            </v:shape>
            <v:shape style="position:absolute;left:4944;top:2461;width:614;height:134" type="#_x0000_t75" stroked="false">
              <v:imagedata r:id="rId131" o:title=""/>
            </v:shape>
            <v:shape style="position:absolute;left:4908;top:3162;width:636;height:110" type="#_x0000_t75" stroked="false">
              <v:imagedata r:id="rId132" o:title=""/>
            </v:shape>
            <w10:wrap type="none"/>
          </v:group>
        </w:pict>
      </w:r>
      <w:r>
        <w:rPr/>
        <w:pict>
          <v:group style="position:absolute;margin-left:306.299988pt;margin-top:99.135857pt;width:99.4pt;height:90.7pt;mso-position-horizontal-relative:page;mso-position-vertical-relative:paragraph;z-index:-191032" coordorigin="6126,1983" coordsize="1988,1814">
            <v:shape style="position:absolute;left:6146;top:2003;width:1948;height:1774" coordorigin="6146,2003" coordsize="1948,1774" path="m6146,2890l6149,2817,6159,2746,6174,2677,6196,2609,6223,2544,6255,2482,6292,2422,6334,2366,6380,2312,6431,2262,6486,2216,6545,2174,6607,2136,6672,2102,6741,2072,6812,2048,6886,2028,6962,2014,7040,2006,7120,2003,7200,2006,7278,2014,7354,2028,7428,2048,7499,2072,7568,2102,7633,2136,7695,2174,7754,2216,7809,2262,7860,2312,7906,2366,7948,2422,7985,2482,8017,2544,8044,2609,8066,2677,8081,2746,8091,2817,8094,2890,8091,2962,8081,3034,8066,3103,8044,3170,8017,3235,7985,3297,7948,3357,7906,3414,7860,3467,7809,3517,7754,3563,7695,3606,7633,3644,7568,3678,7499,3707,7428,3731,7354,3751,7278,3765,7200,3774,7120,3777,7040,3774,6962,3765,6886,3751,6812,3731,6741,3707,6672,3678,6607,3644,6545,3606,6486,3563,6431,3517,6380,3467,6334,3414,6292,3357,6255,3297,6223,3235,6196,3170,6174,3103,6159,3034,6149,2962,6146,2890xe" filled="false" stroked="true" strokeweight="2pt" strokecolor="#385d89">
              <v:path arrowok="t"/>
            </v:shape>
            <v:shape style="position:absolute;left:6536;top:2302;width:414;height:417" coordorigin="6536,2302" coordsize="414,417" path="m6743,2302l6678,2313,6621,2342,6576,2387,6547,2444,6536,2510,6547,2576,6576,2634,6621,2679,6678,2708,6743,2719,6809,2708,6865,2679,6910,2634,6940,2576,6950,2510,6940,2444,6910,2387,6865,2342,6809,2313,6743,2302xe" filled="true" fillcolor="#00af50" stroked="false">
              <v:path arrowok="t"/>
              <v:fill type="solid"/>
            </v:shape>
            <v:shape style="position:absolute;left:6536;top:2302;width:414;height:417" coordorigin="6536,2302" coordsize="414,417" path="m6536,2510l6547,2444,6576,2387,6621,2342,6678,2313,6743,2302,6809,2313,6865,2342,6910,2387,6940,2444,6950,2510,6940,2576,6910,2634,6865,2679,6809,2708,6743,2719,6678,2708,6621,2679,6576,2634,6547,2576,6536,2510xe" filled="false" stroked="true" strokeweight="2.0pt" strokecolor="#00af50">
              <v:path arrowok="t"/>
            </v:shape>
            <v:shape style="position:absolute;left:6544;top:3004;width:414;height:417" coordorigin="6544,3004" coordsize="414,417" path="m6544,3212l6555,3146,6584,3089,6629,3044,6686,3014,6751,3004,6817,3014,6874,3044,6918,3089,6948,3146,6958,3212,6948,3278,6918,3335,6874,3380,6817,3410,6751,3420,6686,3410,6629,3380,6584,3335,6555,3278,6544,3212xe" filled="false" stroked="true" strokeweight="2pt" strokecolor="#385d89">
              <v:path arrowok="t"/>
            </v:shape>
            <v:shape style="position:absolute;left:7284;top:2994;width:414;height:417" coordorigin="7284,2994" coordsize="414,417" path="m7491,2994l7426,3005,7369,3034,7324,3079,7295,3137,7284,3203,7295,3268,7324,3326,7369,3371,7426,3400,7491,3411,7556,3400,7613,3371,7658,3326,7687,3268,7698,3203,7687,3137,7658,3079,7613,3034,7556,3005,7491,2994xe" filled="true" fillcolor="#4f81bc" stroked="false">
              <v:path arrowok="t"/>
              <v:fill type="solid"/>
            </v:shape>
            <v:shape style="position:absolute;left:7284;top:2994;width:414;height:417" coordorigin="7284,2994" coordsize="414,417" path="m7284,3203l7295,3137,7324,3079,7369,3034,7426,3005,7491,2994,7556,3005,7613,3034,7658,3079,7687,3137,7698,3203,7687,3268,7658,3326,7613,3371,7556,3400,7491,3411,7426,3400,7369,3371,7324,3326,7295,3268,7284,3203xe" filled="false" stroked="true" strokeweight="2.0pt" strokecolor="#385d89">
              <v:path arrowok="t"/>
            </v:shape>
            <v:shape style="position:absolute;left:7268;top:2302;width:414;height:417" coordorigin="7268,2302" coordsize="414,417" path="m7475,2302l7409,2313,7353,2342,7308,2387,7278,2444,7268,2510,7278,2576,7308,2634,7353,2679,7409,2708,7475,2719,7540,2708,7597,2679,7642,2634,7671,2576,7682,2510,7671,2444,7642,2387,7597,2342,7540,2313,7475,2302xe" filled="true" fillcolor="#c0504d" stroked="false">
              <v:path arrowok="t"/>
              <v:fill type="solid"/>
            </v:shape>
            <v:shape style="position:absolute;left:7268;top:2302;width:414;height:417" coordorigin="7268,2302" coordsize="414,417" path="m7268,2510l7278,2444,7308,2387,7353,2342,7409,2313,7475,2302,7540,2313,7597,2342,7642,2387,7671,2444,7682,2510,7671,2576,7642,2634,7597,2679,7540,2708,7475,2719,7409,2708,7353,2679,7308,2634,7278,2576,7268,2510xe" filled="false" stroked="true" strokeweight="2.0pt" strokecolor="#c0504d">
              <v:path arrowok="t"/>
            </v:shape>
            <v:shape style="position:absolute;left:6482;top:2461;width:557;height:154" type="#_x0000_t75" stroked="false">
              <v:imagedata r:id="rId125" o:title=""/>
            </v:shape>
            <v:shape style="position:absolute;left:7243;top:2461;width:533;height:166" type="#_x0000_t75" stroked="false">
              <v:imagedata r:id="rId133" o:title=""/>
            </v:shape>
            <v:shape style="position:absolute;left:7243;top:3162;width:552;height:178" type="#_x0000_t75" stroked="false">
              <v:imagedata r:id="rId134" o:title=""/>
            </v:shape>
            <w10:wrap type="none"/>
          </v:group>
        </w:pict>
      </w:r>
      <w:r>
        <w:rPr/>
        <w:pict>
          <v:group style="position:absolute;margin-left:420.549988pt;margin-top:98.035858pt;width:99.4pt;height:90.7pt;mso-position-horizontal-relative:page;mso-position-vertical-relative:paragraph;z-index:-191008" coordorigin="8411,1961" coordsize="1988,1814">
            <v:shape style="position:absolute;left:8431;top:1981;width:1948;height:1774" coordorigin="8431,1981" coordsize="1948,1774" path="m8431,2868l8434,2795,8444,2724,8459,2655,8481,2587,8508,2522,8540,2460,8577,2400,8619,2344,8665,2290,8716,2240,8771,2194,8830,2152,8892,2114,8957,2080,9026,2050,9097,2026,9171,2006,9247,1992,9325,1984,9405,1981,9485,1984,9563,1992,9639,2006,9713,2026,9784,2050,9853,2080,9918,2114,9980,2152,10039,2194,10094,2240,10145,2290,10191,2344,10233,2400,10270,2460,10302,2522,10329,2587,10351,2655,10366,2724,10376,2795,10379,2868,10376,2940,10366,3012,10351,3081,10329,3148,10302,3213,10270,3275,10233,3335,10191,3392,10145,3445,10094,3495,10039,3541,9980,3584,9918,3622,9853,3656,9784,3685,9713,3709,9639,3729,9563,3743,9485,3752,9405,3755,9325,3752,9247,3743,9171,3729,9097,3709,9026,3685,8957,3656,8892,3622,8830,3584,8771,3541,8716,3495,8665,3445,8619,3392,8577,3335,8540,3275,8508,3213,8481,3148,8459,3081,8444,3012,8434,2940,8431,2868xe" filled="false" stroked="true" strokeweight="2pt" strokecolor="#385d89">
              <v:path arrowok="t"/>
            </v:shape>
            <v:shape style="position:absolute;left:8821;top:2280;width:414;height:417" coordorigin="8821,2280" coordsize="414,417" path="m9028,2280l8963,2291,8906,2320,8861,2365,8832,2422,8821,2488,8832,2554,8861,2612,8906,2657,8963,2686,9028,2697,9094,2686,9150,2657,9195,2612,9225,2554,9235,2488,9225,2422,9195,2365,9150,2320,9094,2291,9028,2280xe" filled="true" fillcolor="#00af50" stroked="false">
              <v:path arrowok="t"/>
              <v:fill type="solid"/>
            </v:shape>
            <v:shape style="position:absolute;left:8821;top:2280;width:414;height:417" coordorigin="8821,2280" coordsize="414,417" path="m8821,2488l8832,2422,8861,2365,8906,2320,8963,2291,9028,2280,9094,2291,9150,2320,9195,2365,9225,2422,9235,2488,9225,2554,9195,2612,9150,2657,9094,2686,9028,2697,8963,2686,8906,2657,8861,2612,8832,2554,8821,2488xe" filled="false" stroked="true" strokeweight="2.0pt" strokecolor="#00af50">
              <v:path arrowok="t"/>
            </v:shape>
            <v:shape style="position:absolute;left:8829;top:2982;width:414;height:417" coordorigin="8829,2982" coordsize="414,417" path="m8829,3190l8840,3124,8869,3067,8914,3022,8971,2992,9036,2982,9102,2992,9159,3022,9203,3067,9233,3124,9243,3190,9233,3256,9203,3313,9159,3358,9102,3388,9036,3398,8971,3388,8914,3358,8869,3313,8840,3256,8829,3190xe" filled="false" stroked="true" strokeweight="2pt" strokecolor="#385d89">
              <v:path arrowok="t"/>
            </v:shape>
            <v:shape style="position:absolute;left:9569;top:2972;width:414;height:417" coordorigin="9569,2972" coordsize="414,417" path="m9776,2972l9711,2983,9654,3012,9609,3057,9580,3115,9569,3181,9580,3246,9609,3304,9654,3349,9711,3378,9776,3389,9841,3378,9898,3349,9943,3304,9972,3246,9983,3181,9972,3115,9943,3057,9898,3012,9841,2983,9776,2972xe" filled="true" fillcolor="#4f81bc" stroked="false">
              <v:path arrowok="t"/>
              <v:fill type="solid"/>
            </v:shape>
            <v:shape style="position:absolute;left:9569;top:2972;width:414;height:417" coordorigin="9569,2972" coordsize="414,417" path="m9569,3181l9580,3115,9609,3057,9654,3012,9711,2983,9776,2972,9841,2983,9898,3012,9943,3057,9972,3115,9983,3181,9972,3246,9943,3304,9898,3349,9841,3378,9776,3389,9711,3378,9654,3349,9609,3304,9580,3246,9569,3181xe" filled="false" stroked="true" strokeweight="2pt" strokecolor="#385d89">
              <v:path arrowok="t"/>
            </v:shape>
            <v:shape style="position:absolute;left:9553;top:2280;width:414;height:417" coordorigin="9553,2280" coordsize="414,417" path="m9760,2280l9694,2291,9638,2320,9593,2365,9563,2422,9553,2488,9563,2554,9593,2612,9638,2657,9694,2686,9760,2697,9825,2686,9882,2657,9927,2612,9956,2554,9967,2488,9956,2422,9927,2365,9882,2320,9825,2291,9760,2280xe" filled="true" fillcolor="#c0504d" stroked="false">
              <v:path arrowok="t"/>
              <v:fill type="solid"/>
            </v:shape>
            <v:shape style="position:absolute;left:9553;top:2280;width:414;height:417" coordorigin="9553,2280" coordsize="414,417" path="m9553,2488l9563,2422,9593,2365,9638,2320,9694,2291,9760,2280,9825,2291,9882,2320,9927,2365,9956,2422,9967,2488,9956,2554,9927,2612,9882,2657,9825,2686,9760,2697,9694,2686,9638,2657,9593,2612,9563,2554,9553,2488xe" filled="false" stroked="true" strokeweight="2.0pt" strokecolor="#c0504d">
              <v:path arrowok="t"/>
            </v:shape>
            <v:shape style="position:absolute;left:8767;top:2440;width:607;height:156" type="#_x0000_t75" stroked="false">
              <v:imagedata r:id="rId135" o:title=""/>
            </v:shape>
            <v:shape style="position:absolute;left:9528;top:2440;width:533;height:178" type="#_x0000_t75" stroked="false">
              <v:imagedata r:id="rId136" o:title=""/>
            </v:shape>
            <v:shape style="position:absolute;left:9535;top:3141;width:545;height:137" type="#_x0000_t75" stroked="false">
              <v:imagedata r:id="rId137" o:title=""/>
            </v:shape>
            <w10:wrap type="none"/>
          </v:group>
        </w:pict>
      </w:r>
      <w:r>
        <w:rPr/>
        <w:t>CHX: se aplicaron 10, 20 y 30 microlitros de Clorhexidina en 3 cajas Disco en blanco como grupo control</w:t>
      </w: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16"/>
        <w:gridCol w:w="1140"/>
        <w:gridCol w:w="1177"/>
        <w:gridCol w:w="1146"/>
        <w:gridCol w:w="1171"/>
        <w:gridCol w:w="1104"/>
        <w:gridCol w:w="1213"/>
      </w:tblGrid>
      <w:tr>
        <w:trPr>
          <w:trHeight w:val="2218" w:hRule="exact"/>
        </w:trPr>
        <w:tc>
          <w:tcPr>
            <w:tcW w:w="2316" w:type="dxa"/>
          </w:tcPr>
          <w:p>
            <w:pPr>
              <w:pStyle w:val="TableParagraph"/>
              <w:rPr>
                <w:sz w:val="28"/>
              </w:rPr>
            </w:pPr>
          </w:p>
          <w:p>
            <w:pPr>
              <w:pStyle w:val="TableParagraph"/>
              <w:spacing w:before="2"/>
              <w:rPr>
                <w:sz w:val="40"/>
              </w:rPr>
            </w:pPr>
          </w:p>
          <w:p>
            <w:pPr>
              <w:pStyle w:val="TableParagraph"/>
              <w:ind w:left="811"/>
              <w:rPr>
                <w:rFonts w:ascii="Calibri"/>
                <w:sz w:val="28"/>
              </w:rPr>
            </w:pPr>
            <w:r>
              <w:rPr>
                <w:rFonts w:ascii="Calibri"/>
                <w:sz w:val="28"/>
              </w:rPr>
              <w:t>Caja 1</w:t>
            </w:r>
          </w:p>
        </w:tc>
        <w:tc>
          <w:tcPr>
            <w:tcW w:w="1140" w:type="dxa"/>
            <w:tcBorders>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9"/>
              <w:rPr>
                <w:sz w:val="16"/>
              </w:rPr>
            </w:pPr>
          </w:p>
          <w:p>
            <w:pPr>
              <w:pStyle w:val="TableParagraph"/>
              <w:ind w:right="193"/>
              <w:jc w:val="right"/>
              <w:rPr>
                <w:rFonts w:ascii="Calibri" w:hAnsi="Calibri"/>
                <w:sz w:val="12"/>
              </w:rPr>
            </w:pPr>
            <w:r>
              <w:rPr>
                <w:rFonts w:ascii="Calibri" w:hAnsi="Calibri"/>
                <w:sz w:val="12"/>
              </w:rPr>
              <w:t>10 µl</w:t>
            </w:r>
          </w:p>
        </w:tc>
        <w:tc>
          <w:tcPr>
            <w:tcW w:w="1177" w:type="dxa"/>
            <w:tcBorders>
              <w:lef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9"/>
              <w:rPr>
                <w:sz w:val="16"/>
              </w:rPr>
            </w:pPr>
          </w:p>
          <w:p>
            <w:pPr>
              <w:pStyle w:val="TableParagraph"/>
              <w:ind w:left="300"/>
              <w:rPr>
                <w:rFonts w:ascii="Calibri" w:hAnsi="Calibri"/>
                <w:sz w:val="12"/>
              </w:rPr>
            </w:pPr>
            <w:r>
              <w:rPr>
                <w:rFonts w:ascii="Calibri" w:hAnsi="Calibri"/>
                <w:sz w:val="12"/>
              </w:rPr>
              <w:t>20 µl</w:t>
            </w:r>
          </w:p>
          <w:p>
            <w:pPr>
              <w:pStyle w:val="TableParagraph"/>
              <w:rPr>
                <w:sz w:val="12"/>
              </w:rPr>
            </w:pPr>
          </w:p>
          <w:p>
            <w:pPr>
              <w:pStyle w:val="TableParagraph"/>
              <w:rPr>
                <w:sz w:val="12"/>
              </w:rPr>
            </w:pPr>
          </w:p>
          <w:p>
            <w:pPr>
              <w:pStyle w:val="TableParagraph"/>
              <w:rPr>
                <w:sz w:val="12"/>
              </w:rPr>
            </w:pPr>
          </w:p>
          <w:p>
            <w:pPr>
              <w:pStyle w:val="TableParagraph"/>
              <w:spacing w:before="2"/>
              <w:rPr>
                <w:sz w:val="12"/>
              </w:rPr>
            </w:pPr>
          </w:p>
          <w:p>
            <w:pPr>
              <w:pStyle w:val="TableParagraph"/>
              <w:ind w:left="264"/>
              <w:rPr>
                <w:rFonts w:ascii="Calibri" w:hAnsi="Calibri"/>
                <w:sz w:val="12"/>
              </w:rPr>
            </w:pPr>
            <w:r>
              <w:rPr>
                <w:rFonts w:ascii="Calibri" w:hAnsi="Calibri"/>
                <w:sz w:val="12"/>
              </w:rPr>
              <w:t>30 µl</w:t>
            </w:r>
          </w:p>
        </w:tc>
        <w:tc>
          <w:tcPr>
            <w:tcW w:w="1146" w:type="dxa"/>
            <w:tcBorders>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9"/>
              <w:rPr>
                <w:sz w:val="16"/>
              </w:rPr>
            </w:pPr>
          </w:p>
          <w:p>
            <w:pPr>
              <w:pStyle w:val="TableParagraph"/>
              <w:ind w:right="239"/>
              <w:jc w:val="right"/>
              <w:rPr>
                <w:rFonts w:ascii="Calibri" w:hAnsi="Calibri"/>
                <w:sz w:val="12"/>
              </w:rPr>
            </w:pPr>
            <w:r>
              <w:rPr>
                <w:rFonts w:ascii="Calibri" w:hAnsi="Calibri"/>
                <w:sz w:val="12"/>
              </w:rPr>
              <w:t>10 µl</w:t>
            </w:r>
          </w:p>
        </w:tc>
        <w:tc>
          <w:tcPr>
            <w:tcW w:w="1171" w:type="dxa"/>
            <w:tcBorders>
              <w:lef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9"/>
              <w:rPr>
                <w:sz w:val="16"/>
              </w:rPr>
            </w:pPr>
          </w:p>
          <w:p>
            <w:pPr>
              <w:pStyle w:val="TableParagraph"/>
              <w:ind w:left="277"/>
              <w:rPr>
                <w:rFonts w:ascii="Calibri" w:hAnsi="Calibri"/>
                <w:sz w:val="12"/>
              </w:rPr>
            </w:pPr>
            <w:r>
              <w:rPr>
                <w:rFonts w:ascii="Calibri" w:hAnsi="Calibri"/>
                <w:sz w:val="12"/>
              </w:rPr>
              <w:t>20 µl</w:t>
            </w:r>
          </w:p>
          <w:p>
            <w:pPr>
              <w:pStyle w:val="TableParagraph"/>
              <w:rPr>
                <w:sz w:val="12"/>
              </w:rPr>
            </w:pPr>
          </w:p>
          <w:p>
            <w:pPr>
              <w:pStyle w:val="TableParagraph"/>
              <w:rPr>
                <w:sz w:val="12"/>
              </w:rPr>
            </w:pPr>
          </w:p>
          <w:p>
            <w:pPr>
              <w:pStyle w:val="TableParagraph"/>
              <w:rPr>
                <w:sz w:val="12"/>
              </w:rPr>
            </w:pPr>
          </w:p>
          <w:p>
            <w:pPr>
              <w:pStyle w:val="TableParagraph"/>
              <w:spacing w:before="2"/>
              <w:rPr>
                <w:sz w:val="12"/>
              </w:rPr>
            </w:pPr>
          </w:p>
          <w:p>
            <w:pPr>
              <w:pStyle w:val="TableParagraph"/>
              <w:ind w:left="277"/>
              <w:rPr>
                <w:rFonts w:ascii="Calibri" w:hAnsi="Calibri"/>
                <w:sz w:val="12"/>
              </w:rPr>
            </w:pPr>
            <w:r>
              <w:rPr>
                <w:rFonts w:ascii="Calibri" w:hAnsi="Calibri"/>
                <w:sz w:val="12"/>
              </w:rPr>
              <w:t>30 µl</w:t>
            </w:r>
          </w:p>
        </w:tc>
        <w:tc>
          <w:tcPr>
            <w:tcW w:w="1104" w:type="dxa"/>
            <w:tcBorders>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
              <w:rPr>
                <w:sz w:val="14"/>
              </w:rPr>
            </w:pPr>
          </w:p>
          <w:p>
            <w:pPr>
              <w:pStyle w:val="TableParagraph"/>
              <w:ind w:right="229"/>
              <w:jc w:val="right"/>
              <w:rPr>
                <w:rFonts w:ascii="Calibri" w:hAnsi="Calibri"/>
                <w:sz w:val="12"/>
              </w:rPr>
            </w:pPr>
            <w:r>
              <w:rPr>
                <w:rFonts w:ascii="Calibri" w:hAnsi="Calibri"/>
                <w:sz w:val="12"/>
              </w:rPr>
              <w:t>10 µl</w:t>
            </w:r>
          </w:p>
        </w:tc>
        <w:tc>
          <w:tcPr>
            <w:tcW w:w="1213" w:type="dxa"/>
            <w:tcBorders>
              <w:lef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
              <w:rPr>
                <w:sz w:val="14"/>
              </w:rPr>
            </w:pPr>
          </w:p>
          <w:p>
            <w:pPr>
              <w:pStyle w:val="TableParagraph"/>
              <w:ind w:left="288"/>
              <w:rPr>
                <w:rFonts w:ascii="Calibri" w:hAnsi="Calibri"/>
                <w:sz w:val="12"/>
              </w:rPr>
            </w:pPr>
            <w:r>
              <w:rPr>
                <w:rFonts w:ascii="Calibri" w:hAnsi="Calibri"/>
                <w:sz w:val="12"/>
              </w:rPr>
              <w:t>20 µl</w:t>
            </w:r>
          </w:p>
          <w:p>
            <w:pPr>
              <w:pStyle w:val="TableParagraph"/>
              <w:rPr>
                <w:sz w:val="12"/>
              </w:rPr>
            </w:pPr>
          </w:p>
          <w:p>
            <w:pPr>
              <w:pStyle w:val="TableParagraph"/>
              <w:rPr>
                <w:sz w:val="12"/>
              </w:rPr>
            </w:pPr>
          </w:p>
          <w:p>
            <w:pPr>
              <w:pStyle w:val="TableParagraph"/>
              <w:rPr>
                <w:sz w:val="12"/>
              </w:rPr>
            </w:pPr>
          </w:p>
          <w:p>
            <w:pPr>
              <w:pStyle w:val="TableParagraph"/>
              <w:spacing w:before="4"/>
              <w:rPr>
                <w:sz w:val="12"/>
              </w:rPr>
            </w:pPr>
          </w:p>
          <w:p>
            <w:pPr>
              <w:pStyle w:val="TableParagraph"/>
              <w:ind w:left="296"/>
              <w:rPr>
                <w:rFonts w:ascii="Calibri" w:hAnsi="Calibri"/>
                <w:sz w:val="12"/>
              </w:rPr>
            </w:pPr>
            <w:r>
              <w:rPr>
                <w:rFonts w:ascii="Calibri" w:hAnsi="Calibri"/>
                <w:sz w:val="12"/>
              </w:rPr>
              <w:t>30 µl</w:t>
            </w:r>
          </w:p>
        </w:tc>
      </w:tr>
      <w:tr>
        <w:trPr>
          <w:trHeight w:val="2218" w:hRule="exact"/>
        </w:trPr>
        <w:tc>
          <w:tcPr>
            <w:tcW w:w="2316" w:type="dxa"/>
          </w:tcPr>
          <w:p>
            <w:pPr>
              <w:pStyle w:val="TableParagraph"/>
              <w:rPr>
                <w:sz w:val="28"/>
              </w:rPr>
            </w:pPr>
          </w:p>
          <w:p>
            <w:pPr>
              <w:pStyle w:val="TableParagraph"/>
              <w:spacing w:before="10"/>
              <w:rPr>
                <w:sz w:val="36"/>
              </w:rPr>
            </w:pPr>
          </w:p>
          <w:p>
            <w:pPr>
              <w:pStyle w:val="TableParagraph"/>
              <w:ind w:left="791"/>
              <w:rPr>
                <w:rFonts w:ascii="Calibri"/>
                <w:sz w:val="28"/>
              </w:rPr>
            </w:pPr>
            <w:r>
              <w:rPr>
                <w:rFonts w:ascii="Calibri"/>
                <w:sz w:val="28"/>
              </w:rPr>
              <w:t>Caja 2</w:t>
            </w:r>
          </w:p>
        </w:tc>
        <w:tc>
          <w:tcPr>
            <w:tcW w:w="1140" w:type="dxa"/>
            <w:tcBorders>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
              <w:rPr>
                <w:sz w:val="10"/>
              </w:rPr>
            </w:pPr>
          </w:p>
          <w:p>
            <w:pPr>
              <w:pStyle w:val="TableParagraph"/>
              <w:ind w:left="584" w:right="388"/>
              <w:jc w:val="center"/>
              <w:rPr>
                <w:rFonts w:ascii="Calibri"/>
                <w:sz w:val="12"/>
              </w:rPr>
            </w:pPr>
            <w:r>
              <w:rPr>
                <w:rFonts w:ascii="Calibri"/>
                <w:sz w:val="12"/>
              </w:rPr>
              <w:t>20</w:t>
            </w:r>
          </w:p>
        </w:tc>
        <w:tc>
          <w:tcPr>
            <w:tcW w:w="1177" w:type="dxa"/>
            <w:tcBorders>
              <w:lef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
              <w:rPr>
                <w:sz w:val="10"/>
              </w:rPr>
            </w:pPr>
          </w:p>
          <w:p>
            <w:pPr>
              <w:pStyle w:val="TableParagraph"/>
              <w:ind w:left="195"/>
              <w:rPr>
                <w:rFonts w:ascii="Calibri" w:hAnsi="Calibri"/>
                <w:sz w:val="12"/>
              </w:rPr>
            </w:pPr>
            <w:r>
              <w:rPr>
                <w:rFonts w:ascii="Calibri" w:hAnsi="Calibri"/>
                <w:sz w:val="12"/>
              </w:rPr>
              <w:t>30 µl</w:t>
            </w:r>
          </w:p>
          <w:p>
            <w:pPr>
              <w:pStyle w:val="TableParagraph"/>
              <w:rPr>
                <w:sz w:val="12"/>
              </w:rPr>
            </w:pPr>
          </w:p>
          <w:p>
            <w:pPr>
              <w:pStyle w:val="TableParagraph"/>
              <w:rPr>
                <w:sz w:val="12"/>
              </w:rPr>
            </w:pPr>
          </w:p>
          <w:p>
            <w:pPr>
              <w:pStyle w:val="TableParagraph"/>
              <w:rPr>
                <w:sz w:val="12"/>
              </w:rPr>
            </w:pPr>
          </w:p>
          <w:p>
            <w:pPr>
              <w:pStyle w:val="TableParagraph"/>
              <w:spacing w:before="1"/>
              <w:rPr>
                <w:sz w:val="10"/>
              </w:rPr>
            </w:pPr>
          </w:p>
          <w:p>
            <w:pPr>
              <w:pStyle w:val="TableParagraph"/>
              <w:ind w:left="195"/>
              <w:rPr>
                <w:rFonts w:ascii="Calibri" w:hAnsi="Calibri"/>
                <w:sz w:val="12"/>
              </w:rPr>
            </w:pPr>
            <w:r>
              <w:rPr>
                <w:rFonts w:ascii="Calibri" w:hAnsi="Calibri"/>
                <w:sz w:val="12"/>
              </w:rPr>
              <w:t>10 µl</w:t>
            </w:r>
          </w:p>
        </w:tc>
        <w:tc>
          <w:tcPr>
            <w:tcW w:w="1146" w:type="dxa"/>
            <w:tcBorders>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
              <w:rPr>
                <w:sz w:val="16"/>
              </w:rPr>
            </w:pPr>
          </w:p>
          <w:p>
            <w:pPr>
              <w:pStyle w:val="TableParagraph"/>
              <w:spacing w:before="1"/>
              <w:ind w:right="239"/>
              <w:jc w:val="right"/>
              <w:rPr>
                <w:rFonts w:ascii="Calibri" w:hAnsi="Calibri"/>
                <w:sz w:val="12"/>
              </w:rPr>
            </w:pPr>
            <w:r>
              <w:rPr>
                <w:rFonts w:ascii="Calibri" w:hAnsi="Calibri"/>
                <w:sz w:val="12"/>
              </w:rPr>
              <w:t>20 µl</w:t>
            </w:r>
          </w:p>
        </w:tc>
        <w:tc>
          <w:tcPr>
            <w:tcW w:w="1171" w:type="dxa"/>
            <w:tcBorders>
              <w:lef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
              <w:rPr>
                <w:sz w:val="16"/>
              </w:rPr>
            </w:pPr>
          </w:p>
          <w:p>
            <w:pPr>
              <w:pStyle w:val="TableParagraph"/>
              <w:spacing w:before="1"/>
              <w:ind w:left="241"/>
              <w:rPr>
                <w:rFonts w:ascii="Calibri" w:hAnsi="Calibri"/>
                <w:sz w:val="12"/>
              </w:rPr>
            </w:pPr>
            <w:r>
              <w:rPr>
                <w:rFonts w:ascii="Calibri" w:hAnsi="Calibri"/>
                <w:sz w:val="12"/>
              </w:rPr>
              <w:t>30 µl</w:t>
            </w:r>
          </w:p>
          <w:p>
            <w:pPr>
              <w:pStyle w:val="TableParagraph"/>
              <w:rPr>
                <w:sz w:val="12"/>
              </w:rPr>
            </w:pPr>
          </w:p>
          <w:p>
            <w:pPr>
              <w:pStyle w:val="TableParagraph"/>
              <w:rPr>
                <w:sz w:val="12"/>
              </w:rPr>
            </w:pPr>
          </w:p>
          <w:p>
            <w:pPr>
              <w:pStyle w:val="TableParagraph"/>
              <w:rPr>
                <w:sz w:val="12"/>
              </w:rPr>
            </w:pPr>
          </w:p>
          <w:p>
            <w:pPr>
              <w:pStyle w:val="TableParagraph"/>
              <w:spacing w:before="2"/>
              <w:rPr>
                <w:sz w:val="12"/>
              </w:rPr>
            </w:pPr>
          </w:p>
          <w:p>
            <w:pPr>
              <w:pStyle w:val="TableParagraph"/>
              <w:ind w:left="277"/>
              <w:rPr>
                <w:rFonts w:ascii="Calibri" w:hAnsi="Calibri"/>
                <w:sz w:val="12"/>
              </w:rPr>
            </w:pPr>
            <w:r>
              <w:rPr>
                <w:rFonts w:ascii="Calibri" w:hAnsi="Calibri"/>
                <w:sz w:val="12"/>
              </w:rPr>
              <w:t>10 µl</w:t>
            </w:r>
          </w:p>
        </w:tc>
        <w:tc>
          <w:tcPr>
            <w:tcW w:w="1104" w:type="dxa"/>
            <w:tcBorders>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3"/>
              <w:rPr>
                <w:sz w:val="15"/>
              </w:rPr>
            </w:pPr>
          </w:p>
          <w:p>
            <w:pPr>
              <w:pStyle w:val="TableParagraph"/>
              <w:ind w:right="248"/>
              <w:jc w:val="right"/>
              <w:rPr>
                <w:rFonts w:ascii="Calibri" w:hAnsi="Calibri"/>
                <w:sz w:val="12"/>
              </w:rPr>
            </w:pPr>
            <w:r>
              <w:rPr>
                <w:rFonts w:ascii="Calibri" w:hAnsi="Calibri"/>
                <w:sz w:val="12"/>
              </w:rPr>
              <w:t>20 µl</w:t>
            </w:r>
          </w:p>
        </w:tc>
        <w:tc>
          <w:tcPr>
            <w:tcW w:w="1213" w:type="dxa"/>
            <w:tcBorders>
              <w:lef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3"/>
              <w:rPr>
                <w:sz w:val="15"/>
              </w:rPr>
            </w:pPr>
          </w:p>
          <w:p>
            <w:pPr>
              <w:pStyle w:val="TableParagraph"/>
              <w:ind w:left="231"/>
              <w:rPr>
                <w:rFonts w:ascii="Calibri" w:hAnsi="Calibri"/>
                <w:sz w:val="12"/>
              </w:rPr>
            </w:pPr>
            <w:r>
              <w:rPr>
                <w:rFonts w:ascii="Calibri" w:hAnsi="Calibri"/>
                <w:sz w:val="12"/>
              </w:rPr>
              <w:t>30 µl</w:t>
            </w:r>
          </w:p>
          <w:p>
            <w:pPr>
              <w:pStyle w:val="TableParagraph"/>
              <w:rPr>
                <w:sz w:val="12"/>
              </w:rPr>
            </w:pPr>
          </w:p>
          <w:p>
            <w:pPr>
              <w:pStyle w:val="TableParagraph"/>
              <w:rPr>
                <w:sz w:val="12"/>
              </w:rPr>
            </w:pPr>
          </w:p>
          <w:p>
            <w:pPr>
              <w:pStyle w:val="TableParagraph"/>
              <w:rPr>
                <w:sz w:val="12"/>
              </w:rPr>
            </w:pPr>
          </w:p>
          <w:p>
            <w:pPr>
              <w:pStyle w:val="TableParagraph"/>
              <w:spacing w:before="2"/>
              <w:rPr>
                <w:sz w:val="12"/>
              </w:rPr>
            </w:pPr>
          </w:p>
          <w:p>
            <w:pPr>
              <w:pStyle w:val="TableParagraph"/>
              <w:ind w:left="267"/>
              <w:rPr>
                <w:rFonts w:ascii="Calibri" w:hAnsi="Calibri"/>
                <w:sz w:val="12"/>
              </w:rPr>
            </w:pPr>
            <w:r>
              <w:rPr>
                <w:rFonts w:ascii="Calibri" w:hAnsi="Calibri"/>
                <w:sz w:val="12"/>
              </w:rPr>
              <w:t>10 µl</w:t>
            </w:r>
          </w:p>
        </w:tc>
      </w:tr>
      <w:tr>
        <w:trPr>
          <w:trHeight w:val="2218" w:hRule="exact"/>
        </w:trPr>
        <w:tc>
          <w:tcPr>
            <w:tcW w:w="2316" w:type="dxa"/>
          </w:tcPr>
          <w:p>
            <w:pPr>
              <w:pStyle w:val="TableParagraph"/>
              <w:rPr>
                <w:sz w:val="28"/>
              </w:rPr>
            </w:pPr>
          </w:p>
          <w:p>
            <w:pPr>
              <w:pStyle w:val="TableParagraph"/>
              <w:rPr>
                <w:sz w:val="39"/>
              </w:rPr>
            </w:pPr>
          </w:p>
          <w:p>
            <w:pPr>
              <w:pStyle w:val="TableParagraph"/>
              <w:ind w:left="830"/>
              <w:rPr>
                <w:rFonts w:ascii="Calibri"/>
                <w:sz w:val="28"/>
              </w:rPr>
            </w:pPr>
            <w:r>
              <w:rPr>
                <w:rFonts w:ascii="Calibri"/>
                <w:sz w:val="28"/>
              </w:rPr>
              <w:t>Caja 3</w:t>
            </w:r>
          </w:p>
        </w:tc>
        <w:tc>
          <w:tcPr>
            <w:tcW w:w="1140" w:type="dxa"/>
            <w:tcBorders>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ind w:right="236"/>
              <w:jc w:val="right"/>
              <w:rPr>
                <w:rFonts w:ascii="Calibri" w:hAnsi="Calibri"/>
                <w:sz w:val="12"/>
              </w:rPr>
            </w:pPr>
            <w:r>
              <w:rPr>
                <w:rFonts w:ascii="Calibri" w:hAnsi="Calibri"/>
                <w:sz w:val="12"/>
              </w:rPr>
              <w:t>30 µl</w:t>
            </w:r>
          </w:p>
        </w:tc>
        <w:tc>
          <w:tcPr>
            <w:tcW w:w="1177" w:type="dxa"/>
            <w:tcBorders>
              <w:lef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ind w:left="293"/>
              <w:rPr>
                <w:rFonts w:ascii="Calibri" w:hAnsi="Calibri"/>
                <w:sz w:val="12"/>
              </w:rPr>
            </w:pPr>
            <w:r>
              <w:rPr>
                <w:rFonts w:ascii="Calibri" w:hAnsi="Calibri"/>
                <w:sz w:val="12"/>
              </w:rPr>
              <w:t>10 µl</w:t>
            </w:r>
          </w:p>
          <w:p>
            <w:pPr>
              <w:pStyle w:val="TableParagraph"/>
              <w:rPr>
                <w:sz w:val="12"/>
              </w:rPr>
            </w:pPr>
          </w:p>
          <w:p>
            <w:pPr>
              <w:pStyle w:val="TableParagraph"/>
              <w:rPr>
                <w:sz w:val="12"/>
              </w:rPr>
            </w:pPr>
          </w:p>
          <w:p>
            <w:pPr>
              <w:pStyle w:val="TableParagraph"/>
              <w:rPr>
                <w:sz w:val="12"/>
              </w:rPr>
            </w:pPr>
          </w:p>
          <w:p>
            <w:pPr>
              <w:pStyle w:val="TableParagraph"/>
              <w:spacing w:before="104"/>
              <w:ind w:left="279"/>
              <w:rPr>
                <w:rFonts w:ascii="Calibri" w:hAnsi="Calibri"/>
                <w:sz w:val="12"/>
              </w:rPr>
            </w:pPr>
            <w:r>
              <w:rPr>
                <w:rFonts w:ascii="Calibri" w:hAnsi="Calibri"/>
                <w:sz w:val="12"/>
              </w:rPr>
              <w:t>20 µl</w:t>
            </w:r>
          </w:p>
        </w:tc>
        <w:tc>
          <w:tcPr>
            <w:tcW w:w="1146" w:type="dxa"/>
            <w:tcBorders>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ind w:right="251"/>
              <w:jc w:val="right"/>
              <w:rPr>
                <w:rFonts w:ascii="Calibri" w:hAnsi="Calibri"/>
                <w:sz w:val="12"/>
              </w:rPr>
            </w:pPr>
            <w:r>
              <w:rPr>
                <w:rFonts w:ascii="Calibri" w:hAnsi="Calibri"/>
                <w:sz w:val="12"/>
              </w:rPr>
              <w:t>30 µl</w:t>
            </w:r>
          </w:p>
        </w:tc>
        <w:tc>
          <w:tcPr>
            <w:tcW w:w="1171" w:type="dxa"/>
            <w:tcBorders>
              <w:lef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ind w:left="277"/>
              <w:rPr>
                <w:rFonts w:ascii="Calibri" w:hAnsi="Calibri"/>
                <w:sz w:val="12"/>
              </w:rPr>
            </w:pPr>
            <w:r>
              <w:rPr>
                <w:rFonts w:ascii="Calibri" w:hAnsi="Calibri"/>
                <w:sz w:val="12"/>
              </w:rPr>
              <w:t>10 µl</w:t>
            </w:r>
          </w:p>
          <w:p>
            <w:pPr>
              <w:pStyle w:val="TableParagraph"/>
              <w:rPr>
                <w:sz w:val="12"/>
              </w:rPr>
            </w:pPr>
          </w:p>
          <w:p>
            <w:pPr>
              <w:pStyle w:val="TableParagraph"/>
              <w:rPr>
                <w:sz w:val="12"/>
              </w:rPr>
            </w:pPr>
          </w:p>
          <w:p>
            <w:pPr>
              <w:pStyle w:val="TableParagraph"/>
              <w:rPr>
                <w:sz w:val="12"/>
              </w:rPr>
            </w:pPr>
          </w:p>
          <w:p>
            <w:pPr>
              <w:pStyle w:val="TableParagraph"/>
              <w:spacing w:before="99"/>
              <w:ind w:left="258"/>
              <w:rPr>
                <w:rFonts w:ascii="Calibri" w:hAnsi="Calibri"/>
                <w:sz w:val="12"/>
              </w:rPr>
            </w:pPr>
            <w:r>
              <w:rPr>
                <w:rFonts w:ascii="Calibri" w:hAnsi="Calibri"/>
                <w:sz w:val="12"/>
              </w:rPr>
              <w:t>20 µl</w:t>
            </w:r>
          </w:p>
        </w:tc>
        <w:tc>
          <w:tcPr>
            <w:tcW w:w="1104" w:type="dxa"/>
            <w:tcBorders>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2"/>
              <w:rPr>
                <w:sz w:val="11"/>
              </w:rPr>
            </w:pPr>
          </w:p>
          <w:p>
            <w:pPr>
              <w:pStyle w:val="TableParagraph"/>
              <w:ind w:right="241"/>
              <w:jc w:val="right"/>
              <w:rPr>
                <w:rFonts w:ascii="Calibri" w:hAnsi="Calibri"/>
                <w:sz w:val="12"/>
              </w:rPr>
            </w:pPr>
            <w:r>
              <w:rPr>
                <w:rFonts w:ascii="Calibri" w:hAnsi="Calibri"/>
                <w:sz w:val="12"/>
              </w:rPr>
              <w:t>30 µl</w:t>
            </w:r>
          </w:p>
        </w:tc>
        <w:tc>
          <w:tcPr>
            <w:tcW w:w="1213" w:type="dxa"/>
            <w:tcBorders>
              <w:lef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2"/>
              <w:rPr>
                <w:sz w:val="11"/>
              </w:rPr>
            </w:pPr>
          </w:p>
          <w:p>
            <w:pPr>
              <w:pStyle w:val="TableParagraph"/>
              <w:ind w:left="288"/>
              <w:rPr>
                <w:rFonts w:ascii="Calibri" w:hAnsi="Calibri"/>
                <w:sz w:val="12"/>
              </w:rPr>
            </w:pPr>
            <w:r>
              <w:rPr>
                <w:rFonts w:ascii="Calibri" w:hAnsi="Calibri"/>
                <w:sz w:val="12"/>
              </w:rPr>
              <w:t>10 µl</w:t>
            </w:r>
          </w:p>
          <w:p>
            <w:pPr>
              <w:pStyle w:val="TableParagraph"/>
              <w:rPr>
                <w:sz w:val="12"/>
              </w:rPr>
            </w:pPr>
          </w:p>
          <w:p>
            <w:pPr>
              <w:pStyle w:val="TableParagraph"/>
              <w:rPr>
                <w:sz w:val="12"/>
              </w:rPr>
            </w:pPr>
          </w:p>
          <w:p>
            <w:pPr>
              <w:pStyle w:val="TableParagraph"/>
              <w:rPr>
                <w:sz w:val="12"/>
              </w:rPr>
            </w:pPr>
          </w:p>
          <w:p>
            <w:pPr>
              <w:pStyle w:val="TableParagraph"/>
              <w:spacing w:before="9"/>
              <w:rPr>
                <w:sz w:val="11"/>
              </w:rPr>
            </w:pPr>
          </w:p>
          <w:p>
            <w:pPr>
              <w:pStyle w:val="TableParagraph"/>
              <w:ind w:left="288"/>
              <w:rPr>
                <w:rFonts w:ascii="Calibri" w:hAnsi="Calibri"/>
                <w:sz w:val="12"/>
              </w:rPr>
            </w:pPr>
            <w:r>
              <w:rPr>
                <w:rFonts w:ascii="Calibri" w:hAnsi="Calibri"/>
                <w:sz w:val="12"/>
              </w:rPr>
              <w:t>20 µl</w:t>
            </w:r>
          </w:p>
        </w:tc>
      </w:tr>
    </w:tbl>
    <w:p>
      <w:pPr>
        <w:pStyle w:val="BodyText"/>
        <w:rPr>
          <w:sz w:val="20"/>
        </w:rPr>
      </w:pPr>
    </w:p>
    <w:p>
      <w:pPr>
        <w:pStyle w:val="BodyText"/>
        <w:spacing w:before="8"/>
        <w:rPr>
          <w:sz w:val="11"/>
        </w:rPr>
      </w:pPr>
      <w:r>
        <w:rPr/>
        <w:pict>
          <v:shape style="position:absolute;margin-left:54.400002pt;margin-top:9.099977pt;width:490pt;height:27pt;mso-position-horizontal-relative:page;mso-position-vertical-relative:paragraph;z-index:3544;mso-wrap-distance-left:0;mso-wrap-distance-right:0" type="#_x0000_t202" filled="false" stroked="true" strokeweight=".75pt" strokecolor="#000000">
            <v:textbox inset="0,0,0,0">
              <w:txbxContent>
                <w:p>
                  <w:pPr>
                    <w:spacing w:before="70"/>
                    <w:ind w:left="2063" w:right="0" w:firstLine="0"/>
                    <w:jc w:val="left"/>
                    <w:rPr>
                      <w:i/>
                      <w:sz w:val="24"/>
                    </w:rPr>
                  </w:pPr>
                  <w:r>
                    <w:rPr>
                      <w:sz w:val="24"/>
                    </w:rPr>
                    <w:t>f1. 9 cajas de Petri con 4 discos para </w:t>
                  </w:r>
                  <w:r>
                    <w:rPr>
                      <w:i/>
                      <w:sz w:val="24"/>
                    </w:rPr>
                    <w:t>Streptococcus mutans</w:t>
                  </w:r>
                </w:p>
              </w:txbxContent>
            </v:textbox>
            <w10:wrap type="topAndBottom"/>
          </v:shape>
        </w:pict>
      </w:r>
    </w:p>
    <w:p>
      <w:pPr>
        <w:spacing w:after="0"/>
        <w:rPr>
          <w:sz w:val="11"/>
        </w:rPr>
        <w:sectPr>
          <w:pgSz w:w="12240" w:h="15840"/>
          <w:pgMar w:header="736" w:footer="1024" w:top="1180" w:bottom="1220" w:left="980" w:right="1240"/>
        </w:sectPr>
      </w:pPr>
    </w:p>
    <w:p>
      <w:pPr>
        <w:pStyle w:val="BodyText"/>
        <w:spacing w:before="4"/>
        <w:rPr>
          <w:sz w:val="23"/>
        </w:rPr>
      </w:pPr>
      <w:r>
        <w:rPr/>
        <w:pict>
          <v:group style="position:absolute;margin-left:197.25pt;margin-top:81.93pt;width:99.4pt;height:90.7pt;mso-position-horizontal-relative:page;mso-position-vertical-relative:page;z-index:-190816" coordorigin="3945,1639" coordsize="1988,1814">
            <v:shape style="position:absolute;left:3965;top:1659;width:1948;height:1774" coordorigin="3965,1659" coordsize="1948,1774" path="m3965,2546l3968,2473,3978,2402,3993,2332,4015,2265,4042,2200,4074,2138,4111,2078,4153,2022,4199,1968,4250,1918,4305,1872,4364,1830,4426,1791,4491,1758,4560,1728,4631,1704,4705,1684,4781,1670,4859,1662,4939,1659,5019,1662,5097,1670,5173,1684,5247,1704,5318,1728,5387,1758,5452,1791,5514,1830,5573,1872,5628,1918,5679,1968,5725,2022,5767,2078,5804,2138,5836,2200,5863,2265,5885,2332,5900,2402,5910,2473,5913,2546,5910,2618,5900,2689,5885,2759,5863,2826,5836,2891,5804,2953,5767,3013,5725,3069,5679,3123,5628,3173,5573,3219,5514,3261,5452,3300,5387,3334,5318,3363,5247,3387,5173,3407,5097,3421,5019,3430,4939,3433,4859,3430,4781,3421,4705,3407,4631,3387,4560,3363,4491,3334,4426,3300,4364,3261,4305,3219,4250,3173,4199,3123,4153,3069,4111,3013,4074,2953,4042,2891,4015,2826,3993,2759,3978,2689,3968,2618,3965,2546xe" filled="false" stroked="true" strokeweight="2.0pt" strokecolor="#385d89">
              <v:path arrowok="t"/>
            </v:shape>
            <v:shape style="position:absolute;left:4355;top:1958;width:414;height:417" coordorigin="4355,1958" coordsize="414,417" path="m4562,1958l4497,1968,4440,1998,4395,2043,4366,2100,4355,2166,4366,2232,4395,2289,4440,2334,4497,2364,4562,2375,4628,2364,4684,2334,4729,2289,4759,2232,4769,2166,4759,2100,4729,2043,4684,1998,4628,1968,4562,1958xe" filled="true" fillcolor="#00af50" stroked="false">
              <v:path arrowok="t"/>
              <v:fill type="solid"/>
            </v:shape>
            <v:shape style="position:absolute;left:4355;top:1958;width:414;height:417" coordorigin="4355,1958" coordsize="414,417" path="m4355,2166l4366,2100,4395,2043,4440,1998,4497,1968,4562,1958,4628,1968,4684,1998,4729,2043,4759,2100,4769,2166,4759,2232,4729,2289,4684,2334,4628,2364,4562,2375,4497,2364,4440,2334,4395,2289,4366,2232,4355,2166xe" filled="false" stroked="true" strokeweight="2pt" strokecolor="#00af50">
              <v:path arrowok="t"/>
            </v:shape>
            <v:shape style="position:absolute;left:4363;top:2659;width:414;height:417" coordorigin="4363,2659" coordsize="414,417" path="m4363,2868l4374,2802,4403,2745,4448,2700,4505,2670,4570,2659,4636,2670,4693,2700,4737,2745,4767,2802,4777,2868,4767,2934,4737,2991,4693,3036,4636,3066,4570,3076,4505,3066,4448,3036,4403,2991,4374,2934,4363,2868xe" filled="false" stroked="true" strokeweight="2pt" strokecolor="#385d89">
              <v:path arrowok="t"/>
            </v:shape>
            <v:shape style="position:absolute;left:5103;top:2650;width:414;height:417" coordorigin="5103,2650" coordsize="414,417" path="m5310,2650l5245,2661,5188,2690,5143,2735,5114,2793,5103,2858,5114,2924,5143,2982,5188,3027,5245,3056,5310,3067,5375,3056,5432,3027,5477,2982,5506,2924,5517,2858,5506,2793,5477,2735,5432,2690,5375,2661,5310,2650xe" filled="true" fillcolor="#4f81bc" stroked="false">
              <v:path arrowok="t"/>
              <v:fill type="solid"/>
            </v:shape>
            <v:shape style="position:absolute;left:5103;top:2650;width:414;height:417" coordorigin="5103,2650" coordsize="414,417" path="m5103,2858l5114,2793,5143,2735,5188,2690,5245,2661,5310,2650,5375,2661,5432,2690,5477,2735,5506,2793,5517,2858,5506,2924,5477,2982,5432,3027,5375,3056,5310,3067,5245,3056,5188,3027,5143,2982,5114,2924,5103,2858xe" filled="false" stroked="true" strokeweight="2pt" strokecolor="#385d89">
              <v:path arrowok="t"/>
            </v:shape>
            <v:shape style="position:absolute;left:5087;top:1958;width:414;height:417" coordorigin="5087,1958" coordsize="414,417" path="m5294,1958l5228,1968,5172,1998,5127,2043,5097,2100,5087,2166,5097,2232,5127,2289,5172,2334,5228,2364,5294,2375,5359,2364,5416,2334,5461,2289,5490,2232,5501,2166,5490,2100,5461,2043,5416,1998,5359,1968,5294,1958xe" filled="true" fillcolor="#c0504d" stroked="false">
              <v:path arrowok="t"/>
              <v:fill type="solid"/>
            </v:shape>
            <v:shape style="position:absolute;left:5087;top:1958;width:414;height:417" coordorigin="5087,1958" coordsize="414,417" path="m5087,2166l5097,2100,5127,2043,5172,1998,5228,1968,5294,1958,5359,1968,5416,1998,5461,2043,5490,2100,5501,2166,5490,2232,5461,2289,5416,2334,5359,2364,5294,2375,5228,2364,5172,2334,5127,2289,5097,2232,5087,2166xe" filled="false" stroked="true" strokeweight="2pt" strokecolor="#c0504d">
              <v:path arrowok="t"/>
            </v:shape>
            <v:shape style="position:absolute;left:4279;top:2090;width:636;height:180" type="#_x0000_t75" stroked="false">
              <v:imagedata r:id="rId138" o:title=""/>
            </v:shape>
            <v:shape style="position:absolute;left:5050;top:2107;width:614;height:137" type="#_x0000_t75" stroked="false">
              <v:imagedata r:id="rId139" o:title=""/>
            </v:shape>
            <v:shape style="position:absolute;left:5035;top:2810;width:634;height:204" type="#_x0000_t75" stroked="false">
              <v:imagedata r:id="rId140" o:title=""/>
            </v:shape>
            <w10:wrap type="none"/>
          </v:group>
        </w:pict>
      </w:r>
      <w:r>
        <w:rPr/>
        <w:pict>
          <v:group style="position:absolute;margin-left:314.100006pt;margin-top:82.980003pt;width:99.4pt;height:90.7pt;mso-position-horizontal-relative:page;mso-position-vertical-relative:page;z-index:-190792" coordorigin="6282,1660" coordsize="1988,1814">
            <v:shape style="position:absolute;left:6302;top:1680;width:1948;height:1774" coordorigin="6302,1680" coordsize="1948,1774" path="m6302,2567l6305,2494,6315,2423,6330,2353,6352,2286,6379,2221,6411,2159,6448,2099,6490,2043,6536,1989,6587,1939,6642,1893,6701,1851,6763,1812,6828,1779,6897,1749,6968,1725,7042,1705,7118,1691,7196,1683,7276,1680,7356,1683,7434,1691,7510,1705,7584,1725,7655,1749,7724,1779,7789,1812,7851,1851,7910,1893,7965,1939,8016,1989,8062,2043,8104,2099,8141,2159,8173,2221,8200,2286,8222,2353,8237,2423,8247,2494,8250,2567,8247,2639,8237,2710,8222,2780,8200,2847,8173,2912,8141,2974,8104,3034,8062,3090,8016,3144,7965,3194,7910,3240,7851,3282,7789,3321,7724,3355,7655,3384,7584,3408,7510,3428,7434,3442,7356,3451,7276,3454,7196,3451,7118,3442,7042,3428,6968,3408,6897,3384,6828,3355,6763,3321,6701,3282,6642,3240,6587,3194,6536,3144,6490,3090,6448,3034,6411,2974,6379,2912,6352,2847,6330,2780,6315,2710,6305,2639,6302,2567xe" filled="false" stroked="true" strokeweight="2pt" strokecolor="#385d89">
              <v:path arrowok="t"/>
            </v:shape>
            <v:shape style="position:absolute;left:6692;top:1979;width:414;height:417" coordorigin="6692,1979" coordsize="414,417" path="m6899,1979l6834,1989,6777,2019,6732,2064,6703,2121,6692,2187,6703,2253,6732,2310,6777,2355,6834,2385,6899,2396,6965,2385,7021,2355,7066,2310,7096,2253,7106,2187,7096,2121,7066,2064,7021,2019,6965,1989,6899,1979xe" filled="true" fillcolor="#00af50" stroked="false">
              <v:path arrowok="t"/>
              <v:fill type="solid"/>
            </v:shape>
            <v:shape style="position:absolute;left:6692;top:1979;width:414;height:417" coordorigin="6692,1979" coordsize="414,417" path="m6692,2187l6703,2121,6732,2064,6777,2019,6834,1989,6899,1979,6965,1989,7021,2019,7066,2064,7096,2121,7106,2187,7096,2253,7066,2310,7021,2355,6965,2385,6899,2396,6834,2385,6777,2355,6732,2310,6703,2253,6692,2187xe" filled="false" stroked="true" strokeweight="2pt" strokecolor="#00af50">
              <v:path arrowok="t"/>
            </v:shape>
            <v:shape style="position:absolute;left:6700;top:2680;width:414;height:417" coordorigin="6700,2680" coordsize="414,417" path="m6700,2889l6711,2823,6740,2766,6785,2721,6842,2691,6907,2680,6973,2691,7030,2721,7074,2766,7104,2823,7114,2889,7104,2955,7074,3012,7030,3057,6973,3087,6907,3097,6842,3087,6785,3057,6740,3012,6711,2955,6700,2889xe" filled="false" stroked="true" strokeweight="2pt" strokecolor="#385d89">
              <v:path arrowok="t"/>
            </v:shape>
            <v:shape style="position:absolute;left:7440;top:2671;width:414;height:417" coordorigin="7440,2671" coordsize="414,417" path="m7647,2671l7582,2682,7525,2711,7480,2756,7451,2814,7440,2879,7451,2945,7480,3003,7525,3048,7582,3077,7647,3088,7712,3077,7769,3048,7814,3003,7843,2945,7854,2879,7843,2814,7814,2756,7769,2711,7712,2682,7647,2671xe" filled="true" fillcolor="#4f81bc" stroked="false">
              <v:path arrowok="t"/>
              <v:fill type="solid"/>
            </v:shape>
            <v:shape style="position:absolute;left:7440;top:2671;width:414;height:417" coordorigin="7440,2671" coordsize="414,417" path="m7440,2879l7451,2814,7480,2756,7525,2711,7582,2682,7647,2671,7712,2682,7769,2711,7814,2756,7843,2814,7854,2879,7843,2945,7814,3003,7769,3048,7712,3077,7647,3088,7582,3077,7525,3048,7480,3003,7451,2945,7440,2879xe" filled="false" stroked="true" strokeweight="2pt" strokecolor="#385d89">
              <v:path arrowok="t"/>
            </v:shape>
            <v:shape style="position:absolute;left:7424;top:1979;width:414;height:417" coordorigin="7424,1979" coordsize="414,417" path="m7631,1979l7565,1989,7509,2019,7464,2064,7434,2121,7424,2187,7434,2253,7464,2310,7509,2355,7565,2385,7631,2396,7696,2385,7753,2355,7798,2310,7827,2253,7838,2187,7827,2121,7798,2064,7753,2019,7696,1989,7631,1979xe" filled="true" fillcolor="#c0504d" stroked="false">
              <v:path arrowok="t"/>
              <v:fill type="solid"/>
            </v:shape>
            <v:shape style="position:absolute;left:7424;top:1979;width:414;height:417" coordorigin="7424,1979" coordsize="414,417" path="m7424,2187l7434,2121,7464,2064,7509,2019,7565,1989,7631,1979,7696,1989,7753,2019,7798,2064,7827,2121,7838,2187,7827,2253,7798,2310,7753,2355,7696,2385,7631,2396,7565,2385,7509,2355,7464,2310,7434,2253,7424,2187xe" filled="false" stroked="true" strokeweight="2pt" strokecolor="#c0504d">
              <v:path arrowok="t"/>
            </v:shape>
            <v:shape style="position:absolute;left:6638;top:2138;width:557;height:154" type="#_x0000_t75" stroked="false">
              <v:imagedata r:id="rId125" o:title=""/>
            </v:shape>
            <v:shape style="position:absolute;left:7399;top:2138;width:533;height:166" type="#_x0000_t75" stroked="false">
              <v:imagedata r:id="rId133" o:title=""/>
            </v:shape>
            <v:shape style="position:absolute;left:7399;top:2839;width:552;height:180" type="#_x0000_t75" stroked="false">
              <v:imagedata r:id="rId141" o:title=""/>
            </v:shape>
            <w10:wrap type="none"/>
          </v:group>
        </w:pict>
      </w:r>
      <w:r>
        <w:rPr/>
        <w:pict>
          <v:group style="position:absolute;margin-left:432pt;margin-top:82.43pt;width:99.4pt;height:90.7pt;mso-position-horizontal-relative:page;mso-position-vertical-relative:page;z-index:-190768" coordorigin="8640,1649" coordsize="1988,1814">
            <v:shape style="position:absolute;left:8660;top:1669;width:1948;height:1774" coordorigin="8660,1669" coordsize="1948,1774" path="m8660,2556l8663,2483,8673,2412,8688,2342,8710,2275,8737,2210,8769,2148,8806,2088,8848,2032,8894,1978,8945,1928,9000,1882,9059,1840,9121,1801,9186,1768,9255,1738,9326,1714,9400,1694,9476,1680,9554,1672,9634,1669,9714,1672,9792,1680,9868,1694,9942,1714,10013,1738,10082,1768,10147,1801,10209,1840,10268,1882,10323,1928,10374,1978,10420,2032,10462,2088,10499,2148,10531,2210,10558,2275,10580,2342,10595,2412,10605,2483,10608,2556,10605,2628,10595,2699,10580,2769,10558,2836,10531,2901,10499,2963,10462,3023,10420,3079,10374,3133,10323,3183,10268,3229,10209,3271,10147,3310,10082,3344,10013,3373,9942,3397,9868,3417,9792,3431,9714,3440,9634,3443,9554,3440,9476,3431,9400,3417,9326,3397,9255,3373,9186,3344,9121,3310,9059,3271,9000,3229,8945,3183,8894,3133,8848,3079,8806,3023,8769,2963,8737,2901,8710,2836,8688,2769,8673,2699,8663,2628,8660,2556xe" filled="false" stroked="true" strokeweight="2.0pt" strokecolor="#385d89">
              <v:path arrowok="t"/>
            </v:shape>
            <v:shape style="position:absolute;left:9050;top:1968;width:414;height:417" coordorigin="9050,1968" coordsize="414,417" path="m9257,1968l9192,1978,9135,2008,9090,2053,9061,2110,9050,2176,9061,2242,9090,2299,9135,2344,9192,2374,9257,2385,9323,2374,9379,2344,9424,2299,9454,2242,9464,2176,9454,2110,9424,2053,9379,2008,9323,1978,9257,1968xe" filled="true" fillcolor="#00af50" stroked="false">
              <v:path arrowok="t"/>
              <v:fill type="solid"/>
            </v:shape>
            <v:shape style="position:absolute;left:9050;top:1968;width:414;height:417" coordorigin="9050,1968" coordsize="414,417" path="m9050,2176l9061,2110,9090,2053,9135,2008,9192,1978,9257,1968,9323,1978,9379,2008,9424,2053,9454,2110,9464,2176,9454,2242,9424,2299,9379,2344,9323,2374,9257,2385,9192,2374,9135,2344,9090,2299,9061,2242,9050,2176xe" filled="false" stroked="true" strokeweight="2pt" strokecolor="#00af50">
              <v:path arrowok="t"/>
            </v:shape>
            <v:shape style="position:absolute;left:9058;top:2669;width:414;height:417" coordorigin="9058,2669" coordsize="414,417" path="m9058,2878l9069,2812,9098,2755,9143,2710,9200,2680,9265,2669,9331,2680,9387,2710,9432,2755,9462,2812,9472,2878,9462,2944,9432,3001,9387,3046,9331,3076,9265,3086,9200,3076,9143,3046,9098,3001,9069,2944,9058,2878xe" filled="false" stroked="true" strokeweight="2pt" strokecolor="#385d89">
              <v:path arrowok="t"/>
            </v:shape>
            <v:shape style="position:absolute;left:9798;top:2660;width:414;height:417" coordorigin="9798,2660" coordsize="414,417" path="m10005,2660l9940,2671,9883,2700,9838,2745,9809,2803,9798,2868,9809,2934,9838,2992,9883,3037,9940,3066,10005,3077,10070,3066,10127,3037,10172,2992,10201,2934,10212,2868,10201,2803,10172,2745,10127,2700,10070,2671,10005,2660xe" filled="true" fillcolor="#4f81bc" stroked="false">
              <v:path arrowok="t"/>
              <v:fill type="solid"/>
            </v:shape>
            <v:shape style="position:absolute;left:9798;top:2660;width:414;height:417" coordorigin="9798,2660" coordsize="414,417" path="m9798,2868l9809,2803,9838,2745,9883,2700,9940,2671,10005,2660,10070,2671,10127,2700,10172,2745,10201,2803,10212,2868,10201,2934,10172,2992,10127,3037,10070,3066,10005,3077,9940,3066,9883,3037,9838,2992,9809,2934,9798,2868xe" filled="false" stroked="true" strokeweight="2pt" strokecolor="#385d89">
              <v:path arrowok="t"/>
            </v:shape>
            <v:shape style="position:absolute;left:9782;top:1968;width:414;height:417" coordorigin="9782,1968" coordsize="414,417" path="m9989,1968l9923,1978,9867,2008,9822,2053,9792,2110,9782,2176,9792,2242,9822,2299,9867,2344,9923,2374,9989,2385,10054,2374,10111,2344,10156,2299,10185,2242,10196,2176,10185,2110,10156,2053,10111,2008,10054,1978,9989,1968xe" filled="true" fillcolor="#c0504d" stroked="false">
              <v:path arrowok="t"/>
              <v:fill type="solid"/>
            </v:shape>
            <v:shape style="position:absolute;left:9782;top:1968;width:414;height:417" coordorigin="9782,1968" coordsize="414,417" path="m9782,2176l9792,2110,9822,2053,9867,2008,9923,1978,9989,1968,10054,1978,10111,2008,10156,2053,10185,2110,10196,2176,10185,2242,10156,2299,10111,2344,10054,2374,9989,2385,9923,2374,9867,2344,9822,2299,9792,2242,9782,2176xe" filled="false" stroked="true" strokeweight="2pt" strokecolor="#c0504d">
              <v:path arrowok="t"/>
            </v:shape>
            <v:shape style="position:absolute;left:8986;top:2126;width:569;height:180" type="#_x0000_t75" stroked="false">
              <v:imagedata r:id="rId142" o:title=""/>
            </v:shape>
            <v:shape style="position:absolute;left:9756;top:2126;width:535;height:180" type="#_x0000_t75" stroked="false">
              <v:imagedata r:id="rId143" o:title=""/>
            </v:shape>
            <v:shape style="position:absolute;left:9766;top:2827;width:545;height:137" type="#_x0000_t75" stroked="false">
              <v:imagedata r:id="rId137" o:title=""/>
            </v:shape>
            <w10:wrap type="none"/>
          </v:group>
        </w:pict>
      </w:r>
      <w:r>
        <w:rPr/>
        <w:pict>
          <v:group style="position:absolute;margin-left:198.800003pt;margin-top:190.970001pt;width:99.4pt;height:90.7pt;mso-position-horizontal-relative:page;mso-position-vertical-relative:page;z-index:-190744" coordorigin="3976,3819" coordsize="1988,1814">
            <v:shape style="position:absolute;left:3996;top:3839;width:1948;height:1774" coordorigin="3996,3839" coordsize="1948,1774" path="m3996,4726l3999,4654,4009,4582,4024,4513,4046,4446,4073,4381,4105,4319,4142,4259,4184,4202,4230,4149,4281,4099,4336,4053,4395,4011,4457,3972,4522,3938,4591,3909,4662,3885,4736,3865,4812,3851,4890,3842,4970,3839,5050,3842,5128,3851,5204,3865,5278,3885,5349,3909,5418,3938,5483,3972,5545,4011,5604,4053,5659,4099,5710,4149,5756,4202,5798,4259,5835,4319,5867,4381,5894,4446,5916,4513,5931,4582,5941,4654,5944,4726,5941,4799,5931,4870,5916,4940,5894,5007,5867,5072,5835,5134,5798,5194,5756,5250,5710,5304,5659,5354,5604,5400,5545,5442,5483,5480,5418,5514,5349,5544,5278,5568,5204,5588,5128,5602,5050,5610,4970,5613,4890,5610,4812,5602,4736,5588,4662,5568,4591,5544,4522,5514,4457,5480,4395,5442,4336,5400,4281,5354,4230,5304,4184,5250,4142,5194,4105,5134,4073,5072,4046,5007,4024,4940,4009,4870,3999,4799,3996,4726xe" filled="false" stroked="true" strokeweight="2pt" strokecolor="#385d89">
              <v:path arrowok="t"/>
            </v:shape>
            <v:shape style="position:absolute;left:4386;top:4139;width:414;height:417" coordorigin="4386,4139" coordsize="414,417" path="m4593,4139l4528,4149,4471,4179,4426,4224,4397,4281,4386,4347,4397,4413,4426,4470,4471,4515,4528,4545,4593,4555,4659,4545,4715,4515,4760,4470,4790,4413,4800,4347,4790,4281,4760,4224,4715,4179,4659,4149,4593,4139xe" filled="true" fillcolor="#00af50" stroked="false">
              <v:path arrowok="t"/>
              <v:fill type="solid"/>
            </v:shape>
            <v:shape style="position:absolute;left:4386;top:4139;width:414;height:417" coordorigin="4386,4139" coordsize="414,417" path="m4386,4347l4397,4281,4426,4224,4471,4179,4528,4149,4593,4139,4659,4149,4715,4179,4760,4224,4790,4281,4800,4347,4790,4413,4760,4470,4715,4515,4659,4545,4593,4555,4528,4545,4471,4515,4426,4470,4397,4413,4386,4347xe" filled="false" stroked="true" strokeweight="2pt" strokecolor="#00af50">
              <v:path arrowok="t"/>
            </v:shape>
            <v:shape style="position:absolute;left:4394;top:4840;width:414;height:417" coordorigin="4394,4840" coordsize="414,417" path="m4394,5049l4405,4983,4434,4926,4479,4880,4536,4851,4601,4840,4667,4851,4724,4880,4768,4926,4798,4983,4808,5049,4798,5115,4768,5172,4724,5217,4667,5246,4601,5257,4536,5246,4479,5217,4434,5172,4405,5115,4394,5049xe" filled="false" stroked="true" strokeweight="2pt" strokecolor="#385d89">
              <v:path arrowok="t"/>
            </v:shape>
            <v:shape style="position:absolute;left:5134;top:4831;width:414;height:417" coordorigin="5134,4831" coordsize="414,417" path="m5341,4831l5276,4841,5219,4871,5174,4916,5145,4973,5134,5039,5145,5105,5174,5162,5219,5207,5276,5237,5341,5248,5406,5237,5463,5207,5508,5162,5537,5105,5548,5039,5537,4973,5508,4916,5463,4871,5406,4841,5341,4831xe" filled="true" fillcolor="#4f81bc" stroked="false">
              <v:path arrowok="t"/>
              <v:fill type="solid"/>
            </v:shape>
            <v:shape style="position:absolute;left:5134;top:4831;width:414;height:417" coordorigin="5134,4831" coordsize="414,417" path="m5134,5039l5145,4973,5174,4916,5219,4871,5276,4841,5341,4831,5406,4841,5463,4871,5508,4916,5537,4973,5548,5039,5537,5105,5508,5162,5463,5207,5406,5237,5341,5248,5276,5237,5219,5207,5174,5162,5145,5105,5134,5039xe" filled="false" stroked="true" strokeweight="2pt" strokecolor="#385d89">
              <v:path arrowok="t"/>
            </v:shape>
            <v:shape style="position:absolute;left:5118;top:4139;width:414;height:417" coordorigin="5118,4139" coordsize="414,417" path="m5325,4139l5259,4149,5203,4179,5158,4224,5128,4281,5118,4347,5128,4413,5158,4470,5203,4515,5259,4545,5325,4555,5390,4545,5447,4515,5492,4470,5521,4413,5532,4347,5521,4281,5492,4224,5447,4179,5390,4149,5325,4139xe" filled="true" fillcolor="#c0504d" stroked="false">
              <v:path arrowok="t"/>
              <v:fill type="solid"/>
            </v:shape>
            <v:shape style="position:absolute;left:5118;top:4139;width:414;height:417" coordorigin="5118,4139" coordsize="414,417" path="m5118,4347l5128,4281,5158,4224,5203,4179,5259,4149,5325,4139,5390,4149,5447,4179,5492,4224,5521,4281,5532,4347,5521,4413,5492,4470,5447,4515,5390,4545,5325,4555,5259,4545,5203,4515,5158,4470,5128,4413,5118,4347xe" filled="false" stroked="true" strokeweight="2pt" strokecolor="#c0504d">
              <v:path arrowok="t"/>
            </v:shape>
            <v:shape style="position:absolute;left:4332;top:4279;width:559;height:173" type="#_x0000_t75" stroked="false">
              <v:imagedata r:id="rId126" o:title=""/>
            </v:shape>
            <v:shape style="position:absolute;left:5057;top:4296;width:569;height:146" type="#_x0000_t75" stroked="false">
              <v:imagedata r:id="rId118" o:title=""/>
            </v:shape>
            <v:shape style="position:absolute;left:5083;top:4951;width:552;height:180" type="#_x0000_t75" stroked="false">
              <v:imagedata r:id="rId141" o:title=""/>
            </v:shape>
            <w10:wrap type="none"/>
          </v:group>
        </w:pict>
      </w:r>
      <w:r>
        <w:rPr/>
        <w:pict>
          <v:group style="position:absolute;margin-left:314.100006pt;margin-top:192.020004pt;width:99.4pt;height:90.7pt;mso-position-horizontal-relative:page;mso-position-vertical-relative:page;z-index:-190696" coordorigin="6282,3840" coordsize="1988,1814">
            <v:shape style="position:absolute;left:6302;top:3860;width:1948;height:1774" coordorigin="6302,3860" coordsize="1948,1774" path="m6302,4747l6305,4675,6315,4603,6330,4534,6352,4467,6379,4402,6411,4340,6448,4280,6490,4223,6536,4170,6587,4120,6642,4074,6701,4032,6763,3993,6828,3959,6897,3930,6968,3906,7042,3886,7118,3872,7196,3863,7276,3860,7356,3863,7434,3872,7510,3886,7584,3906,7655,3930,7724,3959,7789,3993,7851,4032,7910,4074,7965,4120,8016,4170,8062,4223,8104,4280,8141,4340,8173,4402,8200,4467,8222,4534,8237,4603,8247,4675,8250,4747,8247,4820,8237,4891,8222,4961,8200,5028,8173,5093,8141,5155,8104,5215,8062,5271,8016,5325,7965,5375,7910,5421,7851,5463,7789,5501,7724,5535,7655,5565,7584,5589,7510,5609,7434,5623,7356,5631,7276,5634,7196,5631,7118,5623,7042,5609,6968,5589,6897,5565,6828,5535,6763,5501,6701,5463,6642,5421,6587,5375,6536,5325,6490,5271,6448,5215,6411,5155,6379,5093,6352,5028,6330,4961,6315,4891,6305,4820,6302,4747xe" filled="false" stroked="true" strokeweight="2.0pt" strokecolor="#385d89">
              <v:path arrowok="t"/>
            </v:shape>
            <v:shape style="position:absolute;left:6692;top:4160;width:414;height:417" coordorigin="6692,4160" coordsize="414,417" path="m6899,4160l6834,4170,6777,4200,6732,4245,6703,4302,6692,4368,6703,4434,6732,4491,6777,4536,6834,4566,6899,4577,6965,4566,7021,4536,7066,4491,7096,4434,7106,4368,7096,4302,7066,4245,7021,4200,6965,4170,6899,4160xe" filled="true" fillcolor="#00af50" stroked="false">
              <v:path arrowok="t"/>
              <v:fill type="solid"/>
            </v:shape>
            <v:shape style="position:absolute;left:6692;top:4160;width:414;height:417" coordorigin="6692,4160" coordsize="414,417" path="m6692,4368l6703,4302,6732,4245,6777,4200,6834,4170,6899,4160,6965,4170,7021,4200,7066,4245,7096,4302,7106,4368,7096,4434,7066,4491,7021,4536,6965,4566,6899,4577,6834,4566,6777,4536,6732,4491,6703,4434,6692,4368xe" filled="false" stroked="true" strokeweight="2.0pt" strokecolor="#00af50">
              <v:path arrowok="t"/>
            </v:shape>
            <v:shape style="position:absolute;left:6700;top:4861;width:414;height:417" coordorigin="6700,4861" coordsize="414,417" path="m6700,5070l6711,5004,6740,4947,6785,4901,6842,4872,6907,4861,6973,4872,7030,4901,7074,4947,7104,5004,7114,5070,7104,5136,7074,5193,7030,5238,6973,5267,6907,5278,6842,5267,6785,5238,6740,5193,6711,5136,6700,5070xe" filled="false" stroked="true" strokeweight="2pt" strokecolor="#385d89">
              <v:path arrowok="t"/>
            </v:shape>
            <v:shape style="position:absolute;left:7440;top:4852;width:414;height:417" coordorigin="7440,4852" coordsize="414,417" path="m7647,4852l7582,4862,7525,4892,7480,4937,7451,4994,7440,5060,7451,5126,7480,5183,7525,5228,7582,5258,7647,5269,7712,5258,7769,5228,7814,5183,7843,5126,7854,5060,7843,4994,7814,4937,7769,4892,7712,4862,7647,4852xe" filled="true" fillcolor="#4f81bc" stroked="false">
              <v:path arrowok="t"/>
              <v:fill type="solid"/>
            </v:shape>
            <v:shape style="position:absolute;left:7440;top:4852;width:414;height:417" coordorigin="7440,4852" coordsize="414,417" path="m7440,5060l7451,4994,7480,4937,7525,4892,7582,4862,7647,4852,7712,4862,7769,4892,7814,4937,7843,4994,7854,5060,7843,5126,7814,5183,7769,5228,7712,5258,7647,5269,7582,5258,7525,5228,7480,5183,7451,5126,7440,5060xe" filled="false" stroked="true" strokeweight="2pt" strokecolor="#385d89">
              <v:path arrowok="t"/>
            </v:shape>
            <v:shape style="position:absolute;left:7424;top:4160;width:414;height:417" coordorigin="7424,4160" coordsize="414,417" path="m7631,4160l7565,4170,7509,4200,7464,4245,7434,4302,7424,4368,7434,4434,7464,4491,7509,4536,7565,4566,7631,4577,7696,4566,7753,4536,7798,4491,7827,4434,7838,4368,7827,4302,7798,4245,7753,4200,7696,4170,7631,4160xe" filled="true" fillcolor="#c0504d" stroked="false">
              <v:path arrowok="t"/>
              <v:fill type="solid"/>
            </v:shape>
            <v:shape style="position:absolute;left:7424;top:4160;width:414;height:417" coordorigin="7424,4160" coordsize="414,417" path="m7424,4368l7434,4302,7464,4245,7509,4200,7565,4170,7631,4160,7696,4170,7753,4200,7798,4245,7827,4302,7838,4368,7827,4434,7798,4491,7753,4536,7696,4566,7631,4577,7565,4566,7509,4536,7464,4491,7434,4434,7424,4368xe" filled="false" stroked="true" strokeweight="2.0pt" strokecolor="#c0504d">
              <v:path arrowok="t"/>
            </v:shape>
            <v:shape style="position:absolute;left:6638;top:4318;width:557;height:113" type="#_x0000_t75" stroked="false">
              <v:imagedata r:id="rId144" o:title=""/>
            </v:shape>
            <v:shape style="position:absolute;left:7363;top:4318;width:569;height:146" type="#_x0000_t75" stroked="false">
              <v:imagedata r:id="rId118" o:title=""/>
            </v:shape>
            <v:shape style="position:absolute;left:7399;top:4982;width:552;height:170" type="#_x0000_t75" stroked="false">
              <v:imagedata r:id="rId124" o:title=""/>
            </v:shape>
            <w10:wrap type="none"/>
          </v:group>
        </w:pict>
      </w:r>
      <w:r>
        <w:rPr/>
        <w:pict>
          <v:group style="position:absolute;margin-left:431.5pt;margin-top:191.470001pt;width:99.4pt;height:90.7pt;mso-position-horizontal-relative:page;mso-position-vertical-relative:page;z-index:-190672" coordorigin="8630,3829" coordsize="1988,1814">
            <v:shape style="position:absolute;left:8650;top:3849;width:1948;height:1774" coordorigin="8650,3849" coordsize="1948,1774" path="m8650,4736l8653,4664,8663,4592,8678,4523,8700,4456,8727,4391,8759,4329,8796,4269,8838,4212,8884,4159,8935,4109,8990,4063,9049,4021,9111,3982,9176,3948,9245,3919,9316,3895,9390,3875,9466,3861,9544,3852,9624,3849,9704,3852,9782,3861,9858,3875,9932,3895,10003,3919,10072,3948,10137,3982,10199,4021,10258,4063,10313,4109,10364,4159,10410,4212,10452,4269,10489,4329,10521,4391,10548,4456,10570,4523,10585,4592,10595,4664,10598,4736,10595,4809,10585,4880,10570,4950,10548,5017,10521,5082,10489,5144,10452,5204,10410,5260,10364,5314,10313,5364,10258,5410,10199,5452,10137,5490,10072,5524,10003,5554,9932,5578,9858,5598,9782,5612,9704,5620,9624,5623,9544,5620,9466,5612,9390,5598,9316,5578,9245,5554,9176,5524,9111,5490,9049,5452,8990,5410,8935,5364,8884,5314,8838,5260,8796,5204,8759,5144,8727,5082,8700,5017,8678,4950,8663,4880,8653,4809,8650,4736xe" filled="false" stroked="true" strokeweight="2pt" strokecolor="#385d89">
              <v:path arrowok="t"/>
            </v:shape>
            <v:shape style="position:absolute;left:9040;top:4149;width:414;height:417" coordorigin="9040,4149" coordsize="414,417" path="m9247,4149l9182,4159,9125,4189,9080,4234,9051,4291,9040,4357,9051,4423,9080,4480,9125,4525,9182,4555,9247,4565,9313,4555,9369,4525,9414,4480,9444,4423,9454,4357,9444,4291,9414,4234,9369,4189,9313,4159,9247,4149xe" filled="true" fillcolor="#00af50" stroked="false">
              <v:path arrowok="t"/>
              <v:fill type="solid"/>
            </v:shape>
            <v:shape style="position:absolute;left:9040;top:4149;width:414;height:417" coordorigin="9040,4149" coordsize="414,417" path="m9040,4357l9051,4291,9080,4234,9125,4189,9182,4159,9247,4149,9313,4159,9369,4189,9414,4234,9444,4291,9454,4357,9444,4423,9414,4480,9369,4525,9313,4555,9247,4565,9182,4555,9125,4525,9080,4480,9051,4423,9040,4357xe" filled="false" stroked="true" strokeweight="2pt" strokecolor="#00af50">
              <v:path arrowok="t"/>
            </v:shape>
            <v:shape style="position:absolute;left:9048;top:4850;width:414;height:417" coordorigin="9048,4850" coordsize="414,417" path="m9048,5059l9059,4993,9088,4936,9133,4890,9190,4861,9255,4850,9321,4861,9377,4890,9422,4936,9452,4993,9462,5059,9452,5125,9422,5182,9377,5227,9321,5256,9255,5267,9190,5256,9133,5227,9088,5182,9059,5125,9048,5059xe" filled="false" stroked="true" strokeweight="2pt" strokecolor="#385d89">
              <v:path arrowok="t"/>
            </v:shape>
            <v:shape style="position:absolute;left:9788;top:4841;width:414;height:417" coordorigin="9788,4841" coordsize="414,417" path="m9995,4841l9930,4851,9873,4881,9828,4926,9799,4983,9788,5049,9799,5115,9828,5172,9873,5217,9930,5247,9995,5258,10060,5247,10117,5217,10162,5172,10191,5115,10202,5049,10191,4983,10162,4926,10117,4881,10060,4851,9995,4841xe" filled="true" fillcolor="#4f81bc" stroked="false">
              <v:path arrowok="t"/>
              <v:fill type="solid"/>
            </v:shape>
            <v:shape style="position:absolute;left:9788;top:4841;width:414;height:417" coordorigin="9788,4841" coordsize="414,417" path="m9788,5049l9799,4983,9828,4926,9873,4881,9930,4851,9995,4841,10060,4851,10117,4881,10162,4926,10191,4983,10202,5049,10191,5115,10162,5172,10117,5217,10060,5247,9995,5258,9930,5247,9873,5217,9828,5172,9799,5115,9788,5049xe" filled="false" stroked="true" strokeweight="2pt" strokecolor="#385d89">
              <v:path arrowok="t"/>
            </v:shape>
            <v:shape style="position:absolute;left:9772;top:4149;width:414;height:417" coordorigin="9772,4149" coordsize="414,417" path="m9979,4149l9913,4159,9857,4189,9812,4234,9782,4291,9772,4357,9782,4423,9812,4480,9857,4525,9913,4555,9979,4565,10044,4555,10101,4525,10146,4480,10175,4423,10186,4357,10175,4291,10146,4234,10101,4189,10044,4159,9979,4149xe" filled="true" fillcolor="#c0504d" stroked="false">
              <v:path arrowok="t"/>
              <v:fill type="solid"/>
            </v:shape>
            <v:shape style="position:absolute;left:9772;top:4149;width:414;height:417" coordorigin="9772,4149" coordsize="414,417" path="m9772,4357l9782,4291,9812,4234,9857,4189,9913,4159,9979,4149,10044,4159,10101,4189,10146,4234,10175,4291,10186,4357,10175,4423,10146,4480,10101,4525,10044,4555,9979,4565,9913,4555,9857,4525,9812,4480,9782,4423,9772,4357xe" filled="false" stroked="true" strokeweight="2pt" strokecolor="#c0504d">
              <v:path arrowok="t"/>
            </v:shape>
            <v:shape style="position:absolute;left:8911;top:4308;width:634;height:187" type="#_x0000_t75" stroked="false">
              <v:imagedata r:id="rId145" o:title=""/>
            </v:shape>
            <v:shape style="position:absolute;left:9710;top:4308;width:569;height:144" type="#_x0000_t75" stroked="false">
              <v:imagedata r:id="rId118" o:title=""/>
            </v:shape>
            <v:shape style="position:absolute;left:9710;top:4951;width:590;height:190" type="#_x0000_t75" stroked="false">
              <v:imagedata r:id="rId146" o:title=""/>
            </v:shape>
            <w10:wrap type="none"/>
          </v:group>
        </w:pic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5"/>
        <w:gridCol w:w="2393"/>
        <w:gridCol w:w="2396"/>
        <w:gridCol w:w="2393"/>
      </w:tblGrid>
      <w:tr>
        <w:trPr>
          <w:trHeight w:val="2218" w:hRule="exact"/>
        </w:trPr>
        <w:tc>
          <w:tcPr>
            <w:tcW w:w="2395" w:type="dxa"/>
          </w:tcPr>
          <w:p>
            <w:pPr>
              <w:pStyle w:val="TableParagraph"/>
              <w:rPr>
                <w:sz w:val="28"/>
              </w:rPr>
            </w:pPr>
          </w:p>
          <w:p>
            <w:pPr>
              <w:pStyle w:val="TableParagraph"/>
              <w:spacing w:before="5"/>
              <w:rPr>
                <w:sz w:val="40"/>
              </w:rPr>
            </w:pPr>
          </w:p>
          <w:p>
            <w:pPr>
              <w:pStyle w:val="TableParagraph"/>
              <w:ind w:left="791"/>
              <w:rPr>
                <w:rFonts w:ascii="Calibri"/>
                <w:sz w:val="28"/>
              </w:rPr>
            </w:pPr>
            <w:r>
              <w:rPr>
                <w:rFonts w:ascii="Calibri"/>
                <w:sz w:val="28"/>
              </w:rPr>
              <w:t>Caja 1</w:t>
            </w:r>
          </w:p>
        </w:tc>
        <w:tc>
          <w:tcPr>
            <w:tcW w:w="2393" w:type="dxa"/>
          </w:tcPr>
          <w:p>
            <w:pPr>
              <w:pStyle w:val="TableParagraph"/>
              <w:rPr>
                <w:sz w:val="14"/>
              </w:rPr>
            </w:pPr>
          </w:p>
          <w:p>
            <w:pPr>
              <w:pStyle w:val="TableParagraph"/>
              <w:rPr>
                <w:sz w:val="14"/>
              </w:rPr>
            </w:pPr>
          </w:p>
          <w:p>
            <w:pPr>
              <w:pStyle w:val="TableParagraph"/>
              <w:rPr>
                <w:sz w:val="14"/>
              </w:rPr>
            </w:pPr>
          </w:p>
          <w:p>
            <w:pPr>
              <w:pStyle w:val="TableParagraph"/>
              <w:spacing w:before="3"/>
              <w:rPr>
                <w:sz w:val="11"/>
              </w:rPr>
            </w:pPr>
          </w:p>
          <w:p>
            <w:pPr>
              <w:pStyle w:val="TableParagraph"/>
              <w:tabs>
                <w:tab w:pos="1462" w:val="left" w:leader="none"/>
              </w:tabs>
              <w:ind w:left="691"/>
              <w:rPr>
                <w:rFonts w:ascii="Calibri" w:hAnsi="Calibri"/>
                <w:sz w:val="12"/>
              </w:rPr>
            </w:pPr>
            <w:r>
              <w:rPr>
                <w:rFonts w:ascii="Calibri" w:hAnsi="Calibri"/>
                <w:position w:val="2"/>
                <w:sz w:val="12"/>
              </w:rPr>
              <w:t>10</w:t>
            </w:r>
            <w:r>
              <w:rPr>
                <w:rFonts w:ascii="Calibri" w:hAnsi="Calibri"/>
                <w:spacing w:val="-2"/>
                <w:position w:val="2"/>
                <w:sz w:val="12"/>
              </w:rPr>
              <w:t> </w:t>
            </w:r>
            <w:r>
              <w:rPr>
                <w:rFonts w:ascii="Calibri" w:hAnsi="Calibri"/>
                <w:position w:val="2"/>
                <w:sz w:val="12"/>
              </w:rPr>
              <w:t>µl</w:t>
              <w:tab/>
            </w:r>
            <w:r>
              <w:rPr>
                <w:rFonts w:ascii="Calibri" w:hAnsi="Calibri"/>
                <w:sz w:val="12"/>
              </w:rPr>
              <w:t>20</w:t>
            </w:r>
            <w:r>
              <w:rPr>
                <w:rFonts w:ascii="Calibri" w:hAnsi="Calibri"/>
                <w:spacing w:val="-2"/>
                <w:sz w:val="12"/>
              </w:rPr>
              <w:t> </w:t>
            </w:r>
            <w:r>
              <w:rPr>
                <w:rFonts w:ascii="Calibri" w:hAnsi="Calibri"/>
                <w:sz w:val="12"/>
              </w:rPr>
              <w:t>µl</w:t>
            </w:r>
          </w:p>
          <w:p>
            <w:pPr>
              <w:pStyle w:val="TableParagraph"/>
              <w:rPr>
                <w:sz w:val="14"/>
              </w:rPr>
            </w:pPr>
          </w:p>
          <w:p>
            <w:pPr>
              <w:pStyle w:val="TableParagraph"/>
              <w:rPr>
                <w:sz w:val="14"/>
              </w:rPr>
            </w:pPr>
          </w:p>
          <w:p>
            <w:pPr>
              <w:pStyle w:val="TableParagraph"/>
              <w:spacing w:before="4"/>
              <w:rPr>
                <w:sz w:val="20"/>
              </w:rPr>
            </w:pPr>
          </w:p>
          <w:p>
            <w:pPr>
              <w:pStyle w:val="TableParagraph"/>
              <w:ind w:left="1445"/>
              <w:rPr>
                <w:rFonts w:ascii="Calibri" w:hAnsi="Calibri"/>
                <w:sz w:val="12"/>
              </w:rPr>
            </w:pPr>
            <w:r>
              <w:rPr>
                <w:rFonts w:ascii="Calibri" w:hAnsi="Calibri"/>
                <w:sz w:val="12"/>
              </w:rPr>
              <w:t>30 µl</w:t>
            </w:r>
          </w:p>
        </w:tc>
        <w:tc>
          <w:tcPr>
            <w:tcW w:w="2396" w:type="dxa"/>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
              <w:rPr>
                <w:sz w:val="9"/>
              </w:rPr>
            </w:pPr>
          </w:p>
          <w:p>
            <w:pPr>
              <w:pStyle w:val="TableParagraph"/>
              <w:tabs>
                <w:tab w:pos="1418" w:val="left" w:leader="none"/>
              </w:tabs>
              <w:ind w:left="658"/>
              <w:rPr>
                <w:rFonts w:ascii="Calibri" w:hAnsi="Calibri"/>
                <w:sz w:val="12"/>
              </w:rPr>
            </w:pPr>
            <w:r>
              <w:rPr>
                <w:rFonts w:ascii="Calibri" w:hAnsi="Calibri"/>
                <w:sz w:val="12"/>
              </w:rPr>
              <w:t>10</w:t>
            </w:r>
            <w:r>
              <w:rPr>
                <w:rFonts w:ascii="Calibri" w:hAnsi="Calibri"/>
                <w:spacing w:val="-2"/>
                <w:sz w:val="12"/>
              </w:rPr>
              <w:t> </w:t>
            </w:r>
            <w:r>
              <w:rPr>
                <w:rFonts w:ascii="Calibri" w:hAnsi="Calibri"/>
                <w:sz w:val="12"/>
              </w:rPr>
              <w:t>µl</w:t>
              <w:tab/>
              <w:t>20</w:t>
            </w:r>
            <w:r>
              <w:rPr>
                <w:rFonts w:ascii="Calibri" w:hAnsi="Calibri"/>
                <w:spacing w:val="-2"/>
                <w:sz w:val="12"/>
              </w:rPr>
              <w:t> </w:t>
            </w:r>
            <w:r>
              <w:rPr>
                <w:rFonts w:ascii="Calibri" w:hAnsi="Calibri"/>
                <w:sz w:val="12"/>
              </w:rPr>
              <w:t>µl</w:t>
            </w:r>
          </w:p>
          <w:p>
            <w:pPr>
              <w:pStyle w:val="TableParagraph"/>
              <w:rPr>
                <w:sz w:val="12"/>
              </w:rPr>
            </w:pPr>
          </w:p>
          <w:p>
            <w:pPr>
              <w:pStyle w:val="TableParagraph"/>
              <w:rPr>
                <w:sz w:val="12"/>
              </w:rPr>
            </w:pPr>
          </w:p>
          <w:p>
            <w:pPr>
              <w:pStyle w:val="TableParagraph"/>
              <w:rPr>
                <w:sz w:val="12"/>
              </w:rPr>
            </w:pPr>
          </w:p>
          <w:p>
            <w:pPr>
              <w:pStyle w:val="TableParagraph"/>
              <w:spacing w:before="2"/>
              <w:rPr>
                <w:sz w:val="12"/>
              </w:rPr>
            </w:pPr>
          </w:p>
          <w:p>
            <w:pPr>
              <w:pStyle w:val="TableParagraph"/>
              <w:ind w:left="1418"/>
              <w:rPr>
                <w:rFonts w:ascii="Calibri" w:hAnsi="Calibri"/>
                <w:sz w:val="12"/>
              </w:rPr>
            </w:pPr>
            <w:r>
              <w:rPr>
                <w:rFonts w:ascii="Calibri" w:hAnsi="Calibri"/>
                <w:sz w:val="12"/>
              </w:rPr>
              <w:t>30 µl</w:t>
            </w:r>
          </w:p>
        </w:tc>
        <w:tc>
          <w:tcPr>
            <w:tcW w:w="2393" w:type="dxa"/>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tabs>
                <w:tab w:pos="1380" w:val="left" w:leader="none"/>
              </w:tabs>
              <w:spacing w:before="99"/>
              <w:ind w:left="609"/>
              <w:rPr>
                <w:rFonts w:ascii="Calibri" w:hAnsi="Calibri"/>
                <w:sz w:val="12"/>
              </w:rPr>
            </w:pPr>
            <w:r>
              <w:rPr>
                <w:rFonts w:ascii="Calibri" w:hAnsi="Calibri"/>
                <w:sz w:val="12"/>
              </w:rPr>
              <w:t>10</w:t>
            </w:r>
            <w:r>
              <w:rPr>
                <w:rFonts w:ascii="Calibri" w:hAnsi="Calibri"/>
                <w:spacing w:val="-1"/>
                <w:sz w:val="12"/>
              </w:rPr>
              <w:t> </w:t>
            </w:r>
            <w:r>
              <w:rPr>
                <w:rFonts w:ascii="Calibri" w:hAnsi="Calibri"/>
                <w:sz w:val="12"/>
              </w:rPr>
              <w:t>µl</w:t>
              <w:tab/>
              <w:t>20</w:t>
            </w:r>
            <w:r>
              <w:rPr>
                <w:rFonts w:ascii="Calibri" w:hAnsi="Calibri"/>
                <w:spacing w:val="-2"/>
                <w:sz w:val="12"/>
              </w:rPr>
              <w:t> </w:t>
            </w:r>
            <w:r>
              <w:rPr>
                <w:rFonts w:ascii="Calibri" w:hAnsi="Calibri"/>
                <w:sz w:val="12"/>
              </w:rPr>
              <w:t>µl</w:t>
            </w:r>
          </w:p>
          <w:p>
            <w:pPr>
              <w:pStyle w:val="TableParagraph"/>
              <w:rPr>
                <w:sz w:val="12"/>
              </w:rPr>
            </w:pPr>
          </w:p>
          <w:p>
            <w:pPr>
              <w:pStyle w:val="TableParagraph"/>
              <w:rPr>
                <w:sz w:val="12"/>
              </w:rPr>
            </w:pPr>
          </w:p>
          <w:p>
            <w:pPr>
              <w:pStyle w:val="TableParagraph"/>
              <w:rPr>
                <w:sz w:val="12"/>
              </w:rPr>
            </w:pPr>
          </w:p>
          <w:p>
            <w:pPr>
              <w:pStyle w:val="TableParagraph"/>
              <w:spacing w:before="2"/>
              <w:rPr>
                <w:sz w:val="12"/>
              </w:rPr>
            </w:pPr>
          </w:p>
          <w:p>
            <w:pPr>
              <w:pStyle w:val="TableParagraph"/>
              <w:ind w:left="1390"/>
              <w:rPr>
                <w:rFonts w:ascii="Calibri" w:hAnsi="Calibri"/>
                <w:sz w:val="12"/>
              </w:rPr>
            </w:pPr>
            <w:r>
              <w:rPr>
                <w:rFonts w:ascii="Calibri" w:hAnsi="Calibri"/>
                <w:sz w:val="12"/>
              </w:rPr>
              <w:t>30 µl</w:t>
            </w:r>
          </w:p>
        </w:tc>
      </w:tr>
      <w:tr>
        <w:trPr>
          <w:trHeight w:val="2218" w:hRule="exact"/>
        </w:trPr>
        <w:tc>
          <w:tcPr>
            <w:tcW w:w="2395" w:type="dxa"/>
          </w:tcPr>
          <w:p>
            <w:pPr>
              <w:pStyle w:val="TableParagraph"/>
              <w:rPr>
                <w:sz w:val="28"/>
              </w:rPr>
            </w:pPr>
          </w:p>
          <w:p>
            <w:pPr>
              <w:pStyle w:val="TableParagraph"/>
              <w:rPr>
                <w:sz w:val="28"/>
              </w:rPr>
            </w:pPr>
          </w:p>
          <w:p>
            <w:pPr>
              <w:pStyle w:val="TableParagraph"/>
              <w:spacing w:before="232"/>
              <w:ind w:left="782"/>
              <w:rPr>
                <w:rFonts w:ascii="Calibri"/>
                <w:sz w:val="28"/>
              </w:rPr>
            </w:pPr>
            <w:r>
              <w:rPr>
                <w:rFonts w:ascii="Calibri"/>
                <w:sz w:val="28"/>
              </w:rPr>
              <w:t>Caja 2</w:t>
            </w:r>
          </w:p>
        </w:tc>
        <w:tc>
          <w:tcPr>
            <w:tcW w:w="2393" w:type="dxa"/>
          </w:tcPr>
          <w:p>
            <w:pPr>
              <w:pStyle w:val="TableParagraph"/>
              <w:rPr>
                <w:sz w:val="14"/>
              </w:rPr>
            </w:pPr>
          </w:p>
          <w:p>
            <w:pPr>
              <w:pStyle w:val="TableParagraph"/>
              <w:rPr>
                <w:sz w:val="14"/>
              </w:rPr>
            </w:pPr>
          </w:p>
          <w:p>
            <w:pPr>
              <w:pStyle w:val="TableParagraph"/>
              <w:rPr>
                <w:sz w:val="14"/>
              </w:rPr>
            </w:pPr>
          </w:p>
          <w:p>
            <w:pPr>
              <w:pStyle w:val="TableParagraph"/>
              <w:tabs>
                <w:tab w:pos="1469" w:val="left" w:leader="none"/>
              </w:tabs>
              <w:spacing w:before="100"/>
              <w:ind w:left="744"/>
              <w:rPr>
                <w:rFonts w:ascii="Calibri" w:hAnsi="Calibri"/>
                <w:sz w:val="12"/>
              </w:rPr>
            </w:pPr>
            <w:r>
              <w:rPr>
                <w:rFonts w:ascii="Calibri" w:hAnsi="Calibri"/>
                <w:position w:val="2"/>
                <w:sz w:val="12"/>
              </w:rPr>
              <w:t>20</w:t>
            </w:r>
            <w:r>
              <w:rPr>
                <w:rFonts w:ascii="Calibri" w:hAnsi="Calibri"/>
                <w:spacing w:val="-2"/>
                <w:position w:val="2"/>
                <w:sz w:val="12"/>
              </w:rPr>
              <w:t> </w:t>
            </w:r>
            <w:r>
              <w:rPr>
                <w:rFonts w:ascii="Calibri" w:hAnsi="Calibri"/>
                <w:position w:val="2"/>
                <w:sz w:val="12"/>
              </w:rPr>
              <w:t>µl</w:t>
              <w:tab/>
            </w:r>
            <w:r>
              <w:rPr>
                <w:rFonts w:ascii="Calibri" w:hAnsi="Calibri"/>
                <w:sz w:val="12"/>
              </w:rPr>
              <w:t>30</w:t>
            </w:r>
            <w:r>
              <w:rPr>
                <w:rFonts w:ascii="Calibri" w:hAnsi="Calibri"/>
                <w:spacing w:val="-2"/>
                <w:sz w:val="12"/>
              </w:rPr>
              <w:t> </w:t>
            </w:r>
            <w:r>
              <w:rPr>
                <w:rFonts w:ascii="Calibri" w:hAnsi="Calibri"/>
                <w:sz w:val="12"/>
              </w:rPr>
              <w:t>µl</w:t>
            </w:r>
          </w:p>
          <w:p>
            <w:pPr>
              <w:pStyle w:val="TableParagraph"/>
              <w:rPr>
                <w:sz w:val="14"/>
              </w:rPr>
            </w:pPr>
          </w:p>
          <w:p>
            <w:pPr>
              <w:pStyle w:val="TableParagraph"/>
              <w:rPr>
                <w:sz w:val="14"/>
              </w:rPr>
            </w:pPr>
          </w:p>
          <w:p>
            <w:pPr>
              <w:pStyle w:val="TableParagraph"/>
              <w:spacing w:before="2"/>
              <w:rPr>
                <w:sz w:val="16"/>
              </w:rPr>
            </w:pPr>
          </w:p>
          <w:p>
            <w:pPr>
              <w:pStyle w:val="TableParagraph"/>
              <w:ind w:left="1495"/>
              <w:rPr>
                <w:rFonts w:ascii="Calibri" w:hAnsi="Calibri"/>
                <w:sz w:val="12"/>
              </w:rPr>
            </w:pPr>
            <w:r>
              <w:rPr>
                <w:rFonts w:ascii="Calibri" w:hAnsi="Calibri"/>
                <w:sz w:val="12"/>
              </w:rPr>
              <w:t>10 µl</w:t>
            </w:r>
          </w:p>
        </w:tc>
        <w:tc>
          <w:tcPr>
            <w:tcW w:w="2396" w:type="dxa"/>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tabs>
                <w:tab w:pos="1382" w:val="left" w:leader="none"/>
              </w:tabs>
              <w:spacing w:before="73"/>
              <w:ind w:left="658"/>
              <w:rPr>
                <w:rFonts w:ascii="Calibri" w:hAnsi="Calibri"/>
                <w:sz w:val="12"/>
              </w:rPr>
            </w:pPr>
            <w:r>
              <w:rPr>
                <w:rFonts w:ascii="Calibri" w:hAnsi="Calibri"/>
                <w:sz w:val="12"/>
              </w:rPr>
              <w:t>20</w:t>
            </w:r>
            <w:r>
              <w:rPr>
                <w:rFonts w:ascii="Calibri" w:hAnsi="Calibri"/>
                <w:spacing w:val="-2"/>
                <w:sz w:val="12"/>
              </w:rPr>
              <w:t> </w:t>
            </w:r>
            <w:r>
              <w:rPr>
                <w:rFonts w:ascii="Calibri" w:hAnsi="Calibri"/>
                <w:sz w:val="12"/>
              </w:rPr>
              <w:t>µl</w:t>
              <w:tab/>
              <w:t>30</w:t>
            </w:r>
            <w:r>
              <w:rPr>
                <w:rFonts w:ascii="Calibri" w:hAnsi="Calibri"/>
                <w:spacing w:val="-2"/>
                <w:sz w:val="12"/>
              </w:rPr>
              <w:t> </w:t>
            </w:r>
            <w:r>
              <w:rPr>
                <w:rFonts w:ascii="Calibri" w:hAnsi="Calibri"/>
                <w:sz w:val="12"/>
              </w:rPr>
              <w:t>µl</w:t>
            </w:r>
          </w:p>
          <w:p>
            <w:pPr>
              <w:pStyle w:val="TableParagraph"/>
              <w:rPr>
                <w:sz w:val="12"/>
              </w:rPr>
            </w:pPr>
          </w:p>
          <w:p>
            <w:pPr>
              <w:pStyle w:val="TableParagraph"/>
              <w:rPr>
                <w:sz w:val="12"/>
              </w:rPr>
            </w:pPr>
          </w:p>
          <w:p>
            <w:pPr>
              <w:pStyle w:val="TableParagraph"/>
              <w:rPr>
                <w:sz w:val="12"/>
              </w:rPr>
            </w:pPr>
          </w:p>
          <w:p>
            <w:pPr>
              <w:pStyle w:val="TableParagraph"/>
              <w:spacing w:before="105"/>
              <w:ind w:left="1418"/>
              <w:rPr>
                <w:rFonts w:ascii="Calibri" w:hAnsi="Calibri"/>
                <w:sz w:val="12"/>
              </w:rPr>
            </w:pPr>
            <w:r>
              <w:rPr>
                <w:rFonts w:ascii="Calibri" w:hAnsi="Calibri"/>
                <w:sz w:val="12"/>
              </w:rPr>
              <w:t>10 µl</w:t>
            </w:r>
          </w:p>
        </w:tc>
        <w:tc>
          <w:tcPr>
            <w:tcW w:w="2393" w:type="dxa"/>
          </w:tcPr>
          <w:p>
            <w:pPr>
              <w:pStyle w:val="TableParagraph"/>
              <w:rPr>
                <w:sz w:val="12"/>
              </w:rPr>
            </w:pPr>
          </w:p>
          <w:p>
            <w:pPr>
              <w:pStyle w:val="TableParagraph"/>
              <w:rPr>
                <w:sz w:val="12"/>
              </w:rPr>
            </w:pPr>
          </w:p>
          <w:p>
            <w:pPr>
              <w:pStyle w:val="TableParagraph"/>
              <w:rPr>
                <w:sz w:val="12"/>
              </w:rPr>
            </w:pPr>
          </w:p>
          <w:p>
            <w:pPr>
              <w:pStyle w:val="TableParagraph"/>
              <w:spacing w:before="5"/>
              <w:rPr>
                <w:sz w:val="17"/>
              </w:rPr>
            </w:pPr>
          </w:p>
          <w:p>
            <w:pPr>
              <w:pStyle w:val="TableParagraph"/>
              <w:tabs>
                <w:tab w:pos="1334" w:val="left" w:leader="none"/>
              </w:tabs>
              <w:spacing w:before="1"/>
              <w:ind w:left="535"/>
              <w:rPr>
                <w:rFonts w:ascii="Calibri" w:hAnsi="Calibri"/>
                <w:sz w:val="12"/>
              </w:rPr>
            </w:pPr>
            <w:r>
              <w:rPr>
                <w:rFonts w:ascii="Calibri" w:hAnsi="Calibri"/>
                <w:sz w:val="12"/>
              </w:rPr>
              <w:t>20</w:t>
            </w:r>
            <w:r>
              <w:rPr>
                <w:rFonts w:ascii="Calibri" w:hAnsi="Calibri"/>
                <w:spacing w:val="-1"/>
                <w:sz w:val="12"/>
              </w:rPr>
              <w:t> </w:t>
            </w:r>
            <w:r>
              <w:rPr>
                <w:rFonts w:ascii="Calibri" w:hAnsi="Calibri"/>
                <w:sz w:val="12"/>
              </w:rPr>
              <w:t>µl</w:t>
              <w:tab/>
              <w:t>30</w:t>
            </w:r>
            <w:r>
              <w:rPr>
                <w:rFonts w:ascii="Calibri" w:hAnsi="Calibri"/>
                <w:spacing w:val="-2"/>
                <w:sz w:val="12"/>
              </w:rPr>
              <w:t> </w:t>
            </w:r>
            <w:r>
              <w:rPr>
                <w:rFonts w:ascii="Calibri" w:hAnsi="Calibri"/>
                <w:sz w:val="12"/>
              </w:rPr>
              <w:t>µl</w:t>
            </w:r>
          </w:p>
          <w:p>
            <w:pPr>
              <w:pStyle w:val="TableParagraph"/>
              <w:rPr>
                <w:sz w:val="12"/>
              </w:rPr>
            </w:pPr>
          </w:p>
          <w:p>
            <w:pPr>
              <w:pStyle w:val="TableParagraph"/>
              <w:rPr>
                <w:sz w:val="12"/>
              </w:rPr>
            </w:pPr>
          </w:p>
          <w:p>
            <w:pPr>
              <w:pStyle w:val="TableParagraph"/>
              <w:rPr>
                <w:sz w:val="12"/>
              </w:rPr>
            </w:pPr>
          </w:p>
          <w:p>
            <w:pPr>
              <w:pStyle w:val="TableParagraph"/>
              <w:spacing w:before="82"/>
              <w:ind w:left="1314" w:right="787"/>
              <w:jc w:val="center"/>
              <w:rPr>
                <w:rFonts w:ascii="Calibri" w:hAnsi="Calibri"/>
                <w:sz w:val="12"/>
              </w:rPr>
            </w:pPr>
            <w:r>
              <w:rPr>
                <w:rFonts w:ascii="Calibri" w:hAnsi="Calibri"/>
                <w:sz w:val="12"/>
              </w:rPr>
              <w:t>10 µl</w:t>
            </w:r>
          </w:p>
        </w:tc>
      </w:tr>
      <w:tr>
        <w:trPr>
          <w:trHeight w:val="2218" w:hRule="exact"/>
        </w:trPr>
        <w:tc>
          <w:tcPr>
            <w:tcW w:w="2395" w:type="dxa"/>
          </w:tcPr>
          <w:p>
            <w:pPr>
              <w:pStyle w:val="TableParagraph"/>
              <w:rPr>
                <w:sz w:val="28"/>
              </w:rPr>
            </w:pPr>
          </w:p>
          <w:p>
            <w:pPr>
              <w:pStyle w:val="TableParagraph"/>
              <w:spacing w:before="2"/>
              <w:rPr>
                <w:sz w:val="35"/>
              </w:rPr>
            </w:pPr>
          </w:p>
          <w:p>
            <w:pPr>
              <w:pStyle w:val="TableParagraph"/>
              <w:ind w:left="796"/>
              <w:rPr>
                <w:rFonts w:ascii="Calibri"/>
                <w:sz w:val="28"/>
              </w:rPr>
            </w:pPr>
            <w:r>
              <w:rPr>
                <w:rFonts w:ascii="Calibri"/>
                <w:sz w:val="28"/>
              </w:rPr>
              <w:t>Caja 3</w:t>
            </w:r>
          </w:p>
        </w:tc>
        <w:tc>
          <w:tcPr>
            <w:tcW w:w="2393" w:type="dxa"/>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
              <w:rPr>
                <w:sz w:val="11"/>
              </w:rPr>
            </w:pPr>
          </w:p>
          <w:p>
            <w:pPr>
              <w:pStyle w:val="TableParagraph"/>
              <w:tabs>
                <w:tab w:pos="1469" w:val="left" w:leader="none"/>
              </w:tabs>
              <w:spacing w:before="1"/>
              <w:ind w:left="713"/>
              <w:rPr>
                <w:rFonts w:ascii="Calibri" w:hAnsi="Calibri"/>
                <w:sz w:val="12"/>
              </w:rPr>
            </w:pPr>
            <w:r>
              <w:rPr>
                <w:rFonts w:ascii="Calibri" w:hAnsi="Calibri"/>
                <w:sz w:val="12"/>
              </w:rPr>
              <w:t>30</w:t>
            </w:r>
            <w:r>
              <w:rPr>
                <w:rFonts w:ascii="Calibri" w:hAnsi="Calibri"/>
                <w:spacing w:val="-2"/>
                <w:sz w:val="12"/>
              </w:rPr>
              <w:t> </w:t>
            </w:r>
            <w:r>
              <w:rPr>
                <w:rFonts w:ascii="Calibri" w:hAnsi="Calibri"/>
                <w:sz w:val="12"/>
              </w:rPr>
              <w:t>µl</w:t>
              <w:tab/>
              <w:t>10</w:t>
            </w:r>
            <w:r>
              <w:rPr>
                <w:rFonts w:ascii="Calibri" w:hAnsi="Calibri"/>
                <w:spacing w:val="-2"/>
                <w:sz w:val="12"/>
              </w:rPr>
              <w:t> </w:t>
            </w:r>
            <w:r>
              <w:rPr>
                <w:rFonts w:ascii="Calibri" w:hAnsi="Calibri"/>
                <w:sz w:val="12"/>
              </w:rPr>
              <w:t>µl</w:t>
            </w:r>
          </w:p>
          <w:p>
            <w:pPr>
              <w:pStyle w:val="TableParagraph"/>
              <w:rPr>
                <w:sz w:val="12"/>
              </w:rPr>
            </w:pPr>
          </w:p>
          <w:p>
            <w:pPr>
              <w:pStyle w:val="TableParagraph"/>
              <w:rPr>
                <w:sz w:val="12"/>
              </w:rPr>
            </w:pPr>
          </w:p>
          <w:p>
            <w:pPr>
              <w:pStyle w:val="TableParagraph"/>
              <w:rPr>
                <w:sz w:val="12"/>
              </w:rPr>
            </w:pPr>
          </w:p>
          <w:p>
            <w:pPr>
              <w:pStyle w:val="TableParagraph"/>
              <w:spacing w:before="4"/>
              <w:rPr>
                <w:sz w:val="11"/>
              </w:rPr>
            </w:pPr>
          </w:p>
          <w:p>
            <w:pPr>
              <w:pStyle w:val="TableParagraph"/>
              <w:ind w:left="1483"/>
              <w:rPr>
                <w:rFonts w:ascii="Calibri" w:hAnsi="Calibri"/>
                <w:sz w:val="12"/>
              </w:rPr>
            </w:pPr>
            <w:r>
              <w:rPr>
                <w:rFonts w:ascii="Calibri" w:hAnsi="Calibri"/>
                <w:sz w:val="12"/>
              </w:rPr>
              <w:t>20 µl</w:t>
            </w:r>
          </w:p>
        </w:tc>
        <w:tc>
          <w:tcPr>
            <w:tcW w:w="2396" w:type="dxa"/>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0"/>
              <w:rPr>
                <w:sz w:val="14"/>
              </w:rPr>
            </w:pPr>
          </w:p>
          <w:p>
            <w:pPr>
              <w:pStyle w:val="TableParagraph"/>
              <w:tabs>
                <w:tab w:pos="1382" w:val="left" w:leader="none"/>
              </w:tabs>
              <w:ind w:left="646"/>
              <w:rPr>
                <w:rFonts w:ascii="Calibri" w:hAnsi="Calibri"/>
                <w:sz w:val="12"/>
              </w:rPr>
            </w:pPr>
            <w:r>
              <w:rPr>
                <w:rFonts w:ascii="Calibri" w:hAnsi="Calibri"/>
                <w:position w:val="1"/>
                <w:sz w:val="12"/>
              </w:rPr>
              <w:t>30</w:t>
            </w:r>
            <w:r>
              <w:rPr>
                <w:rFonts w:ascii="Calibri" w:hAnsi="Calibri"/>
                <w:spacing w:val="-2"/>
                <w:position w:val="1"/>
                <w:sz w:val="12"/>
              </w:rPr>
              <w:t> </w:t>
            </w:r>
            <w:r>
              <w:rPr>
                <w:rFonts w:ascii="Calibri" w:hAnsi="Calibri"/>
                <w:position w:val="1"/>
                <w:sz w:val="12"/>
              </w:rPr>
              <w:t>µl</w:t>
              <w:tab/>
            </w:r>
            <w:r>
              <w:rPr>
                <w:rFonts w:ascii="Calibri" w:hAnsi="Calibri"/>
                <w:sz w:val="12"/>
              </w:rPr>
              <w:t>10</w:t>
            </w:r>
            <w:r>
              <w:rPr>
                <w:rFonts w:ascii="Calibri" w:hAnsi="Calibri"/>
                <w:spacing w:val="-2"/>
                <w:sz w:val="12"/>
              </w:rPr>
              <w:t> </w:t>
            </w:r>
            <w:r>
              <w:rPr>
                <w:rFonts w:ascii="Calibri" w:hAnsi="Calibri"/>
                <w:sz w:val="12"/>
              </w:rPr>
              <w:t>µl</w:t>
            </w:r>
          </w:p>
          <w:p>
            <w:pPr>
              <w:pStyle w:val="TableParagraph"/>
              <w:rPr>
                <w:sz w:val="12"/>
              </w:rPr>
            </w:pPr>
          </w:p>
          <w:p>
            <w:pPr>
              <w:pStyle w:val="TableParagraph"/>
              <w:rPr>
                <w:sz w:val="12"/>
              </w:rPr>
            </w:pPr>
          </w:p>
          <w:p>
            <w:pPr>
              <w:pStyle w:val="TableParagraph"/>
              <w:spacing w:before="6"/>
              <w:rPr>
                <w:sz w:val="17"/>
              </w:rPr>
            </w:pPr>
          </w:p>
          <w:p>
            <w:pPr>
              <w:pStyle w:val="TableParagraph"/>
              <w:ind w:left="1404"/>
              <w:rPr>
                <w:rFonts w:ascii="Calibri" w:hAnsi="Calibri"/>
                <w:sz w:val="12"/>
              </w:rPr>
            </w:pPr>
            <w:r>
              <w:rPr>
                <w:rFonts w:ascii="Calibri" w:hAnsi="Calibri"/>
                <w:sz w:val="12"/>
              </w:rPr>
              <w:t>20 µl</w:t>
            </w:r>
          </w:p>
        </w:tc>
        <w:tc>
          <w:tcPr>
            <w:tcW w:w="2393" w:type="dxa"/>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0"/>
              <w:rPr>
                <w:sz w:val="10"/>
              </w:rPr>
            </w:pPr>
          </w:p>
          <w:p>
            <w:pPr>
              <w:pStyle w:val="TableParagraph"/>
              <w:tabs>
                <w:tab w:pos="1380" w:val="left" w:leader="none"/>
              </w:tabs>
              <w:ind w:left="609"/>
              <w:rPr>
                <w:rFonts w:ascii="Calibri" w:hAnsi="Calibri"/>
                <w:sz w:val="12"/>
              </w:rPr>
            </w:pPr>
            <w:r>
              <w:rPr>
                <w:rFonts w:ascii="Calibri" w:hAnsi="Calibri"/>
                <w:position w:val="1"/>
                <w:sz w:val="12"/>
              </w:rPr>
              <w:t>30</w:t>
            </w:r>
            <w:r>
              <w:rPr>
                <w:rFonts w:ascii="Calibri" w:hAnsi="Calibri"/>
                <w:spacing w:val="-1"/>
                <w:position w:val="1"/>
                <w:sz w:val="12"/>
              </w:rPr>
              <w:t> </w:t>
            </w:r>
            <w:r>
              <w:rPr>
                <w:rFonts w:ascii="Calibri" w:hAnsi="Calibri"/>
                <w:position w:val="1"/>
                <w:sz w:val="12"/>
              </w:rPr>
              <w:t>µl</w:t>
              <w:tab/>
            </w:r>
            <w:r>
              <w:rPr>
                <w:rFonts w:ascii="Calibri" w:hAnsi="Calibri"/>
                <w:sz w:val="12"/>
              </w:rPr>
              <w:t>10</w:t>
            </w:r>
            <w:r>
              <w:rPr>
                <w:rFonts w:ascii="Calibri" w:hAnsi="Calibri"/>
                <w:spacing w:val="-2"/>
                <w:sz w:val="12"/>
              </w:rPr>
              <w:t> </w:t>
            </w:r>
            <w:r>
              <w:rPr>
                <w:rFonts w:ascii="Calibri" w:hAnsi="Calibri"/>
                <w:sz w:val="12"/>
              </w:rPr>
              <w:t>µl</w:t>
            </w:r>
          </w:p>
          <w:p>
            <w:pPr>
              <w:pStyle w:val="TableParagraph"/>
              <w:rPr>
                <w:sz w:val="12"/>
              </w:rPr>
            </w:pPr>
          </w:p>
          <w:p>
            <w:pPr>
              <w:pStyle w:val="TableParagraph"/>
              <w:rPr>
                <w:sz w:val="12"/>
              </w:rPr>
            </w:pPr>
          </w:p>
          <w:p>
            <w:pPr>
              <w:pStyle w:val="TableParagraph"/>
              <w:rPr>
                <w:sz w:val="12"/>
              </w:rPr>
            </w:pPr>
          </w:p>
          <w:p>
            <w:pPr>
              <w:pStyle w:val="TableParagraph"/>
              <w:spacing w:before="3"/>
              <w:rPr>
                <w:sz w:val="10"/>
              </w:rPr>
            </w:pPr>
          </w:p>
          <w:p>
            <w:pPr>
              <w:pStyle w:val="TableParagraph"/>
              <w:ind w:left="1314" w:right="787"/>
              <w:jc w:val="center"/>
              <w:rPr>
                <w:rFonts w:ascii="Calibri" w:hAnsi="Calibri"/>
                <w:sz w:val="12"/>
              </w:rPr>
            </w:pPr>
            <w:r>
              <w:rPr>
                <w:rFonts w:ascii="Calibri" w:hAnsi="Calibri"/>
                <w:sz w:val="12"/>
              </w:rPr>
              <w:t>20 µl</w:t>
            </w:r>
          </w:p>
        </w:tc>
      </w:tr>
    </w:tbl>
    <w:p>
      <w:pPr>
        <w:pStyle w:val="BodyText"/>
        <w:spacing w:before="7"/>
        <w:rPr>
          <w:sz w:val="5"/>
        </w:rPr>
      </w:pPr>
    </w:p>
    <w:p>
      <w:pPr>
        <w:pStyle w:val="BodyText"/>
        <w:ind w:left="595"/>
        <w:rPr>
          <w:sz w:val="20"/>
        </w:rPr>
      </w:pPr>
      <w:r>
        <w:rPr>
          <w:sz w:val="20"/>
        </w:rPr>
        <w:pict>
          <v:shape style="width:439.4pt;height:31pt;mso-position-horizontal-relative:char;mso-position-vertical-relative:line" type="#_x0000_t202" filled="false" stroked="true" strokeweight=".5pt" strokecolor="#000000">
            <w10:anchorlock/>
            <v:textbox inset="0,0,0,0">
              <w:txbxContent>
                <w:p>
                  <w:pPr>
                    <w:spacing w:before="69"/>
                    <w:ind w:left="1345" w:right="0" w:firstLine="0"/>
                    <w:jc w:val="left"/>
                    <w:rPr>
                      <w:i/>
                      <w:sz w:val="24"/>
                    </w:rPr>
                  </w:pPr>
                  <w:r>
                    <w:rPr>
                      <w:sz w:val="24"/>
                    </w:rPr>
                    <w:t>g1. 9 cajas de Petri con 4 discos para </w:t>
                  </w:r>
                  <w:r>
                    <w:rPr>
                      <w:i/>
                      <w:sz w:val="24"/>
                    </w:rPr>
                    <w:t>Lactobacillus casei</w:t>
                  </w:r>
                </w:p>
              </w:txbxContent>
            </v:textbox>
          </v:shape>
        </w:pict>
      </w:r>
      <w:r>
        <w:rPr>
          <w:sz w:val="20"/>
        </w:rPr>
      </w:r>
    </w:p>
    <w:p>
      <w:pPr>
        <w:pStyle w:val="BodyText"/>
        <w:spacing w:before="2"/>
        <w:rPr>
          <w:sz w:val="21"/>
        </w:rPr>
      </w:pPr>
    </w:p>
    <w:p>
      <w:pPr>
        <w:pStyle w:val="ListParagraph"/>
        <w:numPr>
          <w:ilvl w:val="0"/>
          <w:numId w:val="16"/>
        </w:numPr>
        <w:tabs>
          <w:tab w:pos="941" w:val="left" w:leader="none"/>
        </w:tabs>
        <w:spacing w:line="240" w:lineRule="auto" w:before="70" w:after="0"/>
        <w:ind w:left="940" w:right="0" w:hanging="360"/>
        <w:jc w:val="left"/>
        <w:rPr>
          <w:sz w:val="24"/>
        </w:rPr>
      </w:pPr>
      <w:r>
        <w:rPr/>
        <w:pict>
          <v:group style="position:absolute;margin-left:197.75pt;margin-top:-146.824158pt;width:99.4pt;height:90.7pt;mso-position-horizontal-relative:page;mso-position-vertical-relative:paragraph;z-index:-190720" coordorigin="3955,-2936" coordsize="1988,1814">
            <v:shape style="position:absolute;left:3975;top:-2916;width:1948;height:1774" coordorigin="3975,-2916" coordsize="1948,1774" path="m3975,-2029l3978,-2102,3988,-2173,4003,-2243,4025,-2310,4052,-2375,4084,-2437,4121,-2497,4163,-2553,4209,-2607,4260,-2657,4315,-2703,4374,-2745,4436,-2784,4501,-2818,4570,-2847,4641,-2871,4715,-2891,4791,-2905,4869,-2914,4949,-2916,5029,-2914,5107,-2905,5183,-2891,5257,-2871,5328,-2847,5397,-2818,5462,-2784,5524,-2745,5583,-2703,5638,-2657,5689,-2607,5735,-2553,5777,-2497,5814,-2437,5846,-2375,5873,-2310,5895,-2243,5910,-2173,5920,-2102,5923,-2029,5920,-1957,5910,-1886,5895,-1816,5873,-1749,5846,-1684,5814,-1622,5777,-1562,5735,-1506,5689,-1452,5638,-1402,5583,-1356,5524,-1314,5462,-1275,5397,-1242,5328,-1212,5257,-1188,5183,-1168,5107,-1154,5029,-1145,4949,-1142,4869,-1145,4791,-1154,4715,-1168,4641,-1188,4570,-1212,4501,-1242,4436,-1275,4374,-1314,4315,-1356,4260,-1402,4209,-1452,4163,-1506,4121,-1562,4084,-1622,4052,-1684,4025,-1749,4003,-1816,3988,-1886,3978,-1957,3975,-2029xe" filled="false" stroked="true" strokeweight="2pt" strokecolor="#385d89">
              <v:path arrowok="t"/>
            </v:shape>
            <v:shape style="position:absolute;left:4365;top:-2617;width:414;height:417" coordorigin="4365,-2617" coordsize="414,417" path="m4572,-2617l4507,-2607,4450,-2577,4405,-2532,4376,-2475,4365,-2409,4376,-2343,4405,-2286,4450,-2241,4507,-2211,4572,-2200,4638,-2211,4694,-2241,4739,-2286,4769,-2343,4779,-2409,4769,-2475,4739,-2532,4694,-2577,4638,-2607,4572,-2617xe" filled="true" fillcolor="#00af50" stroked="false">
              <v:path arrowok="t"/>
              <v:fill type="solid"/>
            </v:shape>
            <v:shape style="position:absolute;left:4365;top:-2617;width:414;height:417" coordorigin="4365,-2617" coordsize="414,417" path="m4365,-2409l4376,-2475,4405,-2532,4450,-2577,4507,-2607,4572,-2617,4638,-2607,4694,-2577,4739,-2532,4769,-2475,4779,-2409,4769,-2343,4739,-2286,4694,-2241,4638,-2211,4572,-2200,4507,-2211,4450,-2241,4405,-2286,4376,-2343,4365,-2409xe" filled="false" stroked="true" strokeweight="2.0pt" strokecolor="#00af50">
              <v:path arrowok="t"/>
            </v:shape>
            <v:shape style="position:absolute;left:4373;top:-1916;width:414;height:417" coordorigin="4373,-1916" coordsize="414,417" path="m4373,-1707l4384,-1773,4413,-1830,4458,-1875,4515,-1905,4580,-1916,4646,-1905,4703,-1875,4747,-1830,4777,-1773,4787,-1707,4777,-1641,4747,-1584,4703,-1539,4646,-1509,4580,-1499,4515,-1509,4458,-1539,4413,-1584,4384,-1641,4373,-1707xe" filled="false" stroked="true" strokeweight="2pt" strokecolor="#385d89">
              <v:path arrowok="t"/>
            </v:shape>
            <v:shape style="position:absolute;left:5113;top:-1925;width:414;height:417" coordorigin="5113,-1925" coordsize="414,417" path="m5320,-1925l5255,-1914,5198,-1885,5153,-1840,5124,-1783,5113,-1717,5124,-1651,5153,-1594,5198,-1548,5255,-1519,5320,-1508,5385,-1519,5442,-1548,5487,-1594,5516,-1651,5527,-1717,5516,-1783,5487,-1840,5442,-1885,5385,-1914,5320,-1925xe" filled="true" fillcolor="#4f81bc" stroked="false">
              <v:path arrowok="t"/>
              <v:fill type="solid"/>
            </v:shape>
            <v:shape style="position:absolute;left:5113;top:-1925;width:414;height:417" coordorigin="5113,-1925" coordsize="414,417" path="m5113,-1717l5124,-1783,5153,-1840,5198,-1885,5255,-1914,5320,-1925,5385,-1914,5442,-1885,5487,-1840,5516,-1783,5527,-1717,5516,-1651,5487,-1594,5442,-1548,5385,-1519,5320,-1508,5255,-1519,5198,-1548,5153,-1594,5124,-1651,5113,-1717xe" filled="false" stroked="true" strokeweight="2pt" strokecolor="#385d89">
              <v:path arrowok="t"/>
            </v:shape>
            <v:shape style="position:absolute;left:5097;top:-2617;width:414;height:417" coordorigin="5097,-2617" coordsize="414,417" path="m5304,-2617l5238,-2607,5182,-2577,5137,-2532,5107,-2475,5097,-2409,5107,-2343,5137,-2286,5182,-2241,5238,-2211,5304,-2200,5369,-2211,5426,-2241,5471,-2286,5500,-2343,5511,-2409,5500,-2475,5471,-2532,5426,-2577,5369,-2607,5304,-2617xe" filled="true" fillcolor="#c0504d" stroked="false">
              <v:path arrowok="t"/>
              <v:fill type="solid"/>
            </v:shape>
            <v:shape style="position:absolute;left:5097;top:-2617;width:414;height:417" coordorigin="5097,-2617" coordsize="414,417" path="m5097,-2409l5107,-2475,5137,-2532,5182,-2577,5238,-2607,5304,-2617,5369,-2607,5426,-2577,5471,-2532,5500,-2475,5511,-2409,5500,-2343,5471,-2286,5426,-2241,5369,-2211,5304,-2200,5238,-2211,5182,-2241,5137,-2286,5107,-2343,5097,-2409xe" filled="false" stroked="true" strokeweight="2.0pt" strokecolor="#c0504d">
              <v:path arrowok="t"/>
            </v:shape>
            <v:shape style="position:absolute;left:4301;top:-2495;width:569;height:149" type="#_x0000_t75" stroked="false">
              <v:imagedata r:id="rId118" o:title=""/>
            </v:shape>
            <v:shape style="position:absolute;left:5057;top:-2495;width:547;height:158" type="#_x0000_t75" stroked="false">
              <v:imagedata r:id="rId127" o:title=""/>
            </v:shape>
            <v:shape style="position:absolute;left:5071;top:-1804;width:554;height:180" type="#_x0000_t75" stroked="false">
              <v:imagedata r:id="rId141" o:title=""/>
            </v:shape>
            <w10:wrap type="none"/>
          </v:group>
        </w:pict>
      </w:r>
      <w:r>
        <w:rPr/>
        <w:pict>
          <v:group style="position:absolute;margin-left:314.100006pt;margin-top:-146.274155pt;width:99.4pt;height:90.7pt;mso-position-horizontal-relative:page;mso-position-vertical-relative:paragraph;z-index:-190648" coordorigin="6282,-2925" coordsize="1988,1814">
            <v:shape style="position:absolute;left:6302;top:-2905;width:1948;height:1774" coordorigin="6302,-2905" coordsize="1948,1774" path="m6302,-2018l6305,-2091,6315,-2162,6330,-2232,6352,-2299,6379,-2364,6411,-2426,6448,-2486,6490,-2542,6536,-2596,6587,-2646,6642,-2692,6701,-2734,6763,-2773,6828,-2807,6897,-2836,6968,-2860,7042,-2880,7118,-2894,7196,-2903,7276,-2905,7356,-2903,7434,-2894,7510,-2880,7584,-2860,7655,-2836,7724,-2807,7789,-2773,7851,-2734,7910,-2692,7965,-2646,8016,-2596,8062,-2542,8104,-2486,8141,-2426,8173,-2364,8200,-2299,8222,-2232,8237,-2162,8247,-2091,8250,-2018,8247,-1946,8237,-1875,8222,-1805,8200,-1738,8173,-1673,8141,-1611,8104,-1551,8062,-1495,8016,-1441,7965,-1391,7910,-1345,7851,-1303,7789,-1264,7724,-1231,7655,-1201,7584,-1177,7510,-1157,7434,-1143,7356,-1134,7276,-1131,7196,-1134,7118,-1143,7042,-1157,6968,-1177,6897,-1201,6828,-1231,6763,-1264,6701,-1303,6642,-1345,6587,-1391,6536,-1441,6490,-1495,6448,-1551,6411,-1611,6379,-1673,6352,-1738,6330,-1805,6315,-1875,6305,-1946,6302,-2018xe" filled="false" stroked="true" strokeweight="2pt" strokecolor="#385d89">
              <v:path arrowok="t"/>
            </v:shape>
            <v:shape style="position:absolute;left:6692;top:-2606;width:414;height:417" coordorigin="6692,-2606" coordsize="414,417" path="m6899,-2606l6834,-2596,6777,-2566,6732,-2521,6703,-2464,6692,-2398,6703,-2332,6732,-2275,6777,-2230,6834,-2200,6899,-2189,6965,-2200,7021,-2230,7066,-2275,7096,-2332,7106,-2398,7096,-2464,7066,-2521,7021,-2566,6965,-2596,6899,-2606xe" filled="true" fillcolor="#00af50" stroked="false">
              <v:path arrowok="t"/>
              <v:fill type="solid"/>
            </v:shape>
            <v:shape style="position:absolute;left:6692;top:-2606;width:414;height:417" coordorigin="6692,-2606" coordsize="414,417" path="m6692,-2398l6703,-2464,6732,-2521,6777,-2566,6834,-2596,6899,-2606,6965,-2596,7021,-2566,7066,-2521,7096,-2464,7106,-2398,7096,-2332,7066,-2275,7021,-2230,6965,-2200,6899,-2189,6834,-2200,6777,-2230,6732,-2275,6703,-2332,6692,-2398xe" filled="false" stroked="true" strokeweight="2.0pt" strokecolor="#00af50">
              <v:path arrowok="t"/>
            </v:shape>
            <v:shape style="position:absolute;left:6700;top:-1905;width:414;height:417" coordorigin="6700,-1905" coordsize="414,417" path="m6700,-1696l6711,-1762,6740,-1819,6785,-1864,6842,-1894,6907,-1905,6973,-1894,7029,-1864,7074,-1819,7104,-1762,7114,-1696,7104,-1630,7074,-1573,7029,-1528,6973,-1498,6907,-1488,6842,-1498,6785,-1528,6740,-1573,6711,-1630,6700,-1696xe" filled="false" stroked="true" strokeweight="2pt" strokecolor="#385d89">
              <v:path arrowok="t"/>
            </v:shape>
            <v:shape style="position:absolute;left:7440;top:-1914;width:414;height:417" coordorigin="7440,-1914" coordsize="414,417" path="m7647,-1914l7582,-1903,7525,-1874,7480,-1829,7451,-1772,7440,-1706,7451,-1640,7480,-1583,7525,-1537,7582,-1508,7647,-1497,7712,-1508,7769,-1537,7814,-1583,7843,-1640,7854,-1706,7843,-1772,7814,-1829,7769,-1874,7712,-1903,7647,-1914xe" filled="true" fillcolor="#4f81bc" stroked="false">
              <v:path arrowok="t"/>
              <v:fill type="solid"/>
            </v:shape>
            <v:shape style="position:absolute;left:7440;top:-1914;width:414;height:417" coordorigin="7440,-1914" coordsize="414,417" path="m7440,-1706l7451,-1772,7480,-1829,7525,-1874,7582,-1903,7647,-1914,7712,-1903,7769,-1874,7814,-1829,7843,-1772,7854,-1706,7843,-1640,7814,-1583,7769,-1537,7712,-1508,7647,-1497,7582,-1508,7525,-1537,7480,-1583,7451,-1640,7440,-1706xe" filled="false" stroked="true" strokeweight="2.0pt" strokecolor="#385d89">
              <v:path arrowok="t"/>
            </v:shape>
            <v:shape style="position:absolute;left:7424;top:-2606;width:414;height:417" coordorigin="7424,-2606" coordsize="414,417" path="m7631,-2606l7565,-2596,7509,-2566,7464,-2521,7434,-2464,7424,-2398,7434,-2332,7464,-2275,7509,-2230,7565,-2200,7631,-2189,7696,-2200,7753,-2230,7798,-2275,7827,-2332,7838,-2398,7827,-2464,7798,-2521,7753,-2566,7696,-2596,7631,-2606xe" filled="true" fillcolor="#c0504d" stroked="false">
              <v:path arrowok="t"/>
              <v:fill type="solid"/>
            </v:shape>
            <v:shape style="position:absolute;left:7424;top:-2606;width:414;height:417" coordorigin="7424,-2606" coordsize="414,417" path="m7424,-2398l7434,-2464,7464,-2521,7509,-2566,7565,-2596,7631,-2606,7696,-2596,7753,-2566,7798,-2521,7827,-2464,7838,-2398,7827,-2332,7798,-2275,7753,-2230,7696,-2200,7631,-2189,7565,-2200,7509,-2230,7464,-2275,7434,-2332,7424,-2398xe" filled="false" stroked="true" strokeweight="2.0pt" strokecolor="#c0504d">
              <v:path arrowok="t"/>
            </v:shape>
            <v:shape style="position:absolute;left:6626;top:-2464;width:569;height:158" type="#_x0000_t75" stroked="false">
              <v:imagedata r:id="rId147" o:title=""/>
            </v:shape>
            <v:shape style="position:absolute;left:7363;top:-2449;width:569;height:134" type="#_x0000_t75" stroked="false">
              <v:imagedata r:id="rId148" o:title=""/>
            </v:shape>
            <v:shape style="position:absolute;left:7385;top:-1825;width:588;height:211" type="#_x0000_t75" stroked="false">
              <v:imagedata r:id="rId149" o:title=""/>
            </v:shape>
            <w10:wrap type="none"/>
          </v:group>
        </w:pict>
      </w:r>
      <w:r>
        <w:rPr/>
        <w:pict>
          <v:group style="position:absolute;margin-left:432pt;margin-top:-146.824158pt;width:99.4pt;height:90.7pt;mso-position-horizontal-relative:page;mso-position-vertical-relative:paragraph;z-index:-190624" coordorigin="8640,-2936" coordsize="1988,1814">
            <v:shape style="position:absolute;left:8660;top:-2916;width:1948;height:1774" coordorigin="8660,-2916" coordsize="1948,1774" path="m8660,-2029l8663,-2102,8673,-2173,8688,-2243,8710,-2310,8737,-2375,8769,-2437,8806,-2497,8848,-2553,8894,-2607,8945,-2657,9000,-2703,9059,-2745,9121,-2784,9186,-2818,9255,-2847,9326,-2871,9400,-2891,9476,-2905,9554,-2914,9634,-2916,9714,-2914,9792,-2905,9868,-2891,9942,-2871,10013,-2847,10082,-2818,10147,-2784,10209,-2745,10268,-2703,10323,-2657,10374,-2607,10420,-2553,10462,-2497,10499,-2437,10531,-2375,10558,-2310,10580,-2243,10595,-2173,10605,-2102,10608,-2029,10605,-1957,10595,-1886,10580,-1816,10558,-1749,10531,-1684,10499,-1622,10462,-1562,10420,-1506,10374,-1452,10323,-1402,10268,-1356,10209,-1314,10147,-1275,10082,-1242,10013,-1212,9942,-1188,9868,-1168,9792,-1154,9714,-1145,9634,-1142,9554,-1145,9476,-1154,9400,-1168,9326,-1188,9255,-1212,9186,-1242,9121,-1275,9059,-1314,9000,-1356,8945,-1402,8894,-1452,8848,-1506,8806,-1562,8769,-1622,8737,-1684,8710,-1749,8688,-1816,8673,-1886,8663,-1957,8660,-2029xe" filled="false" stroked="true" strokeweight="2pt" strokecolor="#385d89">
              <v:path arrowok="t"/>
            </v:shape>
            <v:shape style="position:absolute;left:9050;top:-2617;width:414;height:417" coordorigin="9050,-2617" coordsize="414,417" path="m9257,-2617l9192,-2607,9135,-2577,9090,-2532,9061,-2475,9050,-2409,9061,-2343,9090,-2286,9135,-2241,9192,-2211,9257,-2200,9323,-2211,9379,-2241,9424,-2286,9454,-2343,9464,-2409,9454,-2475,9424,-2532,9379,-2577,9323,-2607,9257,-2617xe" filled="true" fillcolor="#00af50" stroked="false">
              <v:path arrowok="t"/>
              <v:fill type="solid"/>
            </v:shape>
            <v:shape style="position:absolute;left:9050;top:-2617;width:414;height:417" coordorigin="9050,-2617" coordsize="414,417" path="m9050,-2409l9061,-2475,9090,-2532,9135,-2577,9192,-2607,9257,-2617,9323,-2607,9379,-2577,9424,-2532,9454,-2475,9464,-2409,9454,-2343,9424,-2286,9379,-2241,9323,-2211,9257,-2200,9192,-2211,9135,-2241,9090,-2286,9061,-2343,9050,-2409xe" filled="false" stroked="true" strokeweight="2.0pt" strokecolor="#00af50">
              <v:path arrowok="t"/>
            </v:shape>
            <v:shape style="position:absolute;left:9058;top:-1916;width:414;height:417" coordorigin="9058,-1916" coordsize="414,417" path="m9058,-1707l9069,-1773,9098,-1830,9143,-1875,9200,-1905,9265,-1916,9331,-1905,9387,-1875,9432,-1830,9462,-1773,9472,-1707,9462,-1641,9432,-1584,9387,-1539,9331,-1509,9265,-1499,9200,-1509,9143,-1539,9098,-1584,9069,-1641,9058,-1707xe" filled="false" stroked="true" strokeweight="2pt" strokecolor="#385d89">
              <v:path arrowok="t"/>
            </v:shape>
            <v:shape style="position:absolute;left:9798;top:-1925;width:414;height:417" coordorigin="9798,-1925" coordsize="414,417" path="m10005,-1925l9940,-1914,9883,-1885,9838,-1840,9809,-1783,9798,-1717,9809,-1651,9838,-1594,9883,-1548,9940,-1519,10005,-1508,10070,-1519,10127,-1548,10172,-1594,10201,-1651,10212,-1717,10201,-1783,10172,-1840,10127,-1885,10070,-1914,10005,-1925xe" filled="true" fillcolor="#4f81bc" stroked="false">
              <v:path arrowok="t"/>
              <v:fill type="solid"/>
            </v:shape>
            <v:shape style="position:absolute;left:9798;top:-1925;width:414;height:417" coordorigin="9798,-1925" coordsize="414,417" path="m9798,-1717l9809,-1783,9838,-1840,9883,-1885,9940,-1914,10005,-1925,10070,-1914,10127,-1885,10172,-1840,10201,-1783,10212,-1717,10201,-1651,10172,-1594,10127,-1548,10070,-1519,10005,-1508,9940,-1519,9883,-1548,9838,-1594,9809,-1651,9798,-1717xe" filled="false" stroked="true" strokeweight="2pt" strokecolor="#385d89">
              <v:path arrowok="t"/>
            </v:shape>
            <v:shape style="position:absolute;left:9782;top:-2607;width:414;height:417" coordorigin="9782,-2607" coordsize="414,417" path="m9989,-2607l9923,-2596,9867,-2567,9822,-2521,9792,-2464,9782,-2398,9792,-2332,9822,-2275,9867,-2230,9923,-2201,9989,-2190,10054,-2201,10111,-2230,10156,-2275,10185,-2332,10196,-2398,10185,-2464,10156,-2521,10111,-2567,10054,-2596,9989,-2607xe" filled="true" fillcolor="#c0504d" stroked="false">
              <v:path arrowok="t"/>
              <v:fill type="solid"/>
            </v:shape>
            <v:shape style="position:absolute;left:9782;top:-2607;width:414;height:417" coordorigin="9782,-2607" coordsize="414,417" path="m9782,-2398l9792,-2464,9822,-2521,9867,-2567,9923,-2596,9989,-2607,10054,-2596,10111,-2567,10156,-2521,10185,-2464,10196,-2398,10185,-2332,10156,-2275,10111,-2230,10054,-2201,9989,-2190,9923,-2201,9867,-2230,9822,-2275,9792,-2332,9782,-2398xe" filled="false" stroked="true" strokeweight="2pt" strokecolor="#c0504d">
              <v:path arrowok="t"/>
            </v:shape>
            <v:shape style="position:absolute;left:8986;top:-2507;width:569;height:182" type="#_x0000_t75" stroked="false">
              <v:imagedata r:id="rId142" o:title=""/>
            </v:shape>
            <v:shape style="position:absolute;left:9756;top:-2495;width:535;height:180" type="#_x0000_t75" stroked="false">
              <v:imagedata r:id="rId143" o:title=""/>
            </v:shape>
            <v:shape style="position:absolute;left:9710;top:-1813;width:600;height:190" type="#_x0000_t75" stroked="false">
              <v:imagedata r:id="rId150" o:title=""/>
            </v:shape>
            <w10:wrap type="none"/>
          </v:group>
        </w:pict>
      </w:r>
      <w:r>
        <w:rPr>
          <w:sz w:val="24"/>
        </w:rPr>
        <w:t>Incubación de la</w:t>
      </w:r>
      <w:r>
        <w:rPr>
          <w:spacing w:val="-6"/>
          <w:sz w:val="24"/>
        </w:rPr>
        <w:t> </w:t>
      </w:r>
      <w:r>
        <w:rPr>
          <w:sz w:val="24"/>
        </w:rPr>
        <w:t>placa</w:t>
      </w:r>
    </w:p>
    <w:p>
      <w:pPr>
        <w:pStyle w:val="BodyText"/>
      </w:pPr>
    </w:p>
    <w:p>
      <w:pPr>
        <w:pStyle w:val="BodyText"/>
        <w:spacing w:line="480" w:lineRule="auto"/>
        <w:ind w:left="940" w:right="214"/>
        <w:jc w:val="both"/>
      </w:pPr>
      <w:r>
        <w:rPr/>
        <w:t>Se procedió a incubar dentro de los siguientes 15 minutos a la colocación de los discos. Se incubó por 48hrs a 37°C en una atmósfera de anaerobiosis.</w:t>
      </w:r>
    </w:p>
    <w:p>
      <w:pPr>
        <w:pStyle w:val="BodyText"/>
      </w:pPr>
    </w:p>
    <w:p>
      <w:pPr>
        <w:pStyle w:val="BodyText"/>
        <w:spacing w:before="7"/>
      </w:pPr>
    </w:p>
    <w:p>
      <w:pPr>
        <w:pStyle w:val="ListParagraph"/>
        <w:numPr>
          <w:ilvl w:val="0"/>
          <w:numId w:val="16"/>
        </w:numPr>
        <w:tabs>
          <w:tab w:pos="941" w:val="left" w:leader="none"/>
        </w:tabs>
        <w:spacing w:line="240" w:lineRule="auto" w:before="1" w:after="0"/>
        <w:ind w:left="940" w:right="0" w:hanging="360"/>
        <w:jc w:val="left"/>
        <w:rPr>
          <w:sz w:val="24"/>
        </w:rPr>
      </w:pPr>
      <w:r>
        <w:rPr>
          <w:sz w:val="24"/>
        </w:rPr>
        <w:t>Medición de las zonas de</w:t>
      </w:r>
      <w:r>
        <w:rPr>
          <w:spacing w:val="-13"/>
          <w:sz w:val="24"/>
        </w:rPr>
        <w:t> </w:t>
      </w:r>
      <w:r>
        <w:rPr>
          <w:sz w:val="24"/>
        </w:rPr>
        <w:t>inhibición</w:t>
      </w:r>
    </w:p>
    <w:p>
      <w:pPr>
        <w:pStyle w:val="BodyText"/>
      </w:pPr>
    </w:p>
    <w:p>
      <w:pPr>
        <w:pStyle w:val="BodyText"/>
        <w:spacing w:line="480" w:lineRule="auto"/>
        <w:ind w:left="940" w:right="216"/>
        <w:jc w:val="both"/>
      </w:pPr>
      <w:r>
        <w:rPr/>
        <w:t>Después de retirar la placa de la incubadora se examinó el crecimiento uniforme y confluente de tal modo que se pudieran identificar las zonas sin crecimiento bacteriano. La medición se realizó desde la parte superior de la placa usando luz</w:t>
      </w:r>
    </w:p>
    <w:p>
      <w:pPr>
        <w:spacing w:after="0" w:line="480" w:lineRule="auto"/>
        <w:jc w:val="both"/>
        <w:sectPr>
          <w:pgSz w:w="12240" w:h="15840"/>
          <w:pgMar w:header="736" w:footer="1024" w:top="1180" w:bottom="1220" w:left="1220" w:right="1220"/>
        </w:sectPr>
      </w:pPr>
    </w:p>
    <w:p>
      <w:pPr>
        <w:pStyle w:val="BodyText"/>
        <w:spacing w:before="11"/>
        <w:rPr>
          <w:sz w:val="16"/>
        </w:rPr>
      </w:pPr>
    </w:p>
    <w:p>
      <w:pPr>
        <w:pStyle w:val="BodyText"/>
        <w:spacing w:line="480" w:lineRule="auto" w:before="69"/>
        <w:ind w:left="880" w:right="174"/>
        <w:jc w:val="both"/>
      </w:pPr>
      <w:r>
        <w:rPr/>
        <w:t>reflejada. Se sostuvo la placa aproximadamente a 4cm sobre una superficie de color negro que no reflejara la luz.</w:t>
      </w:r>
    </w:p>
    <w:p>
      <w:pPr>
        <w:pStyle w:val="BodyText"/>
        <w:spacing w:before="8"/>
        <w:ind w:left="880"/>
        <w:jc w:val="both"/>
      </w:pPr>
      <w:r>
        <w:rPr/>
        <w:t>Se midió con un instrumento calibrador de Vernier.</w:t>
      </w:r>
    </w:p>
    <w:p>
      <w:pPr>
        <w:pStyle w:val="BodyText"/>
      </w:pPr>
    </w:p>
    <w:p>
      <w:pPr>
        <w:pStyle w:val="BodyText"/>
      </w:pPr>
    </w:p>
    <w:p>
      <w:pPr>
        <w:pStyle w:val="BodyText"/>
      </w:pPr>
    </w:p>
    <w:p>
      <w:pPr>
        <w:pStyle w:val="ListParagraph"/>
        <w:numPr>
          <w:ilvl w:val="0"/>
          <w:numId w:val="16"/>
        </w:numPr>
        <w:tabs>
          <w:tab w:pos="881" w:val="left" w:leader="none"/>
        </w:tabs>
        <w:spacing w:line="240" w:lineRule="auto" w:before="0" w:after="0"/>
        <w:ind w:left="880" w:right="0" w:hanging="360"/>
        <w:jc w:val="left"/>
        <w:rPr>
          <w:sz w:val="24"/>
        </w:rPr>
      </w:pPr>
      <w:r>
        <w:rPr>
          <w:sz w:val="24"/>
        </w:rPr>
        <w:t>Interpretación de las zonas de</w:t>
      </w:r>
      <w:r>
        <w:rPr>
          <w:spacing w:val="-9"/>
          <w:sz w:val="24"/>
        </w:rPr>
        <w:t> </w:t>
      </w:r>
      <w:r>
        <w:rPr>
          <w:sz w:val="24"/>
        </w:rPr>
        <w:t>inhibición.</w:t>
      </w:r>
    </w:p>
    <w:p>
      <w:pPr>
        <w:pStyle w:val="BodyText"/>
      </w:pPr>
    </w:p>
    <w:p>
      <w:pPr>
        <w:pStyle w:val="BodyText"/>
        <w:spacing w:line="480" w:lineRule="auto"/>
        <w:ind w:left="880" w:right="184"/>
        <w:jc w:val="both"/>
      </w:pPr>
      <w:r>
        <w:rPr/>
        <w:t>Se midió el punto en el cual existía una demarcación entre crecimiento y ausencia de crecimiento.</w:t>
      </w:r>
    </w:p>
    <w:p>
      <w:pPr>
        <w:pStyle w:val="BodyText"/>
        <w:spacing w:line="480" w:lineRule="auto" w:before="8"/>
        <w:ind w:left="880" w:right="181"/>
        <w:jc w:val="both"/>
      </w:pPr>
      <w:r>
        <w:rPr/>
        <w:t>En el laboratorio determinamos una cantidad conocida de bacterias con diluciones definidas del agente, utilizando los criterios de interpretación de la NCCLS.</w:t>
      </w:r>
    </w:p>
    <w:p>
      <w:pPr>
        <w:pStyle w:val="BodyText"/>
      </w:pPr>
    </w:p>
    <w:p>
      <w:pPr>
        <w:pStyle w:val="BodyText"/>
        <w:spacing w:before="7"/>
      </w:pPr>
    </w:p>
    <w:p>
      <w:pPr>
        <w:pStyle w:val="BodyText"/>
        <w:spacing w:line="480" w:lineRule="auto" w:before="1"/>
        <w:ind w:left="880" w:right="187"/>
        <w:jc w:val="both"/>
      </w:pPr>
      <w:r>
        <w:rPr/>
        <w:t>Esta etapa se realizó en el Laboratorio de Microbiología de la Facultad de Química de la Universidad Autónoma del Estado de México.</w:t>
      </w:r>
    </w:p>
    <w:p>
      <w:pPr>
        <w:spacing w:after="0" w:line="480" w:lineRule="auto"/>
        <w:jc w:val="both"/>
        <w:sectPr>
          <w:pgSz w:w="12240" w:h="15840"/>
          <w:pgMar w:header="736" w:footer="1024" w:top="1180" w:bottom="1220" w:left="128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Heading1"/>
        <w:ind w:left="1600" w:right="270" w:firstLine="0"/>
      </w:pPr>
      <w:bookmarkStart w:name="_TOC_250004" w:id="12"/>
      <w:r>
        <w:rPr>
          <w:rFonts w:ascii="Times New Roman"/>
        </w:rPr>
        <w:t>9.</w:t>
      </w:r>
      <w:r>
        <w:rPr>
          <w:rFonts w:ascii="Times New Roman"/>
          <w:spacing w:val="-85"/>
        </w:rPr>
        <w:t> </w:t>
      </w:r>
      <w:bookmarkEnd w:id="12"/>
      <w:r>
        <w:rPr/>
        <w:t>RESULTADOS</w:t>
      </w:r>
    </w:p>
    <w:p>
      <w:pPr>
        <w:spacing w:after="0"/>
        <w:sectPr>
          <w:pgSz w:w="12240" w:h="15840"/>
          <w:pgMar w:header="736" w:footer="1024" w:top="1180" w:bottom="1220" w:left="1280" w:right="1260"/>
        </w:sectPr>
      </w:pPr>
    </w:p>
    <w:p>
      <w:pPr>
        <w:pStyle w:val="BodyText"/>
        <w:spacing w:before="2"/>
        <w:rPr>
          <w:b/>
          <w:sz w:val="17"/>
        </w:rPr>
      </w:pPr>
    </w:p>
    <w:p>
      <w:pPr>
        <w:pStyle w:val="BodyText"/>
        <w:spacing w:before="69"/>
        <w:ind w:left="160"/>
        <w:jc w:val="both"/>
      </w:pPr>
      <w:r>
        <w:rPr/>
        <w:t>ARTICLE</w:t>
      </w:r>
    </w:p>
    <w:p>
      <w:pPr>
        <w:pStyle w:val="BodyText"/>
        <w:spacing w:before="5"/>
        <w:rPr>
          <w:sz w:val="29"/>
        </w:rPr>
      </w:pPr>
    </w:p>
    <w:p>
      <w:pPr>
        <w:pStyle w:val="BodyText"/>
        <w:ind w:left="160"/>
        <w:jc w:val="both"/>
      </w:pPr>
      <w:r>
        <w:rPr/>
        <w:t>Cover letter</w:t>
      </w:r>
    </w:p>
    <w:p>
      <w:pPr>
        <w:pStyle w:val="BodyText"/>
        <w:spacing w:before="2"/>
        <w:rPr>
          <w:sz w:val="29"/>
        </w:rPr>
      </w:pPr>
    </w:p>
    <w:p>
      <w:pPr>
        <w:pStyle w:val="BodyText"/>
        <w:ind w:left="160"/>
        <w:jc w:val="both"/>
      </w:pPr>
      <w:r>
        <w:rPr>
          <w:b/>
        </w:rPr>
        <w:t>Title</w:t>
      </w:r>
      <w:r>
        <w:rPr/>
        <w:t>:   Antibacterial   effect   of    silver   nanoparticles    </w:t>
      </w:r>
      <w:r>
        <w:rPr>
          <w:i/>
        </w:rPr>
        <w:t>versus    </w:t>
      </w:r>
      <w:r>
        <w:rPr/>
        <w:t>clorhexidine   </w:t>
      </w:r>
      <w:r>
        <w:rPr>
          <w:spacing w:val="54"/>
        </w:rPr>
        <w:t> </w:t>
      </w:r>
      <w:r>
        <w:rPr/>
        <w:t>against</w:t>
      </w:r>
    </w:p>
    <w:p>
      <w:pPr>
        <w:spacing w:before="137"/>
        <w:ind w:left="160" w:right="0" w:firstLine="0"/>
        <w:jc w:val="both"/>
        <w:rPr>
          <w:i/>
          <w:sz w:val="24"/>
        </w:rPr>
      </w:pPr>
      <w:r>
        <w:rPr>
          <w:i/>
          <w:sz w:val="24"/>
        </w:rPr>
        <w:t>Streptococcus mutans </w:t>
      </w:r>
      <w:r>
        <w:rPr>
          <w:sz w:val="24"/>
        </w:rPr>
        <w:t>and </w:t>
      </w:r>
      <w:r>
        <w:rPr>
          <w:i/>
          <w:sz w:val="24"/>
        </w:rPr>
        <w:t>Lactobacillus casei</w:t>
      </w:r>
    </w:p>
    <w:p>
      <w:pPr>
        <w:pStyle w:val="BodyText"/>
        <w:spacing w:before="7"/>
        <w:rPr>
          <w:i/>
          <w:sz w:val="29"/>
        </w:rPr>
      </w:pPr>
    </w:p>
    <w:p>
      <w:pPr>
        <w:pStyle w:val="Heading2"/>
        <w:spacing w:before="0"/>
        <w:ind w:left="160"/>
        <w:jc w:val="both"/>
      </w:pPr>
      <w:r>
        <w:rPr/>
        <w:t>Author</w:t>
      </w:r>
    </w:p>
    <w:p>
      <w:pPr>
        <w:pStyle w:val="BodyText"/>
        <w:spacing w:before="4"/>
        <w:rPr>
          <w:b/>
          <w:sz w:val="29"/>
        </w:rPr>
      </w:pPr>
    </w:p>
    <w:p>
      <w:pPr>
        <w:pStyle w:val="ListParagraph"/>
        <w:numPr>
          <w:ilvl w:val="0"/>
          <w:numId w:val="17"/>
        </w:numPr>
        <w:tabs>
          <w:tab w:pos="881" w:val="left" w:leader="none"/>
        </w:tabs>
        <w:spacing w:line="240" w:lineRule="auto" w:before="1" w:after="0"/>
        <w:ind w:left="880" w:right="0" w:hanging="360"/>
        <w:jc w:val="left"/>
        <w:rPr>
          <w:sz w:val="24"/>
        </w:rPr>
      </w:pPr>
      <w:r>
        <w:rPr>
          <w:sz w:val="24"/>
        </w:rPr>
        <w:t>Saraí Carmina</w:t>
      </w:r>
      <w:r>
        <w:rPr>
          <w:spacing w:val="-8"/>
          <w:sz w:val="24"/>
        </w:rPr>
        <w:t> </w:t>
      </w:r>
      <w:r>
        <w:rPr>
          <w:sz w:val="24"/>
        </w:rPr>
        <w:t>Guadarrama-Reyes.</w:t>
      </w:r>
    </w:p>
    <w:p>
      <w:pPr>
        <w:pStyle w:val="BodyText"/>
        <w:spacing w:line="362" w:lineRule="auto" w:before="137"/>
        <w:ind w:left="160" w:right="270"/>
      </w:pPr>
      <w:r>
        <w:rPr/>
        <w:t>DDS, Pediatric Dentistry, Student of Master in Dental Sciences. School of Dentistry. Autonumous University State of Mexico.</w:t>
      </w:r>
    </w:p>
    <w:p>
      <w:pPr>
        <w:pStyle w:val="ListParagraph"/>
        <w:numPr>
          <w:ilvl w:val="0"/>
          <w:numId w:val="17"/>
        </w:numPr>
        <w:tabs>
          <w:tab w:pos="881" w:val="left" w:leader="none"/>
        </w:tabs>
        <w:spacing w:line="240" w:lineRule="auto" w:before="201" w:after="0"/>
        <w:ind w:left="880" w:right="0" w:hanging="360"/>
        <w:jc w:val="left"/>
        <w:rPr>
          <w:sz w:val="24"/>
        </w:rPr>
      </w:pPr>
      <w:r>
        <w:rPr>
          <w:sz w:val="24"/>
        </w:rPr>
        <w:t>Iliana Espinoza</w:t>
      </w:r>
      <w:r>
        <w:rPr>
          <w:spacing w:val="-8"/>
          <w:sz w:val="24"/>
        </w:rPr>
        <w:t> </w:t>
      </w:r>
      <w:r>
        <w:rPr>
          <w:sz w:val="24"/>
        </w:rPr>
        <w:t>Rivera.</w:t>
      </w:r>
    </w:p>
    <w:p>
      <w:pPr>
        <w:pStyle w:val="BodyText"/>
        <w:spacing w:line="360" w:lineRule="auto" w:before="137"/>
        <w:ind w:left="160" w:right="270"/>
      </w:pPr>
      <w:r>
        <w:rPr/>
        <w:t>ScD. Candidate. Epidemiology Department at General Hospital Valle de Bravo, Health Institute of the State of Mexico</w:t>
      </w:r>
    </w:p>
    <w:p>
      <w:pPr>
        <w:pStyle w:val="ListParagraph"/>
        <w:numPr>
          <w:ilvl w:val="0"/>
          <w:numId w:val="17"/>
        </w:numPr>
        <w:tabs>
          <w:tab w:pos="881" w:val="left" w:leader="none"/>
        </w:tabs>
        <w:spacing w:line="240" w:lineRule="auto" w:before="202" w:after="0"/>
        <w:ind w:left="880" w:right="0" w:hanging="360"/>
        <w:jc w:val="left"/>
        <w:rPr>
          <w:sz w:val="24"/>
        </w:rPr>
      </w:pPr>
      <w:r>
        <w:rPr>
          <w:sz w:val="24"/>
        </w:rPr>
        <w:t>Norma Leticia</w:t>
      </w:r>
      <w:r>
        <w:rPr>
          <w:spacing w:val="-8"/>
          <w:sz w:val="24"/>
        </w:rPr>
        <w:t> </w:t>
      </w:r>
      <w:r>
        <w:rPr>
          <w:sz w:val="24"/>
        </w:rPr>
        <w:t>Robles-Bermeo</w:t>
      </w:r>
    </w:p>
    <w:p>
      <w:pPr>
        <w:pStyle w:val="BodyText"/>
        <w:spacing w:line="360" w:lineRule="auto" w:before="139"/>
        <w:ind w:left="160" w:right="270"/>
      </w:pPr>
      <w:r>
        <w:rPr/>
        <w:t>DDS. MSD. Professor and Chief at the Pediatric Dentistry Department. School of Dentistry.  Autonumous University State of Mexico.</w:t>
      </w:r>
    </w:p>
    <w:p>
      <w:pPr>
        <w:pStyle w:val="ListParagraph"/>
        <w:numPr>
          <w:ilvl w:val="0"/>
          <w:numId w:val="17"/>
        </w:numPr>
        <w:tabs>
          <w:tab w:pos="881" w:val="left" w:leader="none"/>
        </w:tabs>
        <w:spacing w:line="240" w:lineRule="auto" w:before="204" w:after="0"/>
        <w:ind w:left="880" w:right="0" w:hanging="360"/>
        <w:jc w:val="left"/>
        <w:rPr>
          <w:sz w:val="24"/>
        </w:rPr>
      </w:pPr>
      <w:r>
        <w:rPr>
          <w:sz w:val="24"/>
        </w:rPr>
        <w:t>Raúl Alberto</w:t>
      </w:r>
      <w:r>
        <w:rPr>
          <w:spacing w:val="-4"/>
          <w:sz w:val="24"/>
        </w:rPr>
        <w:t> </w:t>
      </w:r>
      <w:r>
        <w:rPr>
          <w:sz w:val="24"/>
        </w:rPr>
        <w:t>Morales-Luckie</w:t>
      </w:r>
    </w:p>
    <w:p>
      <w:pPr>
        <w:pStyle w:val="BodyText"/>
        <w:spacing w:line="360" w:lineRule="auto" w:before="139"/>
        <w:ind w:left="160" w:right="174"/>
        <w:jc w:val="both"/>
      </w:pPr>
      <w:r>
        <w:rPr/>
        <w:t>DDS, MSD, PhD. Professor and Chief at the nanotechnology laboratories at Research Center on Sustainable Chemistry. School of Chemistry. Autonumous University State of Mexico.</w:t>
      </w:r>
    </w:p>
    <w:p>
      <w:pPr>
        <w:pStyle w:val="BodyText"/>
        <w:spacing w:before="202"/>
        <w:ind w:left="160"/>
        <w:jc w:val="both"/>
      </w:pPr>
      <w:r>
        <w:rPr/>
        <w:t>Corresponding author:</w:t>
      </w:r>
    </w:p>
    <w:p>
      <w:pPr>
        <w:pStyle w:val="BodyText"/>
        <w:spacing w:before="4"/>
        <w:rPr>
          <w:sz w:val="29"/>
        </w:rPr>
      </w:pPr>
    </w:p>
    <w:p>
      <w:pPr>
        <w:pStyle w:val="BodyText"/>
        <w:spacing w:before="1"/>
        <w:ind w:left="160"/>
        <w:jc w:val="both"/>
      </w:pPr>
      <w:r>
        <w:rPr/>
        <w:t>Saraí Carmina Guadarrama Reyes</w:t>
      </w:r>
    </w:p>
    <w:p>
      <w:pPr>
        <w:pStyle w:val="BodyText"/>
      </w:pPr>
    </w:p>
    <w:p>
      <w:pPr>
        <w:pStyle w:val="BodyText"/>
        <w:spacing w:before="141"/>
        <w:ind w:left="160"/>
        <w:jc w:val="both"/>
      </w:pPr>
      <w:r>
        <w:rPr/>
        <w:t>Adress: Paseo Tollocan Esq. Jesús Carranza, Col. Universidad Toluca, Edo. De México</w:t>
      </w:r>
    </w:p>
    <w:p>
      <w:pPr>
        <w:pStyle w:val="BodyText"/>
        <w:spacing w:before="140"/>
        <w:ind w:left="160"/>
        <w:jc w:val="both"/>
      </w:pPr>
      <w:r>
        <w:rPr/>
        <w:t>Z.C. 50000</w:t>
      </w:r>
    </w:p>
    <w:p>
      <w:pPr>
        <w:pStyle w:val="BodyText"/>
      </w:pPr>
    </w:p>
    <w:p>
      <w:pPr>
        <w:pStyle w:val="BodyText"/>
        <w:spacing w:before="141"/>
        <w:ind w:left="160"/>
        <w:jc w:val="both"/>
      </w:pPr>
      <w:r>
        <w:rPr/>
        <w:t>Phone and Fax: (52) 7222126464</w:t>
      </w:r>
    </w:p>
    <w:p>
      <w:pPr>
        <w:pStyle w:val="BodyText"/>
      </w:pPr>
    </w:p>
    <w:p>
      <w:pPr>
        <w:pStyle w:val="BodyText"/>
        <w:spacing w:before="141"/>
        <w:ind w:left="160"/>
        <w:jc w:val="both"/>
      </w:pPr>
      <w:r>
        <w:rPr/>
        <w:t>E- mail: </w:t>
      </w:r>
      <w:hyperlink r:id="rId151">
        <w:r>
          <w:rPr>
            <w:color w:val="0000FF"/>
            <w:u w:val="single" w:color="0000FF"/>
          </w:rPr>
          <w:t>scguadarramar@uaemex.mx</w:t>
        </w:r>
      </w:hyperlink>
    </w:p>
    <w:p>
      <w:pPr>
        <w:spacing w:after="0"/>
        <w:jc w:val="both"/>
        <w:sectPr>
          <w:pgSz w:w="12240" w:h="15840"/>
          <w:pgMar w:header="736" w:footer="1024" w:top="1180" w:bottom="1220" w:left="1280" w:right="1260"/>
        </w:sectPr>
      </w:pPr>
    </w:p>
    <w:p>
      <w:pPr>
        <w:pStyle w:val="BodyText"/>
        <w:spacing w:before="2"/>
        <w:rPr>
          <w:sz w:val="17"/>
        </w:rPr>
      </w:pPr>
    </w:p>
    <w:p>
      <w:pPr>
        <w:pStyle w:val="Heading2"/>
        <w:ind w:left="160"/>
        <w:jc w:val="both"/>
      </w:pPr>
      <w:r>
        <w:rPr/>
        <w:t>ARTICLE</w:t>
      </w:r>
    </w:p>
    <w:p>
      <w:pPr>
        <w:pStyle w:val="BodyText"/>
        <w:rPr>
          <w:b/>
        </w:rPr>
      </w:pPr>
    </w:p>
    <w:p>
      <w:pPr>
        <w:spacing w:before="199"/>
        <w:ind w:left="160" w:right="0" w:firstLine="0"/>
        <w:jc w:val="both"/>
        <w:rPr>
          <w:b/>
          <w:sz w:val="24"/>
        </w:rPr>
      </w:pPr>
      <w:r>
        <w:rPr>
          <w:b/>
          <w:sz w:val="24"/>
        </w:rPr>
        <w:t>Title</w:t>
      </w:r>
    </w:p>
    <w:p>
      <w:pPr>
        <w:pStyle w:val="BodyText"/>
        <w:rPr>
          <w:b/>
        </w:rPr>
      </w:pPr>
    </w:p>
    <w:p>
      <w:pPr>
        <w:spacing w:line="482" w:lineRule="auto" w:before="197"/>
        <w:ind w:left="160" w:right="175" w:firstLine="0"/>
        <w:jc w:val="both"/>
        <w:rPr>
          <w:i/>
          <w:sz w:val="24"/>
        </w:rPr>
      </w:pPr>
      <w:r>
        <w:rPr>
          <w:sz w:val="24"/>
        </w:rPr>
        <w:t>Antibacterial effect of Silver nanoparticles </w:t>
      </w:r>
      <w:r>
        <w:rPr>
          <w:i/>
          <w:sz w:val="24"/>
        </w:rPr>
        <w:t>versus </w:t>
      </w:r>
      <w:r>
        <w:rPr>
          <w:sz w:val="24"/>
        </w:rPr>
        <w:t>clorhexidine against </w:t>
      </w:r>
      <w:r>
        <w:rPr>
          <w:i/>
          <w:sz w:val="24"/>
        </w:rPr>
        <w:t>Streptococcus </w:t>
      </w:r>
      <w:r>
        <w:rPr>
          <w:i/>
          <w:sz w:val="24"/>
        </w:rPr>
        <w:t>mutans and Lactobacillus casei.</w:t>
      </w:r>
    </w:p>
    <w:p>
      <w:pPr>
        <w:pStyle w:val="Heading2"/>
        <w:spacing w:before="207"/>
        <w:ind w:left="160"/>
        <w:jc w:val="both"/>
      </w:pPr>
      <w:r>
        <w:rPr/>
        <w:t>Abstract</w:t>
      </w:r>
    </w:p>
    <w:p>
      <w:pPr>
        <w:pStyle w:val="BodyText"/>
        <w:rPr>
          <w:b/>
        </w:rPr>
      </w:pPr>
    </w:p>
    <w:p>
      <w:pPr>
        <w:spacing w:line="480" w:lineRule="auto" w:before="197"/>
        <w:ind w:left="160" w:right="176" w:firstLine="0"/>
        <w:jc w:val="both"/>
        <w:rPr>
          <w:i/>
          <w:sz w:val="24"/>
        </w:rPr>
      </w:pPr>
      <w:r>
        <w:rPr>
          <w:b/>
          <w:sz w:val="24"/>
        </w:rPr>
        <w:t>Objective</w:t>
      </w:r>
      <w:r>
        <w:rPr>
          <w:sz w:val="24"/>
        </w:rPr>
        <w:t>. The current study was carried out to evaluate the antibacterial effect of  Silver nanoparticles (Ag-Np) </w:t>
      </w:r>
      <w:r>
        <w:rPr>
          <w:i/>
          <w:sz w:val="24"/>
        </w:rPr>
        <w:t>versus </w:t>
      </w:r>
      <w:r>
        <w:rPr>
          <w:sz w:val="24"/>
        </w:rPr>
        <w:t>chlorhexidine (CHX) against </w:t>
      </w:r>
      <w:r>
        <w:rPr>
          <w:i/>
          <w:sz w:val="24"/>
        </w:rPr>
        <w:t>Streptococcus mutans </w:t>
      </w:r>
      <w:r>
        <w:rPr>
          <w:i/>
          <w:sz w:val="24"/>
        </w:rPr>
        <w:t>and Lactobacillus</w:t>
      </w:r>
      <w:r>
        <w:rPr>
          <w:i/>
          <w:spacing w:val="-11"/>
          <w:sz w:val="24"/>
        </w:rPr>
        <w:t> </w:t>
      </w:r>
      <w:r>
        <w:rPr>
          <w:i/>
          <w:sz w:val="24"/>
        </w:rPr>
        <w:t>casei.</w:t>
      </w:r>
    </w:p>
    <w:p>
      <w:pPr>
        <w:pStyle w:val="BodyText"/>
        <w:spacing w:line="480" w:lineRule="auto" w:before="209"/>
        <w:ind w:left="160" w:right="173"/>
        <w:jc w:val="both"/>
      </w:pPr>
      <w:r>
        <w:rPr>
          <w:b/>
        </w:rPr>
        <w:t>Methods</w:t>
      </w:r>
      <w:r>
        <w:rPr/>
        <w:t>. To synthesize and characterize Silver nanoparticles, three different reducing agents were used: sodium borohydride (NaBH4), </w:t>
      </w:r>
      <w:r>
        <w:rPr>
          <w:i/>
        </w:rPr>
        <w:t>Camellia sinensis (Cs) </w:t>
      </w:r>
      <w:r>
        <w:rPr/>
        <w:t>and </w:t>
      </w:r>
      <w:r>
        <w:rPr>
          <w:i/>
        </w:rPr>
        <w:t>Hetheroteca inuloides (Hi); </w:t>
      </w:r>
      <w:r>
        <w:rPr/>
        <w:t>one chemical and two eco-friendly methods, respectively. By means of a Scanning Electron Microscopy (SEM), the synthesized substance was deposited on deciduos teeth to evaluate its relation with the other dental tissues. A Spectrophotometry of Visible Ultraviolet Light (UV-Vis) analysis was carried out, as well as an Electronic Transmission Microscopy, to characterize the synthesized Ag-Np in terms of shape, size, and polidispersity. A microbiologic analysis was performed  through the isolation and culture of the strains: </w:t>
      </w:r>
      <w:r>
        <w:rPr>
          <w:i/>
        </w:rPr>
        <w:t>S. mutans </w:t>
      </w:r>
      <w:r>
        <w:rPr/>
        <w:t>and </w:t>
      </w:r>
      <w:r>
        <w:rPr>
          <w:i/>
        </w:rPr>
        <w:t>L. casei. </w:t>
      </w:r>
      <w:r>
        <w:rPr/>
        <w:t>Different concentrations of synthesized Ag-Np (synthesized by </w:t>
      </w:r>
      <w:r>
        <w:rPr>
          <w:i/>
        </w:rPr>
        <w:t>Hi</w:t>
      </w:r>
      <w:r>
        <w:rPr/>
        <w:t>, by </w:t>
      </w:r>
      <w:r>
        <w:rPr>
          <w:i/>
        </w:rPr>
        <w:t>Cs, </w:t>
      </w:r>
      <w:r>
        <w:rPr/>
        <w:t>and by </w:t>
      </w:r>
      <w:r>
        <w:rPr>
          <w:i/>
        </w:rPr>
        <w:t>Chlorhexidane</w:t>
      </w:r>
      <w:r>
        <w:rPr/>
        <w:t>), were deposited in Petri dishes and their antibacterial effect against </w:t>
      </w:r>
      <w:r>
        <w:rPr>
          <w:i/>
        </w:rPr>
        <w:t>S. mutans </w:t>
      </w:r>
      <w:r>
        <w:rPr/>
        <w:t>and </w:t>
      </w:r>
      <w:r>
        <w:rPr>
          <w:i/>
        </w:rPr>
        <w:t>L. </w:t>
      </w:r>
      <w:r>
        <w:rPr>
          <w:i/>
        </w:rPr>
        <w:t>casei </w:t>
      </w:r>
      <w:r>
        <w:rPr/>
        <w:t>was evaluated by the inhibition zones</w:t>
      </w:r>
      <w:r>
        <w:rPr>
          <w:spacing w:val="-16"/>
        </w:rPr>
        <w:t> </w:t>
      </w:r>
      <w:r>
        <w:rPr/>
        <w:t>test.</w:t>
      </w:r>
    </w:p>
    <w:p>
      <w:pPr>
        <w:spacing w:after="0" w:line="480" w:lineRule="auto"/>
        <w:jc w:val="both"/>
        <w:sectPr>
          <w:pgSz w:w="12240" w:h="15840"/>
          <w:pgMar w:header="736" w:footer="1024" w:top="1180" w:bottom="1220" w:left="1280" w:right="1260"/>
        </w:sectPr>
      </w:pPr>
    </w:p>
    <w:p>
      <w:pPr>
        <w:pStyle w:val="BodyText"/>
        <w:spacing w:before="11"/>
        <w:rPr>
          <w:sz w:val="16"/>
        </w:rPr>
      </w:pPr>
    </w:p>
    <w:p>
      <w:pPr>
        <w:pStyle w:val="BodyText"/>
        <w:spacing w:line="480" w:lineRule="auto" w:before="69"/>
        <w:ind w:left="160" w:right="177"/>
        <w:jc w:val="both"/>
      </w:pPr>
      <w:r>
        <w:rPr>
          <w:b/>
        </w:rPr>
        <w:t>Results. </w:t>
      </w:r>
      <w:r>
        <w:rPr/>
        <w:t>UV-Vis and Transmission Electron Microscopy (TEM) analysis determined that the synthesis with </w:t>
      </w:r>
      <w:r>
        <w:rPr>
          <w:i/>
        </w:rPr>
        <w:t>Hi </w:t>
      </w:r>
      <w:r>
        <w:rPr/>
        <w:t>showed smaller and more stable nanoparticles in greater  quantities (17.5 nm). Using SEM, a 6.25 average absorption of Silver was observed in the dental tissues. The largest growth-inhibition zones were produced when the test bacteria were in contact with 20µl of Ag-Np, synthesized by </w:t>
      </w:r>
      <w:r>
        <w:rPr>
          <w:i/>
        </w:rPr>
        <w:t>Hi; </w:t>
      </w:r>
      <w:r>
        <w:rPr/>
        <w:t>being statistically significant (p&lt;0.05) compared to the growth inhibition zones produced by CHX against both</w:t>
      </w:r>
      <w:r>
        <w:rPr>
          <w:spacing w:val="-2"/>
        </w:rPr>
        <w:t> </w:t>
      </w:r>
      <w:r>
        <w:rPr/>
        <w:t>strains.</w:t>
      </w:r>
    </w:p>
    <w:p>
      <w:pPr>
        <w:pStyle w:val="BodyText"/>
        <w:spacing w:line="480" w:lineRule="auto" w:before="170"/>
        <w:ind w:left="160" w:right="178"/>
        <w:jc w:val="both"/>
      </w:pPr>
      <w:r>
        <w:rPr>
          <w:b/>
        </w:rPr>
        <w:t>Discussion. </w:t>
      </w:r>
      <w:r>
        <w:rPr/>
        <w:t>Ag-Np at a concentration of 1x10</w:t>
      </w:r>
      <w:r>
        <w:rPr>
          <w:position w:val="11"/>
          <w:sz w:val="16"/>
        </w:rPr>
        <w:t>-3 </w:t>
      </w:r>
      <w:r>
        <w:rPr/>
        <w:t>(containing 10 mg of Silver) showed greater antibacterial effects compared to 2% CHX (containing 20 mg of Chlorhexidine gluconate).</w:t>
      </w:r>
    </w:p>
    <w:p>
      <w:pPr>
        <w:pStyle w:val="BodyText"/>
        <w:spacing w:line="482" w:lineRule="auto" w:before="207"/>
        <w:ind w:left="160" w:right="178"/>
        <w:jc w:val="both"/>
      </w:pPr>
      <w:r>
        <w:rPr>
          <w:b/>
        </w:rPr>
        <w:t>Conclusions. </w:t>
      </w:r>
      <w:r>
        <w:rPr/>
        <w:t>Eco-friendly methods produced Ag-Np with a greater antibacterial effect than CHX in both strains.</w:t>
      </w:r>
    </w:p>
    <w:p>
      <w:pPr>
        <w:spacing w:line="482" w:lineRule="auto" w:before="200"/>
        <w:ind w:left="160" w:right="175" w:firstLine="0"/>
        <w:jc w:val="both"/>
        <w:rPr>
          <w:i/>
          <w:sz w:val="24"/>
        </w:rPr>
      </w:pPr>
      <w:r>
        <w:rPr>
          <w:b/>
          <w:sz w:val="24"/>
        </w:rPr>
        <w:t>Keywords: </w:t>
      </w:r>
      <w:r>
        <w:rPr>
          <w:sz w:val="24"/>
        </w:rPr>
        <w:t>Silver nanoparticles, echo-friendly chemistry, Chlorhexidine, </w:t>
      </w:r>
      <w:r>
        <w:rPr>
          <w:i/>
          <w:sz w:val="24"/>
        </w:rPr>
        <w:t>Streptococcus </w:t>
      </w:r>
      <w:r>
        <w:rPr>
          <w:i/>
          <w:sz w:val="24"/>
        </w:rPr>
        <w:t>mutans</w:t>
      </w:r>
      <w:r>
        <w:rPr>
          <w:sz w:val="24"/>
        </w:rPr>
        <w:t>, </w:t>
      </w:r>
      <w:r>
        <w:rPr>
          <w:i/>
          <w:sz w:val="24"/>
        </w:rPr>
        <w:t>Lactobacillus casei</w:t>
      </w:r>
      <w:r>
        <w:rPr>
          <w:sz w:val="24"/>
        </w:rPr>
        <w:t>, </w:t>
      </w:r>
      <w:r>
        <w:rPr>
          <w:i/>
          <w:sz w:val="24"/>
        </w:rPr>
        <w:t>Camellia sinensis</w:t>
      </w:r>
      <w:r>
        <w:rPr>
          <w:sz w:val="24"/>
        </w:rPr>
        <w:t>, </w:t>
      </w:r>
      <w:r>
        <w:rPr>
          <w:i/>
          <w:sz w:val="24"/>
        </w:rPr>
        <w:t>Heterotheca inuloides</w:t>
      </w:r>
    </w:p>
    <w:p>
      <w:pPr>
        <w:pStyle w:val="BodyText"/>
        <w:rPr>
          <w:i/>
        </w:rPr>
      </w:pPr>
    </w:p>
    <w:p>
      <w:pPr>
        <w:pStyle w:val="BodyText"/>
        <w:rPr>
          <w:i/>
        </w:rPr>
      </w:pPr>
    </w:p>
    <w:p>
      <w:pPr>
        <w:pStyle w:val="BodyText"/>
        <w:spacing w:before="10"/>
        <w:rPr>
          <w:i/>
          <w:sz w:val="34"/>
        </w:rPr>
      </w:pPr>
    </w:p>
    <w:p>
      <w:pPr>
        <w:pStyle w:val="BodyText"/>
        <w:spacing w:line="480" w:lineRule="auto"/>
        <w:ind w:left="160" w:right="176"/>
        <w:jc w:val="both"/>
      </w:pPr>
      <w:r>
        <w:rPr>
          <w:b/>
        </w:rPr>
        <w:t>Introduction. </w:t>
      </w:r>
      <w:r>
        <w:rPr/>
        <w:t>While the </w:t>
      </w:r>
      <w:r>
        <w:rPr>
          <w:i/>
        </w:rPr>
        <w:t>S. mutans </w:t>
      </w:r>
      <w:r>
        <w:rPr/>
        <w:t>plays an important role in the initiation of dental caries, </w:t>
      </w:r>
      <w:r>
        <w:rPr>
          <w:i/>
        </w:rPr>
        <w:t>L. casei</w:t>
      </w:r>
      <w:r>
        <w:rPr/>
        <w:t>, on the other hand, is considered an important secondary invader; both microorganisms are actively involved in the process of tooth decay. [1, 2, 3, 4, 5] Chlorhexidine has been considered the gold standard for over the last 3 decades, [6, 7, 8, 9] it is a potent agent against </w:t>
      </w:r>
      <w:r>
        <w:rPr>
          <w:i/>
        </w:rPr>
        <w:t>mutans Streptococci. </w:t>
      </w:r>
      <w:r>
        <w:rPr/>
        <w:t>Nevertheless </w:t>
      </w:r>
      <w:r>
        <w:rPr>
          <w:i/>
        </w:rPr>
        <w:t>L. casei, </w:t>
      </w:r>
      <w:r>
        <w:rPr/>
        <w:t>which dominates among oral </w:t>
      </w:r>
      <w:r>
        <w:rPr>
          <w:i/>
        </w:rPr>
        <w:t>Lactobacilli, </w:t>
      </w:r>
      <w:r>
        <w:rPr/>
        <w:t>is relatively resistant. [10]</w:t>
      </w:r>
      <w:r>
        <w:rPr>
          <w:spacing w:val="-49"/>
        </w:rPr>
        <w:t> </w:t>
      </w:r>
      <w:r>
        <w:rPr/>
        <w:t>Although the main concern about its use is its limited period of substantivity. [11,</w:t>
      </w:r>
      <w:r>
        <w:rPr>
          <w:spacing w:val="-25"/>
        </w:rPr>
        <w:t> </w:t>
      </w:r>
      <w:r>
        <w:rPr/>
        <w:t>12]</w:t>
      </w:r>
    </w:p>
    <w:p>
      <w:pPr>
        <w:spacing w:after="0" w:line="480" w:lineRule="auto"/>
        <w:jc w:val="both"/>
        <w:sectPr>
          <w:pgSz w:w="12240" w:h="15840"/>
          <w:pgMar w:header="736" w:footer="1024" w:top="1180" w:bottom="1220" w:left="1280" w:right="1260"/>
        </w:sectPr>
      </w:pPr>
    </w:p>
    <w:p>
      <w:pPr>
        <w:pStyle w:val="BodyText"/>
        <w:spacing w:before="11"/>
        <w:rPr>
          <w:sz w:val="16"/>
        </w:rPr>
      </w:pPr>
    </w:p>
    <w:p>
      <w:pPr>
        <w:pStyle w:val="BodyText"/>
        <w:spacing w:line="482" w:lineRule="auto" w:before="69"/>
        <w:ind w:left="160" w:right="182"/>
        <w:jc w:val="both"/>
      </w:pPr>
      <w:r>
        <w:rPr/>
        <w:t>We consider important to use drugs at a higher antibacterial effect, and at the same time, meets the benefits of eco-friendly chemistry, leading to a minor damage to human health as well as to the environment. [13]</w:t>
      </w:r>
    </w:p>
    <w:p>
      <w:pPr>
        <w:pStyle w:val="BodyText"/>
        <w:spacing w:line="480" w:lineRule="auto" w:before="202"/>
        <w:ind w:left="160" w:right="180"/>
        <w:jc w:val="both"/>
      </w:pPr>
      <w:r>
        <w:rPr/>
        <w:t>In recent years nanotechnology has become one of the most important and exciting forefront fields in Biology. [14] Nanoscience is the capacity to control atoms and molecules to form new structures, one-billion times smaller than what can be observed with the naked eye. With the use of nanotechnology new materials and devices can be developed with atomic precision. It involves the use of nanoparticles between 1 to 100nm range to obtain unique properties. [14, 15, 16, 17, 18, 19, 20, 21] Most of the natural process occurred at a nanometric level, this is the main reason for its use in medicine. [22]</w:t>
      </w:r>
    </w:p>
    <w:p>
      <w:pPr>
        <w:pStyle w:val="BodyText"/>
        <w:spacing w:line="480" w:lineRule="auto" w:before="207"/>
        <w:ind w:left="160" w:right="180"/>
        <w:jc w:val="both"/>
      </w:pPr>
      <w:r>
        <w:rPr/>
        <w:t>Interest in the study and synthesis of nanoparticles has grown recently. Silver nanoparticles (Ag-Np) are being widely used in medical sciences; they are nanostructured materials based on Silver salts. Silver is currently being used to inhibit bacterial growth in a variety of applications, including dentistry. [23] Efforts have been made to explore the properties of Ag-Np, the reduction in size is an efficient way to provide stability and improve antibacterial effect. [20, 21, 22, 23, 24] It is known that Ag- Np exert an antimicrobial effect on Gram+ and Gram- producing </w:t>
      </w:r>
      <w:r>
        <w:rPr>
          <w:i/>
        </w:rPr>
        <w:t>lysis </w:t>
      </w:r>
      <w:r>
        <w:rPr/>
        <w:t>in the peptides of the membrane of microorganisms. [22, 25, 26]</w:t>
      </w:r>
    </w:p>
    <w:p>
      <w:pPr>
        <w:pStyle w:val="BodyText"/>
        <w:spacing w:line="480" w:lineRule="auto" w:before="207"/>
        <w:ind w:left="160" w:right="176"/>
        <w:jc w:val="both"/>
      </w:pPr>
      <w:r>
        <w:rPr/>
        <w:t>“Eco-friendly” chemistry seeks to reduce waste, and eliminate pollution and environmental damage; supports innovation and promotes the creation of products that are environmental and economically sustainable. [13] Different ways have been  sought</w:t>
      </w:r>
    </w:p>
    <w:p>
      <w:pPr>
        <w:spacing w:after="0" w:line="480" w:lineRule="auto"/>
        <w:jc w:val="both"/>
        <w:sectPr>
          <w:footerReference w:type="default" r:id="rId152"/>
          <w:pgSz w:w="12240" w:h="15840"/>
          <w:pgMar w:footer="1024" w:header="736" w:top="1180" w:bottom="1220" w:left="1280" w:right="1260"/>
        </w:sectPr>
      </w:pPr>
    </w:p>
    <w:p>
      <w:pPr>
        <w:pStyle w:val="BodyText"/>
        <w:spacing w:before="11"/>
        <w:rPr>
          <w:sz w:val="16"/>
        </w:rPr>
      </w:pPr>
    </w:p>
    <w:p>
      <w:pPr>
        <w:pStyle w:val="BodyText"/>
        <w:spacing w:line="480" w:lineRule="auto" w:before="69"/>
        <w:ind w:left="160" w:right="174"/>
        <w:jc w:val="both"/>
      </w:pPr>
      <w:r>
        <w:rPr/>
        <w:t>to use natural and renewable reducing agents into the chemical processes, thereby not only minimize the costs but also the damage to human health and reduce environmental pollution, while leveraging the benefits and properties of some plants such as  </w:t>
      </w:r>
      <w:r>
        <w:rPr>
          <w:i/>
        </w:rPr>
        <w:t>Cs </w:t>
      </w:r>
      <w:r>
        <w:rPr/>
        <w:t>and  </w:t>
      </w:r>
      <w:r>
        <w:rPr>
          <w:i/>
        </w:rPr>
        <w:t>Hi, </w:t>
      </w:r>
      <w:r>
        <w:rPr/>
        <w:t>which have shown antimicrobial and inhibitory activity, as well as antioxidant and cytotoxic properties against oral bacteria. [27,</w:t>
      </w:r>
      <w:r>
        <w:rPr>
          <w:spacing w:val="-16"/>
        </w:rPr>
        <w:t> </w:t>
      </w:r>
      <w:r>
        <w:rPr/>
        <w:t>28]</w:t>
      </w:r>
    </w:p>
    <w:p>
      <w:pPr>
        <w:pStyle w:val="Heading2"/>
        <w:spacing w:before="207"/>
        <w:ind w:left="160"/>
        <w:jc w:val="both"/>
      </w:pPr>
      <w:r>
        <w:rPr/>
        <w:t>Materials and Methods</w:t>
      </w:r>
    </w:p>
    <w:p>
      <w:pPr>
        <w:pStyle w:val="BodyText"/>
        <w:rPr>
          <w:b/>
        </w:rPr>
      </w:pPr>
    </w:p>
    <w:p>
      <w:pPr>
        <w:pStyle w:val="BodyText"/>
        <w:spacing w:line="477" w:lineRule="auto" w:before="200"/>
        <w:ind w:left="160" w:right="172"/>
        <w:jc w:val="both"/>
      </w:pPr>
      <w:r>
        <w:rPr>
          <w:b/>
        </w:rPr>
        <w:t>Phase 1 Synthesis and characterization of Ag-Np: </w:t>
      </w:r>
      <w:r>
        <w:rPr/>
        <w:t>Phase 1 consisted in characterizing Ag-Np based on Silver salts with the use of Sodium Borohydride  (NaBH</w:t>
      </w:r>
      <w:r>
        <w:rPr>
          <w:position w:val="-2"/>
          <w:sz w:val="16"/>
        </w:rPr>
        <w:t>4</w:t>
      </w:r>
      <w:r>
        <w:rPr/>
        <w:t>), </w:t>
      </w:r>
      <w:r>
        <w:rPr>
          <w:i/>
        </w:rPr>
        <w:t>Cs </w:t>
      </w:r>
      <w:r>
        <w:rPr/>
        <w:t>and </w:t>
      </w:r>
      <w:r>
        <w:rPr>
          <w:i/>
        </w:rPr>
        <w:t>Hi </w:t>
      </w:r>
      <w:r>
        <w:rPr/>
        <w:t>separately. The Silver salts and NaBH</w:t>
      </w:r>
      <w:r>
        <w:rPr>
          <w:position w:val="-2"/>
          <w:sz w:val="16"/>
        </w:rPr>
        <w:t>4 </w:t>
      </w:r>
      <w:r>
        <w:rPr/>
        <w:t>were weighed on an analytical scale (Explorer Pro, model EP213C, OHAUS, USA), they were then dissolved in flasks with distilled water and placed in a beaker on a heating grate,  (Thermo Scientific Cimarec) where using a magnetic stirrer and applying heat to the mixture, the incorporation was achieved. Finally, the centrifugation with filter paper allowed us to obtain the smallest particles (</w:t>
      </w:r>
      <w:r>
        <w:rPr>
          <w:i/>
        </w:rPr>
        <w:t>ie. </w:t>
      </w:r>
      <w:r>
        <w:rPr/>
        <w:t>nanoscale). Pursuing the same purpose, </w:t>
      </w:r>
      <w:r>
        <w:rPr>
          <w:i/>
        </w:rPr>
        <w:t>Cs </w:t>
      </w:r>
      <w:r>
        <w:rPr/>
        <w:t>and </w:t>
      </w:r>
      <w:r>
        <w:rPr>
          <w:i/>
        </w:rPr>
        <w:t>Hi </w:t>
      </w:r>
      <w:r>
        <w:rPr/>
        <w:t>were used as reducing agents but, in this case, through the boiling process to obtain the active principles of infusions. The synthesis was performed with water (H</w:t>
      </w:r>
      <w:r>
        <w:rPr>
          <w:position w:val="-2"/>
          <w:sz w:val="16"/>
        </w:rPr>
        <w:t>2</w:t>
      </w:r>
      <w:r>
        <w:rPr/>
        <w:t>O)  and alcohol (ETOH), separately, as diluents. To evaluate the size, shape and number of nanoparticles obtained, UV-Vis analysis and TEM were carried out. </w:t>
      </w:r>
      <w:r>
        <w:rPr>
          <w:b/>
        </w:rPr>
        <w:t>Phase 2 Characterization of Np-Ag and analysis in teeth: </w:t>
      </w:r>
      <w:r>
        <w:rPr/>
        <w:t>The two eco-friendly substances were deposited in 20 deciduous teeth to analyze, by means of SEM, the absorption of Silver in teeth. </w:t>
      </w:r>
      <w:r>
        <w:rPr>
          <w:b/>
        </w:rPr>
        <w:t>Phase 3 Microbiological analysis: </w:t>
      </w:r>
      <w:r>
        <w:rPr/>
        <w:t>Both strains, </w:t>
      </w:r>
      <w:r>
        <w:rPr>
          <w:i/>
        </w:rPr>
        <w:t>S mutans </w:t>
      </w:r>
      <w:r>
        <w:rPr/>
        <w:t>and </w:t>
      </w:r>
      <w:r>
        <w:rPr>
          <w:i/>
        </w:rPr>
        <w:t>L.  </w:t>
      </w:r>
      <w:r>
        <w:rPr>
          <w:i/>
        </w:rPr>
        <w:t>Casei, </w:t>
      </w:r>
      <w:r>
        <w:rPr/>
        <w:t>were isolated in specific mediums for their growth (Gold </w:t>
      </w:r>
      <w:r>
        <w:rPr>
          <w:i/>
        </w:rPr>
        <w:t>mitis salivarius </w:t>
      </w:r>
      <w:r>
        <w:rPr/>
        <w:t>and Rogosa);</w:t>
      </w:r>
      <w:r>
        <w:rPr>
          <w:spacing w:val="43"/>
        </w:rPr>
        <w:t> </w:t>
      </w:r>
      <w:r>
        <w:rPr/>
        <w:t>after</w:t>
      </w:r>
      <w:r>
        <w:rPr>
          <w:spacing w:val="43"/>
        </w:rPr>
        <w:t> </w:t>
      </w:r>
      <w:r>
        <w:rPr/>
        <w:t>that,</w:t>
      </w:r>
      <w:r>
        <w:rPr>
          <w:spacing w:val="44"/>
        </w:rPr>
        <w:t> </w:t>
      </w:r>
      <w:r>
        <w:rPr/>
        <w:t>both</w:t>
      </w:r>
      <w:r>
        <w:rPr>
          <w:spacing w:val="45"/>
        </w:rPr>
        <w:t> </w:t>
      </w:r>
      <w:r>
        <w:rPr/>
        <w:t>strains</w:t>
      </w:r>
      <w:r>
        <w:rPr>
          <w:spacing w:val="44"/>
        </w:rPr>
        <w:t> </w:t>
      </w:r>
      <w:r>
        <w:rPr/>
        <w:t>were</w:t>
      </w:r>
      <w:r>
        <w:rPr>
          <w:spacing w:val="44"/>
        </w:rPr>
        <w:t> </w:t>
      </w:r>
      <w:r>
        <w:rPr/>
        <w:t>cultured</w:t>
      </w:r>
      <w:r>
        <w:rPr>
          <w:spacing w:val="45"/>
        </w:rPr>
        <w:t> </w:t>
      </w:r>
      <w:r>
        <w:rPr/>
        <w:t>in</w:t>
      </w:r>
      <w:r>
        <w:rPr>
          <w:spacing w:val="44"/>
        </w:rPr>
        <w:t> </w:t>
      </w:r>
      <w:r>
        <w:rPr/>
        <w:t>Petri</w:t>
      </w:r>
      <w:r>
        <w:rPr>
          <w:spacing w:val="43"/>
        </w:rPr>
        <w:t> </w:t>
      </w:r>
      <w:r>
        <w:rPr/>
        <w:t>dishes</w:t>
      </w:r>
      <w:r>
        <w:rPr>
          <w:spacing w:val="41"/>
        </w:rPr>
        <w:t> </w:t>
      </w:r>
      <w:r>
        <w:rPr/>
        <w:t>and</w:t>
      </w:r>
      <w:r>
        <w:rPr>
          <w:spacing w:val="44"/>
        </w:rPr>
        <w:t> </w:t>
      </w:r>
      <w:r>
        <w:rPr/>
        <w:t>exposed</w:t>
      </w:r>
      <w:r>
        <w:rPr>
          <w:spacing w:val="42"/>
        </w:rPr>
        <w:t> </w:t>
      </w:r>
      <w:r>
        <w:rPr/>
        <w:t>to</w:t>
      </w:r>
      <w:r>
        <w:rPr>
          <w:spacing w:val="43"/>
        </w:rPr>
        <w:t> </w:t>
      </w:r>
      <w:r>
        <w:rPr/>
        <w:t>discs</w:t>
      </w:r>
    </w:p>
    <w:p>
      <w:pPr>
        <w:spacing w:after="0" w:line="477" w:lineRule="auto"/>
        <w:jc w:val="both"/>
        <w:sectPr>
          <w:footerReference w:type="default" r:id="rId153"/>
          <w:pgSz w:w="12240" w:h="15840"/>
          <w:pgMar w:footer="1024" w:header="736" w:top="1180" w:bottom="1220" w:left="1280" w:right="1260"/>
          <w:pgNumType w:start="91"/>
        </w:sectPr>
      </w:pPr>
    </w:p>
    <w:p>
      <w:pPr>
        <w:pStyle w:val="BodyText"/>
        <w:spacing w:before="11"/>
        <w:rPr>
          <w:sz w:val="16"/>
        </w:rPr>
      </w:pPr>
    </w:p>
    <w:p>
      <w:pPr>
        <w:pStyle w:val="BodyText"/>
        <w:spacing w:line="480" w:lineRule="auto" w:before="69"/>
        <w:ind w:left="160" w:right="174"/>
        <w:jc w:val="both"/>
      </w:pPr>
      <w:r>
        <w:rPr/>
        <w:t>containing 10µl, 2µl and 30µl of Ag-Np (synthesized by the two eco-friendly reducing agents) and discs containing 2% CHX (Consepsis Ultradent products Inc). Petri dishes were incubated at 37°C for 48 hours. Some discs were not rinsed with the above mentioned products to be used as a group of control. The inhibition halos of each substance were measured to compare the antibacterial effect at different doses.</w:t>
      </w:r>
    </w:p>
    <w:p>
      <w:pPr>
        <w:pStyle w:val="BodyText"/>
        <w:spacing w:before="4"/>
        <w:rPr>
          <w:sz w:val="21"/>
        </w:rPr>
      </w:pPr>
    </w:p>
    <w:p>
      <w:pPr>
        <w:pStyle w:val="Heading2"/>
        <w:spacing w:before="0"/>
        <w:ind w:left="160"/>
        <w:jc w:val="both"/>
      </w:pPr>
      <w:r>
        <w:rPr/>
        <w:t>Results</w:t>
      </w:r>
    </w:p>
    <w:p>
      <w:pPr>
        <w:pStyle w:val="BodyText"/>
        <w:rPr>
          <w:b/>
        </w:rPr>
      </w:pPr>
    </w:p>
    <w:p>
      <w:pPr>
        <w:pStyle w:val="BodyText"/>
        <w:spacing w:before="10"/>
        <w:rPr>
          <w:b/>
          <w:sz w:val="20"/>
        </w:rPr>
      </w:pPr>
    </w:p>
    <w:p>
      <w:pPr>
        <w:pStyle w:val="BodyText"/>
        <w:spacing w:line="477" w:lineRule="auto"/>
        <w:ind w:left="160" w:right="176"/>
        <w:jc w:val="both"/>
      </w:pPr>
      <w:r>
        <w:rPr/>
        <w:t>The synthetic methods with H</w:t>
      </w:r>
      <w:r>
        <w:rPr>
          <w:position w:val="-2"/>
          <w:sz w:val="16"/>
        </w:rPr>
        <w:t>2</w:t>
      </w:r>
      <w:r>
        <w:rPr/>
        <w:t>O and the boiling process provided more stable Ag-Np nanoparticles, because the chemical polarity of a molecule of water is greater than that of ETOH and the active ingredients are extracted from the infusions. UV-Vis analysis determined, through the formation of the Plasmon (maximum peak where light is absorbed), that Ag-Np synthesized by </w:t>
      </w:r>
      <w:r>
        <w:rPr>
          <w:i/>
        </w:rPr>
        <w:t>Hi </w:t>
      </w:r>
      <w:r>
        <w:rPr/>
        <w:t>showed more stable and smaller nanoparticles in greater quantities compared to </w:t>
      </w:r>
      <w:r>
        <w:rPr>
          <w:i/>
        </w:rPr>
        <w:t>Cs </w:t>
      </w:r>
      <w:r>
        <w:rPr/>
        <w:t>but bigger than NaBH</w:t>
      </w:r>
      <w:r>
        <w:rPr>
          <w:position w:val="-2"/>
          <w:sz w:val="16"/>
        </w:rPr>
        <w:t>4</w:t>
      </w:r>
      <w:r>
        <w:rPr/>
        <w:t>, because this is a more drastic reducing agent. (Figure 1)</w:t>
      </w:r>
    </w:p>
    <w:p>
      <w:pPr>
        <w:pStyle w:val="BodyText"/>
        <w:spacing w:before="4"/>
        <w:rPr>
          <w:sz w:val="21"/>
        </w:rPr>
      </w:pPr>
    </w:p>
    <w:p>
      <w:pPr>
        <w:spacing w:before="0"/>
        <w:ind w:left="160" w:right="0" w:firstLine="0"/>
        <w:jc w:val="both"/>
        <w:rPr>
          <w:i/>
          <w:sz w:val="24"/>
        </w:rPr>
      </w:pPr>
      <w:r>
        <w:rPr>
          <w:sz w:val="24"/>
        </w:rPr>
        <w:t>TEM allowed us to see that </w:t>
      </w:r>
      <w:r>
        <w:rPr>
          <w:i/>
          <w:sz w:val="24"/>
        </w:rPr>
        <w:t>Hi </w:t>
      </w:r>
      <w:r>
        <w:rPr>
          <w:sz w:val="24"/>
        </w:rPr>
        <w:t>showed smaller nanoparticles than </w:t>
      </w:r>
      <w:r>
        <w:rPr>
          <w:i/>
          <w:sz w:val="24"/>
        </w:rPr>
        <w:t>Camellia sinensis</w:t>
      </w:r>
    </w:p>
    <w:p>
      <w:pPr>
        <w:pStyle w:val="BodyText"/>
        <w:spacing w:before="4"/>
        <w:rPr>
          <w:i/>
        </w:rPr>
      </w:pPr>
    </w:p>
    <w:p>
      <w:pPr>
        <w:pStyle w:val="BodyText"/>
        <w:spacing w:before="1"/>
        <w:ind w:left="160"/>
        <w:jc w:val="both"/>
      </w:pPr>
      <w:r>
        <w:rPr/>
        <w:t>while Sodium borohydride where smaller. (Figure 2)</w:t>
      </w:r>
    </w:p>
    <w:p>
      <w:pPr>
        <w:pStyle w:val="BodyText"/>
      </w:pPr>
    </w:p>
    <w:p>
      <w:pPr>
        <w:pStyle w:val="BodyText"/>
        <w:spacing w:before="7"/>
        <w:rPr>
          <w:sz w:val="20"/>
        </w:rPr>
      </w:pPr>
    </w:p>
    <w:p>
      <w:pPr>
        <w:pStyle w:val="BodyText"/>
        <w:spacing w:line="480" w:lineRule="auto"/>
        <w:ind w:left="160" w:right="178"/>
        <w:jc w:val="both"/>
      </w:pPr>
      <w:r>
        <w:rPr/>
        <w:t>Through EDS (Energy Dispersive Espectroscopy) analysis technique by SEM, a 6.26 weight percent mean absorption of Silver to teeth was found; meaning: Ag-Np is compatible with teeth. A statistical analysis at a confidence level of 95% was set.  (Figure</w:t>
      </w:r>
      <w:r>
        <w:rPr>
          <w:spacing w:val="-3"/>
        </w:rPr>
        <w:t> </w:t>
      </w:r>
      <w:r>
        <w:rPr/>
        <w:t>3)</w:t>
      </w:r>
    </w:p>
    <w:p>
      <w:pPr>
        <w:pStyle w:val="BodyText"/>
        <w:spacing w:before="4"/>
        <w:rPr>
          <w:sz w:val="21"/>
        </w:rPr>
      </w:pPr>
    </w:p>
    <w:p>
      <w:pPr>
        <w:pStyle w:val="BodyText"/>
        <w:spacing w:line="477" w:lineRule="auto"/>
        <w:ind w:left="160" w:right="179"/>
        <w:jc w:val="both"/>
      </w:pPr>
      <w:r>
        <w:rPr/>
        <w:t>Student t test for unknown variances was used to establish whether the average inhibition of bacterial growth in </w:t>
      </w:r>
      <w:r>
        <w:rPr>
          <w:i/>
        </w:rPr>
        <w:t>Cs </w:t>
      </w:r>
      <w:r>
        <w:rPr/>
        <w:t>reducing agent was higher than that in CHX. A higher</w:t>
      </w:r>
    </w:p>
    <w:p>
      <w:pPr>
        <w:spacing w:after="0" w:line="477" w:lineRule="auto"/>
        <w:jc w:val="both"/>
        <w:sectPr>
          <w:pgSz w:w="12240" w:h="15840"/>
          <w:pgMar w:header="736" w:footer="1024" w:top="1180" w:bottom="1220" w:left="1280" w:right="1260"/>
        </w:sectPr>
      </w:pPr>
    </w:p>
    <w:p>
      <w:pPr>
        <w:pStyle w:val="BodyText"/>
        <w:spacing w:before="8"/>
        <w:rPr>
          <w:sz w:val="16"/>
        </w:rPr>
      </w:pPr>
    </w:p>
    <w:p>
      <w:pPr>
        <w:pStyle w:val="BodyText"/>
        <w:spacing w:line="482" w:lineRule="auto" w:before="70"/>
        <w:ind w:left="160" w:right="180"/>
        <w:jc w:val="both"/>
      </w:pPr>
      <w:r>
        <w:rPr/>
        <w:t>antibacterial effect of Ag-Np synthesized with </w:t>
      </w:r>
      <w:r>
        <w:rPr>
          <w:i/>
        </w:rPr>
        <w:t>Hi </w:t>
      </w:r>
      <w:r>
        <w:rPr/>
        <w:t>and </w:t>
      </w:r>
      <w:r>
        <w:rPr>
          <w:i/>
        </w:rPr>
        <w:t>Cs </w:t>
      </w:r>
      <w:r>
        <w:rPr/>
        <w:t>was observed, compared with CHX, particularly at the dose of 20µl. The effect on both bacteria was similar. The results were statistically significant to a confidence level of 95%. (Figure 4 and table</w:t>
      </w:r>
      <w:r>
        <w:rPr>
          <w:spacing w:val="-31"/>
        </w:rPr>
        <w:t> </w:t>
      </w:r>
      <w:r>
        <w:rPr/>
        <w:t>1)</w:t>
      </w:r>
    </w:p>
    <w:p>
      <w:pPr>
        <w:pStyle w:val="BodyText"/>
        <w:spacing w:before="1"/>
        <w:rPr>
          <w:sz w:val="21"/>
        </w:rPr>
      </w:pPr>
    </w:p>
    <w:p>
      <w:pPr>
        <w:pStyle w:val="Heading2"/>
        <w:spacing w:before="0"/>
        <w:ind w:left="160"/>
        <w:jc w:val="both"/>
      </w:pPr>
      <w:r>
        <w:rPr/>
        <w:t>Discussion</w:t>
      </w:r>
    </w:p>
    <w:p>
      <w:pPr>
        <w:pStyle w:val="BodyText"/>
        <w:rPr>
          <w:b/>
        </w:rPr>
      </w:pPr>
    </w:p>
    <w:p>
      <w:pPr>
        <w:pStyle w:val="BodyText"/>
        <w:spacing w:before="10"/>
        <w:rPr>
          <w:b/>
          <w:sz w:val="20"/>
        </w:rPr>
      </w:pPr>
    </w:p>
    <w:p>
      <w:pPr>
        <w:pStyle w:val="BodyText"/>
        <w:spacing w:line="480" w:lineRule="auto"/>
        <w:ind w:left="160" w:right="177"/>
        <w:jc w:val="both"/>
      </w:pPr>
      <w:r>
        <w:rPr/>
        <w:t>Synthesis of Ag-Np by eco-friendly reducing agents represents an environmental and economically sustainable process that minimizes the costs and provides the benefits and properties of </w:t>
      </w:r>
      <w:r>
        <w:rPr>
          <w:i/>
        </w:rPr>
        <w:t>Cs </w:t>
      </w:r>
      <w:r>
        <w:rPr/>
        <w:t>and </w:t>
      </w:r>
      <w:r>
        <w:rPr>
          <w:i/>
        </w:rPr>
        <w:t>Hi</w:t>
      </w:r>
      <w:r>
        <w:rPr/>
        <w:t>. As it is known, the size of bacteria is measured in microns, three orders of magnitude greater than the nanoparticles obtained by any of the three methods used, therefore the probability that nanoparticles come into contact with bacteria is higher when the size of Ag-Np is smaller, hence </w:t>
      </w:r>
      <w:r>
        <w:rPr>
          <w:i/>
        </w:rPr>
        <w:t>Hi </w:t>
      </w:r>
      <w:r>
        <w:rPr/>
        <w:t>turns out to be the best reducing</w:t>
      </w:r>
      <w:r>
        <w:rPr>
          <w:spacing w:val="-5"/>
        </w:rPr>
        <w:t> </w:t>
      </w:r>
      <w:r>
        <w:rPr/>
        <w:t>agent.</w:t>
      </w:r>
    </w:p>
    <w:p>
      <w:pPr>
        <w:pStyle w:val="BodyText"/>
        <w:spacing w:before="1"/>
        <w:rPr>
          <w:sz w:val="21"/>
        </w:rPr>
      </w:pPr>
    </w:p>
    <w:p>
      <w:pPr>
        <w:pStyle w:val="ListParagraph"/>
        <w:numPr>
          <w:ilvl w:val="0"/>
          <w:numId w:val="18"/>
        </w:numPr>
        <w:tabs>
          <w:tab w:pos="436" w:val="left" w:leader="none"/>
        </w:tabs>
        <w:spacing w:line="472" w:lineRule="auto" w:before="0" w:after="0"/>
        <w:ind w:left="160" w:right="174" w:firstLine="0"/>
        <w:jc w:val="both"/>
        <w:rPr>
          <w:sz w:val="24"/>
        </w:rPr>
      </w:pPr>
      <w:r>
        <w:rPr>
          <w:i/>
          <w:sz w:val="24"/>
        </w:rPr>
        <w:t>casei </w:t>
      </w:r>
      <w:r>
        <w:rPr>
          <w:sz w:val="24"/>
        </w:rPr>
        <w:t>has shown some resistance to Chlorhexidane. [11] In this study it is shown that Ag-Np inhibited both </w:t>
      </w:r>
      <w:r>
        <w:rPr>
          <w:i/>
          <w:sz w:val="24"/>
        </w:rPr>
        <w:t>L. casei </w:t>
      </w:r>
      <w:r>
        <w:rPr>
          <w:sz w:val="24"/>
        </w:rPr>
        <w:t>and </w:t>
      </w:r>
      <w:r>
        <w:rPr>
          <w:i/>
          <w:sz w:val="24"/>
        </w:rPr>
        <w:t>S. mutans. </w:t>
      </w:r>
      <w:r>
        <w:rPr>
          <w:sz w:val="24"/>
        </w:rPr>
        <w:t>Ag-Np at a concentration of 1x10</w:t>
      </w:r>
      <w:r>
        <w:rPr>
          <w:position w:val="11"/>
          <w:sz w:val="16"/>
        </w:rPr>
        <w:t>-3 </w:t>
      </w:r>
      <w:r>
        <w:rPr>
          <w:sz w:val="24"/>
        </w:rPr>
        <w:t>(containing 10mg of Silver) showed greater antibacterial properties when compared to 2% CHX (containing 20mg of Chlorhexidine gluconate). The concentration used in Ag- Np   is   minimal   compared   with   the   various   concentrations   shown   in   </w:t>
      </w:r>
      <w:r>
        <w:rPr>
          <w:spacing w:val="43"/>
          <w:sz w:val="24"/>
        </w:rPr>
        <w:t> </w:t>
      </w:r>
      <w:r>
        <w:rPr>
          <w:sz w:val="24"/>
        </w:rPr>
        <w:t>different</w:t>
      </w:r>
    </w:p>
    <w:p>
      <w:pPr>
        <w:pStyle w:val="BodyText"/>
        <w:spacing w:before="18"/>
        <w:ind w:left="160"/>
        <w:jc w:val="both"/>
      </w:pPr>
      <w:r>
        <w:rPr/>
        <w:t>presentations of CHX. [6, 8, 9, 29, 30, 31, 32, 33]</w:t>
      </w:r>
    </w:p>
    <w:p>
      <w:pPr>
        <w:pStyle w:val="BodyText"/>
      </w:pPr>
    </w:p>
    <w:p>
      <w:pPr>
        <w:pStyle w:val="BodyText"/>
        <w:spacing w:before="7"/>
        <w:rPr>
          <w:sz w:val="20"/>
        </w:rPr>
      </w:pPr>
    </w:p>
    <w:p>
      <w:pPr>
        <w:pStyle w:val="Heading2"/>
        <w:spacing w:before="0"/>
        <w:ind w:left="160"/>
        <w:jc w:val="both"/>
      </w:pPr>
      <w:r>
        <w:rPr/>
        <w:t>Conclusions</w:t>
      </w:r>
    </w:p>
    <w:p>
      <w:pPr>
        <w:pStyle w:val="BodyText"/>
        <w:rPr>
          <w:b/>
        </w:rPr>
      </w:pPr>
    </w:p>
    <w:p>
      <w:pPr>
        <w:pStyle w:val="BodyText"/>
        <w:spacing w:before="10"/>
        <w:rPr>
          <w:b/>
          <w:sz w:val="20"/>
        </w:rPr>
      </w:pPr>
    </w:p>
    <w:p>
      <w:pPr>
        <w:pStyle w:val="BodyText"/>
        <w:spacing w:line="480" w:lineRule="auto"/>
        <w:ind w:left="160" w:right="178"/>
        <w:jc w:val="both"/>
      </w:pPr>
      <w:r>
        <w:rPr/>
        <w:t>Interpretation of the UV-Vis spectra and images obtained through TEM showed that the formation of Silver nanoparticles is more effective when the active ingredients are extracted from the bioreductors in the boiling process. Indicating that the polarity of   the</w:t>
      </w:r>
    </w:p>
    <w:p>
      <w:pPr>
        <w:spacing w:after="0" w:line="480" w:lineRule="auto"/>
        <w:jc w:val="both"/>
        <w:sectPr>
          <w:pgSz w:w="12240" w:h="15840"/>
          <w:pgMar w:header="736" w:footer="1024" w:top="1180" w:bottom="1220" w:left="1280" w:right="1260"/>
        </w:sectPr>
      </w:pPr>
    </w:p>
    <w:p>
      <w:pPr>
        <w:pStyle w:val="BodyText"/>
        <w:spacing w:before="11"/>
        <w:rPr>
          <w:sz w:val="16"/>
        </w:rPr>
      </w:pPr>
    </w:p>
    <w:p>
      <w:pPr>
        <w:pStyle w:val="BodyText"/>
        <w:spacing w:line="480" w:lineRule="auto" w:before="69"/>
        <w:ind w:left="160" w:right="180"/>
        <w:jc w:val="both"/>
      </w:pPr>
      <w:r>
        <w:rPr/>
        <w:t>active ingredients is similar to that of water; and that temperature plays an important  role by increasing solubility and antibacterial effect. It is also concluded that nanoparticles obtained by </w:t>
      </w:r>
      <w:r>
        <w:rPr>
          <w:i/>
        </w:rPr>
        <w:t>Hi </w:t>
      </w:r>
      <w:r>
        <w:rPr/>
        <w:t>have a very good size (17nm) in sufficient  quantity and with a narrow particle size</w:t>
      </w:r>
      <w:r>
        <w:rPr>
          <w:spacing w:val="-12"/>
        </w:rPr>
        <w:t> </w:t>
      </w:r>
      <w:r>
        <w:rPr/>
        <w:t>distribution.</w:t>
      </w:r>
    </w:p>
    <w:p>
      <w:pPr>
        <w:pStyle w:val="BodyText"/>
        <w:spacing w:before="4"/>
        <w:rPr>
          <w:sz w:val="21"/>
        </w:rPr>
      </w:pPr>
    </w:p>
    <w:p>
      <w:pPr>
        <w:pStyle w:val="BodyText"/>
        <w:ind w:left="160"/>
        <w:jc w:val="both"/>
      </w:pPr>
      <w:r>
        <w:rPr/>
        <w:t>Acknowledgements</w:t>
      </w:r>
    </w:p>
    <w:p>
      <w:pPr>
        <w:pStyle w:val="BodyText"/>
      </w:pPr>
    </w:p>
    <w:p>
      <w:pPr>
        <w:pStyle w:val="ListParagraph"/>
        <w:numPr>
          <w:ilvl w:val="1"/>
          <w:numId w:val="18"/>
        </w:numPr>
        <w:tabs>
          <w:tab w:pos="881" w:val="left" w:leader="none"/>
        </w:tabs>
        <w:spacing w:line="480" w:lineRule="auto" w:before="199" w:after="0"/>
        <w:ind w:left="880" w:right="178" w:hanging="360"/>
        <w:jc w:val="both"/>
        <w:rPr>
          <w:sz w:val="24"/>
        </w:rPr>
      </w:pPr>
      <w:r>
        <w:rPr>
          <w:sz w:val="24"/>
        </w:rPr>
        <w:t>Ph D. Gutierrez-Venegas Gloria. Chief at Microbiology Department. National Autonomous University of</w:t>
      </w:r>
      <w:r>
        <w:rPr>
          <w:spacing w:val="-12"/>
          <w:sz w:val="24"/>
        </w:rPr>
        <w:t> </w:t>
      </w:r>
      <w:r>
        <w:rPr>
          <w:sz w:val="24"/>
        </w:rPr>
        <w:t>Mexico</w:t>
      </w:r>
    </w:p>
    <w:p>
      <w:pPr>
        <w:pStyle w:val="ListParagraph"/>
        <w:numPr>
          <w:ilvl w:val="1"/>
          <w:numId w:val="18"/>
        </w:numPr>
        <w:tabs>
          <w:tab w:pos="881" w:val="left" w:leader="none"/>
        </w:tabs>
        <w:spacing w:line="516" w:lineRule="auto" w:before="8" w:after="0"/>
        <w:ind w:left="160" w:right="5427" w:firstLine="360"/>
        <w:jc w:val="left"/>
        <w:rPr>
          <w:sz w:val="24"/>
        </w:rPr>
      </w:pPr>
      <w:r>
        <w:rPr>
          <w:sz w:val="24"/>
        </w:rPr>
        <w:t>Sánchez-Ríos Omar. Translator References</w:t>
      </w:r>
    </w:p>
    <w:p>
      <w:pPr>
        <w:pStyle w:val="ListParagraph"/>
        <w:numPr>
          <w:ilvl w:val="0"/>
          <w:numId w:val="19"/>
        </w:numPr>
        <w:tabs>
          <w:tab w:pos="881" w:val="left" w:leader="none"/>
        </w:tabs>
        <w:spacing w:line="480" w:lineRule="auto" w:before="167" w:after="0"/>
        <w:ind w:left="880" w:right="181" w:hanging="360"/>
        <w:jc w:val="both"/>
        <w:rPr>
          <w:sz w:val="24"/>
        </w:rPr>
      </w:pPr>
      <w:r>
        <w:rPr>
          <w:sz w:val="24"/>
        </w:rPr>
        <w:t>Allah A., Ibrahium M., Al-atrouny A. Effect of black tea on some cariogenic bacteria. Worl Appl. Sci. J. 2011; 12 (4):</w:t>
      </w:r>
      <w:r>
        <w:rPr>
          <w:spacing w:val="-18"/>
          <w:sz w:val="24"/>
        </w:rPr>
        <w:t> </w:t>
      </w:r>
      <w:r>
        <w:rPr>
          <w:sz w:val="24"/>
        </w:rPr>
        <w:t>552-558</w:t>
      </w:r>
    </w:p>
    <w:p>
      <w:pPr>
        <w:pStyle w:val="ListParagraph"/>
        <w:numPr>
          <w:ilvl w:val="0"/>
          <w:numId w:val="19"/>
        </w:numPr>
        <w:tabs>
          <w:tab w:pos="881" w:val="left" w:leader="none"/>
        </w:tabs>
        <w:spacing w:line="480" w:lineRule="auto" w:before="8" w:after="0"/>
        <w:ind w:left="880" w:right="184" w:hanging="360"/>
        <w:jc w:val="both"/>
        <w:rPr>
          <w:sz w:val="24"/>
        </w:rPr>
      </w:pPr>
      <w:r>
        <w:rPr>
          <w:spacing w:val="3"/>
          <w:sz w:val="24"/>
        </w:rPr>
        <w:t>Wu </w:t>
      </w:r>
      <w:r>
        <w:rPr>
          <w:sz w:val="24"/>
        </w:rPr>
        <w:t>H., Fan M., Zhou X., Mo A., Bian Z. Detection of Streptococcus mutans and Streptococcus sobrinus on the permanent first molar of the Moscu people in China Caries Res 2003; 203:</w:t>
      </w:r>
      <w:r>
        <w:rPr>
          <w:spacing w:val="-11"/>
          <w:sz w:val="24"/>
        </w:rPr>
        <w:t> </w:t>
      </w:r>
      <w:r>
        <w:rPr>
          <w:sz w:val="24"/>
        </w:rPr>
        <w:t>1-6</w:t>
      </w:r>
    </w:p>
    <w:p>
      <w:pPr>
        <w:pStyle w:val="ListParagraph"/>
        <w:numPr>
          <w:ilvl w:val="0"/>
          <w:numId w:val="19"/>
        </w:numPr>
        <w:tabs>
          <w:tab w:pos="881" w:val="left" w:leader="none"/>
        </w:tabs>
        <w:spacing w:line="360" w:lineRule="auto" w:before="10" w:after="0"/>
        <w:ind w:left="880" w:right="177" w:hanging="360"/>
        <w:jc w:val="both"/>
        <w:rPr>
          <w:sz w:val="24"/>
        </w:rPr>
      </w:pPr>
      <w:r>
        <w:rPr>
          <w:sz w:val="24"/>
        </w:rPr>
        <w:t>Li M., Lai G., Wang J. The prevalence of virulent clonal strains of mutans streptococci in vivo and co-culture sucession of the strains in vitro. J. of Stomatology  2011; 1:</w:t>
      </w:r>
      <w:r>
        <w:rPr>
          <w:spacing w:val="-7"/>
          <w:sz w:val="24"/>
        </w:rPr>
        <w:t> </w:t>
      </w:r>
      <w:r>
        <w:rPr>
          <w:sz w:val="24"/>
        </w:rPr>
        <w:t>18-24</w:t>
      </w:r>
    </w:p>
    <w:p>
      <w:pPr>
        <w:pStyle w:val="ListParagraph"/>
        <w:numPr>
          <w:ilvl w:val="0"/>
          <w:numId w:val="19"/>
        </w:numPr>
        <w:tabs>
          <w:tab w:pos="881" w:val="left" w:leader="none"/>
        </w:tabs>
        <w:spacing w:line="360" w:lineRule="auto" w:before="5" w:after="0"/>
        <w:ind w:left="880" w:right="184" w:hanging="360"/>
        <w:jc w:val="both"/>
        <w:rPr>
          <w:sz w:val="24"/>
        </w:rPr>
      </w:pPr>
      <w:r>
        <w:rPr>
          <w:sz w:val="24"/>
        </w:rPr>
        <w:t>Loesche </w:t>
      </w:r>
      <w:r>
        <w:rPr>
          <w:spacing w:val="2"/>
          <w:sz w:val="24"/>
        </w:rPr>
        <w:t>W., </w:t>
      </w:r>
      <w:r>
        <w:rPr>
          <w:sz w:val="24"/>
        </w:rPr>
        <w:t>Rowan J., Straffon L., Loops P. Association of Streptococcus mutans with human dental decay. Infect Immun. 1975; 11:</w:t>
      </w:r>
      <w:r>
        <w:rPr>
          <w:spacing w:val="-23"/>
          <w:sz w:val="24"/>
        </w:rPr>
        <w:t> </w:t>
      </w:r>
      <w:r>
        <w:rPr>
          <w:sz w:val="24"/>
        </w:rPr>
        <w:t>1252-1259.</w:t>
      </w:r>
    </w:p>
    <w:p>
      <w:pPr>
        <w:pStyle w:val="ListParagraph"/>
        <w:numPr>
          <w:ilvl w:val="0"/>
          <w:numId w:val="19"/>
        </w:numPr>
        <w:tabs>
          <w:tab w:pos="881" w:val="left" w:leader="none"/>
        </w:tabs>
        <w:spacing w:line="360" w:lineRule="auto" w:before="5" w:after="0"/>
        <w:ind w:left="880" w:right="184" w:hanging="360"/>
        <w:jc w:val="both"/>
        <w:rPr>
          <w:sz w:val="24"/>
        </w:rPr>
      </w:pPr>
      <w:r>
        <w:rPr>
          <w:sz w:val="24"/>
        </w:rPr>
        <w:t>Koroluk L., Hoover J., Komiyama K. The sensitivity and specificity of a coloritemric microbiological caries activity test (Cariostat) in preeschool children. Ped Dent 1994; 16 (4):</w:t>
      </w:r>
      <w:r>
        <w:rPr>
          <w:spacing w:val="-9"/>
          <w:sz w:val="24"/>
        </w:rPr>
        <w:t> </w:t>
      </w:r>
      <w:r>
        <w:rPr>
          <w:sz w:val="24"/>
        </w:rPr>
        <w:t>276-281</w:t>
      </w:r>
    </w:p>
    <w:p>
      <w:pPr>
        <w:pStyle w:val="ListParagraph"/>
        <w:numPr>
          <w:ilvl w:val="0"/>
          <w:numId w:val="19"/>
        </w:numPr>
        <w:tabs>
          <w:tab w:pos="881" w:val="left" w:leader="none"/>
        </w:tabs>
        <w:spacing w:line="360" w:lineRule="auto" w:before="2" w:after="0"/>
        <w:ind w:left="880" w:right="176" w:hanging="360"/>
        <w:jc w:val="both"/>
        <w:rPr>
          <w:sz w:val="24"/>
        </w:rPr>
      </w:pPr>
      <w:r>
        <w:rPr>
          <w:sz w:val="24"/>
        </w:rPr>
        <w:t>Souza-Filho FJ, Soares AJ, Viana ME, Zaia AA, Ferraz CC, Gomes BP. Antimicrobial Effect and Ph OF Clorhexidine Gel and Calcium Hydroxide alone and associated with other materials. Braz. Dent J. 2008; 19 (1): p</w:t>
      </w:r>
      <w:r>
        <w:rPr>
          <w:spacing w:val="-20"/>
          <w:sz w:val="24"/>
        </w:rPr>
        <w:t> </w:t>
      </w:r>
      <w:r>
        <w:rPr>
          <w:sz w:val="24"/>
        </w:rPr>
        <w:t>28-33</w:t>
      </w:r>
    </w:p>
    <w:p>
      <w:pPr>
        <w:spacing w:after="0" w:line="360" w:lineRule="auto"/>
        <w:jc w:val="both"/>
        <w:rPr>
          <w:sz w:val="24"/>
        </w:rPr>
        <w:sectPr>
          <w:pgSz w:w="12240" w:h="15840"/>
          <w:pgMar w:header="736" w:footer="1024" w:top="1180" w:bottom="1220" w:left="1280" w:right="1260"/>
        </w:sectPr>
      </w:pPr>
    </w:p>
    <w:p>
      <w:pPr>
        <w:pStyle w:val="BodyText"/>
        <w:spacing w:before="11"/>
        <w:rPr>
          <w:sz w:val="16"/>
        </w:rPr>
      </w:pPr>
    </w:p>
    <w:p>
      <w:pPr>
        <w:pStyle w:val="ListParagraph"/>
        <w:numPr>
          <w:ilvl w:val="0"/>
          <w:numId w:val="19"/>
        </w:numPr>
        <w:tabs>
          <w:tab w:pos="881" w:val="left" w:leader="none"/>
        </w:tabs>
        <w:spacing w:line="480" w:lineRule="auto" w:before="69" w:after="0"/>
        <w:ind w:left="880" w:right="185" w:hanging="360"/>
        <w:jc w:val="both"/>
        <w:rPr>
          <w:sz w:val="24"/>
        </w:rPr>
      </w:pPr>
      <w:r>
        <w:rPr>
          <w:sz w:val="24"/>
        </w:rPr>
        <w:t>Grover R., Frank M. Regional specificity of Chlorhexidine effects on taste perception Chem. Senses 2008; 33:</w:t>
      </w:r>
      <w:r>
        <w:rPr>
          <w:spacing w:val="-15"/>
          <w:sz w:val="24"/>
        </w:rPr>
        <w:t> </w:t>
      </w:r>
      <w:r>
        <w:rPr>
          <w:sz w:val="24"/>
        </w:rPr>
        <w:t>311-318</w:t>
      </w:r>
    </w:p>
    <w:p>
      <w:pPr>
        <w:pStyle w:val="ListParagraph"/>
        <w:numPr>
          <w:ilvl w:val="0"/>
          <w:numId w:val="19"/>
        </w:numPr>
        <w:tabs>
          <w:tab w:pos="881" w:val="left" w:leader="none"/>
        </w:tabs>
        <w:spacing w:line="480" w:lineRule="auto" w:before="8" w:after="0"/>
        <w:ind w:left="880" w:right="185" w:hanging="360"/>
        <w:jc w:val="both"/>
        <w:rPr>
          <w:sz w:val="24"/>
        </w:rPr>
      </w:pPr>
      <w:r>
        <w:rPr>
          <w:sz w:val="24"/>
        </w:rPr>
        <w:t>Mathur S., Mathur T., Srivasta R., Khatri R. Chlorhexidine: The gold standard in chemical plaque control. National Journal of Phisiolgy, Pharmacy and Pharmacology 2011; 1 (2):</w:t>
      </w:r>
      <w:r>
        <w:rPr>
          <w:spacing w:val="-11"/>
          <w:sz w:val="24"/>
        </w:rPr>
        <w:t> </w:t>
      </w:r>
      <w:r>
        <w:rPr>
          <w:sz w:val="24"/>
        </w:rPr>
        <w:t>45-50</w:t>
      </w:r>
    </w:p>
    <w:p>
      <w:pPr>
        <w:pStyle w:val="ListParagraph"/>
        <w:numPr>
          <w:ilvl w:val="0"/>
          <w:numId w:val="19"/>
        </w:numPr>
        <w:tabs>
          <w:tab w:pos="881" w:val="left" w:leader="none"/>
        </w:tabs>
        <w:spacing w:line="480" w:lineRule="auto" w:before="8" w:after="0"/>
        <w:ind w:left="880" w:right="178" w:hanging="360"/>
        <w:jc w:val="both"/>
        <w:rPr>
          <w:sz w:val="24"/>
        </w:rPr>
      </w:pPr>
      <w:r>
        <w:rPr>
          <w:sz w:val="24"/>
        </w:rPr>
        <w:t>Ullfoss B., Ogaard B., Arends J., Ruben J., Rolla G., Afseth J. Effect of a combined chlorhexidine and NaF mouthrinse: an in vivo human caries model study Scand Dent Res 1994; 102 (2):</w:t>
      </w:r>
      <w:r>
        <w:rPr>
          <w:spacing w:val="-13"/>
          <w:sz w:val="24"/>
        </w:rPr>
        <w:t> </w:t>
      </w:r>
      <w:r>
        <w:rPr>
          <w:sz w:val="24"/>
        </w:rPr>
        <w:t>109-112</w:t>
      </w:r>
    </w:p>
    <w:p>
      <w:pPr>
        <w:pStyle w:val="ListParagraph"/>
        <w:numPr>
          <w:ilvl w:val="0"/>
          <w:numId w:val="19"/>
        </w:numPr>
        <w:tabs>
          <w:tab w:pos="881" w:val="left" w:leader="none"/>
        </w:tabs>
        <w:spacing w:line="480" w:lineRule="auto" w:before="8" w:after="0"/>
        <w:ind w:left="880" w:right="184" w:hanging="360"/>
        <w:jc w:val="both"/>
        <w:rPr>
          <w:sz w:val="24"/>
        </w:rPr>
      </w:pPr>
      <w:r>
        <w:rPr>
          <w:sz w:val="24"/>
        </w:rPr>
        <w:t>Jones c. Chlorhexidine: is it still the gold standard? Periodontol 2000 1997; 15: 55-62</w:t>
      </w:r>
    </w:p>
    <w:p>
      <w:pPr>
        <w:pStyle w:val="ListParagraph"/>
        <w:numPr>
          <w:ilvl w:val="0"/>
          <w:numId w:val="19"/>
        </w:numPr>
        <w:tabs>
          <w:tab w:pos="881" w:val="left" w:leader="none"/>
        </w:tabs>
        <w:spacing w:line="480" w:lineRule="auto" w:before="8" w:after="0"/>
        <w:ind w:left="880" w:right="181" w:hanging="360"/>
        <w:jc w:val="both"/>
        <w:rPr>
          <w:sz w:val="24"/>
        </w:rPr>
      </w:pPr>
      <w:r>
        <w:rPr>
          <w:sz w:val="24"/>
        </w:rPr>
        <w:t>Emilson C. Potential efficacy of Chlorhexidine against Mutans Strepctocci and Human dental caries. J Dent Res 199; 73 (4):</w:t>
      </w:r>
      <w:r>
        <w:rPr>
          <w:spacing w:val="-14"/>
          <w:sz w:val="24"/>
        </w:rPr>
        <w:t> </w:t>
      </w:r>
      <w:r>
        <w:rPr>
          <w:sz w:val="24"/>
        </w:rPr>
        <w:t>682-691</w:t>
      </w:r>
    </w:p>
    <w:p>
      <w:pPr>
        <w:pStyle w:val="ListParagraph"/>
        <w:numPr>
          <w:ilvl w:val="0"/>
          <w:numId w:val="19"/>
        </w:numPr>
        <w:tabs>
          <w:tab w:pos="881" w:val="left" w:leader="none"/>
        </w:tabs>
        <w:spacing w:line="480" w:lineRule="auto" w:before="8" w:after="0"/>
        <w:ind w:left="880" w:right="175" w:hanging="360"/>
        <w:jc w:val="both"/>
        <w:rPr>
          <w:sz w:val="24"/>
        </w:rPr>
      </w:pPr>
      <w:r>
        <w:rPr>
          <w:sz w:val="24"/>
        </w:rPr>
        <w:t>Ferraz C., Gomes B., Zaia A., Teixeira F., Souza-Filho F. Comparative study of the antimicrobial efficacy of Chlorhexidine gel, Chlorhexidine solution and  Sodium hypochlorite as endodontic irrigants. Braz Dent J 2007; 18 (4):</w:t>
      </w:r>
      <w:r>
        <w:rPr>
          <w:spacing w:val="-19"/>
          <w:sz w:val="24"/>
        </w:rPr>
        <w:t> </w:t>
      </w:r>
      <w:r>
        <w:rPr>
          <w:sz w:val="24"/>
        </w:rPr>
        <w:t>294-298</w:t>
      </w:r>
    </w:p>
    <w:p>
      <w:pPr>
        <w:pStyle w:val="ListParagraph"/>
        <w:numPr>
          <w:ilvl w:val="0"/>
          <w:numId w:val="19"/>
        </w:numPr>
        <w:tabs>
          <w:tab w:pos="948" w:val="left" w:leader="none"/>
        </w:tabs>
        <w:spacing w:line="480" w:lineRule="auto" w:before="8" w:after="0"/>
        <w:ind w:left="880" w:right="177" w:hanging="360"/>
        <w:jc w:val="both"/>
        <w:rPr>
          <w:sz w:val="24"/>
        </w:rPr>
      </w:pPr>
      <w:r>
        <w:rPr>
          <w:sz w:val="24"/>
        </w:rPr>
        <w:t>Anastas P., Autor J. Green Chemistry: Theory and Practice. Oxford University Press, 2000 pp. 1-</w:t>
      </w:r>
      <w:r>
        <w:rPr>
          <w:spacing w:val="-5"/>
          <w:sz w:val="24"/>
        </w:rPr>
        <w:t> </w:t>
      </w:r>
      <w:r>
        <w:rPr>
          <w:sz w:val="24"/>
        </w:rPr>
        <w:t>135</w:t>
      </w:r>
    </w:p>
    <w:p>
      <w:pPr>
        <w:pStyle w:val="ListParagraph"/>
        <w:numPr>
          <w:ilvl w:val="0"/>
          <w:numId w:val="19"/>
        </w:numPr>
        <w:tabs>
          <w:tab w:pos="881" w:val="left" w:leader="none"/>
        </w:tabs>
        <w:spacing w:line="480" w:lineRule="auto" w:before="8" w:after="0"/>
        <w:ind w:left="880" w:right="172" w:hanging="360"/>
        <w:jc w:val="both"/>
        <w:rPr>
          <w:sz w:val="24"/>
        </w:rPr>
      </w:pPr>
      <w:r>
        <w:rPr>
          <w:sz w:val="24"/>
        </w:rPr>
        <w:t>Poole C, Owens F. Introduction to Nanotechnology. Wiley Ed. 2003 </w:t>
      </w:r>
      <w:r>
        <w:rPr>
          <w:spacing w:val="2"/>
          <w:sz w:val="24"/>
        </w:rPr>
        <w:t>USA </w:t>
      </w:r>
      <w:r>
        <w:rPr>
          <w:sz w:val="24"/>
        </w:rPr>
        <w:t>pp. 1- 387</w:t>
      </w:r>
    </w:p>
    <w:p>
      <w:pPr>
        <w:pStyle w:val="ListParagraph"/>
        <w:numPr>
          <w:ilvl w:val="0"/>
          <w:numId w:val="19"/>
        </w:numPr>
        <w:tabs>
          <w:tab w:pos="881" w:val="left" w:leader="none"/>
        </w:tabs>
        <w:spacing w:line="360" w:lineRule="auto" w:before="11" w:after="0"/>
        <w:ind w:left="880" w:right="187" w:hanging="360"/>
        <w:jc w:val="both"/>
        <w:rPr>
          <w:sz w:val="24"/>
        </w:rPr>
      </w:pPr>
      <w:r>
        <w:rPr>
          <w:sz w:val="24"/>
        </w:rPr>
        <w:t>Sahoo S., Parveen S., Panda J. The present and future of nanotechnology. Nanomedicine: Nanotechnology, biology and medicine 2007; 3:</w:t>
      </w:r>
      <w:r>
        <w:rPr>
          <w:spacing w:val="-26"/>
          <w:sz w:val="24"/>
        </w:rPr>
        <w:t> </w:t>
      </w:r>
      <w:r>
        <w:rPr>
          <w:sz w:val="24"/>
        </w:rPr>
        <w:t>20-31</w:t>
      </w:r>
    </w:p>
    <w:p>
      <w:pPr>
        <w:pStyle w:val="ListParagraph"/>
        <w:numPr>
          <w:ilvl w:val="0"/>
          <w:numId w:val="19"/>
        </w:numPr>
        <w:tabs>
          <w:tab w:pos="881" w:val="left" w:leader="none"/>
        </w:tabs>
        <w:spacing w:line="360" w:lineRule="auto" w:before="5" w:after="0"/>
        <w:ind w:left="880" w:right="177" w:hanging="360"/>
        <w:jc w:val="both"/>
        <w:rPr>
          <w:sz w:val="24"/>
        </w:rPr>
      </w:pPr>
      <w:r>
        <w:rPr>
          <w:sz w:val="24"/>
        </w:rPr>
        <w:t>Cobo L., Akyildiz I. Bacteria-based communication in nanonetworks. Nanocomunication Network 2010; 1:</w:t>
      </w:r>
      <w:r>
        <w:rPr>
          <w:spacing w:val="-12"/>
          <w:sz w:val="24"/>
        </w:rPr>
        <w:t> </w:t>
      </w:r>
      <w:r>
        <w:rPr>
          <w:sz w:val="24"/>
        </w:rPr>
        <w:t>244-256.</w:t>
      </w:r>
    </w:p>
    <w:p>
      <w:pPr>
        <w:spacing w:after="0" w:line="360" w:lineRule="auto"/>
        <w:jc w:val="both"/>
        <w:rPr>
          <w:sz w:val="24"/>
        </w:rPr>
        <w:sectPr>
          <w:pgSz w:w="12240" w:h="15840"/>
          <w:pgMar w:header="736" w:footer="1024" w:top="1180" w:bottom="1220" w:left="1280" w:right="1260"/>
        </w:sectPr>
      </w:pPr>
    </w:p>
    <w:p>
      <w:pPr>
        <w:pStyle w:val="BodyText"/>
        <w:spacing w:before="11"/>
        <w:rPr>
          <w:sz w:val="16"/>
        </w:rPr>
      </w:pPr>
    </w:p>
    <w:p>
      <w:pPr>
        <w:pStyle w:val="ListParagraph"/>
        <w:numPr>
          <w:ilvl w:val="0"/>
          <w:numId w:val="19"/>
        </w:numPr>
        <w:tabs>
          <w:tab w:pos="881" w:val="left" w:leader="none"/>
        </w:tabs>
        <w:spacing w:line="480" w:lineRule="auto" w:before="69" w:after="0"/>
        <w:ind w:left="880" w:right="184" w:hanging="360"/>
        <w:jc w:val="both"/>
        <w:rPr>
          <w:sz w:val="24"/>
        </w:rPr>
      </w:pPr>
      <w:r>
        <w:rPr>
          <w:sz w:val="24"/>
        </w:rPr>
        <w:t>Braun T., Schubert A., Zsindely. Nanoscience and Nanotechnology on the balance. Scientometrics 1997; 38 (2):</w:t>
      </w:r>
      <w:r>
        <w:rPr>
          <w:spacing w:val="-15"/>
          <w:sz w:val="24"/>
        </w:rPr>
        <w:t> </w:t>
      </w:r>
      <w:r>
        <w:rPr>
          <w:sz w:val="24"/>
        </w:rPr>
        <w:t>321-325</w:t>
      </w:r>
    </w:p>
    <w:p>
      <w:pPr>
        <w:pStyle w:val="ListParagraph"/>
        <w:numPr>
          <w:ilvl w:val="0"/>
          <w:numId w:val="19"/>
        </w:numPr>
        <w:tabs>
          <w:tab w:pos="881" w:val="left" w:leader="none"/>
        </w:tabs>
        <w:spacing w:line="360" w:lineRule="auto" w:before="10" w:after="0"/>
        <w:ind w:left="880" w:right="174" w:hanging="360"/>
        <w:jc w:val="both"/>
        <w:rPr>
          <w:sz w:val="24"/>
        </w:rPr>
      </w:pPr>
      <w:r>
        <w:rPr>
          <w:sz w:val="24"/>
        </w:rPr>
        <w:t>García-Contreras R., Argueta-Figueroa L., Mejía-Rubalcava C., Jiménez- Martínez R., Cuevas-Guajardo S., Sánchez-Reyna P., Mendieta- Zerón H. Perspectives for the use of silver nanoparticles in dental practice. International Dental Journal 2011; 61:</w:t>
      </w:r>
      <w:r>
        <w:rPr>
          <w:spacing w:val="-11"/>
          <w:sz w:val="24"/>
        </w:rPr>
        <w:t> </w:t>
      </w:r>
      <w:r>
        <w:rPr>
          <w:sz w:val="24"/>
        </w:rPr>
        <w:t>297-301.</w:t>
      </w:r>
    </w:p>
    <w:p>
      <w:pPr>
        <w:pStyle w:val="ListParagraph"/>
        <w:numPr>
          <w:ilvl w:val="0"/>
          <w:numId w:val="19"/>
        </w:numPr>
        <w:tabs>
          <w:tab w:pos="881" w:val="left" w:leader="none"/>
        </w:tabs>
        <w:spacing w:line="360" w:lineRule="auto" w:before="5" w:after="0"/>
        <w:ind w:left="880" w:right="183" w:hanging="360"/>
        <w:jc w:val="both"/>
        <w:rPr>
          <w:sz w:val="24"/>
        </w:rPr>
      </w:pPr>
      <w:r>
        <w:rPr>
          <w:sz w:val="24"/>
        </w:rPr>
        <w:t>Fabrega J., Luoma S., Tyler C., Galloway T., Lead J. Silver nanoparticles: behaviour and effects in the aquatic environment. Environment International 2001; 37:</w:t>
      </w:r>
      <w:r>
        <w:rPr>
          <w:spacing w:val="-8"/>
          <w:sz w:val="24"/>
        </w:rPr>
        <w:t> </w:t>
      </w:r>
      <w:r>
        <w:rPr>
          <w:sz w:val="24"/>
        </w:rPr>
        <w:t>517-531.</w:t>
      </w:r>
    </w:p>
    <w:p>
      <w:pPr>
        <w:pStyle w:val="ListParagraph"/>
        <w:numPr>
          <w:ilvl w:val="0"/>
          <w:numId w:val="19"/>
        </w:numPr>
        <w:tabs>
          <w:tab w:pos="881" w:val="left" w:leader="none"/>
        </w:tabs>
        <w:spacing w:line="360" w:lineRule="auto" w:before="2" w:after="0"/>
        <w:ind w:left="880" w:right="185" w:hanging="360"/>
        <w:jc w:val="both"/>
        <w:rPr>
          <w:sz w:val="24"/>
        </w:rPr>
      </w:pPr>
      <w:r>
        <w:rPr>
          <w:sz w:val="24"/>
        </w:rPr>
        <w:t>Beer C., Foldbjerg R., Hayashi Y., Sutherland D., Autrup H. Toxocity of silver nanoparticles-nanoparticle or silver ion? Toxocology letters 2012; 208:</w:t>
      </w:r>
      <w:r>
        <w:rPr>
          <w:spacing w:val="-28"/>
          <w:sz w:val="24"/>
        </w:rPr>
        <w:t> </w:t>
      </w:r>
      <w:r>
        <w:rPr>
          <w:sz w:val="24"/>
        </w:rPr>
        <w:t>286-292.</w:t>
      </w:r>
    </w:p>
    <w:p>
      <w:pPr>
        <w:pStyle w:val="ListParagraph"/>
        <w:numPr>
          <w:ilvl w:val="0"/>
          <w:numId w:val="19"/>
        </w:numPr>
        <w:tabs>
          <w:tab w:pos="881" w:val="left" w:leader="none"/>
        </w:tabs>
        <w:spacing w:line="360" w:lineRule="auto" w:before="2" w:after="0"/>
        <w:ind w:left="880" w:right="181" w:hanging="360"/>
        <w:jc w:val="both"/>
        <w:rPr>
          <w:sz w:val="24"/>
        </w:rPr>
      </w:pPr>
      <w:r>
        <w:rPr>
          <w:sz w:val="24"/>
        </w:rPr>
        <w:t>Horenstein M. Electrostatics and nanoparticles: what´s the same, what´s different? Journal of electrostatics. 2009; 67:</w:t>
      </w:r>
      <w:r>
        <w:rPr>
          <w:spacing w:val="-13"/>
          <w:sz w:val="24"/>
        </w:rPr>
        <w:t> </w:t>
      </w:r>
      <w:r>
        <w:rPr>
          <w:sz w:val="24"/>
        </w:rPr>
        <w:t>384-393.</w:t>
      </w:r>
    </w:p>
    <w:p>
      <w:pPr>
        <w:pStyle w:val="ListParagraph"/>
        <w:numPr>
          <w:ilvl w:val="0"/>
          <w:numId w:val="19"/>
        </w:numPr>
        <w:tabs>
          <w:tab w:pos="881" w:val="left" w:leader="none"/>
        </w:tabs>
        <w:spacing w:line="360" w:lineRule="auto" w:before="2" w:after="0"/>
        <w:ind w:left="880" w:right="180" w:hanging="360"/>
        <w:jc w:val="both"/>
        <w:rPr>
          <w:sz w:val="24"/>
        </w:rPr>
      </w:pPr>
      <w:r>
        <w:rPr>
          <w:sz w:val="24"/>
        </w:rPr>
        <w:t>Siddhartha S, Tanmay B, Arnab R, Gajendra S, Ramachandrarao P, Debabrata D, Characterization of enhanced antibacterial effects of novel silver  nanoparticles. IOP Nanotechnology 2007; 18 (22):</w:t>
      </w:r>
      <w:r>
        <w:rPr>
          <w:spacing w:val="-17"/>
          <w:sz w:val="24"/>
        </w:rPr>
        <w:t> </w:t>
      </w:r>
      <w:r>
        <w:rPr>
          <w:sz w:val="24"/>
        </w:rPr>
        <w:t>1-9</w:t>
      </w:r>
    </w:p>
    <w:p>
      <w:pPr>
        <w:pStyle w:val="ListParagraph"/>
        <w:numPr>
          <w:ilvl w:val="0"/>
          <w:numId w:val="19"/>
        </w:numPr>
        <w:tabs>
          <w:tab w:pos="881" w:val="left" w:leader="none"/>
        </w:tabs>
        <w:spacing w:line="360" w:lineRule="auto" w:before="5" w:after="0"/>
        <w:ind w:left="880" w:right="179" w:hanging="360"/>
        <w:jc w:val="both"/>
        <w:rPr>
          <w:sz w:val="24"/>
        </w:rPr>
      </w:pPr>
      <w:r>
        <w:rPr>
          <w:sz w:val="24"/>
        </w:rPr>
        <w:t>Sung J., Kuk E., Yu K., Kim J., Park A., Lee H., Kim S., Park Y., Hwang C., Kim Y., Lee Y., Jeong D.,Cho M. Antimicrobial effects of silver nanoparticles. Nanomedicine: nanotechnology, biology and medicine 2007; 3:</w:t>
      </w:r>
      <w:r>
        <w:rPr>
          <w:spacing w:val="-25"/>
          <w:sz w:val="24"/>
        </w:rPr>
        <w:t> </w:t>
      </w:r>
      <w:r>
        <w:rPr>
          <w:sz w:val="24"/>
        </w:rPr>
        <w:t>95-101.</w:t>
      </w:r>
    </w:p>
    <w:p>
      <w:pPr>
        <w:pStyle w:val="ListParagraph"/>
        <w:numPr>
          <w:ilvl w:val="0"/>
          <w:numId w:val="19"/>
        </w:numPr>
        <w:tabs>
          <w:tab w:pos="881" w:val="left" w:leader="none"/>
        </w:tabs>
        <w:spacing w:line="360" w:lineRule="auto" w:before="2" w:after="0"/>
        <w:ind w:left="880" w:right="175" w:hanging="360"/>
        <w:jc w:val="both"/>
        <w:rPr>
          <w:sz w:val="24"/>
        </w:rPr>
      </w:pPr>
      <w:r>
        <w:rPr>
          <w:sz w:val="24"/>
        </w:rPr>
        <w:t>Guzmán M., Dille J., Godet S. Synthesis and antibacterial activity of silver nanoparticles against Gram-positive and Gram-negative bacteria. Nanomedicine: nanotechnology, biology and medicine 2012; 8:</w:t>
      </w:r>
      <w:r>
        <w:rPr>
          <w:spacing w:val="-17"/>
          <w:sz w:val="24"/>
        </w:rPr>
        <w:t> </w:t>
      </w:r>
      <w:r>
        <w:rPr>
          <w:sz w:val="24"/>
        </w:rPr>
        <w:t>37-45.</w:t>
      </w:r>
    </w:p>
    <w:p>
      <w:pPr>
        <w:pStyle w:val="ListParagraph"/>
        <w:numPr>
          <w:ilvl w:val="0"/>
          <w:numId w:val="19"/>
        </w:numPr>
        <w:tabs>
          <w:tab w:pos="881" w:val="left" w:leader="none"/>
        </w:tabs>
        <w:spacing w:line="480" w:lineRule="auto" w:before="2" w:after="0"/>
        <w:ind w:left="880" w:right="170" w:hanging="360"/>
        <w:jc w:val="both"/>
        <w:rPr>
          <w:sz w:val="24"/>
        </w:rPr>
      </w:pPr>
      <w:r>
        <w:rPr>
          <w:spacing w:val="3"/>
          <w:sz w:val="24"/>
        </w:rPr>
        <w:t>Wu </w:t>
      </w:r>
      <w:r>
        <w:rPr>
          <w:sz w:val="24"/>
        </w:rPr>
        <w:t>Q., Cao H., Luan Q., Zhang J., Wang Z., Warner J. Watt A. Biomolecule- assisted synthesis of water-soluble Silver Nanoparticles and their biomedical applications. Inorg Chem 2008; 47:</w:t>
      </w:r>
      <w:r>
        <w:rPr>
          <w:spacing w:val="-17"/>
          <w:sz w:val="24"/>
        </w:rPr>
        <w:t> </w:t>
      </w:r>
      <w:r>
        <w:rPr>
          <w:sz w:val="24"/>
        </w:rPr>
        <w:t>5882-5888</w:t>
      </w:r>
    </w:p>
    <w:p>
      <w:pPr>
        <w:pStyle w:val="ListParagraph"/>
        <w:numPr>
          <w:ilvl w:val="0"/>
          <w:numId w:val="19"/>
        </w:numPr>
        <w:tabs>
          <w:tab w:pos="881" w:val="left" w:leader="none"/>
        </w:tabs>
        <w:spacing w:line="360" w:lineRule="auto" w:before="10" w:after="0"/>
        <w:ind w:left="880" w:right="185" w:hanging="360"/>
        <w:jc w:val="both"/>
        <w:rPr>
          <w:sz w:val="24"/>
        </w:rPr>
      </w:pPr>
      <w:r>
        <w:rPr>
          <w:sz w:val="24"/>
        </w:rPr>
        <w:t>Straetemans M., ,Loveren C., Soet J., Graaff J., ten Cate J. Colonization with mutans Streptococci and Lactobacilli and the caries experience of children after the age of five. J. Dent Res. 1998; 77 (10):</w:t>
      </w:r>
      <w:r>
        <w:rPr>
          <w:spacing w:val="-17"/>
          <w:sz w:val="24"/>
        </w:rPr>
        <w:t> </w:t>
      </w:r>
      <w:r>
        <w:rPr>
          <w:sz w:val="24"/>
        </w:rPr>
        <w:t>1851-1855.</w:t>
      </w:r>
    </w:p>
    <w:p>
      <w:pPr>
        <w:spacing w:after="0" w:line="360" w:lineRule="auto"/>
        <w:jc w:val="both"/>
        <w:rPr>
          <w:sz w:val="24"/>
        </w:rPr>
        <w:sectPr>
          <w:pgSz w:w="12240" w:h="15840"/>
          <w:pgMar w:header="736" w:footer="1024" w:top="1180" w:bottom="1220" w:left="1280" w:right="1260"/>
        </w:sectPr>
      </w:pPr>
    </w:p>
    <w:p>
      <w:pPr>
        <w:pStyle w:val="BodyText"/>
        <w:spacing w:before="2"/>
        <w:rPr>
          <w:sz w:val="17"/>
        </w:rPr>
      </w:pPr>
    </w:p>
    <w:p>
      <w:pPr>
        <w:pStyle w:val="ListParagraph"/>
        <w:numPr>
          <w:ilvl w:val="0"/>
          <w:numId w:val="19"/>
        </w:numPr>
        <w:tabs>
          <w:tab w:pos="881" w:val="left" w:leader="none"/>
        </w:tabs>
        <w:spacing w:line="360" w:lineRule="auto" w:before="69" w:after="0"/>
        <w:ind w:left="880" w:right="174" w:hanging="360"/>
        <w:jc w:val="both"/>
        <w:rPr>
          <w:sz w:val="24"/>
        </w:rPr>
      </w:pPr>
      <w:r>
        <w:rPr>
          <w:sz w:val="24"/>
        </w:rPr>
        <w:t>Delgado G., Olivares M., Chávez M., Ramírez T., Linares E., Bye Robert., Espinosa-García F. Antiinflammatory Constituents from </w:t>
      </w:r>
      <w:r>
        <w:rPr>
          <w:i/>
          <w:sz w:val="24"/>
        </w:rPr>
        <w:t>Heterotheca inuloides. </w:t>
      </w:r>
      <w:r>
        <w:rPr>
          <w:sz w:val="24"/>
        </w:rPr>
        <w:t>J. Nat. Prod 2000;  64:</w:t>
      </w:r>
      <w:r>
        <w:rPr>
          <w:spacing w:val="-12"/>
          <w:sz w:val="24"/>
        </w:rPr>
        <w:t> </w:t>
      </w:r>
      <w:r>
        <w:rPr>
          <w:sz w:val="24"/>
        </w:rPr>
        <w:t>861-864</w:t>
      </w:r>
    </w:p>
    <w:p>
      <w:pPr>
        <w:pStyle w:val="ListParagraph"/>
        <w:numPr>
          <w:ilvl w:val="0"/>
          <w:numId w:val="19"/>
        </w:numPr>
        <w:tabs>
          <w:tab w:pos="881" w:val="left" w:leader="none"/>
        </w:tabs>
        <w:spacing w:line="360" w:lineRule="auto" w:before="5" w:after="0"/>
        <w:ind w:left="880" w:right="180" w:hanging="360"/>
        <w:jc w:val="both"/>
        <w:rPr>
          <w:sz w:val="24"/>
        </w:rPr>
      </w:pPr>
      <w:r>
        <w:rPr>
          <w:sz w:val="24"/>
        </w:rPr>
        <w:t>Jalayer N., Niakan M., Kharazi F., Zardi S. Antibacterial activity of Iranian green and black tea on Streptococcus mutans: an in vitro study. Journal of Dentistry 2011; 8(2):</w:t>
      </w:r>
      <w:r>
        <w:rPr>
          <w:spacing w:val="-8"/>
          <w:sz w:val="24"/>
        </w:rPr>
        <w:t> </w:t>
      </w:r>
      <w:r>
        <w:rPr>
          <w:sz w:val="24"/>
        </w:rPr>
        <w:t>55-59</w:t>
      </w:r>
    </w:p>
    <w:p>
      <w:pPr>
        <w:pStyle w:val="ListParagraph"/>
        <w:numPr>
          <w:ilvl w:val="0"/>
          <w:numId w:val="19"/>
        </w:numPr>
        <w:tabs>
          <w:tab w:pos="881" w:val="left" w:leader="none"/>
        </w:tabs>
        <w:spacing w:line="360" w:lineRule="auto" w:before="5" w:after="0"/>
        <w:ind w:left="880" w:right="173" w:hanging="360"/>
        <w:jc w:val="both"/>
        <w:rPr>
          <w:sz w:val="24"/>
        </w:rPr>
      </w:pPr>
      <w:hyperlink r:id="rId154">
        <w:r>
          <w:rPr>
            <w:sz w:val="24"/>
          </w:rPr>
          <w:t>Komorowski</w:t>
        </w:r>
      </w:hyperlink>
      <w:r>
        <w:rPr>
          <w:sz w:val="24"/>
        </w:rPr>
        <w:t> R, </w:t>
      </w:r>
      <w:hyperlink r:id="rId154">
        <w:r>
          <w:rPr>
            <w:sz w:val="24"/>
          </w:rPr>
          <w:t>Grad</w:t>
        </w:r>
      </w:hyperlink>
      <w:r>
        <w:rPr>
          <w:sz w:val="24"/>
        </w:rPr>
        <w:t> H, </w:t>
      </w:r>
      <w:hyperlink r:id="rId154">
        <w:r>
          <w:rPr>
            <w:sz w:val="24"/>
          </w:rPr>
          <w:t>Yu </w:t>
        </w:r>
        <w:r>
          <w:rPr>
            <w:spacing w:val="4"/>
            <w:sz w:val="24"/>
          </w:rPr>
          <w:t>Wu</w:t>
        </w:r>
      </w:hyperlink>
      <w:r>
        <w:rPr>
          <w:spacing w:val="4"/>
          <w:sz w:val="24"/>
        </w:rPr>
        <w:t> </w:t>
      </w:r>
      <w:r>
        <w:rPr>
          <w:sz w:val="24"/>
        </w:rPr>
        <w:t>X, </w:t>
      </w:r>
      <w:hyperlink r:id="rId154">
        <w:r>
          <w:rPr>
            <w:sz w:val="24"/>
          </w:rPr>
          <w:t>Friedman</w:t>
        </w:r>
      </w:hyperlink>
      <w:r>
        <w:rPr>
          <w:sz w:val="24"/>
        </w:rPr>
        <w:t> S. Antimicrobial Substantivity of Chlorhexidine-Treated Bovine Root Dentin. Journal of Endodontics. 2000; 26 </w:t>
      </w:r>
      <w:hyperlink r:id="rId155">
        <w:r>
          <w:rPr>
            <w:sz w:val="24"/>
          </w:rPr>
          <w:t>(6</w:t>
        </w:r>
      </w:hyperlink>
      <w:r>
        <w:rPr>
          <w:sz w:val="24"/>
        </w:rPr>
        <w:t>): 315-317,</w:t>
      </w:r>
    </w:p>
    <w:p>
      <w:pPr>
        <w:pStyle w:val="ListParagraph"/>
        <w:numPr>
          <w:ilvl w:val="0"/>
          <w:numId w:val="19"/>
        </w:numPr>
        <w:tabs>
          <w:tab w:pos="881" w:val="left" w:leader="none"/>
        </w:tabs>
        <w:spacing w:line="480" w:lineRule="auto" w:before="1" w:after="0"/>
        <w:ind w:left="880" w:right="182" w:hanging="360"/>
        <w:jc w:val="both"/>
        <w:rPr>
          <w:sz w:val="24"/>
        </w:rPr>
      </w:pPr>
      <w:r>
        <w:rPr>
          <w:sz w:val="24"/>
        </w:rPr>
        <w:t>Mc. Coy L., Wehler C., Rich S., García R., Miller D., Jones J. Adverse events associated with chlorhexidine use: Results from the Department of Veterans Affairs Dental Diabetes study. JADA 2008; 139 (2):</w:t>
      </w:r>
      <w:r>
        <w:rPr>
          <w:spacing w:val="-18"/>
          <w:sz w:val="24"/>
        </w:rPr>
        <w:t> </w:t>
      </w:r>
      <w:r>
        <w:rPr>
          <w:sz w:val="24"/>
        </w:rPr>
        <w:t>178-183</w:t>
      </w:r>
    </w:p>
    <w:p>
      <w:pPr>
        <w:pStyle w:val="ListParagraph"/>
        <w:numPr>
          <w:ilvl w:val="0"/>
          <w:numId w:val="19"/>
        </w:numPr>
        <w:tabs>
          <w:tab w:pos="881" w:val="left" w:leader="none"/>
        </w:tabs>
        <w:spacing w:line="480" w:lineRule="auto" w:before="8" w:after="0"/>
        <w:ind w:left="880" w:right="177" w:hanging="360"/>
        <w:jc w:val="both"/>
        <w:rPr>
          <w:sz w:val="24"/>
        </w:rPr>
      </w:pPr>
      <w:r>
        <w:rPr>
          <w:sz w:val="24"/>
        </w:rPr>
        <w:t>Singh H., Kapoor P., Meshram G., Warhadpande M. Evaluation os substantivity of chlorhexidine to human dentin and its application in adhesive dentistry-an in vitro analysis. Indian Journal of Dentistry 2011; (2):</w:t>
      </w:r>
      <w:r>
        <w:rPr>
          <w:spacing w:val="-16"/>
          <w:sz w:val="24"/>
        </w:rPr>
        <w:t> </w:t>
      </w:r>
      <w:r>
        <w:rPr>
          <w:sz w:val="24"/>
        </w:rPr>
        <w:t>8-10</w:t>
      </w:r>
    </w:p>
    <w:p>
      <w:pPr>
        <w:pStyle w:val="ListParagraph"/>
        <w:numPr>
          <w:ilvl w:val="0"/>
          <w:numId w:val="19"/>
        </w:numPr>
        <w:tabs>
          <w:tab w:pos="881" w:val="left" w:leader="none"/>
        </w:tabs>
        <w:spacing w:line="480" w:lineRule="auto" w:before="8" w:after="0"/>
        <w:ind w:left="880" w:right="177" w:hanging="360"/>
        <w:jc w:val="both"/>
        <w:rPr>
          <w:sz w:val="24"/>
        </w:rPr>
      </w:pPr>
      <w:r>
        <w:rPr>
          <w:sz w:val="24"/>
        </w:rPr>
        <w:t>Zanatta F., Antoniazzi R., Rosing C. The effect of 0.12% Chlorhexidine gluconate rinsing on previously plaque-free and plaque-covered surfaces: a randomized, controlled clinical trial. J Perodontol 2007; 78 (11):</w:t>
      </w:r>
      <w:r>
        <w:rPr>
          <w:spacing w:val="-17"/>
          <w:sz w:val="24"/>
        </w:rPr>
        <w:t> </w:t>
      </w:r>
      <w:r>
        <w:rPr>
          <w:sz w:val="24"/>
        </w:rPr>
        <w:t>2127-2134</w:t>
      </w:r>
    </w:p>
    <w:p>
      <w:pPr>
        <w:pStyle w:val="ListParagraph"/>
        <w:numPr>
          <w:ilvl w:val="0"/>
          <w:numId w:val="19"/>
        </w:numPr>
        <w:tabs>
          <w:tab w:pos="881" w:val="left" w:leader="none"/>
        </w:tabs>
        <w:spacing w:line="360" w:lineRule="auto" w:before="10" w:after="0"/>
        <w:ind w:left="880" w:right="176" w:hanging="360"/>
        <w:jc w:val="both"/>
        <w:rPr>
          <w:sz w:val="24"/>
        </w:rPr>
      </w:pPr>
      <w:r>
        <w:rPr>
          <w:sz w:val="24"/>
        </w:rPr>
        <w:t>Saliba CF, Oliveira HF, Breder J, Dario R, Córtes ME. Evaluation of the substantivity of clorhexidine in association with sodium fluoride </w:t>
      </w:r>
      <w:r>
        <w:rPr>
          <w:i/>
          <w:sz w:val="24"/>
        </w:rPr>
        <w:t>in vitro. </w:t>
      </w:r>
      <w:r>
        <w:rPr>
          <w:sz w:val="24"/>
        </w:rPr>
        <w:t>Pesqui Odontol Bras 2003; 17 (1):</w:t>
      </w:r>
      <w:r>
        <w:rPr>
          <w:spacing w:val="-11"/>
          <w:sz w:val="24"/>
        </w:rPr>
        <w:t> </w:t>
      </w:r>
      <w:r>
        <w:rPr>
          <w:sz w:val="24"/>
        </w:rPr>
        <w:t>78-81</w:t>
      </w:r>
    </w:p>
    <w:p>
      <w:pPr>
        <w:spacing w:after="0" w:line="360" w:lineRule="auto"/>
        <w:jc w:val="both"/>
        <w:rPr>
          <w:sz w:val="24"/>
        </w:rPr>
        <w:sectPr>
          <w:pgSz w:w="12240" w:h="15840"/>
          <w:pgMar w:header="736" w:footer="1024" w:top="1180" w:bottom="1220" w:left="1280" w:right="1260"/>
        </w:sectPr>
      </w:pPr>
    </w:p>
    <w:p>
      <w:pPr>
        <w:pStyle w:val="BodyText"/>
        <w:spacing w:before="2"/>
        <w:rPr>
          <w:sz w:val="17"/>
        </w:rPr>
      </w:pPr>
    </w:p>
    <w:p>
      <w:pPr>
        <w:pStyle w:val="Heading2"/>
        <w:ind w:left="2961" w:right="270"/>
      </w:pPr>
      <w:r>
        <w:rPr/>
        <w:t>ACUSE DE ENVÍO DE ARTÍCULO</w:t>
      </w:r>
    </w:p>
    <w:p>
      <w:pPr>
        <w:pStyle w:val="BodyText"/>
        <w:rPr>
          <w:b/>
        </w:rPr>
      </w:pPr>
    </w:p>
    <w:p>
      <w:pPr>
        <w:pStyle w:val="BodyText"/>
        <w:rPr>
          <w:b/>
        </w:rPr>
      </w:pPr>
    </w:p>
    <w:p>
      <w:pPr>
        <w:spacing w:line="276" w:lineRule="auto" w:before="180"/>
        <w:ind w:left="160" w:right="1041" w:firstLine="0"/>
        <w:jc w:val="left"/>
        <w:rPr>
          <w:sz w:val="22"/>
        </w:rPr>
      </w:pPr>
      <w:r>
        <w:rPr>
          <w:sz w:val="22"/>
        </w:rPr>
        <w:t>De: </w:t>
      </w:r>
      <w:hyperlink r:id="rId156">
        <w:r>
          <w:rPr>
            <w:color w:val="0000FF"/>
            <w:sz w:val="22"/>
            <w:u w:val="single" w:color="0000FF"/>
          </w:rPr>
          <w:t>ees.dema.0.1e8e38.6d3a576b@eesmail.elsevier.com</w:t>
        </w:r>
      </w:hyperlink>
      <w:r>
        <w:rPr>
          <w:color w:val="0000FF"/>
          <w:sz w:val="22"/>
          <w:u w:val="single" w:color="0000FF"/>
        </w:rPr>
        <w:t> </w:t>
      </w:r>
      <w:r>
        <w:rPr>
          <w:sz w:val="22"/>
        </w:rPr>
        <w:t>[</w:t>
      </w:r>
      <w:hyperlink r:id="rId156">
        <w:r>
          <w:rPr>
            <w:color w:val="0000FF"/>
            <w:sz w:val="22"/>
            <w:u w:val="single" w:color="0000FF"/>
          </w:rPr>
          <w:t>ees.dema.0.1e8e38.6d3a576b@eesmail.elsevier.com</w:t>
        </w:r>
      </w:hyperlink>
      <w:r>
        <w:rPr>
          <w:sz w:val="22"/>
        </w:rPr>
        <w:t>] En nombre de Dental Materials [</w:t>
      </w:r>
      <w:hyperlink r:id="rId157">
        <w:r>
          <w:rPr>
            <w:color w:val="0000FF"/>
            <w:sz w:val="22"/>
            <w:u w:val="single" w:color="0000FF"/>
          </w:rPr>
          <w:t>dentistry.dentmatj@manchester.ac.uk</w:t>
        </w:r>
      </w:hyperlink>
      <w:r>
        <w:rPr>
          <w:sz w:val="22"/>
        </w:rPr>
        <w:t>]</w:t>
      </w:r>
    </w:p>
    <w:p>
      <w:pPr>
        <w:spacing w:line="276" w:lineRule="auto" w:before="0"/>
        <w:ind w:left="160" w:right="3892" w:firstLine="0"/>
        <w:jc w:val="left"/>
        <w:rPr>
          <w:sz w:val="22"/>
        </w:rPr>
      </w:pPr>
      <w:r>
        <w:rPr>
          <w:sz w:val="22"/>
        </w:rPr>
        <w:t>Enviado el: domingo, 13 de enero de 2013 10:32 p.m. Para: Raul Alberto Morales Luckie; </w:t>
      </w:r>
      <w:hyperlink r:id="rId158">
        <w:r>
          <w:rPr>
            <w:color w:val="0000FF"/>
            <w:sz w:val="22"/>
            <w:u w:val="single" w:color="0000FF"/>
          </w:rPr>
          <w:t>ramluckie@gmail.com</w:t>
        </w:r>
      </w:hyperlink>
      <w:r>
        <w:rPr>
          <w:color w:val="0000FF"/>
          <w:sz w:val="22"/>
          <w:u w:val="single" w:color="0000FF"/>
        </w:rPr>
        <w:t> </w:t>
      </w:r>
      <w:r>
        <w:rPr>
          <w:sz w:val="22"/>
        </w:rPr>
        <w:t>Asunto: Submission Confirmation for your paper</w:t>
      </w:r>
    </w:p>
    <w:p>
      <w:pPr>
        <w:pStyle w:val="BodyText"/>
        <w:spacing w:before="5"/>
        <w:rPr>
          <w:sz w:val="25"/>
        </w:rPr>
      </w:pPr>
    </w:p>
    <w:p>
      <w:pPr>
        <w:spacing w:before="1"/>
        <w:ind w:left="160" w:right="270" w:firstLine="0"/>
        <w:jc w:val="left"/>
        <w:rPr>
          <w:sz w:val="22"/>
        </w:rPr>
      </w:pPr>
      <w:r>
        <w:rPr>
          <w:sz w:val="22"/>
        </w:rPr>
        <w:t>Dear Dr. RAUL ALBERTO MORALES LUCKIE,</w:t>
      </w:r>
    </w:p>
    <w:p>
      <w:pPr>
        <w:pStyle w:val="BodyText"/>
        <w:spacing w:before="6"/>
        <w:rPr>
          <w:sz w:val="28"/>
        </w:rPr>
      </w:pPr>
    </w:p>
    <w:p>
      <w:pPr>
        <w:spacing w:line="276" w:lineRule="auto" w:before="0"/>
        <w:ind w:left="160" w:right="270" w:firstLine="0"/>
        <w:jc w:val="left"/>
        <w:rPr>
          <w:sz w:val="22"/>
        </w:rPr>
      </w:pPr>
      <w:r>
        <w:rPr>
          <w:sz w:val="22"/>
        </w:rPr>
        <w:t>Your submission entitled "Antibacterial effect of silver nanoparticles versus clorhexidine against Streptococcus mutans and Lactobacillus casei" has been received by Dental Materials</w:t>
      </w:r>
    </w:p>
    <w:p>
      <w:pPr>
        <w:pStyle w:val="BodyText"/>
        <w:spacing w:before="5"/>
        <w:rPr>
          <w:sz w:val="25"/>
        </w:rPr>
      </w:pPr>
    </w:p>
    <w:p>
      <w:pPr>
        <w:spacing w:line="276" w:lineRule="auto" w:before="1"/>
        <w:ind w:left="160" w:right="299" w:firstLine="0"/>
        <w:jc w:val="left"/>
        <w:rPr>
          <w:sz w:val="22"/>
        </w:rPr>
      </w:pPr>
      <w:r>
        <w:rPr>
          <w:sz w:val="22"/>
        </w:rPr>
        <w:t>You may check on the progress of your paper by logging on to the Elsevier Editorial System as an author. The URL is </w:t>
      </w:r>
      <w:hyperlink r:id="rId159">
        <w:r>
          <w:rPr>
            <w:color w:val="0000FF"/>
            <w:sz w:val="22"/>
            <w:u w:val="single" w:color="0000FF"/>
          </w:rPr>
          <w:t>http://ees.elsevier.com/dema/</w:t>
        </w:r>
      </w:hyperlink>
      <w:r>
        <w:rPr>
          <w:sz w:val="22"/>
        </w:rPr>
        <w:t>.</w:t>
      </w:r>
    </w:p>
    <w:p>
      <w:pPr>
        <w:pStyle w:val="BodyText"/>
        <w:spacing w:before="11"/>
        <w:rPr>
          <w:sz w:val="18"/>
        </w:rPr>
      </w:pPr>
    </w:p>
    <w:p>
      <w:pPr>
        <w:spacing w:before="73"/>
        <w:ind w:left="160" w:right="270" w:firstLine="0"/>
        <w:jc w:val="left"/>
        <w:rPr>
          <w:sz w:val="22"/>
        </w:rPr>
      </w:pPr>
      <w:r>
        <w:rPr>
          <w:sz w:val="22"/>
        </w:rPr>
        <w:t>Your username is: </w:t>
      </w:r>
      <w:hyperlink r:id="rId160">
        <w:r>
          <w:rPr>
            <w:color w:val="0000FF"/>
            <w:sz w:val="22"/>
            <w:u w:val="single" w:color="0000FF"/>
          </w:rPr>
          <w:t>rmoralesl@uaemex.mx</w:t>
        </w:r>
      </w:hyperlink>
    </w:p>
    <w:p>
      <w:pPr>
        <w:pStyle w:val="BodyText"/>
        <w:spacing w:before="4"/>
        <w:rPr>
          <w:sz w:val="22"/>
        </w:rPr>
      </w:pPr>
    </w:p>
    <w:p>
      <w:pPr>
        <w:spacing w:line="276" w:lineRule="auto" w:before="73"/>
        <w:ind w:left="160" w:right="4310" w:firstLine="0"/>
        <w:jc w:val="left"/>
        <w:rPr>
          <w:sz w:val="22"/>
        </w:rPr>
      </w:pPr>
      <w:r>
        <w:rPr>
          <w:sz w:val="22"/>
        </w:rPr>
        <w:t>If you need to retrieve password details, please go to: </w:t>
      </w:r>
      <w:hyperlink r:id="rId161">
        <w:r>
          <w:rPr>
            <w:color w:val="0000FF"/>
            <w:sz w:val="22"/>
            <w:u w:val="single" w:color="0000FF"/>
          </w:rPr>
          <w:t>http://ees.elsevier.com/dema/automail_query.asp</w:t>
        </w:r>
      </w:hyperlink>
    </w:p>
    <w:p>
      <w:pPr>
        <w:pStyle w:val="BodyText"/>
        <w:spacing w:before="2"/>
        <w:rPr>
          <w:sz w:val="19"/>
        </w:rPr>
      </w:pPr>
    </w:p>
    <w:p>
      <w:pPr>
        <w:spacing w:line="552" w:lineRule="auto" w:before="73"/>
        <w:ind w:left="160" w:right="1228" w:firstLine="0"/>
        <w:jc w:val="left"/>
        <w:rPr>
          <w:sz w:val="22"/>
        </w:rPr>
      </w:pPr>
      <w:r>
        <w:rPr>
          <w:sz w:val="22"/>
        </w:rPr>
        <w:t>Your manuscript will be given a reference number once an Editor has been assigned. Thank you for submitting your work to this journal.</w:t>
      </w:r>
    </w:p>
    <w:p>
      <w:pPr>
        <w:spacing w:before="8"/>
        <w:ind w:left="160" w:right="270" w:firstLine="0"/>
        <w:jc w:val="left"/>
        <w:rPr>
          <w:sz w:val="22"/>
        </w:rPr>
      </w:pPr>
      <w:r>
        <w:rPr>
          <w:sz w:val="22"/>
        </w:rPr>
        <w:t>Kind regards,</w:t>
      </w:r>
    </w:p>
    <w:p>
      <w:pPr>
        <w:pStyle w:val="BodyText"/>
        <w:spacing w:before="8"/>
        <w:rPr>
          <w:sz w:val="28"/>
        </w:rPr>
      </w:pPr>
    </w:p>
    <w:p>
      <w:pPr>
        <w:spacing w:line="276" w:lineRule="auto" w:before="0"/>
        <w:ind w:left="160" w:right="7087" w:firstLine="0"/>
        <w:jc w:val="left"/>
        <w:rPr>
          <w:sz w:val="22"/>
        </w:rPr>
      </w:pPr>
      <w:r>
        <w:rPr>
          <w:sz w:val="22"/>
        </w:rPr>
        <w:t>Elsevier Editorial System Dental Materials</w:t>
      </w:r>
    </w:p>
    <w:p>
      <w:pPr>
        <w:spacing w:after="0" w:line="276" w:lineRule="auto"/>
        <w:jc w:val="left"/>
        <w:rPr>
          <w:sz w:val="22"/>
        </w:rPr>
        <w:sectPr>
          <w:pgSz w:w="12240" w:h="15840"/>
          <w:pgMar w:header="736" w:footer="1024" w:top="1180" w:bottom="1220" w:left="1280" w:right="1260"/>
        </w:sectPr>
      </w:pPr>
    </w:p>
    <w:p>
      <w:pPr>
        <w:pStyle w:val="BodyText"/>
        <w:spacing w:before="2"/>
        <w:rPr>
          <w:sz w:val="17"/>
        </w:rPr>
      </w:pPr>
    </w:p>
    <w:p>
      <w:pPr>
        <w:pStyle w:val="Heading2"/>
        <w:ind w:right="22"/>
        <w:jc w:val="center"/>
      </w:pPr>
      <w:r>
        <w:rPr/>
        <w:t>RESULTADOS</w:t>
      </w:r>
    </w:p>
    <w:p>
      <w:pPr>
        <w:pStyle w:val="BodyText"/>
        <w:rPr>
          <w:b/>
        </w:rPr>
      </w:pPr>
    </w:p>
    <w:p>
      <w:pPr>
        <w:pStyle w:val="BodyText"/>
        <w:spacing w:line="480" w:lineRule="auto" w:before="197"/>
        <w:ind w:left="160" w:right="174"/>
        <w:jc w:val="both"/>
      </w:pPr>
      <w:r>
        <w:rPr/>
        <w:t>En la primera etapa se realizó la síntesis de nanopartículas de plata mediante dos agentes reductores ecoamigables; </w:t>
      </w:r>
      <w:r>
        <w:rPr>
          <w:i/>
        </w:rPr>
        <w:t>Heterotheca inuloides </w:t>
      </w:r>
      <w:r>
        <w:rPr/>
        <w:t>y </w:t>
      </w:r>
      <w:r>
        <w:rPr>
          <w:i/>
        </w:rPr>
        <w:t>Camellia sinensis </w:t>
      </w:r>
      <w:r>
        <w:rPr/>
        <w:t>por cinco diferentes métodos que incluyen diversas diluciones y la variable temperatura, así  como la utilización de alcohol o agua como disolvente. Se realizó también mediante un agente reductor químico, empleado convencionalmente para la síntesis de fármacos; Borohidruro de sodio, este proceso no involucra la variante temperatura, pues es un agente químico que no requiere ser llevado a ebullición, pero se realizó en cinco diferentes concentraciones así como con los disolventes agua o</w:t>
      </w:r>
      <w:r>
        <w:rPr>
          <w:spacing w:val="-22"/>
        </w:rPr>
        <w:t> </w:t>
      </w:r>
      <w:r>
        <w:rPr/>
        <w:t>alcohol.</w:t>
      </w:r>
    </w:p>
    <w:p>
      <w:pPr>
        <w:pStyle w:val="BodyText"/>
        <w:spacing w:line="482" w:lineRule="auto" w:before="207"/>
        <w:ind w:left="160" w:right="177"/>
        <w:jc w:val="both"/>
      </w:pPr>
      <w:r>
        <w:rPr/>
        <w:t>A continuación se presentan los resultados obtenidos del análisis de espectrofotometría de luz ultravioleta visible.</w:t>
      </w:r>
    </w:p>
    <w:p>
      <w:pPr>
        <w:pStyle w:val="BodyText"/>
        <w:spacing w:line="480" w:lineRule="auto" w:before="202"/>
        <w:ind w:left="160" w:right="175"/>
        <w:jc w:val="both"/>
      </w:pPr>
      <w:r>
        <w:rPr/>
        <w:t>En la figura 4 se observa el plasmón (punto máximo de la curva) obtenido al sintetizar Np-Ag con </w:t>
      </w:r>
      <w:r>
        <w:rPr>
          <w:i/>
        </w:rPr>
        <w:t>Heterotheca inuloides, </w:t>
      </w:r>
      <w:r>
        <w:rPr/>
        <w:t>este se ubica entre 440nm y 456nm lo que nos indica la presencia inequívoca de nanopartículas de plata bajo las condiciones específicas  de</w:t>
      </w:r>
    </w:p>
    <w:p>
      <w:pPr>
        <w:spacing w:after="0" w:line="480" w:lineRule="auto"/>
        <w:jc w:val="both"/>
        <w:sectPr>
          <w:pgSz w:w="12240" w:h="15840"/>
          <w:pgMar w:header="736" w:footer="1024" w:top="1180" w:bottom="1220" w:left="1280" w:right="1260"/>
        </w:sectPr>
      </w:pPr>
    </w:p>
    <w:p>
      <w:pPr>
        <w:pStyle w:val="BodyText"/>
        <w:spacing w:before="10"/>
        <w:ind w:left="160" w:right="-9"/>
      </w:pPr>
      <w:r>
        <w:rPr/>
        <w:t>síntesis.</w:t>
      </w:r>
    </w:p>
    <w:p>
      <w:pPr>
        <w:pStyle w:val="BodyText"/>
      </w:pPr>
    </w:p>
    <w:p>
      <w:pPr>
        <w:spacing w:before="199"/>
        <w:ind w:left="160" w:right="-9" w:firstLine="0"/>
        <w:jc w:val="left"/>
        <w:rPr>
          <w:i/>
          <w:sz w:val="22"/>
        </w:rPr>
      </w:pPr>
      <w:r>
        <w:rPr>
          <w:i/>
          <w:sz w:val="22"/>
        </w:rPr>
        <w:t>Extracto de Heterotheca</w:t>
      </w:r>
      <w:r>
        <w:rPr>
          <w:i/>
          <w:spacing w:val="-13"/>
          <w:sz w:val="22"/>
        </w:rPr>
        <w:t> </w:t>
      </w:r>
      <w:r>
        <w:rPr>
          <w:i/>
          <w:sz w:val="22"/>
        </w:rPr>
        <w:t>inuloides</w:t>
      </w:r>
    </w:p>
    <w:p>
      <w:pPr>
        <w:pStyle w:val="BodyText"/>
        <w:rPr>
          <w:i/>
          <w:sz w:val="12"/>
        </w:rPr>
      </w:pPr>
      <w:r>
        <w:rPr/>
        <w:br w:type="column"/>
      </w:r>
      <w:r>
        <w:rPr>
          <w:i/>
          <w:sz w:val="12"/>
        </w:rPr>
      </w:r>
    </w:p>
    <w:p>
      <w:pPr>
        <w:pStyle w:val="BodyText"/>
        <w:spacing w:before="6"/>
        <w:rPr>
          <w:i/>
          <w:sz w:val="10"/>
        </w:rPr>
      </w:pPr>
    </w:p>
    <w:p>
      <w:pPr>
        <w:spacing w:before="0"/>
        <w:ind w:left="160" w:right="0" w:firstLine="0"/>
        <w:jc w:val="left"/>
        <w:rPr>
          <w:sz w:val="13"/>
        </w:rPr>
      </w:pPr>
      <w:r>
        <w:rPr>
          <w:w w:val="105"/>
          <w:sz w:val="13"/>
        </w:rPr>
        <w:t>2.0</w:t>
      </w:r>
    </w:p>
    <w:p>
      <w:pPr>
        <w:pStyle w:val="BodyText"/>
        <w:spacing w:before="6"/>
        <w:rPr>
          <w:sz w:val="13"/>
        </w:rPr>
      </w:pPr>
    </w:p>
    <w:p>
      <w:pPr>
        <w:spacing w:before="1"/>
        <w:ind w:left="160" w:right="0" w:firstLine="0"/>
        <w:jc w:val="left"/>
        <w:rPr>
          <w:sz w:val="13"/>
        </w:rPr>
      </w:pPr>
      <w:r>
        <w:rPr/>
        <w:pict>
          <v:shape style="position:absolute;margin-left:457.399994pt;margin-top:-40.401028pt;width:59.4pt;height:68.55pt;mso-position-horizontal-relative:page;mso-position-vertical-relative:paragraph;z-index:-190600" type="#_x0000_t202" filled="false" stroked="false">
            <v:textbox inset="0,0,0,0">
              <w:txbxContent>
                <w:p>
                  <w:pPr>
                    <w:pStyle w:val="BodyText"/>
                    <w:spacing w:before="9"/>
                    <w:rPr>
                      <w:sz w:val="22"/>
                    </w:rPr>
                  </w:pPr>
                </w:p>
                <w:p>
                  <w:pPr>
                    <w:spacing w:before="0"/>
                    <w:ind w:left="673" w:right="0" w:firstLine="0"/>
                    <w:jc w:val="left"/>
                    <w:rPr>
                      <w:sz w:val="15"/>
                    </w:rPr>
                  </w:pPr>
                  <w:r>
                    <w:rPr>
                      <w:w w:val="115"/>
                      <w:sz w:val="15"/>
                    </w:rPr>
                    <w:t>M-1</w:t>
                  </w:r>
                </w:p>
                <w:p>
                  <w:pPr>
                    <w:spacing w:before="19"/>
                    <w:ind w:left="673" w:right="0" w:firstLine="0"/>
                    <w:jc w:val="left"/>
                    <w:rPr>
                      <w:sz w:val="15"/>
                    </w:rPr>
                  </w:pPr>
                  <w:r>
                    <w:rPr>
                      <w:w w:val="115"/>
                      <w:sz w:val="15"/>
                    </w:rPr>
                    <w:t>M-2</w:t>
                  </w:r>
                </w:p>
                <w:p>
                  <w:pPr>
                    <w:spacing w:before="19"/>
                    <w:ind w:left="673" w:right="0" w:firstLine="0"/>
                    <w:jc w:val="left"/>
                    <w:rPr>
                      <w:sz w:val="15"/>
                    </w:rPr>
                  </w:pPr>
                  <w:r>
                    <w:rPr>
                      <w:w w:val="115"/>
                      <w:sz w:val="15"/>
                    </w:rPr>
                    <w:t>M-3</w:t>
                  </w:r>
                </w:p>
                <w:p>
                  <w:pPr>
                    <w:spacing w:before="19"/>
                    <w:ind w:left="673" w:right="0" w:firstLine="0"/>
                    <w:jc w:val="left"/>
                    <w:rPr>
                      <w:sz w:val="15"/>
                    </w:rPr>
                  </w:pPr>
                  <w:r>
                    <w:rPr>
                      <w:w w:val="115"/>
                      <w:sz w:val="15"/>
                    </w:rPr>
                    <w:t>M-4</w:t>
                  </w:r>
                </w:p>
                <w:p>
                  <w:pPr>
                    <w:spacing w:before="19"/>
                    <w:ind w:left="673" w:right="0" w:firstLine="0"/>
                    <w:jc w:val="left"/>
                    <w:rPr>
                      <w:sz w:val="15"/>
                    </w:rPr>
                  </w:pPr>
                  <w:r>
                    <w:rPr>
                      <w:w w:val="115"/>
                      <w:sz w:val="15"/>
                    </w:rPr>
                    <w:t>M-5</w:t>
                  </w:r>
                </w:p>
              </w:txbxContent>
            </v:textbox>
            <w10:wrap type="none"/>
          </v:shape>
        </w:pict>
      </w:r>
      <w:r>
        <w:rPr/>
        <w:pict>
          <v:group style="position:absolute;margin-left:277.347717pt;margin-top:-40.776028pt;width:239.8pt;height:194.1pt;mso-position-horizontal-relative:page;mso-position-vertical-relative:paragraph;z-index:-190480" coordorigin="5547,-816" coordsize="4796,3882">
            <v:shape style="position:absolute;left:6905;top:-25106;width:32666;height:24913" coordorigin="6905,-25106" coordsize="32666,24913" path="m5623,3027l5623,2995m5950,3058l5950,2995m6277,3027l6277,2995m6605,3058l6605,2995m6934,3027l6934,2995m7261,3058l7261,2995m7589,3027l7589,2995m7916,3058l7916,2995m8243,3027l8243,2995m8570,3058l8570,2995m8898,3027l8898,2995m9227,3058l9227,2995m9554,3027l9554,2995m9882,3058l9882,2995m10209,3027l10209,2995m5623,2995l10209,2995m5588,2995l5623,2995m5554,2842l5623,2842m5588,2689l5623,2689m5554,2536l5623,2536m5588,2383l5623,2383m5554,2230l5623,2230m5588,2077l5623,2077m5554,1924l5623,1924m5588,1772l5623,1772m5554,1619l5623,1619m5588,1466l5623,1466m5554,1311l5623,1311m5588,1158l5623,1158m5554,1005l5623,1005m5588,852l5623,852m5554,699l5623,699m5588,546l5623,546m5554,393l5623,393m5588,240l5623,240m5554,87l5623,87m5588,-65l5623,-65m5554,-218l5623,-218m5623,2995l5623,-218e" filled="false" stroked="true" strokeweight=".679687pt" strokecolor="#000000">
              <v:path arrowok="t"/>
            </v:shape>
            <v:shape style="position:absolute;left:5947;top:-816;width:4395;height:3660" type="#_x0000_t75" stroked="false">
              <v:imagedata r:id="rId162" o:title=""/>
            </v:shape>
            <v:shape style="position:absolute;left:9156;top:-729;width:1171;height:1212" type="#_x0000_t75" stroked="false">
              <v:imagedata r:id="rId163" o:title=""/>
            </v:shape>
            <v:shape style="position:absolute;left:9379;top:-692;width:730;height:1056" type="#_x0000_t202" filled="false" stroked="false">
              <v:textbox inset="0,0,0,0">
                <w:txbxContent>
                  <w:p>
                    <w:pPr>
                      <w:spacing w:line="183" w:lineRule="exact" w:before="0"/>
                      <w:ind w:left="0" w:right="-20" w:firstLine="0"/>
                      <w:jc w:val="left"/>
                      <w:rPr>
                        <w:rFonts w:ascii="Calibri"/>
                        <w:sz w:val="18"/>
                      </w:rPr>
                    </w:pPr>
                    <w:r>
                      <w:rPr>
                        <w:rFonts w:ascii="Calibri"/>
                        <w:sz w:val="18"/>
                      </w:rPr>
                      <w:t>Hi-M1-----</w:t>
                    </w:r>
                  </w:p>
                  <w:p>
                    <w:pPr>
                      <w:spacing w:line="219" w:lineRule="exact" w:before="0"/>
                      <w:ind w:left="0" w:right="-20" w:firstLine="0"/>
                      <w:jc w:val="left"/>
                      <w:rPr>
                        <w:rFonts w:ascii="Calibri"/>
                        <w:sz w:val="18"/>
                      </w:rPr>
                    </w:pPr>
                    <w:r>
                      <w:rPr>
                        <w:rFonts w:ascii="Calibri"/>
                        <w:sz w:val="18"/>
                      </w:rPr>
                      <w:t>Hi-M2</w:t>
                    </w:r>
                    <w:r>
                      <w:rPr>
                        <w:rFonts w:ascii="Calibri"/>
                        <w:color w:val="FF0000"/>
                        <w:sz w:val="18"/>
                      </w:rPr>
                      <w:t>-----</w:t>
                    </w:r>
                  </w:p>
                  <w:p>
                    <w:pPr>
                      <w:spacing w:before="1"/>
                      <w:ind w:left="0" w:right="-20" w:firstLine="0"/>
                      <w:jc w:val="left"/>
                      <w:rPr>
                        <w:rFonts w:ascii="Calibri"/>
                        <w:sz w:val="18"/>
                      </w:rPr>
                    </w:pPr>
                    <w:r>
                      <w:rPr>
                        <w:rFonts w:ascii="Calibri"/>
                        <w:sz w:val="18"/>
                      </w:rPr>
                      <w:t>Hi-M3</w:t>
                    </w:r>
                    <w:r>
                      <w:rPr>
                        <w:rFonts w:ascii="Calibri"/>
                        <w:color w:val="92D050"/>
                        <w:sz w:val="18"/>
                      </w:rPr>
                      <w:t>-----</w:t>
                    </w:r>
                  </w:p>
                  <w:p>
                    <w:pPr>
                      <w:spacing w:line="218" w:lineRule="exact" w:before="1"/>
                      <w:ind w:left="0" w:right="-20" w:firstLine="0"/>
                      <w:jc w:val="left"/>
                      <w:rPr>
                        <w:rFonts w:ascii="Calibri"/>
                        <w:sz w:val="18"/>
                      </w:rPr>
                    </w:pPr>
                    <w:r>
                      <w:rPr>
                        <w:rFonts w:ascii="Calibri"/>
                        <w:sz w:val="18"/>
                      </w:rPr>
                      <w:t>Hi-M4</w:t>
                    </w:r>
                    <w:r>
                      <w:rPr>
                        <w:rFonts w:ascii="Calibri"/>
                        <w:color w:val="006FC0"/>
                        <w:sz w:val="18"/>
                      </w:rPr>
                      <w:t>-----</w:t>
                    </w:r>
                  </w:p>
                  <w:p>
                    <w:pPr>
                      <w:spacing w:line="215" w:lineRule="exact" w:before="0"/>
                      <w:ind w:left="0" w:right="-20" w:firstLine="0"/>
                      <w:jc w:val="left"/>
                      <w:rPr>
                        <w:rFonts w:ascii="Calibri"/>
                        <w:sz w:val="18"/>
                      </w:rPr>
                    </w:pPr>
                    <w:r>
                      <w:rPr>
                        <w:rFonts w:ascii="Calibri"/>
                        <w:sz w:val="18"/>
                      </w:rPr>
                      <w:t>Hi-M5</w:t>
                    </w:r>
                    <w:r>
                      <w:rPr>
                        <w:rFonts w:ascii="Calibri"/>
                        <w:color w:val="00FFFF"/>
                        <w:sz w:val="18"/>
                      </w:rPr>
                      <w:t>-----</w:t>
                    </w:r>
                  </w:p>
                </w:txbxContent>
              </v:textbox>
              <w10:wrap type="none"/>
            </v:shape>
            <v:shape style="position:absolute;left:7831;top:654;width:568;height:157" type="#_x0000_t202" filled="false" stroked="false">
              <v:textbox inset="0,0,0,0">
                <w:txbxContent>
                  <w:p>
                    <w:pPr>
                      <w:spacing w:line="157" w:lineRule="exact" w:before="0"/>
                      <w:ind w:left="0" w:right="-18" w:firstLine="0"/>
                      <w:jc w:val="left"/>
                      <w:rPr>
                        <w:sz w:val="15"/>
                      </w:rPr>
                    </w:pPr>
                    <w:r>
                      <w:rPr>
                        <w:w w:val="115"/>
                        <w:sz w:val="15"/>
                      </w:rPr>
                      <w:t>440</w:t>
                    </w:r>
                    <w:r>
                      <w:rPr>
                        <w:spacing w:val="-10"/>
                        <w:w w:val="115"/>
                        <w:sz w:val="15"/>
                      </w:rPr>
                      <w:t> </w:t>
                    </w:r>
                    <w:r>
                      <w:rPr>
                        <w:w w:val="115"/>
                        <w:sz w:val="15"/>
                      </w:rPr>
                      <w:t>nm</w:t>
                    </w:r>
                  </w:p>
                </w:txbxContent>
              </v:textbox>
              <w10:wrap type="none"/>
            </v:shape>
            <v:shape style="position:absolute;left:7853;top:1471;width:723;height:360" type="#_x0000_t202" filled="false" stroked="false">
              <v:textbox inset="0,0,0,0">
                <w:txbxContent>
                  <w:p>
                    <w:pPr>
                      <w:spacing w:line="159" w:lineRule="exact" w:before="0"/>
                      <w:ind w:left="155" w:right="-18" w:firstLine="0"/>
                      <w:jc w:val="left"/>
                      <w:rPr>
                        <w:sz w:val="15"/>
                      </w:rPr>
                    </w:pPr>
                    <w:r>
                      <w:rPr>
                        <w:w w:val="115"/>
                        <w:sz w:val="15"/>
                      </w:rPr>
                      <w:t>456</w:t>
                    </w:r>
                    <w:r>
                      <w:rPr>
                        <w:spacing w:val="-10"/>
                        <w:w w:val="115"/>
                        <w:sz w:val="15"/>
                      </w:rPr>
                      <w:t> </w:t>
                    </w:r>
                    <w:r>
                      <w:rPr>
                        <w:w w:val="115"/>
                        <w:sz w:val="15"/>
                      </w:rPr>
                      <w:t>nm</w:t>
                    </w:r>
                  </w:p>
                  <w:p>
                    <w:pPr>
                      <w:spacing w:line="170" w:lineRule="exact" w:before="30"/>
                      <w:ind w:left="0" w:right="-18" w:firstLine="0"/>
                      <w:jc w:val="left"/>
                      <w:rPr>
                        <w:sz w:val="15"/>
                      </w:rPr>
                    </w:pPr>
                    <w:r>
                      <w:rPr>
                        <w:w w:val="115"/>
                        <w:sz w:val="15"/>
                      </w:rPr>
                      <w:t>442 nm</w:t>
                    </w:r>
                  </w:p>
                </w:txbxContent>
              </v:textbox>
              <w10:wrap type="none"/>
            </v:shape>
            <v:shape style="position:absolute;left:7974;top:2245;width:568;height:157" type="#_x0000_t202" filled="false" stroked="false">
              <v:textbox inset="0,0,0,0">
                <w:txbxContent>
                  <w:p>
                    <w:pPr>
                      <w:spacing w:line="157" w:lineRule="exact" w:before="0"/>
                      <w:ind w:left="0" w:right="-18" w:firstLine="0"/>
                      <w:jc w:val="left"/>
                      <w:rPr>
                        <w:sz w:val="15"/>
                      </w:rPr>
                    </w:pPr>
                    <w:r>
                      <w:rPr>
                        <w:w w:val="115"/>
                        <w:sz w:val="15"/>
                      </w:rPr>
                      <w:t>445</w:t>
                    </w:r>
                    <w:r>
                      <w:rPr>
                        <w:spacing w:val="-10"/>
                        <w:w w:val="115"/>
                        <w:sz w:val="15"/>
                      </w:rPr>
                      <w:t> </w:t>
                    </w:r>
                    <w:r>
                      <w:rPr>
                        <w:w w:val="115"/>
                        <w:sz w:val="15"/>
                      </w:rPr>
                      <w:t>nm</w:t>
                    </w:r>
                  </w:p>
                </w:txbxContent>
              </v:textbox>
              <w10:wrap type="none"/>
            </v:shape>
            <w10:wrap type="none"/>
          </v:group>
        </w:pict>
      </w:r>
      <w:r>
        <w:rPr>
          <w:w w:val="105"/>
          <w:sz w:val="13"/>
        </w:rPr>
        <w:t>1.8</w:t>
      </w:r>
    </w:p>
    <w:p>
      <w:pPr>
        <w:pStyle w:val="BodyText"/>
        <w:spacing w:before="6"/>
        <w:rPr>
          <w:sz w:val="13"/>
        </w:rPr>
      </w:pPr>
    </w:p>
    <w:p>
      <w:pPr>
        <w:spacing w:before="1"/>
        <w:ind w:left="160" w:right="0" w:firstLine="0"/>
        <w:jc w:val="left"/>
        <w:rPr>
          <w:sz w:val="13"/>
        </w:rPr>
      </w:pPr>
      <w:r>
        <w:rPr>
          <w:w w:val="105"/>
          <w:sz w:val="13"/>
        </w:rPr>
        <w:t>1.6</w:t>
      </w:r>
    </w:p>
    <w:p>
      <w:pPr>
        <w:pStyle w:val="BodyText"/>
        <w:spacing w:before="6"/>
        <w:rPr>
          <w:sz w:val="13"/>
        </w:rPr>
      </w:pPr>
    </w:p>
    <w:p>
      <w:pPr>
        <w:spacing w:before="1"/>
        <w:ind w:left="160" w:right="0" w:firstLine="0"/>
        <w:jc w:val="left"/>
        <w:rPr>
          <w:sz w:val="13"/>
        </w:rPr>
      </w:pPr>
      <w:r>
        <w:rPr>
          <w:w w:val="105"/>
          <w:sz w:val="13"/>
        </w:rPr>
        <w:t>1.4</w:t>
      </w:r>
    </w:p>
    <w:p>
      <w:pPr>
        <w:pStyle w:val="BodyText"/>
        <w:spacing w:before="6"/>
        <w:rPr>
          <w:sz w:val="13"/>
        </w:rPr>
      </w:pPr>
    </w:p>
    <w:p>
      <w:pPr>
        <w:spacing w:before="1"/>
        <w:ind w:left="160" w:right="0" w:firstLine="0"/>
        <w:jc w:val="left"/>
        <w:rPr>
          <w:sz w:val="13"/>
        </w:rPr>
      </w:pPr>
      <w:r>
        <w:rPr>
          <w:w w:val="105"/>
          <w:sz w:val="13"/>
        </w:rPr>
        <w:t>1.2</w:t>
      </w:r>
    </w:p>
    <w:p>
      <w:pPr>
        <w:spacing w:after="0"/>
        <w:jc w:val="left"/>
        <w:rPr>
          <w:sz w:val="13"/>
        </w:rPr>
        <w:sectPr>
          <w:type w:val="continuous"/>
          <w:pgSz w:w="12240" w:h="15840"/>
          <w:pgMar w:top="1180" w:bottom="1140" w:left="1280" w:right="1260"/>
          <w:cols w:num="2" w:equalWidth="0">
            <w:col w:w="3460" w:space="415"/>
            <w:col w:w="5825"/>
          </w:cols>
        </w:sectPr>
      </w:pPr>
    </w:p>
    <w:p>
      <w:pPr>
        <w:pStyle w:val="BodyText"/>
        <w:spacing w:before="6"/>
        <w:rPr>
          <w:sz w:val="13"/>
        </w:rPr>
      </w:pPr>
    </w:p>
    <w:p>
      <w:pPr>
        <w:spacing w:before="1"/>
        <w:ind w:left="0" w:right="1433" w:firstLine="0"/>
        <w:jc w:val="center"/>
        <w:rPr>
          <w:sz w:val="13"/>
        </w:rPr>
      </w:pPr>
      <w:r>
        <w:rPr/>
        <w:pict>
          <v:shape style="position:absolute;margin-left:245.876343pt;margin-top:-7.621387pt;width:10.5pt;height:24.7pt;mso-position-horizontal-relative:page;mso-position-vertical-relative:paragraph;z-index:4264" type="#_x0000_t202" filled="false" stroked="false">
            <v:textbox inset="0,0,0,0" style="layout-flow:vertical;mso-layout-flow-alt:bottom-to-top">
              <w:txbxContent>
                <w:p>
                  <w:pPr>
                    <w:spacing w:line="194" w:lineRule="exact" w:before="0"/>
                    <w:ind w:left="20" w:right="-100" w:firstLine="0"/>
                    <w:jc w:val="left"/>
                    <w:rPr>
                      <w:sz w:val="17"/>
                    </w:rPr>
                  </w:pPr>
                  <w:r>
                    <w:rPr>
                      <w:w w:val="92"/>
                      <w:sz w:val="17"/>
                    </w:rPr>
                    <w:t>%</w:t>
                  </w:r>
                  <w:r>
                    <w:rPr>
                      <w:spacing w:val="-4"/>
                      <w:sz w:val="17"/>
                    </w:rPr>
                    <w:t> </w:t>
                  </w:r>
                  <w:r>
                    <w:rPr>
                      <w:w w:val="92"/>
                      <w:sz w:val="17"/>
                    </w:rPr>
                    <w:t>Ab</w:t>
                  </w:r>
                  <w:r>
                    <w:rPr>
                      <w:w w:val="92"/>
                      <w:sz w:val="17"/>
                    </w:rPr>
                    <w:t>s</w:t>
                  </w:r>
                </w:p>
              </w:txbxContent>
            </v:textbox>
            <w10:wrap type="none"/>
          </v:shape>
        </w:pict>
      </w:r>
      <w:r>
        <w:rPr>
          <w:w w:val="105"/>
          <w:sz w:val="13"/>
        </w:rPr>
        <w:t>1.0</w:t>
      </w:r>
    </w:p>
    <w:p>
      <w:pPr>
        <w:pStyle w:val="BodyText"/>
        <w:spacing w:before="8"/>
        <w:rPr>
          <w:sz w:val="13"/>
        </w:rPr>
      </w:pPr>
    </w:p>
    <w:p>
      <w:pPr>
        <w:spacing w:before="0"/>
        <w:ind w:left="0" w:right="1433" w:firstLine="0"/>
        <w:jc w:val="center"/>
        <w:rPr>
          <w:sz w:val="13"/>
        </w:rPr>
      </w:pPr>
      <w:r>
        <w:rPr>
          <w:w w:val="105"/>
          <w:sz w:val="13"/>
        </w:rPr>
        <w:t>0.8</w:t>
      </w:r>
    </w:p>
    <w:p>
      <w:pPr>
        <w:pStyle w:val="BodyText"/>
        <w:spacing w:before="6"/>
        <w:rPr>
          <w:sz w:val="13"/>
        </w:rPr>
      </w:pPr>
    </w:p>
    <w:p>
      <w:pPr>
        <w:spacing w:before="1"/>
        <w:ind w:left="0" w:right="1433" w:firstLine="0"/>
        <w:jc w:val="center"/>
        <w:rPr>
          <w:sz w:val="13"/>
        </w:rPr>
      </w:pPr>
      <w:r>
        <w:rPr>
          <w:w w:val="105"/>
          <w:sz w:val="13"/>
        </w:rPr>
        <w:t>0.6</w:t>
      </w:r>
    </w:p>
    <w:p>
      <w:pPr>
        <w:pStyle w:val="BodyText"/>
        <w:spacing w:before="6"/>
        <w:rPr>
          <w:sz w:val="13"/>
        </w:rPr>
      </w:pPr>
    </w:p>
    <w:p>
      <w:pPr>
        <w:spacing w:before="1"/>
        <w:ind w:left="0" w:right="1433" w:firstLine="0"/>
        <w:jc w:val="center"/>
        <w:rPr>
          <w:sz w:val="13"/>
        </w:rPr>
      </w:pPr>
      <w:r>
        <w:rPr>
          <w:w w:val="105"/>
          <w:sz w:val="13"/>
        </w:rPr>
        <w:t>0.4</w:t>
      </w:r>
    </w:p>
    <w:p>
      <w:pPr>
        <w:pStyle w:val="BodyText"/>
        <w:spacing w:before="6"/>
        <w:rPr>
          <w:sz w:val="13"/>
        </w:rPr>
      </w:pPr>
    </w:p>
    <w:p>
      <w:pPr>
        <w:spacing w:before="1"/>
        <w:ind w:left="0" w:right="1433" w:firstLine="0"/>
        <w:jc w:val="center"/>
        <w:rPr>
          <w:sz w:val="13"/>
        </w:rPr>
      </w:pPr>
      <w:r>
        <w:rPr>
          <w:w w:val="105"/>
          <w:sz w:val="13"/>
        </w:rPr>
        <w:t>0.2</w:t>
      </w:r>
    </w:p>
    <w:p>
      <w:pPr>
        <w:pStyle w:val="BodyText"/>
        <w:spacing w:before="6"/>
        <w:rPr>
          <w:sz w:val="13"/>
        </w:rPr>
      </w:pPr>
    </w:p>
    <w:p>
      <w:pPr>
        <w:spacing w:before="1"/>
        <w:ind w:left="0" w:right="1433" w:firstLine="0"/>
        <w:jc w:val="center"/>
        <w:rPr>
          <w:sz w:val="13"/>
        </w:rPr>
      </w:pPr>
      <w:r>
        <w:rPr>
          <w:w w:val="105"/>
          <w:sz w:val="13"/>
        </w:rPr>
        <w:t>0.0</w:t>
      </w:r>
    </w:p>
    <w:p>
      <w:pPr>
        <w:pStyle w:val="BodyText"/>
        <w:spacing w:before="2"/>
        <w:rPr>
          <w:sz w:val="15"/>
        </w:rPr>
      </w:pPr>
    </w:p>
    <w:p>
      <w:pPr>
        <w:tabs>
          <w:tab w:pos="4226" w:val="left" w:leader="none"/>
          <w:tab w:pos="4882" w:val="left" w:leader="none"/>
          <w:tab w:pos="5537" w:val="left" w:leader="none"/>
          <w:tab w:pos="6192" w:val="left" w:leader="none"/>
          <w:tab w:pos="6848" w:val="left" w:leader="none"/>
          <w:tab w:pos="7503" w:val="left" w:leader="none"/>
        </w:tabs>
        <w:spacing w:before="0"/>
        <w:ind w:left="3571" w:right="0" w:firstLine="0"/>
        <w:jc w:val="center"/>
        <w:rPr>
          <w:sz w:val="13"/>
        </w:rPr>
      </w:pPr>
      <w:r>
        <w:rPr>
          <w:w w:val="105"/>
          <w:sz w:val="13"/>
        </w:rPr>
        <w:t>300</w:t>
        <w:tab/>
        <w:t>350</w:t>
        <w:tab/>
        <w:t>400</w:t>
        <w:tab/>
        <w:t>450</w:t>
        <w:tab/>
        <w:t>500</w:t>
        <w:tab/>
        <w:t>550</w:t>
        <w:tab/>
        <w:t>600</w:t>
      </w:r>
    </w:p>
    <w:p>
      <w:pPr>
        <w:spacing w:line="164" w:lineRule="exact" w:before="81"/>
        <w:ind w:left="3571" w:right="0" w:firstLine="0"/>
        <w:jc w:val="center"/>
        <w:rPr>
          <w:sz w:val="15"/>
        </w:rPr>
      </w:pPr>
      <w:r>
        <w:rPr>
          <w:rFonts w:ascii="Symbol" w:hAnsi="Symbol"/>
          <w:w w:val="110"/>
          <w:sz w:val="14"/>
        </w:rPr>
        <w:t></w:t>
      </w:r>
      <w:r>
        <w:rPr>
          <w:rFonts w:ascii="Times New Roman" w:hAnsi="Times New Roman"/>
          <w:w w:val="110"/>
          <w:sz w:val="14"/>
        </w:rPr>
        <w:t>  </w:t>
      </w:r>
      <w:r>
        <w:rPr>
          <w:w w:val="110"/>
          <w:sz w:val="15"/>
        </w:rPr>
        <w:t>nm</w:t>
      </w:r>
    </w:p>
    <w:p>
      <w:pPr>
        <w:spacing w:line="244" w:lineRule="exact" w:before="0"/>
        <w:ind w:left="4140" w:right="0" w:firstLine="0"/>
        <w:jc w:val="left"/>
        <w:rPr>
          <w:sz w:val="22"/>
        </w:rPr>
      </w:pPr>
      <w:r>
        <w:rPr>
          <w:b/>
          <w:sz w:val="22"/>
        </w:rPr>
        <w:t>Figura 4</w:t>
      </w:r>
      <w:r>
        <w:rPr>
          <w:sz w:val="22"/>
        </w:rPr>
        <w:t>. </w:t>
      </w:r>
      <w:r>
        <w:rPr>
          <w:i/>
          <w:sz w:val="22"/>
        </w:rPr>
        <w:t>Heterotheca inuloides </w:t>
      </w:r>
      <w:r>
        <w:rPr>
          <w:sz w:val="22"/>
        </w:rPr>
        <w:t>UV-Vis. Fuente directa</w:t>
      </w:r>
    </w:p>
    <w:p>
      <w:pPr>
        <w:spacing w:after="0" w:line="244" w:lineRule="exact"/>
        <w:jc w:val="left"/>
        <w:rPr>
          <w:sz w:val="22"/>
        </w:rPr>
        <w:sectPr>
          <w:type w:val="continuous"/>
          <w:pgSz w:w="12240" w:h="15840"/>
          <w:pgMar w:top="1180" w:bottom="1140" w:left="1280" w:right="1260"/>
        </w:sectPr>
      </w:pPr>
    </w:p>
    <w:p>
      <w:pPr>
        <w:pStyle w:val="BodyText"/>
        <w:spacing w:before="8"/>
        <w:rPr>
          <w:sz w:val="16"/>
        </w:rPr>
      </w:pPr>
    </w:p>
    <w:p>
      <w:pPr>
        <w:pStyle w:val="BodyText"/>
        <w:spacing w:line="482" w:lineRule="auto" w:before="70"/>
        <w:ind w:left="160" w:right="174"/>
        <w:jc w:val="both"/>
      </w:pPr>
      <w:r>
        <w:rPr/>
        <w:t>Al observar la figura 5, los espectros de Np-Ag sintetizadas mediante </w:t>
      </w:r>
      <w:r>
        <w:rPr>
          <w:i/>
        </w:rPr>
        <w:t>Camellia sinensis</w:t>
      </w:r>
      <w:r>
        <w:rPr/>
        <w:t>, muestran el plasmón a una longitud de onda que va de 448nm a 451nm, confirmando  la presencia de Np-Ag. El plasmón obtenido a 354nm es atribuido a los principios activos del</w:t>
      </w:r>
      <w:r>
        <w:rPr>
          <w:spacing w:val="-5"/>
        </w:rPr>
        <w:t> </w:t>
      </w:r>
      <w:r>
        <w:rPr/>
        <w:t>reductor.</w:t>
      </w:r>
    </w:p>
    <w:p>
      <w:pPr>
        <w:spacing w:before="204"/>
        <w:ind w:left="160" w:right="0" w:firstLine="0"/>
        <w:jc w:val="both"/>
        <w:rPr>
          <w:sz w:val="22"/>
        </w:rPr>
      </w:pPr>
      <w:r>
        <w:rPr>
          <w:i/>
          <w:sz w:val="22"/>
        </w:rPr>
        <w:t>Extracto de Camellia sinensis  </w:t>
      </w:r>
      <w:r>
        <w:rPr>
          <w:sz w:val="22"/>
        </w:rPr>
        <w:t>AgNO</w:t>
      </w:r>
      <w:r>
        <w:rPr>
          <w:position w:val="-2"/>
          <w:sz w:val="14"/>
        </w:rPr>
        <w:t>3 </w:t>
      </w:r>
      <w:r>
        <w:rPr>
          <w:sz w:val="22"/>
        </w:rPr>
        <w:t>1X10-3</w:t>
      </w:r>
    </w:p>
    <w:p>
      <w:pPr>
        <w:pStyle w:val="BodyText"/>
        <w:rPr>
          <w:sz w:val="20"/>
        </w:rPr>
      </w:pPr>
    </w:p>
    <w:p>
      <w:pPr>
        <w:pStyle w:val="BodyText"/>
        <w:rPr>
          <w:sz w:val="20"/>
        </w:rPr>
      </w:pPr>
    </w:p>
    <w:p>
      <w:pPr>
        <w:pStyle w:val="BodyText"/>
        <w:rPr>
          <w:sz w:val="20"/>
        </w:rPr>
      </w:pPr>
    </w:p>
    <w:p>
      <w:pPr>
        <w:pStyle w:val="BodyText"/>
        <w:spacing w:before="7"/>
        <w:rPr>
          <w:sz w:val="23"/>
        </w:rPr>
      </w:pPr>
    </w:p>
    <w:p>
      <w:pPr>
        <w:spacing w:before="82"/>
        <w:ind w:left="2130" w:right="270" w:firstLine="0"/>
        <w:jc w:val="left"/>
        <w:rPr>
          <w:sz w:val="16"/>
        </w:rPr>
      </w:pPr>
      <w:r>
        <w:rPr/>
        <w:pict>
          <v:shape style="position:absolute;margin-left:383.100006pt;margin-top:-16.585699pt;width:56.8pt;height:73.4pt;mso-position-horizontal-relative:page;mso-position-vertical-relative:paragraph;z-index:-190432" type="#_x0000_t202" filled="false" stroked="false">
            <v:textbox inset="0,0,0,0">
              <w:txbxContent>
                <w:p>
                  <w:pPr>
                    <w:spacing w:line="254" w:lineRule="auto" w:before="100"/>
                    <w:ind w:left="623" w:right="30" w:firstLine="0"/>
                    <w:jc w:val="both"/>
                    <w:rPr>
                      <w:sz w:val="20"/>
                    </w:rPr>
                  </w:pPr>
                  <w:r>
                    <w:rPr>
                      <w:w w:val="90"/>
                      <w:sz w:val="20"/>
                    </w:rPr>
                    <w:t>TVM1 TVM2 TVM3 TVM4 TVM5</w:t>
                  </w:r>
                </w:p>
              </w:txbxContent>
            </v:textbox>
            <w10:wrap type="none"/>
          </v:shape>
        </w:pict>
      </w:r>
      <w:r>
        <w:rPr/>
        <w:pict>
          <v:group style="position:absolute;margin-left:182.733795pt;margin-top:-16.960699pt;width:257.75pt;height:232pt;mso-position-horizontal-relative:page;mso-position-vertical-relative:paragraph;z-index:4432" coordorigin="3655,-339" coordsize="5155,4640">
            <v:shape style="position:absolute;left:6961;top:-19659;width:33403;height:24657" coordorigin="6961,-19659" coordsize="33403,24657" path="m3736,4253l3736,4213m4152,4293l4152,4213m4566,4253l4566,4213m4982,4293l4982,4213m5396,4253l5396,4213m5812,4293l5812,4213m6226,4253l6226,4213m6642,4293l6642,4213m7056,4253l7056,4213m7473,4293l7473,4213m7887,4253l7887,4213m8303,4293l8303,4213m8717,4253l8717,4213m3736,4213l8717,4213m3663,4213l3736,4213m3700,3988l3736,3988m3663,3766l3736,3766m3700,3542l3736,3542m3663,3318l3736,3318m3700,3094l3736,3094m3663,2871l3736,2871m3700,2647l3736,2647m3663,2423l3736,2423m3700,2201l3736,2201m3663,1977l3736,1977m3700,1752l3736,1752m3663,1528l3736,1528m3700,1306l3736,1306m3663,1082l3736,1082m3700,858l3736,858m3663,633l3736,633m3700,412l3736,412m3663,187l3736,187m3736,4213l3736,187e" filled="false" stroked="true" strokeweight=".788234pt" strokecolor="#000000">
              <v:path arrowok="t"/>
            </v:shape>
            <v:shape style="position:absolute;left:3733;top:-339;width:5076;height:4234" type="#_x0000_t75" stroked="false">
              <v:imagedata r:id="rId165" o:title=""/>
            </v:shape>
            <v:shape style="position:absolute;left:7670;top:-252;width:1121;height:1308" type="#_x0000_t75" stroked="false">
              <v:imagedata r:id="rId166" o:title=""/>
            </v:shape>
            <v:shape style="position:absolute;left:4144;top:392;width:603;height:199" type="#_x0000_t202" filled="false" stroked="false">
              <v:textbox inset="0,0,0,0">
                <w:txbxContent>
                  <w:p>
                    <w:pPr>
                      <w:spacing w:line="198" w:lineRule="exact" w:before="0"/>
                      <w:ind w:left="0" w:right="-17" w:firstLine="0"/>
                      <w:jc w:val="left"/>
                      <w:rPr>
                        <w:sz w:val="20"/>
                      </w:rPr>
                    </w:pPr>
                    <w:r>
                      <w:rPr>
                        <w:color w:val="0000FF"/>
                        <w:w w:val="95"/>
                        <w:sz w:val="20"/>
                      </w:rPr>
                      <w:t>354</w:t>
                    </w:r>
                    <w:r>
                      <w:rPr>
                        <w:color w:val="0000FF"/>
                        <w:spacing w:val="-34"/>
                        <w:w w:val="95"/>
                        <w:sz w:val="20"/>
                      </w:rPr>
                      <w:t> </w:t>
                    </w:r>
                    <w:r>
                      <w:rPr>
                        <w:color w:val="0000FF"/>
                        <w:w w:val="95"/>
                        <w:sz w:val="20"/>
                      </w:rPr>
                      <w:t>nm</w:t>
                    </w:r>
                  </w:p>
                </w:txbxContent>
              </v:textbox>
              <w10:wrap type="none"/>
            </v:shape>
            <v:shape style="position:absolute;left:5744;top:619;width:603;height:199" type="#_x0000_t202" filled="false" stroked="false">
              <v:textbox inset="0,0,0,0">
                <w:txbxContent>
                  <w:p>
                    <w:pPr>
                      <w:spacing w:line="198" w:lineRule="exact" w:before="0"/>
                      <w:ind w:left="0" w:right="-17" w:firstLine="0"/>
                      <w:jc w:val="left"/>
                      <w:rPr>
                        <w:sz w:val="20"/>
                      </w:rPr>
                    </w:pPr>
                    <w:r>
                      <w:rPr>
                        <w:color w:val="0000FF"/>
                        <w:w w:val="95"/>
                        <w:sz w:val="20"/>
                      </w:rPr>
                      <w:t>448</w:t>
                    </w:r>
                    <w:r>
                      <w:rPr>
                        <w:color w:val="0000FF"/>
                        <w:spacing w:val="-34"/>
                        <w:w w:val="95"/>
                        <w:sz w:val="20"/>
                      </w:rPr>
                      <w:t> </w:t>
                    </w:r>
                    <w:r>
                      <w:rPr>
                        <w:color w:val="0000FF"/>
                        <w:w w:val="95"/>
                        <w:sz w:val="20"/>
                      </w:rPr>
                      <w:t>nm</w:t>
                    </w:r>
                  </w:p>
                </w:txbxContent>
              </v:textbox>
              <w10:wrap type="none"/>
            </v:shape>
            <v:shape style="position:absolute;left:7816;top:-221;width:661;height:947" type="#_x0000_t202" filled="false" stroked="false">
              <v:textbox inset="0,0,0,0">
                <w:txbxContent>
                  <w:p>
                    <w:pPr>
                      <w:spacing w:line="163" w:lineRule="exact" w:before="0"/>
                      <w:ind w:left="0" w:right="-19" w:firstLine="0"/>
                      <w:jc w:val="left"/>
                      <w:rPr>
                        <w:rFonts w:ascii="Calibri"/>
                        <w:sz w:val="16"/>
                      </w:rPr>
                    </w:pPr>
                    <w:r>
                      <w:rPr>
                        <w:rFonts w:ascii="Calibri"/>
                        <w:sz w:val="16"/>
                      </w:rPr>
                      <w:t>Cs-M1-----</w:t>
                    </w:r>
                  </w:p>
                  <w:p>
                    <w:pPr>
                      <w:spacing w:before="0"/>
                      <w:ind w:left="0" w:right="-19" w:firstLine="0"/>
                      <w:jc w:val="left"/>
                      <w:rPr>
                        <w:rFonts w:ascii="Calibri"/>
                        <w:sz w:val="16"/>
                      </w:rPr>
                    </w:pPr>
                    <w:r>
                      <w:rPr>
                        <w:rFonts w:ascii="Calibri"/>
                        <w:sz w:val="16"/>
                      </w:rPr>
                      <w:t>Cs-M2</w:t>
                    </w:r>
                    <w:r>
                      <w:rPr>
                        <w:rFonts w:ascii="Calibri"/>
                        <w:color w:val="FF0000"/>
                        <w:sz w:val="16"/>
                      </w:rPr>
                      <w:t>-----</w:t>
                    </w:r>
                  </w:p>
                  <w:p>
                    <w:pPr>
                      <w:spacing w:line="195" w:lineRule="exact" w:before="1"/>
                      <w:ind w:left="0" w:right="-19" w:firstLine="0"/>
                      <w:jc w:val="left"/>
                      <w:rPr>
                        <w:rFonts w:ascii="Calibri"/>
                        <w:sz w:val="16"/>
                      </w:rPr>
                    </w:pPr>
                    <w:r>
                      <w:rPr>
                        <w:rFonts w:ascii="Calibri"/>
                        <w:sz w:val="16"/>
                      </w:rPr>
                      <w:t>Cs-M3</w:t>
                    </w:r>
                    <w:r>
                      <w:rPr>
                        <w:rFonts w:ascii="Calibri"/>
                        <w:color w:val="00AF50"/>
                        <w:sz w:val="16"/>
                      </w:rPr>
                      <w:t>-----</w:t>
                    </w:r>
                  </w:p>
                  <w:p>
                    <w:pPr>
                      <w:spacing w:line="195" w:lineRule="exact" w:before="0"/>
                      <w:ind w:left="0" w:right="-19" w:firstLine="0"/>
                      <w:jc w:val="left"/>
                      <w:rPr>
                        <w:rFonts w:ascii="Calibri"/>
                        <w:sz w:val="16"/>
                      </w:rPr>
                    </w:pPr>
                    <w:r>
                      <w:rPr>
                        <w:rFonts w:ascii="Calibri"/>
                        <w:sz w:val="16"/>
                      </w:rPr>
                      <w:t>Cs-M4</w:t>
                    </w:r>
                    <w:r>
                      <w:rPr>
                        <w:rFonts w:ascii="Calibri"/>
                        <w:color w:val="006FC0"/>
                        <w:sz w:val="16"/>
                      </w:rPr>
                      <w:t>-----</w:t>
                    </w:r>
                  </w:p>
                  <w:p>
                    <w:pPr>
                      <w:spacing w:line="193" w:lineRule="exact" w:before="4"/>
                      <w:ind w:left="0" w:right="-19" w:firstLine="0"/>
                      <w:jc w:val="left"/>
                      <w:rPr>
                        <w:rFonts w:ascii="Calibri"/>
                        <w:sz w:val="16"/>
                      </w:rPr>
                    </w:pPr>
                    <w:r>
                      <w:rPr>
                        <w:rFonts w:ascii="Calibri"/>
                        <w:sz w:val="16"/>
                      </w:rPr>
                      <w:t>Cs-M5</w:t>
                    </w:r>
                    <w:r>
                      <w:rPr>
                        <w:rFonts w:ascii="Calibri"/>
                        <w:color w:val="00FFFF"/>
                        <w:sz w:val="16"/>
                      </w:rPr>
                      <w:t>-----</w:t>
                    </w:r>
                  </w:p>
                </w:txbxContent>
              </v:textbox>
              <w10:wrap type="none"/>
            </v:shape>
            <v:shape style="position:absolute;left:4165;top:2319;width:603;height:199" type="#_x0000_t202" filled="false" stroked="false">
              <v:textbox inset="0,0,0,0">
                <w:txbxContent>
                  <w:p>
                    <w:pPr>
                      <w:spacing w:line="198" w:lineRule="exact" w:before="0"/>
                      <w:ind w:left="0" w:right="-17" w:firstLine="0"/>
                      <w:jc w:val="left"/>
                      <w:rPr>
                        <w:sz w:val="20"/>
                      </w:rPr>
                    </w:pPr>
                    <w:r>
                      <w:rPr>
                        <w:w w:val="95"/>
                        <w:sz w:val="20"/>
                      </w:rPr>
                      <w:t>355</w:t>
                    </w:r>
                    <w:r>
                      <w:rPr>
                        <w:spacing w:val="-34"/>
                        <w:w w:val="95"/>
                        <w:sz w:val="20"/>
                      </w:rPr>
                      <w:t> </w:t>
                    </w:r>
                    <w:r>
                      <w:rPr>
                        <w:w w:val="95"/>
                        <w:sz w:val="20"/>
                      </w:rPr>
                      <w:t>nm</w:t>
                    </w:r>
                  </w:p>
                </w:txbxContent>
              </v:textbox>
              <w10:wrap type="none"/>
            </v:shape>
            <v:shape style="position:absolute;left:5821;top:3093;width:603;height:199" type="#_x0000_t202" filled="false" stroked="false">
              <v:textbox inset="0,0,0,0">
                <w:txbxContent>
                  <w:p>
                    <w:pPr>
                      <w:spacing w:line="198" w:lineRule="exact" w:before="0"/>
                      <w:ind w:left="0" w:right="-17" w:firstLine="0"/>
                      <w:jc w:val="left"/>
                      <w:rPr>
                        <w:sz w:val="20"/>
                      </w:rPr>
                    </w:pPr>
                    <w:r>
                      <w:rPr>
                        <w:color w:val="00FF00"/>
                        <w:w w:val="95"/>
                        <w:sz w:val="20"/>
                      </w:rPr>
                      <w:t>451</w:t>
                    </w:r>
                    <w:r>
                      <w:rPr>
                        <w:color w:val="00FF00"/>
                        <w:spacing w:val="-34"/>
                        <w:w w:val="95"/>
                        <w:sz w:val="20"/>
                      </w:rPr>
                      <w:t> </w:t>
                    </w:r>
                    <w:r>
                      <w:rPr>
                        <w:color w:val="00FF00"/>
                        <w:w w:val="95"/>
                        <w:sz w:val="20"/>
                      </w:rPr>
                      <w:t>nm</w:t>
                    </w:r>
                  </w:p>
                </w:txbxContent>
              </v:textbox>
              <w10:wrap type="none"/>
            </v:shape>
            <w10:wrap type="none"/>
          </v:group>
        </w:pict>
      </w:r>
      <w:r>
        <w:rPr>
          <w:sz w:val="16"/>
        </w:rPr>
        <w:t>1.8</w:t>
      </w:r>
    </w:p>
    <w:p>
      <w:pPr>
        <w:pStyle w:val="BodyText"/>
        <w:spacing w:before="9"/>
        <w:rPr>
          <w:sz w:val="22"/>
        </w:rPr>
      </w:pPr>
    </w:p>
    <w:p>
      <w:pPr>
        <w:spacing w:before="0"/>
        <w:ind w:left="2130" w:right="270" w:firstLine="0"/>
        <w:jc w:val="left"/>
        <w:rPr>
          <w:sz w:val="16"/>
        </w:rPr>
      </w:pPr>
      <w:r>
        <w:rPr>
          <w:sz w:val="16"/>
        </w:rPr>
        <w:t>1.6</w:t>
      </w:r>
    </w:p>
    <w:p>
      <w:pPr>
        <w:pStyle w:val="BodyText"/>
        <w:spacing w:before="10"/>
        <w:rPr>
          <w:sz w:val="15"/>
        </w:rPr>
      </w:pPr>
    </w:p>
    <w:p>
      <w:pPr>
        <w:spacing w:before="82"/>
        <w:ind w:left="2130" w:right="270" w:firstLine="0"/>
        <w:jc w:val="left"/>
        <w:rPr>
          <w:sz w:val="16"/>
        </w:rPr>
      </w:pPr>
      <w:r>
        <w:rPr>
          <w:sz w:val="16"/>
        </w:rPr>
        <w:t>1.4</w:t>
      </w:r>
    </w:p>
    <w:p>
      <w:pPr>
        <w:pStyle w:val="BodyText"/>
        <w:spacing w:before="7"/>
        <w:rPr>
          <w:sz w:val="15"/>
        </w:rPr>
      </w:pPr>
    </w:p>
    <w:p>
      <w:pPr>
        <w:spacing w:before="82"/>
        <w:ind w:left="2130" w:right="270" w:firstLine="0"/>
        <w:jc w:val="left"/>
        <w:rPr>
          <w:sz w:val="16"/>
        </w:rPr>
      </w:pPr>
      <w:r>
        <w:rPr>
          <w:sz w:val="16"/>
        </w:rPr>
        <w:t>1.2</w:t>
      </w:r>
    </w:p>
    <w:p>
      <w:pPr>
        <w:pStyle w:val="BodyText"/>
        <w:spacing w:before="10"/>
        <w:rPr>
          <w:sz w:val="15"/>
        </w:rPr>
      </w:pPr>
    </w:p>
    <w:p>
      <w:pPr>
        <w:spacing w:before="82"/>
        <w:ind w:left="2130" w:right="270" w:firstLine="0"/>
        <w:jc w:val="left"/>
        <w:rPr>
          <w:sz w:val="16"/>
        </w:rPr>
      </w:pPr>
      <w:r>
        <w:rPr/>
        <w:pict>
          <v:shape style="position:absolute;margin-left:149.438858pt;margin-top:.33005pt;width:11.05pt;height:33.450pt;mso-position-horizontal-relative:page;mso-position-vertical-relative:paragraph;z-index:4456" type="#_x0000_t202" filled="false" stroked="false">
            <v:textbox inset="0,0,0,0" style="layout-flow:vertical;mso-layout-flow-alt:bottom-to-top">
              <w:txbxContent>
                <w:p>
                  <w:pPr>
                    <w:spacing w:line="204" w:lineRule="exact" w:before="0"/>
                    <w:ind w:left="20" w:right="-216" w:firstLine="0"/>
                    <w:jc w:val="left"/>
                    <w:rPr>
                      <w:sz w:val="18"/>
                    </w:rPr>
                  </w:pPr>
                  <w:r>
                    <w:rPr>
                      <w:w w:val="110"/>
                      <w:sz w:val="18"/>
                    </w:rPr>
                    <w:t>%</w:t>
                  </w:r>
                  <w:r>
                    <w:rPr>
                      <w:spacing w:val="4"/>
                      <w:sz w:val="18"/>
                    </w:rPr>
                    <w:t> </w:t>
                  </w:r>
                  <w:r>
                    <w:rPr>
                      <w:w w:val="110"/>
                      <w:sz w:val="18"/>
                    </w:rPr>
                    <w:t>ABS</w:t>
                  </w:r>
                </w:p>
              </w:txbxContent>
            </v:textbox>
            <w10:wrap type="none"/>
          </v:shape>
        </w:pict>
      </w:r>
      <w:r>
        <w:rPr>
          <w:sz w:val="16"/>
        </w:rPr>
        <w:t>1.0</w:t>
      </w:r>
    </w:p>
    <w:p>
      <w:pPr>
        <w:pStyle w:val="BodyText"/>
        <w:spacing w:before="7"/>
        <w:rPr>
          <w:sz w:val="15"/>
        </w:rPr>
      </w:pPr>
    </w:p>
    <w:p>
      <w:pPr>
        <w:spacing w:before="83"/>
        <w:ind w:left="2130" w:right="270" w:firstLine="0"/>
        <w:jc w:val="left"/>
        <w:rPr>
          <w:sz w:val="16"/>
        </w:rPr>
      </w:pPr>
      <w:r>
        <w:rPr>
          <w:sz w:val="16"/>
        </w:rPr>
        <w:t>0.8</w:t>
      </w:r>
    </w:p>
    <w:p>
      <w:pPr>
        <w:pStyle w:val="BodyText"/>
        <w:spacing w:before="10"/>
        <w:rPr>
          <w:sz w:val="15"/>
        </w:rPr>
      </w:pPr>
    </w:p>
    <w:p>
      <w:pPr>
        <w:spacing w:before="82"/>
        <w:ind w:left="2130" w:right="270" w:firstLine="0"/>
        <w:jc w:val="left"/>
        <w:rPr>
          <w:sz w:val="16"/>
        </w:rPr>
      </w:pPr>
      <w:r>
        <w:rPr>
          <w:sz w:val="16"/>
        </w:rPr>
        <w:t>0.6</w:t>
      </w:r>
    </w:p>
    <w:p>
      <w:pPr>
        <w:pStyle w:val="BodyText"/>
        <w:spacing w:before="7"/>
        <w:rPr>
          <w:sz w:val="15"/>
        </w:rPr>
      </w:pPr>
    </w:p>
    <w:p>
      <w:pPr>
        <w:spacing w:before="82"/>
        <w:ind w:left="2130" w:right="270" w:firstLine="0"/>
        <w:jc w:val="left"/>
        <w:rPr>
          <w:sz w:val="16"/>
        </w:rPr>
      </w:pPr>
      <w:r>
        <w:rPr>
          <w:sz w:val="16"/>
        </w:rPr>
        <w:t>0.4</w:t>
      </w:r>
    </w:p>
    <w:p>
      <w:pPr>
        <w:pStyle w:val="BodyText"/>
        <w:spacing w:before="10"/>
        <w:rPr>
          <w:sz w:val="15"/>
        </w:rPr>
      </w:pPr>
    </w:p>
    <w:p>
      <w:pPr>
        <w:spacing w:before="82"/>
        <w:ind w:left="2130" w:right="270" w:firstLine="0"/>
        <w:jc w:val="left"/>
        <w:rPr>
          <w:sz w:val="16"/>
        </w:rPr>
      </w:pPr>
      <w:r>
        <w:rPr>
          <w:sz w:val="16"/>
        </w:rPr>
        <w:t>0.2</w:t>
      </w:r>
    </w:p>
    <w:p>
      <w:pPr>
        <w:pStyle w:val="BodyText"/>
        <w:spacing w:before="7"/>
        <w:rPr>
          <w:sz w:val="15"/>
        </w:rPr>
      </w:pPr>
    </w:p>
    <w:p>
      <w:pPr>
        <w:spacing w:before="82"/>
        <w:ind w:left="2130" w:right="270" w:firstLine="0"/>
        <w:jc w:val="left"/>
        <w:rPr>
          <w:sz w:val="16"/>
        </w:rPr>
      </w:pPr>
      <w:r>
        <w:rPr>
          <w:sz w:val="16"/>
        </w:rPr>
        <w:t>0.0</w:t>
      </w:r>
    </w:p>
    <w:p>
      <w:pPr>
        <w:tabs>
          <w:tab w:pos="1025" w:val="left" w:leader="none"/>
          <w:tab w:pos="1855" w:val="left" w:leader="none"/>
          <w:tab w:pos="2685" w:val="left" w:leader="none"/>
          <w:tab w:pos="3515" w:val="left" w:leader="none"/>
          <w:tab w:pos="4345" w:val="left" w:leader="none"/>
        </w:tabs>
        <w:spacing w:before="33"/>
        <w:ind w:left="195" w:right="0" w:firstLine="0"/>
        <w:jc w:val="center"/>
        <w:rPr>
          <w:sz w:val="16"/>
        </w:rPr>
      </w:pPr>
      <w:r>
        <w:rPr>
          <w:sz w:val="16"/>
        </w:rPr>
        <w:t>350</w:t>
        <w:tab/>
        <w:t>400</w:t>
        <w:tab/>
        <w:t>450</w:t>
        <w:tab/>
        <w:t>500</w:t>
        <w:tab/>
        <w:t>550</w:t>
        <w:tab/>
        <w:t>600</w:t>
      </w:r>
    </w:p>
    <w:p>
      <w:pPr>
        <w:spacing w:before="95"/>
        <w:ind w:left="195" w:right="4" w:firstLine="0"/>
        <w:jc w:val="center"/>
        <w:rPr>
          <w:sz w:val="20"/>
        </w:rPr>
      </w:pPr>
      <w:r>
        <w:rPr>
          <w:rFonts w:ascii="Symbol" w:hAnsi="Symbol"/>
          <w:w w:val="95"/>
          <w:sz w:val="18"/>
        </w:rPr>
        <w:t></w:t>
      </w:r>
      <w:r>
        <w:rPr>
          <w:rFonts w:ascii="Times New Roman" w:hAnsi="Times New Roman"/>
          <w:w w:val="95"/>
          <w:sz w:val="18"/>
        </w:rPr>
        <w:t> </w:t>
      </w:r>
      <w:r>
        <w:rPr>
          <w:w w:val="95"/>
          <w:sz w:val="20"/>
        </w:rPr>
        <w:t>nm</w:t>
      </w:r>
    </w:p>
    <w:p>
      <w:pPr>
        <w:pStyle w:val="BodyText"/>
        <w:rPr>
          <w:sz w:val="20"/>
        </w:rPr>
      </w:pPr>
    </w:p>
    <w:p>
      <w:pPr>
        <w:pStyle w:val="BodyText"/>
        <w:rPr>
          <w:sz w:val="20"/>
        </w:rPr>
      </w:pPr>
    </w:p>
    <w:p>
      <w:pPr>
        <w:pStyle w:val="BodyText"/>
        <w:spacing w:before="5"/>
        <w:rPr>
          <w:sz w:val="26"/>
        </w:rPr>
      </w:pPr>
    </w:p>
    <w:p>
      <w:pPr>
        <w:spacing w:before="73"/>
        <w:ind w:left="2356" w:right="270" w:firstLine="0"/>
        <w:jc w:val="left"/>
        <w:rPr>
          <w:sz w:val="22"/>
        </w:rPr>
      </w:pPr>
      <w:r>
        <w:rPr>
          <w:b/>
          <w:sz w:val="22"/>
        </w:rPr>
        <w:t>Figura 5</w:t>
      </w:r>
      <w:r>
        <w:rPr>
          <w:sz w:val="22"/>
        </w:rPr>
        <w:t>. </w:t>
      </w:r>
      <w:r>
        <w:rPr>
          <w:i/>
          <w:sz w:val="22"/>
        </w:rPr>
        <w:t>Camellia sinensis </w:t>
      </w:r>
      <w:r>
        <w:rPr>
          <w:sz w:val="22"/>
        </w:rPr>
        <w:t>UV-Vis. Fuente directa</w:t>
      </w:r>
    </w:p>
    <w:p>
      <w:pPr>
        <w:pStyle w:val="BodyText"/>
        <w:rPr>
          <w:sz w:val="22"/>
        </w:rPr>
      </w:pPr>
    </w:p>
    <w:p>
      <w:pPr>
        <w:pStyle w:val="BodyText"/>
        <w:rPr>
          <w:sz w:val="22"/>
        </w:rPr>
      </w:pPr>
    </w:p>
    <w:p>
      <w:pPr>
        <w:pStyle w:val="BodyText"/>
        <w:spacing w:before="4"/>
        <w:rPr>
          <w:sz w:val="32"/>
        </w:rPr>
      </w:pPr>
    </w:p>
    <w:p>
      <w:pPr>
        <w:pStyle w:val="BodyText"/>
        <w:spacing w:line="480" w:lineRule="auto"/>
        <w:ind w:left="160" w:right="173"/>
        <w:jc w:val="both"/>
      </w:pPr>
      <w:r>
        <w:rPr/>
        <w:t>En la figura 6, la síntesis de Np-Ag con Borohidruro de sodio, muestra el plasmón entre 386nm y 401nm, lo que indica que las nanopartículas obtenidas por este método son más pequeñas, de cantidad satisfactoria, de forma esférica, con menor polidispersión y con un tamaño menor a los dos agentes reductores anteriores.</w:t>
      </w:r>
    </w:p>
    <w:p>
      <w:pPr>
        <w:spacing w:after="0" w:line="480" w:lineRule="auto"/>
        <w:jc w:val="both"/>
        <w:sectPr>
          <w:footerReference w:type="default" r:id="rId164"/>
          <w:pgSz w:w="12240" w:h="15840"/>
          <w:pgMar w:footer="1024" w:header="736" w:top="1180" w:bottom="1220" w:left="1280" w:right="1260"/>
        </w:sectPr>
      </w:pPr>
    </w:p>
    <w:p>
      <w:pPr>
        <w:pStyle w:val="BodyText"/>
        <w:spacing w:before="11"/>
        <w:rPr>
          <w:sz w:val="16"/>
        </w:rPr>
      </w:pPr>
    </w:p>
    <w:p>
      <w:pPr>
        <w:spacing w:before="69"/>
        <w:ind w:left="160" w:right="0" w:firstLine="0"/>
        <w:jc w:val="left"/>
        <w:rPr>
          <w:i/>
          <w:sz w:val="24"/>
        </w:rPr>
      </w:pPr>
      <w:r>
        <w:rPr>
          <w:i/>
          <w:sz w:val="24"/>
        </w:rPr>
        <w:t>Borohidruro de sodio</w:t>
      </w:r>
    </w:p>
    <w:p>
      <w:pPr>
        <w:pStyle w:val="BodyText"/>
        <w:rPr>
          <w:i/>
          <w:sz w:val="20"/>
        </w:rPr>
      </w:pPr>
    </w:p>
    <w:p>
      <w:pPr>
        <w:pStyle w:val="BodyText"/>
        <w:rPr>
          <w:i/>
          <w:sz w:val="20"/>
        </w:rPr>
      </w:pPr>
    </w:p>
    <w:p>
      <w:pPr>
        <w:pStyle w:val="BodyText"/>
        <w:spacing w:before="11"/>
        <w:rPr>
          <w:i/>
          <w:sz w:val="16"/>
        </w:rPr>
      </w:pPr>
    </w:p>
    <w:p>
      <w:pPr>
        <w:spacing w:before="81"/>
        <w:ind w:left="2156" w:right="0" w:firstLine="0"/>
        <w:jc w:val="left"/>
        <w:rPr>
          <w:sz w:val="16"/>
        </w:rPr>
      </w:pPr>
      <w:r>
        <w:rPr/>
        <w:pict>
          <v:shape style="position:absolute;margin-left:387.730011pt;margin-top:-17.69068pt;width:83.3pt;height:77pt;mso-position-horizontal-relative:page;mso-position-vertical-relative:paragraph;z-index:-190240" type="#_x0000_t202" filled="false" stroked="false">
            <v:textbox inset="0,0,0,0">
              <w:txbxContent>
                <w:p>
                  <w:pPr>
                    <w:spacing w:line="264" w:lineRule="auto" w:before="132"/>
                    <w:ind w:left="498" w:right="679" w:firstLine="0"/>
                    <w:jc w:val="both"/>
                    <w:rPr>
                      <w:sz w:val="19"/>
                    </w:rPr>
                  </w:pPr>
                  <w:r>
                    <w:rPr>
                      <w:w w:val="90"/>
                      <w:sz w:val="19"/>
                    </w:rPr>
                    <w:t>BHM1 BHM2 BHM3 BHM4 BHM5</w:t>
                  </w:r>
                </w:p>
              </w:txbxContent>
            </v:textbox>
            <w10:wrap type="none"/>
          </v:shape>
        </w:pict>
      </w:r>
      <w:r>
        <w:rPr/>
        <w:pict>
          <v:group style="position:absolute;margin-left:187.663773pt;margin-top:-18.06568pt;width:283.75pt;height:231.55pt;mso-position-horizontal-relative:page;mso-position-vertical-relative:paragraph;z-index:4624" coordorigin="3753,-361" coordsize="5675,4631">
            <v:shape style="position:absolute;left:7528;top:-16953;width:33403;height:24657" coordorigin="7528,-16953" coordsize="33403,24657" path="m3833,4222l3833,4182m4179,4262l4179,4182m4525,4222l4525,4182m4871,4262l4871,4182m5215,4222l5215,4182m5561,4262l5561,4182m5906,4222l5906,4182m6253,4262l6253,4182m6599,4222l6599,4182m6945,4262l6945,4182m7291,4222l7291,4182m7634,4262l7634,4182m7980,4222l7980,4182m8326,4262l8326,4182m8672,4222l8672,4182m3833,4182l8672,4182m3797,4182l3833,4182m3762,4023l3833,4023m3797,3864l3833,3864m3762,3702l3833,3702m3797,3543l3833,3543m3762,3383l3833,3383m3797,3224l3833,3224m3762,3064l3833,3064m3797,2903l3833,2903m3762,2743l3833,2743m3797,2584l3833,2584m3762,2425l3833,2425m3797,2265l3833,2265m3762,2104l3833,2104m3797,1944l3833,1944m3762,1785l3833,1785m3797,1626l3833,1626m3762,1466l3833,1466m3797,1304l3833,1304m3762,1145l3833,1145m3797,986l3833,986m3762,826l3833,826m3797,667l3833,667m3762,505l3833,505m3797,346l3833,346m3762,187l3833,187m3833,4182l3833,187e" filled="false" stroked="true" strokeweight=".774601pt" strokecolor="#000000">
              <v:path arrowok="t"/>
            </v:shape>
            <v:shape style="position:absolute;left:4175;top:-361;width:5252;height:4266" type="#_x0000_t75" stroked="false">
              <v:imagedata r:id="rId168" o:title=""/>
            </v:shape>
            <v:shape style="position:absolute;left:7762;top:-274;width:1651;height:1380" type="#_x0000_t75" stroked="false">
              <v:imagedata r:id="rId169" o:title=""/>
            </v:shape>
            <v:shape style="position:absolute;left:4737;top:343;width:585;height:197" type="#_x0000_t202" filled="false" stroked="false">
              <v:textbox inset="0,0,0,0">
                <w:txbxContent>
                  <w:p>
                    <w:pPr>
                      <w:spacing w:line="197" w:lineRule="exact" w:before="0"/>
                      <w:ind w:left="0" w:right="-19" w:firstLine="0"/>
                      <w:jc w:val="left"/>
                      <w:rPr>
                        <w:sz w:val="19"/>
                      </w:rPr>
                    </w:pPr>
                    <w:r>
                      <w:rPr>
                        <w:color w:val="00FF00"/>
                        <w:w w:val="95"/>
                        <w:sz w:val="19"/>
                      </w:rPr>
                      <w:t>385</w:t>
                    </w:r>
                    <w:r>
                      <w:rPr>
                        <w:color w:val="00FF00"/>
                        <w:spacing w:val="-19"/>
                        <w:w w:val="95"/>
                        <w:sz w:val="19"/>
                      </w:rPr>
                      <w:t> </w:t>
                    </w:r>
                    <w:r>
                      <w:rPr>
                        <w:color w:val="00FF00"/>
                        <w:w w:val="95"/>
                        <w:sz w:val="19"/>
                      </w:rPr>
                      <w:t>nm</w:t>
                    </w:r>
                  </w:p>
                </w:txbxContent>
              </v:textbox>
              <w10:wrap type="none"/>
            </v:shape>
            <v:shape style="position:absolute;left:5521;top:266;width:585;height:197" type="#_x0000_t202" filled="false" stroked="false">
              <v:textbox inset="0,0,0,0">
                <w:txbxContent>
                  <w:p>
                    <w:pPr>
                      <w:spacing w:line="197" w:lineRule="exact" w:before="0"/>
                      <w:ind w:left="0" w:right="-19" w:firstLine="0"/>
                      <w:jc w:val="left"/>
                      <w:rPr>
                        <w:sz w:val="19"/>
                      </w:rPr>
                    </w:pPr>
                    <w:r>
                      <w:rPr>
                        <w:color w:val="0000FF"/>
                        <w:w w:val="95"/>
                        <w:sz w:val="19"/>
                      </w:rPr>
                      <w:t>400</w:t>
                    </w:r>
                    <w:r>
                      <w:rPr>
                        <w:color w:val="0000FF"/>
                        <w:spacing w:val="-19"/>
                        <w:w w:val="95"/>
                        <w:sz w:val="19"/>
                      </w:rPr>
                      <w:t> </w:t>
                    </w:r>
                    <w:r>
                      <w:rPr>
                        <w:color w:val="0000FF"/>
                        <w:w w:val="95"/>
                        <w:sz w:val="19"/>
                      </w:rPr>
                      <w:t>nm</w:t>
                    </w:r>
                  </w:p>
                </w:txbxContent>
              </v:textbox>
              <w10:wrap type="none"/>
            </v:shape>
            <v:shape style="position:absolute;left:7907;top:-243;width:961;height:946" type="#_x0000_t202" filled="false" stroked="false">
              <v:textbox inset="0,0,0,0">
                <w:txbxContent>
                  <w:p>
                    <w:pPr>
                      <w:spacing w:line="164" w:lineRule="exact" w:before="0"/>
                      <w:ind w:left="0" w:right="-19" w:firstLine="0"/>
                      <w:jc w:val="left"/>
                      <w:rPr>
                        <w:rFonts w:ascii="Calibri"/>
                        <w:sz w:val="16"/>
                      </w:rPr>
                    </w:pPr>
                    <w:r>
                      <w:rPr>
                        <w:rFonts w:ascii="Calibri"/>
                        <w:sz w:val="16"/>
                      </w:rPr>
                      <w:t>NaBH4-M1-----</w:t>
                    </w:r>
                  </w:p>
                  <w:p>
                    <w:pPr>
                      <w:spacing w:line="195" w:lineRule="exact" w:before="1"/>
                      <w:ind w:left="0" w:right="-19" w:firstLine="0"/>
                      <w:jc w:val="left"/>
                      <w:rPr>
                        <w:rFonts w:ascii="Calibri"/>
                        <w:sz w:val="16"/>
                      </w:rPr>
                    </w:pPr>
                    <w:r>
                      <w:rPr>
                        <w:rFonts w:ascii="Calibri"/>
                        <w:sz w:val="16"/>
                      </w:rPr>
                      <w:t>NaBH4-M2</w:t>
                    </w:r>
                    <w:r>
                      <w:rPr>
                        <w:rFonts w:ascii="Calibri"/>
                        <w:color w:val="FF0000"/>
                        <w:sz w:val="16"/>
                      </w:rPr>
                      <w:t>-----</w:t>
                    </w:r>
                  </w:p>
                  <w:p>
                    <w:pPr>
                      <w:spacing w:line="194" w:lineRule="exact" w:before="0"/>
                      <w:ind w:left="0" w:right="-19" w:firstLine="0"/>
                      <w:jc w:val="left"/>
                      <w:rPr>
                        <w:rFonts w:ascii="Calibri"/>
                        <w:sz w:val="16"/>
                      </w:rPr>
                    </w:pPr>
                    <w:r>
                      <w:rPr>
                        <w:rFonts w:ascii="Calibri"/>
                        <w:sz w:val="16"/>
                      </w:rPr>
                      <w:t>NaBH4-M3</w:t>
                    </w:r>
                    <w:r>
                      <w:rPr>
                        <w:rFonts w:ascii="Calibri"/>
                        <w:color w:val="00AF50"/>
                        <w:sz w:val="16"/>
                      </w:rPr>
                      <w:t>-----</w:t>
                    </w:r>
                  </w:p>
                  <w:p>
                    <w:pPr>
                      <w:spacing w:line="195" w:lineRule="exact" w:before="0"/>
                      <w:ind w:left="0" w:right="-19" w:firstLine="0"/>
                      <w:jc w:val="left"/>
                      <w:rPr>
                        <w:rFonts w:ascii="Calibri"/>
                        <w:sz w:val="16"/>
                      </w:rPr>
                    </w:pPr>
                    <w:r>
                      <w:rPr>
                        <w:rFonts w:ascii="Calibri"/>
                        <w:sz w:val="16"/>
                      </w:rPr>
                      <w:t>NaBH4-M4</w:t>
                    </w:r>
                    <w:r>
                      <w:rPr>
                        <w:rFonts w:ascii="Calibri"/>
                        <w:color w:val="006FC0"/>
                        <w:sz w:val="16"/>
                      </w:rPr>
                      <w:t>-----</w:t>
                    </w:r>
                  </w:p>
                  <w:p>
                    <w:pPr>
                      <w:spacing w:line="193" w:lineRule="exact" w:before="4"/>
                      <w:ind w:left="0" w:right="-19" w:firstLine="0"/>
                      <w:jc w:val="left"/>
                      <w:rPr>
                        <w:rFonts w:ascii="Calibri"/>
                        <w:sz w:val="16"/>
                      </w:rPr>
                    </w:pPr>
                    <w:r>
                      <w:rPr>
                        <w:rFonts w:ascii="Calibri"/>
                        <w:sz w:val="16"/>
                      </w:rPr>
                      <w:t>NaBH5-M5</w:t>
                    </w:r>
                    <w:r>
                      <w:rPr>
                        <w:rFonts w:ascii="Calibri"/>
                        <w:color w:val="00FFFF"/>
                        <w:sz w:val="16"/>
                      </w:rPr>
                      <w:t>-----</w:t>
                    </w:r>
                  </w:p>
                </w:txbxContent>
              </v:textbox>
              <w10:wrap type="none"/>
            </v:shape>
            <v:shape style="position:absolute;left:5246;top:1862;width:835;height:577" type="#_x0000_t202" filled="false" stroked="false">
              <v:textbox inset="0,0,0,0">
                <w:txbxContent>
                  <w:p>
                    <w:pPr>
                      <w:spacing w:line="200" w:lineRule="exact" w:before="0"/>
                      <w:ind w:left="250" w:right="-19" w:firstLine="0"/>
                      <w:jc w:val="left"/>
                      <w:rPr>
                        <w:sz w:val="19"/>
                      </w:rPr>
                    </w:pPr>
                    <w:r>
                      <w:rPr>
                        <w:color w:val="FF0000"/>
                        <w:w w:val="95"/>
                        <w:sz w:val="19"/>
                      </w:rPr>
                      <w:t>401</w:t>
                    </w:r>
                    <w:r>
                      <w:rPr>
                        <w:color w:val="FF0000"/>
                        <w:spacing w:val="-19"/>
                        <w:w w:val="95"/>
                        <w:sz w:val="19"/>
                      </w:rPr>
                      <w:t> </w:t>
                    </w:r>
                    <w:r>
                      <w:rPr>
                        <w:color w:val="FF0000"/>
                        <w:w w:val="95"/>
                        <w:sz w:val="19"/>
                      </w:rPr>
                      <w:t>nm</w:t>
                    </w:r>
                  </w:p>
                  <w:p>
                    <w:pPr>
                      <w:spacing w:line="216" w:lineRule="exact" w:before="161"/>
                      <w:ind w:left="0" w:right="-19" w:firstLine="0"/>
                      <w:jc w:val="left"/>
                      <w:rPr>
                        <w:sz w:val="19"/>
                      </w:rPr>
                    </w:pPr>
                    <w:r>
                      <w:rPr>
                        <w:w w:val="95"/>
                        <w:sz w:val="19"/>
                      </w:rPr>
                      <w:t>386 nm</w:t>
                    </w:r>
                  </w:p>
                </w:txbxContent>
              </v:textbox>
              <w10:wrap type="none"/>
            </v:shape>
            <v:shape style="position:absolute;left:5350;top:3395;width:585;height:197" type="#_x0000_t202" filled="false" stroked="false">
              <v:textbox inset="0,0,0,0">
                <w:txbxContent>
                  <w:p>
                    <w:pPr>
                      <w:spacing w:line="197" w:lineRule="exact" w:before="0"/>
                      <w:ind w:left="0" w:right="-19" w:firstLine="0"/>
                      <w:jc w:val="left"/>
                      <w:rPr>
                        <w:sz w:val="19"/>
                      </w:rPr>
                    </w:pPr>
                    <w:r>
                      <w:rPr>
                        <w:color w:val="00FFFF"/>
                        <w:w w:val="95"/>
                        <w:sz w:val="19"/>
                      </w:rPr>
                      <w:t>392</w:t>
                    </w:r>
                    <w:r>
                      <w:rPr>
                        <w:color w:val="00FFFF"/>
                        <w:spacing w:val="-19"/>
                        <w:w w:val="95"/>
                        <w:sz w:val="19"/>
                      </w:rPr>
                      <w:t> </w:t>
                    </w:r>
                    <w:r>
                      <w:rPr>
                        <w:color w:val="00FFFF"/>
                        <w:w w:val="95"/>
                        <w:sz w:val="19"/>
                      </w:rPr>
                      <w:t>nm</w:t>
                    </w:r>
                  </w:p>
                </w:txbxContent>
              </v:textbox>
              <w10:wrap type="none"/>
            </v:shape>
            <w10:wrap type="none"/>
          </v:group>
        </w:pict>
      </w:r>
      <w:r>
        <w:rPr>
          <w:sz w:val="16"/>
        </w:rPr>
        <w:t>0.70</w:t>
      </w:r>
    </w:p>
    <w:p>
      <w:pPr>
        <w:spacing w:before="134"/>
        <w:ind w:left="2156" w:right="0" w:firstLine="0"/>
        <w:jc w:val="left"/>
        <w:rPr>
          <w:sz w:val="16"/>
        </w:rPr>
      </w:pPr>
      <w:r>
        <w:rPr>
          <w:sz w:val="16"/>
        </w:rPr>
        <w:t>0.65</w:t>
      </w:r>
    </w:p>
    <w:p>
      <w:pPr>
        <w:spacing w:before="137"/>
        <w:ind w:left="2156" w:right="0" w:firstLine="0"/>
        <w:jc w:val="left"/>
        <w:rPr>
          <w:sz w:val="16"/>
        </w:rPr>
      </w:pPr>
      <w:r>
        <w:rPr>
          <w:sz w:val="16"/>
        </w:rPr>
        <w:t>0.60</w:t>
      </w:r>
    </w:p>
    <w:p>
      <w:pPr>
        <w:spacing w:before="134"/>
        <w:ind w:left="2156" w:right="0" w:firstLine="0"/>
        <w:jc w:val="left"/>
        <w:rPr>
          <w:sz w:val="16"/>
        </w:rPr>
      </w:pPr>
      <w:r>
        <w:rPr>
          <w:sz w:val="16"/>
        </w:rPr>
        <w:t>0.55</w:t>
      </w:r>
    </w:p>
    <w:p>
      <w:pPr>
        <w:spacing w:before="137"/>
        <w:ind w:left="2156" w:right="0" w:firstLine="0"/>
        <w:jc w:val="left"/>
        <w:rPr>
          <w:sz w:val="16"/>
        </w:rPr>
      </w:pPr>
      <w:r>
        <w:rPr>
          <w:sz w:val="16"/>
        </w:rPr>
        <w:t>0.50</w:t>
      </w:r>
    </w:p>
    <w:p>
      <w:pPr>
        <w:spacing w:before="134"/>
        <w:ind w:left="2156" w:right="0" w:firstLine="0"/>
        <w:jc w:val="left"/>
        <w:rPr>
          <w:sz w:val="16"/>
        </w:rPr>
      </w:pPr>
      <w:r>
        <w:rPr/>
        <w:pict>
          <v:shape style="position:absolute;margin-left:151.125504pt;margin-top:11.097883pt;width:10.8pt;height:33.2pt;mso-position-horizontal-relative:page;mso-position-vertical-relative:paragraph;z-index:4648" type="#_x0000_t202" filled="false" stroked="false">
            <v:textbox inset="0,0,0,0" style="layout-flow:vertical;mso-layout-flow-alt:bottom-to-top">
              <w:txbxContent>
                <w:p>
                  <w:pPr>
                    <w:spacing w:before="2"/>
                    <w:ind w:left="20" w:right="-218" w:firstLine="0"/>
                    <w:jc w:val="left"/>
                    <w:rPr>
                      <w:sz w:val="17"/>
                    </w:rPr>
                  </w:pPr>
                  <w:r>
                    <w:rPr>
                      <w:w w:val="115"/>
                      <w:sz w:val="17"/>
                    </w:rPr>
                    <w:t>%</w:t>
                  </w:r>
                  <w:r>
                    <w:rPr>
                      <w:spacing w:val="7"/>
                      <w:sz w:val="17"/>
                    </w:rPr>
                    <w:t> </w:t>
                  </w:r>
                  <w:r>
                    <w:rPr>
                      <w:w w:val="115"/>
                      <w:sz w:val="17"/>
                    </w:rPr>
                    <w:t>ABS</w:t>
                  </w:r>
                </w:p>
              </w:txbxContent>
            </v:textbox>
            <w10:wrap type="none"/>
          </v:shape>
        </w:pict>
      </w:r>
      <w:r>
        <w:rPr>
          <w:sz w:val="16"/>
        </w:rPr>
        <w:t>0.45</w:t>
      </w:r>
    </w:p>
    <w:p>
      <w:pPr>
        <w:spacing w:before="134"/>
        <w:ind w:left="2156" w:right="0" w:firstLine="0"/>
        <w:jc w:val="left"/>
        <w:rPr>
          <w:sz w:val="16"/>
        </w:rPr>
      </w:pPr>
      <w:r>
        <w:rPr>
          <w:sz w:val="16"/>
        </w:rPr>
        <w:t>0.40</w:t>
      </w:r>
    </w:p>
    <w:p>
      <w:pPr>
        <w:spacing w:before="137"/>
        <w:ind w:left="2156" w:right="0" w:firstLine="0"/>
        <w:jc w:val="left"/>
        <w:rPr>
          <w:sz w:val="16"/>
        </w:rPr>
      </w:pPr>
      <w:r>
        <w:rPr>
          <w:sz w:val="16"/>
        </w:rPr>
        <w:t>0.35</w:t>
      </w:r>
    </w:p>
    <w:p>
      <w:pPr>
        <w:spacing w:before="134"/>
        <w:ind w:left="2156" w:right="0" w:firstLine="0"/>
        <w:jc w:val="left"/>
        <w:rPr>
          <w:sz w:val="16"/>
        </w:rPr>
      </w:pPr>
      <w:r>
        <w:rPr>
          <w:sz w:val="16"/>
        </w:rPr>
        <w:t>0.30</w:t>
      </w:r>
    </w:p>
    <w:p>
      <w:pPr>
        <w:spacing w:before="137"/>
        <w:ind w:left="2156" w:right="0" w:firstLine="0"/>
        <w:jc w:val="left"/>
        <w:rPr>
          <w:sz w:val="16"/>
        </w:rPr>
      </w:pPr>
      <w:r>
        <w:rPr>
          <w:sz w:val="16"/>
        </w:rPr>
        <w:t>0.25</w:t>
      </w:r>
    </w:p>
    <w:p>
      <w:pPr>
        <w:spacing w:before="134"/>
        <w:ind w:left="2156" w:right="0" w:firstLine="0"/>
        <w:jc w:val="left"/>
        <w:rPr>
          <w:sz w:val="16"/>
        </w:rPr>
      </w:pPr>
      <w:r>
        <w:rPr>
          <w:sz w:val="16"/>
        </w:rPr>
        <w:t>0.20</w:t>
      </w:r>
    </w:p>
    <w:p>
      <w:pPr>
        <w:spacing w:before="134"/>
        <w:ind w:left="2156" w:right="0" w:firstLine="0"/>
        <w:jc w:val="left"/>
        <w:rPr>
          <w:sz w:val="16"/>
        </w:rPr>
      </w:pPr>
      <w:r>
        <w:rPr>
          <w:sz w:val="16"/>
        </w:rPr>
        <w:t>0.15</w:t>
      </w:r>
    </w:p>
    <w:p>
      <w:pPr>
        <w:spacing w:before="137"/>
        <w:ind w:left="2156" w:right="0" w:firstLine="0"/>
        <w:jc w:val="left"/>
        <w:rPr>
          <w:sz w:val="16"/>
        </w:rPr>
      </w:pPr>
      <w:r>
        <w:rPr>
          <w:sz w:val="16"/>
        </w:rPr>
        <w:t>0.10</w:t>
      </w:r>
    </w:p>
    <w:p>
      <w:pPr>
        <w:pStyle w:val="BodyText"/>
        <w:spacing w:before="6"/>
        <w:rPr>
          <w:sz w:val="9"/>
        </w:rPr>
      </w:pPr>
    </w:p>
    <w:p>
      <w:pPr>
        <w:tabs>
          <w:tab w:pos="691" w:val="left" w:leader="none"/>
          <w:tab w:pos="1381" w:val="left" w:leader="none"/>
          <w:tab w:pos="2073" w:val="left" w:leader="none"/>
          <w:tab w:pos="2765" w:val="left" w:leader="none"/>
          <w:tab w:pos="3455" w:val="left" w:leader="none"/>
          <w:tab w:pos="4147" w:val="left" w:leader="none"/>
        </w:tabs>
        <w:spacing w:before="81"/>
        <w:ind w:left="0" w:right="553" w:firstLine="0"/>
        <w:jc w:val="center"/>
        <w:rPr>
          <w:sz w:val="16"/>
        </w:rPr>
      </w:pPr>
      <w:r>
        <w:rPr>
          <w:sz w:val="16"/>
        </w:rPr>
        <w:t>300</w:t>
        <w:tab/>
        <w:t>350</w:t>
        <w:tab/>
        <w:t>400</w:t>
        <w:tab/>
        <w:t>450</w:t>
        <w:tab/>
        <w:t>500</w:t>
        <w:tab/>
        <w:t>550</w:t>
        <w:tab/>
        <w:t>600</w:t>
      </w:r>
    </w:p>
    <w:p>
      <w:pPr>
        <w:spacing w:before="99"/>
        <w:ind w:left="0" w:right="554" w:firstLine="0"/>
        <w:jc w:val="center"/>
        <w:rPr>
          <w:sz w:val="19"/>
        </w:rPr>
      </w:pPr>
      <w:r>
        <w:rPr>
          <w:rFonts w:ascii="Symbol" w:hAnsi="Symbol"/>
          <w:w w:val="95"/>
          <w:sz w:val="18"/>
        </w:rPr>
        <w:t></w:t>
      </w:r>
      <w:r>
        <w:rPr>
          <w:rFonts w:ascii="Times New Roman" w:hAnsi="Times New Roman"/>
          <w:w w:val="95"/>
          <w:sz w:val="18"/>
        </w:rPr>
        <w:t> </w:t>
      </w:r>
      <w:r>
        <w:rPr>
          <w:w w:val="95"/>
          <w:sz w:val="19"/>
        </w:rPr>
        <w:t>nm</w:t>
      </w:r>
    </w:p>
    <w:p>
      <w:pPr>
        <w:pStyle w:val="BodyText"/>
        <w:rPr>
          <w:sz w:val="20"/>
        </w:rPr>
      </w:pPr>
    </w:p>
    <w:p>
      <w:pPr>
        <w:pStyle w:val="BodyText"/>
        <w:spacing w:before="7"/>
        <w:rPr>
          <w:sz w:val="18"/>
        </w:rPr>
      </w:pPr>
    </w:p>
    <w:p>
      <w:pPr>
        <w:spacing w:before="73"/>
        <w:ind w:left="2193" w:right="0" w:firstLine="0"/>
        <w:jc w:val="left"/>
        <w:rPr>
          <w:sz w:val="22"/>
        </w:rPr>
      </w:pPr>
      <w:r>
        <w:rPr>
          <w:b/>
          <w:sz w:val="22"/>
        </w:rPr>
        <w:t>Figura 6. </w:t>
      </w:r>
      <w:r>
        <w:rPr>
          <w:sz w:val="22"/>
        </w:rPr>
        <w:t>Borohidruro de sodio UV-Vis. Fuente directa</w:t>
      </w:r>
    </w:p>
    <w:p>
      <w:pPr>
        <w:pStyle w:val="BodyText"/>
        <w:rPr>
          <w:sz w:val="22"/>
        </w:rPr>
      </w:pPr>
    </w:p>
    <w:p>
      <w:pPr>
        <w:pStyle w:val="BodyText"/>
        <w:rPr>
          <w:sz w:val="22"/>
        </w:rPr>
      </w:pPr>
    </w:p>
    <w:p>
      <w:pPr>
        <w:pStyle w:val="BodyText"/>
        <w:spacing w:line="480" w:lineRule="auto" w:before="173"/>
        <w:ind w:left="160" w:right="974"/>
        <w:jc w:val="both"/>
      </w:pPr>
      <w:r>
        <w:rPr/>
        <w:t>En la segunda etapa, posterior al análisis de espectrofotometría de luz ultravioleta, las soluciones reducidas por los dos agentes ecoamigables fueron depositadas en 20 dientes temporales y observadas al MEB. A continuación se presentan los resultados.</w:t>
      </w:r>
    </w:p>
    <w:p>
      <w:pPr>
        <w:pStyle w:val="BodyText"/>
      </w:pPr>
    </w:p>
    <w:p>
      <w:pPr>
        <w:pStyle w:val="BodyText"/>
        <w:spacing w:before="7"/>
      </w:pPr>
    </w:p>
    <w:p>
      <w:pPr>
        <w:pStyle w:val="BodyText"/>
        <w:spacing w:line="480" w:lineRule="auto" w:before="1"/>
        <w:ind w:left="160" w:right="974"/>
        <w:jc w:val="both"/>
      </w:pPr>
      <w:r>
        <w:rPr/>
        <w:t>La figura 7 corresponde al mapeo químico realizado al órgano dentario impregnado con la solución de Np-Ag, el cual nos permite ver la distribución de los diferentes elementos presentes en los tejidos que componen al diente. En la figura 7a) observamos la micrografía de SEM correspondiente al órgano dentario impregnado con la solución de Np-Ag sintetizadas por </w:t>
      </w:r>
      <w:r>
        <w:rPr>
          <w:i/>
        </w:rPr>
        <w:t>Camellia sinensis</w:t>
      </w:r>
      <w:r>
        <w:rPr/>
        <w:t>. La figura 7b) nos muestra el mapeo químico correspondiente a la K alfa que indica la presencia    y distribución de plata. En la figura</w:t>
      </w:r>
    </w:p>
    <w:p>
      <w:pPr>
        <w:spacing w:after="0" w:line="480" w:lineRule="auto"/>
        <w:jc w:val="both"/>
        <w:sectPr>
          <w:footerReference w:type="default" r:id="rId167"/>
          <w:pgSz w:w="12240" w:h="15840"/>
          <w:pgMar w:footer="1024" w:header="736" w:top="1180" w:bottom="1220" w:left="1280" w:right="460"/>
          <w:pgNumType w:start="101"/>
        </w:sectPr>
      </w:pPr>
    </w:p>
    <w:p>
      <w:pPr>
        <w:pStyle w:val="BodyText"/>
        <w:spacing w:before="11"/>
        <w:rPr>
          <w:sz w:val="16"/>
        </w:rPr>
      </w:pPr>
    </w:p>
    <w:p>
      <w:pPr>
        <w:pStyle w:val="BodyText"/>
        <w:spacing w:line="480" w:lineRule="auto" w:before="69"/>
        <w:ind w:left="160" w:right="174"/>
        <w:jc w:val="both"/>
      </w:pPr>
      <w:r>
        <w:rPr/>
        <w:pict>
          <v:group style="position:absolute;margin-left:398.660004pt;margin-top:112.305878pt;width:129.75pt;height:106.8pt;mso-position-horizontal-relative:page;mso-position-vertical-relative:paragraph;z-index:-189832" coordorigin="7973,2246" coordsize="2595,2136">
            <v:shape style="position:absolute;left:8013;top:2286;width:2515;height:2055" type="#_x0000_t75" stroked="false">
              <v:imagedata r:id="rId170" o:title=""/>
            </v:shape>
            <v:rect style="position:absolute;left:7993;top:2266;width:2555;height:2095" filled="false" stroked="true" strokeweight="2pt" strokecolor="#4f81bc"/>
            <v:rect style="position:absolute;left:8034;top:2328;width:657;height:448" filled="false" stroked="true" strokeweight="2pt" strokecolor="#4f81bc"/>
            <v:shape style="position:absolute;left:8054;top:2421;width:617;height:264" type="#_x0000_t75" stroked="false">
              <v:imagedata r:id="rId171" o:title=""/>
            </v:shape>
            <v:shape style="position:absolute;left:7993;top:2266;width:698;height:510" type="#_x0000_t202" filled="false" stroked="false">
              <v:textbox inset="0,0,0,0">
                <w:txbxContent>
                  <w:p>
                    <w:pPr>
                      <w:spacing w:before="154"/>
                      <w:ind w:left="206" w:right="0" w:firstLine="0"/>
                      <w:jc w:val="left"/>
                      <w:rPr>
                        <w:rFonts w:ascii="Calibri"/>
                        <w:sz w:val="22"/>
                      </w:rPr>
                    </w:pPr>
                    <w:r>
                      <w:rPr>
                        <w:rFonts w:ascii="Calibri"/>
                        <w:color w:val="FFFFFF"/>
                        <w:sz w:val="22"/>
                      </w:rPr>
                      <w:t>c)</w:t>
                    </w:r>
                  </w:p>
                </w:txbxContent>
              </v:textbox>
              <w10:wrap type="none"/>
            </v:shape>
            <w10:wrap type="none"/>
          </v:group>
        </w:pict>
      </w:r>
      <w:r>
        <w:rPr/>
        <w:pict>
          <v:group style="position:absolute;margin-left:80.400002pt;margin-top:112.315872pt;width:130.25pt;height:112pt;mso-position-horizontal-relative:page;mso-position-vertical-relative:paragraph;z-index:-189784" coordorigin="1608,2246" coordsize="2605,2240">
            <v:shape style="position:absolute;left:1648;top:2286;width:2525;height:2160" type="#_x0000_t75" stroked="false">
              <v:imagedata r:id="rId172" o:title=""/>
            </v:shape>
            <v:rect style="position:absolute;left:1628;top:2266;width:2565;height:2200" filled="false" stroked="true" strokeweight="2pt" strokecolor="#4f81bc"/>
            <v:rect style="position:absolute;left:1648;top:2286;width:657;height:448" filled="false" stroked="true" strokeweight="2.0pt" strokecolor="#4f81bc"/>
            <v:shape style="position:absolute;left:1668;top:2377;width:617;height:264" type="#_x0000_t75" stroked="false">
              <v:imagedata r:id="rId171" o:title=""/>
            </v:shape>
            <v:shape style="position:absolute;left:1628;top:2266;width:677;height:468" type="#_x0000_t202" filled="false" stroked="false">
              <v:textbox inset="0,0,0,0">
                <w:txbxContent>
                  <w:p>
                    <w:pPr>
                      <w:spacing w:before="110"/>
                      <w:ind w:left="184" w:right="0" w:firstLine="0"/>
                      <w:jc w:val="left"/>
                      <w:rPr>
                        <w:rFonts w:ascii="Calibri"/>
                        <w:sz w:val="22"/>
                      </w:rPr>
                    </w:pPr>
                    <w:r>
                      <w:rPr>
                        <w:rFonts w:ascii="Calibri"/>
                        <w:color w:val="FFFFFF"/>
                        <w:sz w:val="22"/>
                      </w:rPr>
                      <w:t>a)</w:t>
                    </w:r>
                  </w:p>
                </w:txbxContent>
              </v:textbox>
              <w10:wrap type="none"/>
            </v:shape>
            <w10:wrap type="none"/>
          </v:group>
        </w:pict>
      </w:r>
      <w:r>
        <w:rPr/>
        <w:t>7c) se muestra la presencia y distribución de carbono. La figura 7d) permite la observación de la presencia y distribución de oxígeno. Mientras que en la figura 7e) se muestra la presencia y distribución de fósforo. Finalmente la figura 7f) nos permite observar la presencia y distribución de calcio.</w:t>
      </w:r>
    </w:p>
    <w:p>
      <w:pPr>
        <w:pStyle w:val="BodyText"/>
        <w:ind w:left="3552"/>
        <w:rPr>
          <w:sz w:val="20"/>
        </w:rPr>
      </w:pPr>
      <w:r>
        <w:rPr>
          <w:sz w:val="20"/>
        </w:rPr>
        <w:pict>
          <v:group style="width:130.3pt;height:106.8pt;mso-position-horizontal-relative:char;mso-position-vertical-relative:line" coordorigin="0,0" coordsize="2606,2136">
            <v:shape style="position:absolute;left:40;top:40;width:2525;height:2055" type="#_x0000_t75" stroked="false">
              <v:imagedata r:id="rId173" o:title=""/>
            </v:shape>
            <v:rect style="position:absolute;left:20;top:20;width:2565;height:2095" filled="false" stroked="true" strokeweight="2pt" strokecolor="#4f81bc"/>
            <v:rect style="position:absolute;left:61;top:40;width:657;height:448" filled="false" stroked="true" strokeweight="2pt" strokecolor="#4f81bc"/>
            <v:shape style="position:absolute;left:80;top:130;width:617;height:264" type="#_x0000_t75" stroked="false">
              <v:imagedata r:id="rId171" o:title=""/>
            </v:shape>
            <v:shape style="position:absolute;left:20;top:20;width:698;height:468" type="#_x0000_t202" filled="false" stroked="false">
              <v:textbox inset="0,0,0,0">
                <w:txbxContent>
                  <w:p>
                    <w:pPr>
                      <w:spacing w:before="110"/>
                      <w:ind w:left="205" w:right="0" w:firstLine="0"/>
                      <w:jc w:val="left"/>
                      <w:rPr>
                        <w:rFonts w:ascii="Calibri"/>
                        <w:sz w:val="22"/>
                      </w:rPr>
                    </w:pPr>
                    <w:r>
                      <w:rPr>
                        <w:rFonts w:ascii="Calibri"/>
                        <w:color w:val="FFFFFF"/>
                        <w:sz w:val="22"/>
                      </w:rPr>
                      <w:t>b)</w:t>
                    </w:r>
                  </w:p>
                </w:txbxContent>
              </v:textbox>
              <w10:wrap type="none"/>
            </v:shape>
          </v:group>
        </w:pict>
      </w:r>
      <w:r>
        <w:rPr>
          <w:sz w:val="20"/>
        </w:rPr>
      </w:r>
    </w:p>
    <w:p>
      <w:pPr>
        <w:pStyle w:val="BodyText"/>
        <w:rPr>
          <w:sz w:val="20"/>
        </w:rPr>
      </w:pPr>
    </w:p>
    <w:p>
      <w:pPr>
        <w:pStyle w:val="BodyText"/>
        <w:spacing w:before="10"/>
        <w:rPr>
          <w:sz w:val="19"/>
        </w:rPr>
      </w:pPr>
      <w:r>
        <w:rPr/>
        <w:pict>
          <v:group style="position:absolute;margin-left:84.573997pt;margin-top:13.411765pt;width:129.7pt;height:112pt;mso-position-horizontal-relative:page;mso-position-vertical-relative:paragraph;z-index:4744;mso-wrap-distance-left:0;mso-wrap-distance-right:0" coordorigin="1691,268" coordsize="2594,2240">
            <v:shape style="position:absolute;left:1731;top:308;width:2514;height:2160" type="#_x0000_t75" stroked="false">
              <v:imagedata r:id="rId174" o:title=""/>
            </v:shape>
            <v:rect style="position:absolute;left:1711;top:288;width:2554;height:2200" filled="false" stroked="true" strokeweight="2pt" strokecolor="#4f81bc"/>
            <v:rect style="position:absolute;left:1731;top:318;width:657;height:448" filled="false" stroked="true" strokeweight="2pt" strokecolor="#4f81bc"/>
            <v:shape style="position:absolute;left:1752;top:411;width:617;height:264" type="#_x0000_t75" stroked="false">
              <v:imagedata r:id="rId171" o:title=""/>
            </v:shape>
            <v:shape style="position:absolute;left:1711;top:288;width:677;height:479" type="#_x0000_t202" filled="false" stroked="false">
              <v:textbox inset="0,0,0,0">
                <w:txbxContent>
                  <w:p>
                    <w:pPr>
                      <w:spacing w:before="122"/>
                      <w:ind w:left="185" w:right="0" w:firstLine="0"/>
                      <w:jc w:val="left"/>
                      <w:rPr>
                        <w:rFonts w:ascii="Calibri"/>
                        <w:sz w:val="22"/>
                      </w:rPr>
                    </w:pPr>
                    <w:r>
                      <w:rPr>
                        <w:rFonts w:ascii="Calibri"/>
                        <w:color w:val="FFFFFF"/>
                        <w:sz w:val="22"/>
                      </w:rPr>
                      <w:t>d)</w:t>
                    </w:r>
                  </w:p>
                </w:txbxContent>
              </v:textbox>
              <w10:wrap type="none"/>
            </v:shape>
            <w10:wrap type="topAndBottom"/>
          </v:group>
        </w:pict>
      </w:r>
      <w:r>
        <w:rPr/>
        <w:pict>
          <v:group style="position:absolute;margin-left:242.139999pt;margin-top:13.411765pt;width:129.7pt;height:111.45pt;mso-position-horizontal-relative:page;mso-position-vertical-relative:paragraph;z-index:4792;mso-wrap-distance-left:0;mso-wrap-distance-right:0" coordorigin="4843,268" coordsize="2594,2229">
            <v:shape style="position:absolute;left:4883;top:308;width:2514;height:2149" type="#_x0000_t75" stroked="false">
              <v:imagedata r:id="rId175" o:title=""/>
            </v:shape>
            <v:rect style="position:absolute;left:4863;top:288;width:2554;height:2189" filled="false" stroked="true" strokeweight="2pt" strokecolor="#4f81bc"/>
            <v:rect style="position:absolute;left:4883;top:319;width:657;height:448" filled="false" stroked="true" strokeweight="2pt" strokecolor="#4f81bc"/>
            <v:shape style="position:absolute;left:4903;top:411;width:617;height:264" type="#_x0000_t75" stroked="false">
              <v:imagedata r:id="rId171" o:title=""/>
            </v:shape>
            <v:shape style="position:absolute;left:4863;top:288;width:677;height:479" type="#_x0000_t202" filled="false" stroked="false">
              <v:textbox inset="0,0,0,0">
                <w:txbxContent>
                  <w:p>
                    <w:pPr>
                      <w:spacing w:before="122"/>
                      <w:ind w:left="185" w:right="0" w:firstLine="0"/>
                      <w:jc w:val="left"/>
                      <w:rPr>
                        <w:rFonts w:ascii="Calibri"/>
                        <w:sz w:val="22"/>
                      </w:rPr>
                    </w:pPr>
                    <w:r>
                      <w:rPr>
                        <w:rFonts w:ascii="Calibri"/>
                        <w:color w:val="FFFFFF"/>
                        <w:sz w:val="22"/>
                      </w:rPr>
                      <w:t>e)</w:t>
                    </w:r>
                  </w:p>
                </w:txbxContent>
              </v:textbox>
              <w10:wrap type="none"/>
            </v:shape>
            <w10:wrap type="topAndBottom"/>
          </v:group>
        </w:pict>
      </w:r>
      <w:r>
        <w:rPr/>
        <w:pict>
          <v:group style="position:absolute;margin-left:399.700012pt;margin-top:13.411765pt;width:130.25pt;height:112pt;mso-position-horizontal-relative:page;mso-position-vertical-relative:paragraph;z-index:4840;mso-wrap-distance-left:0;mso-wrap-distance-right:0" coordorigin="7994,268" coordsize="2605,2240">
            <v:shape style="position:absolute;left:8034;top:308;width:2525;height:2160" type="#_x0000_t75" stroked="false">
              <v:imagedata r:id="rId176" o:title=""/>
            </v:shape>
            <v:rect style="position:absolute;left:8014;top:288;width:2565;height:2200" filled="false" stroked="true" strokeweight="2pt" strokecolor="#4f81bc"/>
            <v:rect style="position:absolute;left:8044;top:308;width:657;height:449" filled="false" stroked="true" strokeweight="2pt" strokecolor="#4f81bc"/>
            <v:shape style="position:absolute;left:8064;top:399;width:619;height:266" type="#_x0000_t75" stroked="false">
              <v:imagedata r:id="rId177" o:title=""/>
            </v:shape>
            <v:shape style="position:absolute;left:8014;top:288;width:688;height:469" type="#_x0000_t202" filled="false" stroked="false">
              <v:textbox inset="0,0,0,0">
                <w:txbxContent>
                  <w:p>
                    <w:pPr>
                      <w:spacing w:before="110"/>
                      <w:ind w:left="195" w:right="0" w:firstLine="0"/>
                      <w:jc w:val="left"/>
                      <w:rPr>
                        <w:rFonts w:ascii="Calibri"/>
                        <w:sz w:val="22"/>
                      </w:rPr>
                    </w:pPr>
                    <w:r>
                      <w:rPr>
                        <w:rFonts w:ascii="Calibri"/>
                        <w:color w:val="FFFFFF"/>
                        <w:sz w:val="22"/>
                      </w:rPr>
                      <w:t>f)</w:t>
                    </w:r>
                  </w:p>
                </w:txbxContent>
              </v:textbox>
              <w10:wrap type="none"/>
            </v:shape>
            <w10:wrap type="topAndBottom"/>
          </v:group>
        </w:pict>
      </w:r>
    </w:p>
    <w:p>
      <w:pPr>
        <w:pStyle w:val="BodyText"/>
        <w:spacing w:line="480" w:lineRule="auto" w:before="50"/>
        <w:ind w:left="750" w:right="221" w:hanging="536"/>
      </w:pPr>
      <w:r>
        <w:rPr>
          <w:b/>
        </w:rPr>
        <w:t>Figura 7</w:t>
      </w:r>
      <w:r>
        <w:rPr/>
        <w:t>. Imagen correspondiente a a) Micrografía de SEM y de b) – f) mapeo químico que nos permite observar la distribución de los elementos en nuestro analito.</w:t>
      </w:r>
    </w:p>
    <w:p>
      <w:pPr>
        <w:pStyle w:val="BodyText"/>
      </w:pPr>
    </w:p>
    <w:p>
      <w:pPr>
        <w:pStyle w:val="BodyText"/>
        <w:spacing w:before="7"/>
      </w:pPr>
    </w:p>
    <w:p>
      <w:pPr>
        <w:pStyle w:val="BodyText"/>
        <w:spacing w:line="480" w:lineRule="auto" w:before="1"/>
        <w:ind w:left="160" w:right="181"/>
        <w:jc w:val="both"/>
      </w:pPr>
      <w:r>
        <w:rPr/>
        <w:t>En la figura 8 se muestra el espectro correspondiente al análisis químico elemental mediante EDS, en la que podemos observar la presencia de plata correspondiente al 6.47% en peso.</w:t>
      </w:r>
    </w:p>
    <w:p>
      <w:pPr>
        <w:pStyle w:val="BodyText"/>
        <w:spacing w:line="480" w:lineRule="auto" w:before="8"/>
        <w:ind w:left="160" w:right="176"/>
        <w:jc w:val="both"/>
      </w:pPr>
      <w:r>
        <w:rPr/>
        <w:t>Mediante el análisis elemental de los dientes observados fue posible determinar que los elementos presentes en los órganos dentarios son principalmente Carbono, Oxígeno, Potasio y Calcio, en algunos dientes se encontró Flúor. Se observó la presencia de plata en los 20 dientes, lo que nos habla de la absorción adecuada de Np-Ag a los</w:t>
      </w:r>
    </w:p>
    <w:p>
      <w:pPr>
        <w:spacing w:after="0" w:line="480" w:lineRule="auto"/>
        <w:jc w:val="both"/>
        <w:sectPr>
          <w:pgSz w:w="12240" w:h="15840"/>
          <w:pgMar w:header="736" w:footer="1024" w:top="1180" w:bottom="1220" w:left="1280" w:right="1260"/>
        </w:sectPr>
      </w:pPr>
    </w:p>
    <w:p>
      <w:pPr>
        <w:pStyle w:val="BodyText"/>
        <w:spacing w:before="11"/>
        <w:rPr>
          <w:sz w:val="16"/>
        </w:rPr>
      </w:pPr>
    </w:p>
    <w:p>
      <w:pPr>
        <w:pStyle w:val="BodyText"/>
        <w:spacing w:line="480" w:lineRule="auto" w:before="69"/>
        <w:ind w:left="320" w:right="488"/>
        <w:jc w:val="both"/>
      </w:pPr>
      <w:r>
        <w:rPr/>
        <w:t>tejidos del órgano dentario, teniendo una media de absorción del 6.25 por ciento en peso en el total de los dientes.</w:t>
      </w:r>
    </w:p>
    <w:p>
      <w:pPr>
        <w:pStyle w:val="BodyText"/>
      </w:pPr>
    </w:p>
    <w:p>
      <w:pPr>
        <w:pStyle w:val="BodyText"/>
        <w:spacing w:before="5"/>
      </w:pPr>
    </w:p>
    <w:p>
      <w:pPr>
        <w:pStyle w:val="BodyText"/>
        <w:spacing w:line="480" w:lineRule="auto"/>
        <w:ind w:left="320" w:right="474"/>
        <w:jc w:val="both"/>
      </w:pPr>
      <w:r>
        <w:rPr/>
        <w:t>Ambas soluciones, Np-Ag, reducidas por </w:t>
      </w:r>
      <w:r>
        <w:rPr>
          <w:i/>
        </w:rPr>
        <w:t>Heterotheca inuloides </w:t>
      </w:r>
      <w:r>
        <w:rPr/>
        <w:t>y Np-Ag reducidas con </w:t>
      </w:r>
      <w:r>
        <w:rPr>
          <w:i/>
        </w:rPr>
        <w:t>Camellia sinensis</w:t>
      </w:r>
      <w:r>
        <w:rPr/>
        <w:t>, fueron compatibles con los órganos dentarios temporales. Encontrándose que, en dientes molares cavitados con dentina expuesta y lesión de caries, la absorción de plata fue mayor que en los incisivos centrales y laterales sin cavidad, correspondiendo a. 5.79 por ciento en peso y 4.77 por ciento en peso respectivamente.</w:t>
      </w:r>
    </w:p>
    <w:p>
      <w:pPr>
        <w:pStyle w:val="BodyText"/>
        <w:spacing w:before="5"/>
        <w:rPr>
          <w:sz w:val="16"/>
        </w:rPr>
      </w:pPr>
      <w:r>
        <w:rPr/>
        <w:pict>
          <v:group style="position:absolute;margin-left:61pt;margin-top:11.450789pt;width:147.5pt;height:106.8pt;mso-position-horizontal-relative:page;mso-position-vertical-relative:paragraph;z-index:4960;mso-wrap-distance-left:0;mso-wrap-distance-right:0" coordorigin="1220,229" coordsize="2950,2136">
            <v:shape style="position:absolute;left:1260;top:269;width:2869;height:2056" type="#_x0000_t75" stroked="false">
              <v:imagedata r:id="rId178" o:title=""/>
            </v:shape>
            <v:rect style="position:absolute;left:1240;top:249;width:2909;height:2096" filled="false" stroked="true" strokeweight="2pt" strokecolor="#4f81bc"/>
            <w10:wrap type="topAndBottom"/>
          </v:group>
        </w:pict>
      </w:r>
      <w:r>
        <w:rPr/>
        <w:pict>
          <v:group style="position:absolute;margin-left:214.380005pt;margin-top:11.44079pt;width:147.5pt;height:112pt;mso-position-horizontal-relative:page;mso-position-vertical-relative:paragraph;z-index:4984;mso-wrap-distance-left:0;mso-wrap-distance-right:0" coordorigin="4288,229" coordsize="2950,2240">
            <v:shape style="position:absolute;left:4328;top:269;width:2869;height:2160" type="#_x0000_t75" stroked="false">
              <v:imagedata r:id="rId179" o:title=""/>
            </v:shape>
            <v:rect style="position:absolute;left:4308;top:249;width:2909;height:2200" filled="false" stroked="true" strokeweight="2.0pt" strokecolor="#4f81bc"/>
            <v:shape style="position:absolute;left:5460;top:1159;width:600;height:730" coordorigin="5460,1159" coordsize="600,730" path="m5460,1524l5468,1440,5491,1363,5526,1296,5572,1239,5628,1196,5691,1168,5760,1159,5829,1168,5892,1196,5948,1239,5994,1296,6029,1363,6052,1440,6060,1524,6052,1608,6029,1684,5994,1752,5948,1809,5892,1852,5829,1879,5760,1889,5691,1879,5628,1852,5572,1809,5526,1752,5491,1684,5468,1608,5460,1524xe" filled="false" stroked="true" strokeweight="2pt" strokecolor="#ff0000">
              <v:path arrowok="t"/>
            </v:shape>
            <w10:wrap type="topAndBottom"/>
          </v:group>
        </w:pict>
      </w:r>
      <w:r>
        <w:rPr/>
        <w:pict>
          <v:shape style="position:absolute;margin-left:368.589996pt;margin-top:14.17078pt;width:189.65pt;height:107.5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6FC0"/>
                      <w:left w:val="single" w:sz="4" w:space="0" w:color="006FC0"/>
                      <w:bottom w:val="single" w:sz="4" w:space="0" w:color="006FC0"/>
                      <w:right w:val="single" w:sz="4" w:space="0" w:color="006FC0"/>
                      <w:insideH w:val="single" w:sz="4" w:space="0" w:color="006FC0"/>
                      <w:insideV w:val="single" w:sz="4" w:space="0" w:color="006FC0"/>
                    </w:tblBorders>
                    <w:tblLayout w:type="fixed"/>
                    <w:tblCellMar>
                      <w:top w:w="0" w:type="dxa"/>
                      <w:left w:w="0" w:type="dxa"/>
                      <w:bottom w:w="0" w:type="dxa"/>
                      <w:right w:w="0" w:type="dxa"/>
                    </w:tblCellMar>
                    <w:tblLook w:val="01E0"/>
                  </w:tblPr>
                  <w:tblGrid>
                    <w:gridCol w:w="1656"/>
                    <w:gridCol w:w="1061"/>
                    <w:gridCol w:w="1061"/>
                  </w:tblGrid>
                  <w:tr>
                    <w:trPr>
                      <w:trHeight w:val="701" w:hRule="exact"/>
                    </w:trPr>
                    <w:tc>
                      <w:tcPr>
                        <w:tcW w:w="1656" w:type="dxa"/>
                      </w:tcPr>
                      <w:p>
                        <w:pPr>
                          <w:pStyle w:val="TableParagraph"/>
                          <w:ind w:left="103" w:right="166"/>
                          <w:rPr>
                            <w:sz w:val="20"/>
                          </w:rPr>
                        </w:pPr>
                        <w:r>
                          <w:rPr>
                            <w:sz w:val="20"/>
                          </w:rPr>
                          <w:t>Segundo molar inferior izquierdo</w:t>
                        </w:r>
                      </w:p>
                    </w:tc>
                    <w:tc>
                      <w:tcPr>
                        <w:tcW w:w="1061" w:type="dxa"/>
                      </w:tcPr>
                      <w:p>
                        <w:pPr>
                          <w:pStyle w:val="TableParagraph"/>
                          <w:ind w:left="100"/>
                          <w:rPr>
                            <w:sz w:val="20"/>
                          </w:rPr>
                        </w:pPr>
                        <w:r>
                          <w:rPr>
                            <w:w w:val="95"/>
                            <w:sz w:val="20"/>
                          </w:rPr>
                          <w:t>Porciento </w:t>
                        </w:r>
                        <w:r>
                          <w:rPr>
                            <w:sz w:val="20"/>
                          </w:rPr>
                          <w:t>en Peso</w:t>
                        </w:r>
                      </w:p>
                    </w:tc>
                    <w:tc>
                      <w:tcPr>
                        <w:tcW w:w="1061" w:type="dxa"/>
                      </w:tcPr>
                      <w:p>
                        <w:pPr>
                          <w:pStyle w:val="TableParagraph"/>
                          <w:ind w:left="103"/>
                          <w:rPr>
                            <w:sz w:val="20"/>
                          </w:rPr>
                        </w:pPr>
                        <w:r>
                          <w:rPr>
                            <w:w w:val="95"/>
                            <w:sz w:val="20"/>
                          </w:rPr>
                          <w:t>Porciento </w:t>
                        </w:r>
                        <w:r>
                          <w:rPr>
                            <w:sz w:val="20"/>
                          </w:rPr>
                          <w:t>atómico</w:t>
                        </w:r>
                      </w:p>
                    </w:tc>
                  </w:tr>
                  <w:tr>
                    <w:trPr>
                      <w:trHeight w:val="240" w:hRule="exact"/>
                    </w:trPr>
                    <w:tc>
                      <w:tcPr>
                        <w:tcW w:w="1656" w:type="dxa"/>
                      </w:tcPr>
                      <w:p>
                        <w:pPr>
                          <w:pStyle w:val="TableParagraph"/>
                          <w:spacing w:line="227" w:lineRule="exact"/>
                          <w:ind w:left="103"/>
                          <w:rPr>
                            <w:sz w:val="20"/>
                          </w:rPr>
                        </w:pPr>
                        <w:r>
                          <w:rPr>
                            <w:w w:val="99"/>
                            <w:sz w:val="20"/>
                          </w:rPr>
                          <w:t>C</w:t>
                        </w:r>
                      </w:p>
                    </w:tc>
                    <w:tc>
                      <w:tcPr>
                        <w:tcW w:w="1061" w:type="dxa"/>
                      </w:tcPr>
                      <w:p>
                        <w:pPr>
                          <w:pStyle w:val="TableParagraph"/>
                          <w:spacing w:line="227" w:lineRule="exact"/>
                          <w:ind w:left="100"/>
                          <w:rPr>
                            <w:sz w:val="20"/>
                          </w:rPr>
                        </w:pPr>
                        <w:r>
                          <w:rPr>
                            <w:sz w:val="20"/>
                          </w:rPr>
                          <w:t>43.70</w:t>
                        </w:r>
                      </w:p>
                    </w:tc>
                    <w:tc>
                      <w:tcPr>
                        <w:tcW w:w="1061" w:type="dxa"/>
                      </w:tcPr>
                      <w:p>
                        <w:pPr>
                          <w:pStyle w:val="TableParagraph"/>
                          <w:spacing w:line="227" w:lineRule="exact"/>
                          <w:ind w:left="103"/>
                          <w:rPr>
                            <w:sz w:val="20"/>
                          </w:rPr>
                        </w:pPr>
                        <w:r>
                          <w:rPr>
                            <w:sz w:val="20"/>
                          </w:rPr>
                          <w:t>59.11</w:t>
                        </w:r>
                      </w:p>
                    </w:tc>
                  </w:tr>
                  <w:tr>
                    <w:trPr>
                      <w:trHeight w:val="240" w:hRule="exact"/>
                    </w:trPr>
                    <w:tc>
                      <w:tcPr>
                        <w:tcW w:w="1656" w:type="dxa"/>
                      </w:tcPr>
                      <w:p>
                        <w:pPr>
                          <w:pStyle w:val="TableParagraph"/>
                          <w:spacing w:line="227" w:lineRule="exact"/>
                          <w:ind w:left="103"/>
                          <w:rPr>
                            <w:sz w:val="20"/>
                          </w:rPr>
                        </w:pPr>
                        <w:r>
                          <w:rPr>
                            <w:w w:val="99"/>
                            <w:sz w:val="20"/>
                          </w:rPr>
                          <w:t>O</w:t>
                        </w:r>
                      </w:p>
                    </w:tc>
                    <w:tc>
                      <w:tcPr>
                        <w:tcW w:w="1061" w:type="dxa"/>
                      </w:tcPr>
                      <w:p>
                        <w:pPr>
                          <w:pStyle w:val="TableParagraph"/>
                          <w:spacing w:line="227" w:lineRule="exact"/>
                          <w:ind w:left="100"/>
                          <w:rPr>
                            <w:sz w:val="20"/>
                          </w:rPr>
                        </w:pPr>
                        <w:r>
                          <w:rPr>
                            <w:sz w:val="20"/>
                          </w:rPr>
                          <w:t>30.99</w:t>
                        </w:r>
                      </w:p>
                    </w:tc>
                    <w:tc>
                      <w:tcPr>
                        <w:tcW w:w="1061" w:type="dxa"/>
                      </w:tcPr>
                      <w:p>
                        <w:pPr>
                          <w:pStyle w:val="TableParagraph"/>
                          <w:spacing w:line="227" w:lineRule="exact"/>
                          <w:ind w:left="103"/>
                          <w:rPr>
                            <w:sz w:val="20"/>
                          </w:rPr>
                        </w:pPr>
                        <w:r>
                          <w:rPr>
                            <w:sz w:val="20"/>
                          </w:rPr>
                          <w:t>31.47</w:t>
                        </w:r>
                      </w:p>
                    </w:tc>
                  </w:tr>
                  <w:tr>
                    <w:trPr>
                      <w:trHeight w:val="240" w:hRule="exact"/>
                    </w:trPr>
                    <w:tc>
                      <w:tcPr>
                        <w:tcW w:w="1656" w:type="dxa"/>
                      </w:tcPr>
                      <w:p>
                        <w:pPr>
                          <w:pStyle w:val="TableParagraph"/>
                          <w:spacing w:line="227" w:lineRule="exact"/>
                          <w:ind w:left="103"/>
                          <w:rPr>
                            <w:sz w:val="20"/>
                          </w:rPr>
                        </w:pPr>
                        <w:r>
                          <w:rPr>
                            <w:w w:val="99"/>
                            <w:sz w:val="20"/>
                          </w:rPr>
                          <w:t>P</w:t>
                        </w:r>
                      </w:p>
                    </w:tc>
                    <w:tc>
                      <w:tcPr>
                        <w:tcW w:w="1061" w:type="dxa"/>
                      </w:tcPr>
                      <w:p>
                        <w:pPr>
                          <w:pStyle w:val="TableParagraph"/>
                          <w:spacing w:line="227" w:lineRule="exact"/>
                          <w:ind w:left="100"/>
                          <w:rPr>
                            <w:sz w:val="20"/>
                          </w:rPr>
                        </w:pPr>
                        <w:r>
                          <w:rPr>
                            <w:sz w:val="20"/>
                          </w:rPr>
                          <w:t>6.76</w:t>
                        </w:r>
                      </w:p>
                    </w:tc>
                    <w:tc>
                      <w:tcPr>
                        <w:tcW w:w="1061" w:type="dxa"/>
                      </w:tcPr>
                      <w:p>
                        <w:pPr>
                          <w:pStyle w:val="TableParagraph"/>
                          <w:spacing w:line="227" w:lineRule="exact"/>
                          <w:ind w:left="103"/>
                          <w:rPr>
                            <w:sz w:val="20"/>
                          </w:rPr>
                        </w:pPr>
                        <w:r>
                          <w:rPr>
                            <w:sz w:val="20"/>
                          </w:rPr>
                          <w:t>3.54</w:t>
                        </w:r>
                      </w:p>
                    </w:tc>
                  </w:tr>
                  <w:tr>
                    <w:trPr>
                      <w:trHeight w:val="240" w:hRule="exact"/>
                    </w:trPr>
                    <w:tc>
                      <w:tcPr>
                        <w:tcW w:w="1656" w:type="dxa"/>
                      </w:tcPr>
                      <w:p>
                        <w:pPr>
                          <w:pStyle w:val="TableParagraph"/>
                          <w:spacing w:line="227" w:lineRule="exact"/>
                          <w:ind w:left="103" w:right="166"/>
                          <w:rPr>
                            <w:sz w:val="20"/>
                          </w:rPr>
                        </w:pPr>
                        <w:r>
                          <w:rPr>
                            <w:sz w:val="20"/>
                          </w:rPr>
                          <w:t>Ca</w:t>
                        </w:r>
                      </w:p>
                    </w:tc>
                    <w:tc>
                      <w:tcPr>
                        <w:tcW w:w="1061" w:type="dxa"/>
                      </w:tcPr>
                      <w:p>
                        <w:pPr>
                          <w:pStyle w:val="TableParagraph"/>
                          <w:spacing w:line="227" w:lineRule="exact"/>
                          <w:ind w:left="100"/>
                          <w:rPr>
                            <w:sz w:val="20"/>
                          </w:rPr>
                        </w:pPr>
                        <w:r>
                          <w:rPr>
                            <w:sz w:val="20"/>
                          </w:rPr>
                          <w:t>12.09</w:t>
                        </w:r>
                      </w:p>
                    </w:tc>
                    <w:tc>
                      <w:tcPr>
                        <w:tcW w:w="1061" w:type="dxa"/>
                      </w:tcPr>
                      <w:p>
                        <w:pPr>
                          <w:pStyle w:val="TableParagraph"/>
                          <w:spacing w:line="227" w:lineRule="exact"/>
                          <w:ind w:left="103"/>
                          <w:rPr>
                            <w:sz w:val="20"/>
                          </w:rPr>
                        </w:pPr>
                        <w:r>
                          <w:rPr>
                            <w:sz w:val="20"/>
                          </w:rPr>
                          <w:t>4.90</w:t>
                        </w:r>
                      </w:p>
                    </w:tc>
                  </w:tr>
                  <w:tr>
                    <w:trPr>
                      <w:trHeight w:val="240" w:hRule="exact"/>
                    </w:trPr>
                    <w:tc>
                      <w:tcPr>
                        <w:tcW w:w="1656" w:type="dxa"/>
                      </w:tcPr>
                      <w:p>
                        <w:pPr>
                          <w:pStyle w:val="TableParagraph"/>
                          <w:spacing w:line="227" w:lineRule="exact"/>
                          <w:ind w:left="103" w:right="166"/>
                          <w:rPr>
                            <w:sz w:val="20"/>
                          </w:rPr>
                        </w:pPr>
                        <w:r>
                          <w:rPr>
                            <w:color w:val="FF0000"/>
                            <w:sz w:val="20"/>
                          </w:rPr>
                          <w:t>Ag</w:t>
                        </w:r>
                      </w:p>
                    </w:tc>
                    <w:tc>
                      <w:tcPr>
                        <w:tcW w:w="1061" w:type="dxa"/>
                      </w:tcPr>
                      <w:p>
                        <w:pPr>
                          <w:pStyle w:val="TableParagraph"/>
                          <w:spacing w:line="227" w:lineRule="exact"/>
                          <w:ind w:left="100"/>
                          <w:rPr>
                            <w:sz w:val="20"/>
                          </w:rPr>
                        </w:pPr>
                        <w:r>
                          <w:rPr>
                            <w:color w:val="FF0000"/>
                            <w:sz w:val="20"/>
                          </w:rPr>
                          <w:t>6.47</w:t>
                        </w:r>
                      </w:p>
                    </w:tc>
                    <w:tc>
                      <w:tcPr>
                        <w:tcW w:w="1061" w:type="dxa"/>
                      </w:tcPr>
                      <w:p>
                        <w:pPr>
                          <w:pStyle w:val="TableParagraph"/>
                          <w:spacing w:line="227" w:lineRule="exact"/>
                          <w:ind w:left="103"/>
                          <w:rPr>
                            <w:sz w:val="20"/>
                          </w:rPr>
                        </w:pPr>
                        <w:r>
                          <w:rPr>
                            <w:color w:val="FF0000"/>
                            <w:sz w:val="20"/>
                          </w:rPr>
                          <w:t>0.97</w:t>
                        </w:r>
                      </w:p>
                    </w:tc>
                  </w:tr>
                  <w:tr>
                    <w:trPr>
                      <w:trHeight w:val="240" w:hRule="exact"/>
                    </w:trPr>
                    <w:tc>
                      <w:tcPr>
                        <w:tcW w:w="1656" w:type="dxa"/>
                      </w:tcPr>
                      <w:p>
                        <w:pPr>
                          <w:pStyle w:val="TableParagraph"/>
                          <w:spacing w:line="228" w:lineRule="exact"/>
                          <w:ind w:left="103" w:right="166"/>
                          <w:rPr>
                            <w:sz w:val="20"/>
                          </w:rPr>
                        </w:pPr>
                        <w:r>
                          <w:rPr>
                            <w:sz w:val="20"/>
                          </w:rPr>
                          <w:t>TOTAL</w:t>
                        </w:r>
                      </w:p>
                    </w:tc>
                    <w:tc>
                      <w:tcPr>
                        <w:tcW w:w="1061" w:type="dxa"/>
                      </w:tcPr>
                      <w:p>
                        <w:pPr>
                          <w:pStyle w:val="TableParagraph"/>
                          <w:spacing w:line="228" w:lineRule="exact"/>
                          <w:ind w:left="100"/>
                          <w:rPr>
                            <w:sz w:val="20"/>
                          </w:rPr>
                        </w:pPr>
                        <w:r>
                          <w:rPr>
                            <w:sz w:val="20"/>
                          </w:rPr>
                          <w:t>100</w:t>
                        </w:r>
                      </w:p>
                    </w:tc>
                    <w:tc>
                      <w:tcPr>
                        <w:tcW w:w="1061" w:type="dxa"/>
                      </w:tcPr>
                      <w:p>
                        <w:pPr>
                          <w:pStyle w:val="TableParagraph"/>
                          <w:spacing w:line="228" w:lineRule="exact"/>
                          <w:ind w:left="103"/>
                          <w:rPr>
                            <w:sz w:val="20"/>
                          </w:rPr>
                        </w:pPr>
                        <w:r>
                          <w:rPr>
                            <w:sz w:val="20"/>
                          </w:rPr>
                          <w:t>100</w:t>
                        </w:r>
                      </w:p>
                    </w:tc>
                  </w:tr>
                </w:tbl>
                <w:p>
                  <w:pPr>
                    <w:pStyle w:val="BodyText"/>
                  </w:pPr>
                </w:p>
              </w:txbxContent>
            </v:textbox>
            <w10:wrap type="topAndBottom"/>
          </v:shape>
        </w:pict>
      </w:r>
    </w:p>
    <w:p>
      <w:pPr>
        <w:pStyle w:val="BodyText"/>
        <w:spacing w:before="6"/>
        <w:rPr>
          <w:sz w:val="23"/>
        </w:rPr>
      </w:pPr>
    </w:p>
    <w:p>
      <w:pPr>
        <w:pStyle w:val="BodyText"/>
        <w:spacing w:line="480" w:lineRule="auto"/>
        <w:ind w:left="345" w:right="502"/>
        <w:jc w:val="center"/>
      </w:pPr>
      <w:r>
        <w:rPr>
          <w:b/>
        </w:rPr>
        <w:t>Figura 8</w:t>
      </w:r>
      <w:r>
        <w:rPr/>
        <w:t>. Se muestra la absorción de plata (Ag) en los tejidos dentarios y el análisis</w:t>
      </w:r>
      <w:r>
        <w:rPr>
          <w:spacing w:val="-22"/>
        </w:rPr>
        <w:t> </w:t>
      </w:r>
      <w:r>
        <w:rPr/>
        <w:t>del total de los elementos presentes en el órgano dentario, así como el porciento en el peso total y el porciento atómico de la totalidad de los elementos</w:t>
      </w:r>
      <w:r>
        <w:rPr>
          <w:spacing w:val="-20"/>
        </w:rPr>
        <w:t> </w:t>
      </w:r>
      <w:r>
        <w:rPr/>
        <w:t>químicos.</w:t>
      </w:r>
    </w:p>
    <w:p>
      <w:pPr>
        <w:pStyle w:val="BodyText"/>
      </w:pPr>
    </w:p>
    <w:p>
      <w:pPr>
        <w:pStyle w:val="BodyText"/>
        <w:spacing w:before="7"/>
      </w:pPr>
    </w:p>
    <w:p>
      <w:pPr>
        <w:pStyle w:val="BodyText"/>
        <w:spacing w:line="480" w:lineRule="auto" w:before="1"/>
        <w:ind w:left="320" w:right="476"/>
        <w:jc w:val="both"/>
      </w:pPr>
      <w:r>
        <w:rPr/>
        <w:t>Finalizado lo anterior, en la fase dos, las soluciones de Np-Ag con los tres agentes reductores, fueron observadas mediante MET. Se presentan a continuación los resultados.</w:t>
      </w:r>
    </w:p>
    <w:p>
      <w:pPr>
        <w:spacing w:after="0" w:line="480" w:lineRule="auto"/>
        <w:jc w:val="both"/>
        <w:sectPr>
          <w:pgSz w:w="12240" w:h="15840"/>
          <w:pgMar w:header="736" w:footer="1024" w:top="1180" w:bottom="1220" w:left="1120" w:right="960"/>
        </w:sectPr>
      </w:pPr>
    </w:p>
    <w:p>
      <w:pPr>
        <w:pStyle w:val="BodyText"/>
        <w:spacing w:before="11"/>
        <w:rPr>
          <w:sz w:val="16"/>
        </w:rPr>
      </w:pPr>
    </w:p>
    <w:p>
      <w:pPr>
        <w:pStyle w:val="BodyText"/>
        <w:spacing w:line="477" w:lineRule="auto" w:before="69"/>
        <w:ind w:left="160" w:right="174"/>
        <w:jc w:val="both"/>
      </w:pPr>
      <w:r>
        <w:rPr/>
        <w:pict>
          <v:shape style="position:absolute;margin-left:478.179993pt;margin-top:113.090942pt;width:2.25pt;height:8.0500pt;mso-position-horizontal-relative:page;mso-position-vertical-relative:paragraph;z-index:-189712" type="#_x0000_t202" filled="false" stroked="false">
            <v:textbox inset="0,0,0,0">
              <w:txbxContent>
                <w:p>
                  <w:pPr>
                    <w:spacing w:line="161" w:lineRule="exact" w:before="0"/>
                    <w:ind w:left="0" w:right="0" w:firstLine="0"/>
                    <w:jc w:val="left"/>
                    <w:rPr>
                      <w:sz w:val="16"/>
                    </w:rPr>
                  </w:pPr>
                  <w:r>
                    <w:rPr>
                      <w:w w:val="100"/>
                      <w:sz w:val="16"/>
                    </w:rPr>
                    <w:t>,</w:t>
                  </w:r>
                </w:p>
              </w:txbxContent>
            </v:textbox>
            <w10:wrap type="none"/>
          </v:shape>
        </w:pict>
      </w:r>
      <w:r>
        <w:rPr/>
        <w:t>En las figuras 9, 10 y 11 observamos que las nanopartículas de plata reducidas con </w:t>
      </w:r>
      <w:r>
        <w:rPr>
          <w:i/>
        </w:rPr>
        <w:t>Heterotheca inuloides </w:t>
      </w:r>
      <w:r>
        <w:rPr/>
        <w:t>poseen un tamaño aproximado a los 17.5nm, y muestran una polidispersión estrecha. Las nanopartículas de plata reducidas con </w:t>
      </w:r>
      <w:r>
        <w:rPr>
          <w:i/>
        </w:rPr>
        <w:t>Camellia sinensis </w:t>
      </w:r>
      <w:r>
        <w:rPr/>
        <w:t>presentan un tamaño aproximado de 48.2nm y presentan una polidispersión mayor. Finalmente observamos que las nanopartículas sintetizadas con NaBH</w:t>
      </w:r>
      <w:r>
        <w:rPr>
          <w:position w:val="-2"/>
          <w:sz w:val="16"/>
        </w:rPr>
        <w:t>4 </w:t>
      </w:r>
      <w:r>
        <w:rPr/>
        <w:t>mostraron partículas esféricas con un tamaño aproximado de 8.2nm y con una menor polidispersión.</w:t>
      </w:r>
    </w:p>
    <w:p>
      <w:pPr>
        <w:spacing w:after="0" w:line="477" w:lineRule="auto"/>
        <w:jc w:val="both"/>
        <w:sectPr>
          <w:pgSz w:w="12240" w:h="15840"/>
          <w:pgMar w:header="736" w:footer="1024" w:top="1180" w:bottom="1220" w:left="1280" w:right="1260"/>
        </w:sectPr>
      </w:pPr>
    </w:p>
    <w:p>
      <w:pPr>
        <w:pStyle w:val="BodyText"/>
        <w:spacing w:before="2"/>
        <w:rPr>
          <w:sz w:val="17"/>
        </w:rPr>
      </w:pPr>
    </w:p>
    <w:p>
      <w:pPr>
        <w:pStyle w:val="BodyText"/>
        <w:spacing w:before="69"/>
        <w:ind w:left="160"/>
        <w:jc w:val="both"/>
      </w:pPr>
      <w:r>
        <w:rPr/>
        <w:t>Caracterización de Np-Ag mediante MET</w:t>
      </w:r>
    </w:p>
    <w:p>
      <w:pPr>
        <w:pStyle w:val="BodyText"/>
        <w:spacing w:before="3"/>
        <w:rPr>
          <w:sz w:val="19"/>
        </w:rPr>
      </w:pPr>
      <w:r>
        <w:rPr/>
        <w:drawing>
          <wp:anchor distT="0" distB="0" distL="0" distR="0" allowOverlap="1" layoutInCell="1" locked="0" behindDoc="0" simplePos="0" relativeHeight="5032">
            <wp:simplePos x="0" y="0"/>
            <wp:positionH relativeFrom="page">
              <wp:posOffset>1376044</wp:posOffset>
            </wp:positionH>
            <wp:positionV relativeFrom="paragraph">
              <wp:posOffset>165951</wp:posOffset>
            </wp:positionV>
            <wp:extent cx="1881590" cy="1525904"/>
            <wp:effectExtent l="0" t="0" r="0" b="0"/>
            <wp:wrapTopAndBottom/>
            <wp:docPr id="11" name="image135.jpeg" descr=""/>
            <wp:cNvGraphicFramePr>
              <a:graphicFrameLocks noChangeAspect="1"/>
            </wp:cNvGraphicFramePr>
            <a:graphic>
              <a:graphicData uri="http://schemas.openxmlformats.org/drawingml/2006/picture">
                <pic:pic>
                  <pic:nvPicPr>
                    <pic:cNvPr id="12" name="image135.jpeg"/>
                    <pic:cNvPicPr/>
                  </pic:nvPicPr>
                  <pic:blipFill>
                    <a:blip r:embed="rId180" cstate="print"/>
                    <a:stretch>
                      <a:fillRect/>
                    </a:stretch>
                  </pic:blipFill>
                  <pic:spPr>
                    <a:xfrm>
                      <a:off x="0" y="0"/>
                      <a:ext cx="1881590" cy="1525904"/>
                    </a:xfrm>
                    <a:prstGeom prst="rect">
                      <a:avLst/>
                    </a:prstGeom>
                  </pic:spPr>
                </pic:pic>
              </a:graphicData>
            </a:graphic>
          </wp:anchor>
        </w:drawing>
      </w:r>
      <w:r>
        <w:rPr/>
        <w:drawing>
          <wp:anchor distT="0" distB="0" distL="0" distR="0" allowOverlap="1" layoutInCell="1" locked="0" behindDoc="0" simplePos="0" relativeHeight="5056">
            <wp:simplePos x="0" y="0"/>
            <wp:positionH relativeFrom="page">
              <wp:posOffset>4431157</wp:posOffset>
            </wp:positionH>
            <wp:positionV relativeFrom="paragraph">
              <wp:posOffset>166713</wp:posOffset>
            </wp:positionV>
            <wp:extent cx="1943908" cy="1524476"/>
            <wp:effectExtent l="0" t="0" r="0" b="0"/>
            <wp:wrapTopAndBottom/>
            <wp:docPr id="13" name="image136.jpeg" descr=""/>
            <wp:cNvGraphicFramePr>
              <a:graphicFrameLocks noChangeAspect="1"/>
            </wp:cNvGraphicFramePr>
            <a:graphic>
              <a:graphicData uri="http://schemas.openxmlformats.org/drawingml/2006/picture">
                <pic:pic>
                  <pic:nvPicPr>
                    <pic:cNvPr id="14" name="image136.jpeg"/>
                    <pic:cNvPicPr/>
                  </pic:nvPicPr>
                  <pic:blipFill>
                    <a:blip r:embed="rId181" cstate="print"/>
                    <a:stretch>
                      <a:fillRect/>
                    </a:stretch>
                  </pic:blipFill>
                  <pic:spPr>
                    <a:xfrm>
                      <a:off x="0" y="0"/>
                      <a:ext cx="1943908" cy="1524476"/>
                    </a:xfrm>
                    <a:prstGeom prst="rect">
                      <a:avLst/>
                    </a:prstGeom>
                  </pic:spPr>
                </pic:pic>
              </a:graphicData>
            </a:graphic>
          </wp:anchor>
        </w:drawing>
      </w:r>
    </w:p>
    <w:p>
      <w:pPr>
        <w:spacing w:before="132"/>
        <w:ind w:left="1245" w:right="270" w:hanging="161"/>
        <w:jc w:val="left"/>
        <w:rPr>
          <w:i/>
          <w:sz w:val="24"/>
        </w:rPr>
      </w:pPr>
      <w:r>
        <w:rPr>
          <w:b/>
          <w:sz w:val="24"/>
        </w:rPr>
        <w:t>Figura 9. </w:t>
      </w:r>
      <w:r>
        <w:rPr>
          <w:sz w:val="24"/>
        </w:rPr>
        <w:t>Nanopartículas de plata reducidas por </w:t>
      </w:r>
      <w:r>
        <w:rPr>
          <w:i/>
          <w:sz w:val="24"/>
        </w:rPr>
        <w:t>Heterotheca inuloides</w:t>
      </w:r>
    </w:p>
    <w:p>
      <w:pPr>
        <w:pStyle w:val="BodyText"/>
        <w:rPr>
          <w:i/>
          <w:sz w:val="20"/>
        </w:rPr>
      </w:pPr>
    </w:p>
    <w:p>
      <w:pPr>
        <w:pStyle w:val="BodyText"/>
        <w:spacing w:before="1"/>
        <w:rPr>
          <w:i/>
          <w:sz w:val="10"/>
        </w:rPr>
      </w:pPr>
      <w:r>
        <w:rPr/>
        <w:drawing>
          <wp:anchor distT="0" distB="0" distL="0" distR="0" allowOverlap="1" layoutInCell="1" locked="0" behindDoc="0" simplePos="0" relativeHeight="5080">
            <wp:simplePos x="0" y="0"/>
            <wp:positionH relativeFrom="page">
              <wp:posOffset>1429638</wp:posOffset>
            </wp:positionH>
            <wp:positionV relativeFrom="paragraph">
              <wp:posOffset>98653</wp:posOffset>
            </wp:positionV>
            <wp:extent cx="1901470" cy="1522476"/>
            <wp:effectExtent l="0" t="0" r="0" b="0"/>
            <wp:wrapTopAndBottom/>
            <wp:docPr id="15" name="image137.jpeg" descr=""/>
            <wp:cNvGraphicFramePr>
              <a:graphicFrameLocks noChangeAspect="1"/>
            </wp:cNvGraphicFramePr>
            <a:graphic>
              <a:graphicData uri="http://schemas.openxmlformats.org/drawingml/2006/picture">
                <pic:pic>
                  <pic:nvPicPr>
                    <pic:cNvPr id="16" name="image137.jpeg"/>
                    <pic:cNvPicPr/>
                  </pic:nvPicPr>
                  <pic:blipFill>
                    <a:blip r:embed="rId182" cstate="print"/>
                    <a:stretch>
                      <a:fillRect/>
                    </a:stretch>
                  </pic:blipFill>
                  <pic:spPr>
                    <a:xfrm>
                      <a:off x="0" y="0"/>
                      <a:ext cx="1901470" cy="1522476"/>
                    </a:xfrm>
                    <a:prstGeom prst="rect">
                      <a:avLst/>
                    </a:prstGeom>
                  </pic:spPr>
                </pic:pic>
              </a:graphicData>
            </a:graphic>
          </wp:anchor>
        </w:drawing>
      </w:r>
      <w:r>
        <w:rPr/>
        <w:drawing>
          <wp:anchor distT="0" distB="0" distL="0" distR="0" allowOverlap="1" layoutInCell="1" locked="0" behindDoc="0" simplePos="0" relativeHeight="5104">
            <wp:simplePos x="0" y="0"/>
            <wp:positionH relativeFrom="page">
              <wp:posOffset>4431157</wp:posOffset>
            </wp:positionH>
            <wp:positionV relativeFrom="paragraph">
              <wp:posOffset>105257</wp:posOffset>
            </wp:positionV>
            <wp:extent cx="1892905" cy="1515618"/>
            <wp:effectExtent l="0" t="0" r="0" b="0"/>
            <wp:wrapTopAndBottom/>
            <wp:docPr id="17" name="image138.jpeg" descr=""/>
            <wp:cNvGraphicFramePr>
              <a:graphicFrameLocks noChangeAspect="1"/>
            </wp:cNvGraphicFramePr>
            <a:graphic>
              <a:graphicData uri="http://schemas.openxmlformats.org/drawingml/2006/picture">
                <pic:pic>
                  <pic:nvPicPr>
                    <pic:cNvPr id="18" name="image138.jpeg"/>
                    <pic:cNvPicPr/>
                  </pic:nvPicPr>
                  <pic:blipFill>
                    <a:blip r:embed="rId183" cstate="print"/>
                    <a:stretch>
                      <a:fillRect/>
                    </a:stretch>
                  </pic:blipFill>
                  <pic:spPr>
                    <a:xfrm>
                      <a:off x="0" y="0"/>
                      <a:ext cx="1892905" cy="1515618"/>
                    </a:xfrm>
                    <a:prstGeom prst="rect">
                      <a:avLst/>
                    </a:prstGeom>
                  </pic:spPr>
                </pic:pic>
              </a:graphicData>
            </a:graphic>
          </wp:anchor>
        </w:drawing>
      </w:r>
    </w:p>
    <w:p>
      <w:pPr>
        <w:spacing w:before="18"/>
        <w:ind w:left="1245" w:right="270" w:firstLine="0"/>
        <w:jc w:val="left"/>
        <w:rPr>
          <w:i/>
          <w:sz w:val="24"/>
        </w:rPr>
      </w:pPr>
      <w:r>
        <w:rPr>
          <w:b/>
          <w:sz w:val="24"/>
        </w:rPr>
        <w:t>Figura 10. </w:t>
      </w:r>
      <w:r>
        <w:rPr>
          <w:sz w:val="24"/>
        </w:rPr>
        <w:t>Nanopartículas de plata reducidas por </w:t>
      </w:r>
      <w:r>
        <w:rPr>
          <w:i/>
          <w:sz w:val="24"/>
        </w:rPr>
        <w:t>Camellia sinensis</w:t>
      </w:r>
    </w:p>
    <w:p>
      <w:pPr>
        <w:pStyle w:val="BodyText"/>
        <w:spacing w:before="4"/>
        <w:rPr>
          <w:i/>
          <w:sz w:val="20"/>
        </w:rPr>
      </w:pPr>
      <w:r>
        <w:rPr/>
        <w:drawing>
          <wp:anchor distT="0" distB="0" distL="0" distR="0" allowOverlap="1" layoutInCell="1" locked="0" behindDoc="0" simplePos="0" relativeHeight="5128">
            <wp:simplePos x="0" y="0"/>
            <wp:positionH relativeFrom="page">
              <wp:posOffset>1423035</wp:posOffset>
            </wp:positionH>
            <wp:positionV relativeFrom="paragraph">
              <wp:posOffset>173825</wp:posOffset>
            </wp:positionV>
            <wp:extent cx="1885060" cy="1522476"/>
            <wp:effectExtent l="0" t="0" r="0" b="0"/>
            <wp:wrapTopAndBottom/>
            <wp:docPr id="19" name="image139.jpeg" descr=""/>
            <wp:cNvGraphicFramePr>
              <a:graphicFrameLocks noChangeAspect="1"/>
            </wp:cNvGraphicFramePr>
            <a:graphic>
              <a:graphicData uri="http://schemas.openxmlformats.org/drawingml/2006/picture">
                <pic:pic>
                  <pic:nvPicPr>
                    <pic:cNvPr id="20" name="image139.jpeg"/>
                    <pic:cNvPicPr/>
                  </pic:nvPicPr>
                  <pic:blipFill>
                    <a:blip r:embed="rId184" cstate="print"/>
                    <a:stretch>
                      <a:fillRect/>
                    </a:stretch>
                  </pic:blipFill>
                  <pic:spPr>
                    <a:xfrm>
                      <a:off x="0" y="0"/>
                      <a:ext cx="1885060" cy="1522476"/>
                    </a:xfrm>
                    <a:prstGeom prst="rect">
                      <a:avLst/>
                    </a:prstGeom>
                  </pic:spPr>
                </pic:pic>
              </a:graphicData>
            </a:graphic>
          </wp:anchor>
        </w:drawing>
      </w:r>
      <w:r>
        <w:rPr/>
        <w:drawing>
          <wp:anchor distT="0" distB="0" distL="0" distR="0" allowOverlap="1" layoutInCell="1" locked="0" behindDoc="0" simplePos="0" relativeHeight="5152">
            <wp:simplePos x="0" y="0"/>
            <wp:positionH relativeFrom="page">
              <wp:posOffset>4431157</wp:posOffset>
            </wp:positionH>
            <wp:positionV relativeFrom="paragraph">
              <wp:posOffset>173825</wp:posOffset>
            </wp:positionV>
            <wp:extent cx="1899175" cy="1539239"/>
            <wp:effectExtent l="0" t="0" r="0" b="0"/>
            <wp:wrapTopAndBottom/>
            <wp:docPr id="21" name="image140.jpeg" descr=""/>
            <wp:cNvGraphicFramePr>
              <a:graphicFrameLocks noChangeAspect="1"/>
            </wp:cNvGraphicFramePr>
            <a:graphic>
              <a:graphicData uri="http://schemas.openxmlformats.org/drawingml/2006/picture">
                <pic:pic>
                  <pic:nvPicPr>
                    <pic:cNvPr id="22" name="image140.jpeg"/>
                    <pic:cNvPicPr/>
                  </pic:nvPicPr>
                  <pic:blipFill>
                    <a:blip r:embed="rId185" cstate="print"/>
                    <a:stretch>
                      <a:fillRect/>
                    </a:stretch>
                  </pic:blipFill>
                  <pic:spPr>
                    <a:xfrm>
                      <a:off x="0" y="0"/>
                      <a:ext cx="1899175" cy="1539239"/>
                    </a:xfrm>
                    <a:prstGeom prst="rect">
                      <a:avLst/>
                    </a:prstGeom>
                  </pic:spPr>
                </pic:pic>
              </a:graphicData>
            </a:graphic>
          </wp:anchor>
        </w:drawing>
      </w:r>
    </w:p>
    <w:p>
      <w:pPr>
        <w:spacing w:before="103"/>
        <w:ind w:left="880" w:right="270" w:firstLine="0"/>
        <w:jc w:val="left"/>
        <w:rPr>
          <w:sz w:val="16"/>
        </w:rPr>
      </w:pPr>
      <w:r>
        <w:rPr>
          <w:b/>
          <w:sz w:val="24"/>
        </w:rPr>
        <w:t>Figura 11. </w:t>
      </w:r>
      <w:r>
        <w:rPr>
          <w:sz w:val="24"/>
        </w:rPr>
        <w:t>Nanopartículas de plata reducidas por NaBH</w:t>
      </w:r>
      <w:r>
        <w:rPr>
          <w:position w:val="-2"/>
          <w:sz w:val="16"/>
        </w:rPr>
        <w:t>4</w:t>
      </w:r>
    </w:p>
    <w:p>
      <w:pPr>
        <w:pStyle w:val="BodyText"/>
        <w:rPr>
          <w:sz w:val="26"/>
        </w:rPr>
      </w:pPr>
    </w:p>
    <w:p>
      <w:pPr>
        <w:pStyle w:val="BodyText"/>
        <w:rPr>
          <w:sz w:val="26"/>
        </w:rPr>
      </w:pPr>
    </w:p>
    <w:p>
      <w:pPr>
        <w:pStyle w:val="BodyText"/>
        <w:spacing w:before="4"/>
        <w:rPr>
          <w:sz w:val="21"/>
        </w:rPr>
      </w:pPr>
    </w:p>
    <w:p>
      <w:pPr>
        <w:pStyle w:val="BodyText"/>
        <w:spacing w:line="360" w:lineRule="auto" w:before="1"/>
        <w:ind w:left="160" w:right="174"/>
        <w:jc w:val="both"/>
      </w:pPr>
      <w:r>
        <w:rPr/>
        <w:t>En las figuras de la 12 a la 14 se muestra la polidispersión de las Np-Ag obtenidas por los dos agentes reductores ecoamigables y por el reductor químico. Las Np-Ag reducidas por </w:t>
      </w:r>
      <w:r>
        <w:rPr>
          <w:i/>
        </w:rPr>
        <w:t>Heterotheca inuloides </w:t>
      </w:r>
      <w:r>
        <w:rPr/>
        <w:t>permitieron obtener nanopartículas con una media de tamaño de 17.5nm, mientras que las Np-Ag reducidas con </w:t>
      </w:r>
      <w:r>
        <w:rPr>
          <w:i/>
        </w:rPr>
        <w:t>Camellia sinensis</w:t>
      </w:r>
      <w:r>
        <w:rPr/>
        <w:t>; mostraron Np-Ag con una media de tamaño de 48.2nm. Finalmente observamos que las Np-Ag reducidas por NaBH</w:t>
      </w:r>
      <w:r>
        <w:rPr>
          <w:position w:val="-2"/>
          <w:sz w:val="16"/>
        </w:rPr>
        <w:t>4 </w:t>
      </w:r>
      <w:r>
        <w:rPr/>
        <w:t>muestran Np-Ag con una media en tamaño de</w:t>
      </w:r>
      <w:r>
        <w:rPr>
          <w:spacing w:val="-22"/>
        </w:rPr>
        <w:t> </w:t>
      </w:r>
      <w:r>
        <w:rPr/>
        <w:t>8.2nm</w:t>
      </w:r>
    </w:p>
    <w:p>
      <w:pPr>
        <w:spacing w:after="0" w:line="360" w:lineRule="auto"/>
        <w:jc w:val="both"/>
        <w:sectPr>
          <w:pgSz w:w="12240" w:h="15840"/>
          <w:pgMar w:header="736" w:footer="1024" w:top="1180" w:bottom="1220" w:left="1280" w:right="1260"/>
        </w:sectPr>
      </w:pPr>
    </w:p>
    <w:p>
      <w:pPr>
        <w:pStyle w:val="BodyText"/>
        <w:rPr>
          <w:sz w:val="20"/>
        </w:rPr>
      </w:pPr>
    </w:p>
    <w:p>
      <w:pPr>
        <w:pStyle w:val="BodyText"/>
        <w:rPr>
          <w:sz w:val="20"/>
        </w:rPr>
      </w:pPr>
    </w:p>
    <w:p>
      <w:pPr>
        <w:pStyle w:val="BodyText"/>
        <w:rPr>
          <w:sz w:val="20"/>
        </w:rPr>
      </w:pPr>
    </w:p>
    <w:p>
      <w:pPr>
        <w:pStyle w:val="BodyText"/>
        <w:spacing w:before="6"/>
        <w:rPr>
          <w:sz w:val="20"/>
        </w:rPr>
      </w:pPr>
    </w:p>
    <w:p>
      <w:pPr>
        <w:spacing w:before="85"/>
        <w:ind w:left="2592" w:right="0" w:firstLine="0"/>
        <w:jc w:val="left"/>
        <w:rPr>
          <w:sz w:val="12"/>
        </w:rPr>
      </w:pPr>
      <w:r>
        <w:rPr/>
        <w:pict>
          <v:group style="position:absolute;margin-left:205.25769pt;margin-top:-18.107464pt;width:225.6pt;height:169.65pt;mso-position-horizontal-relative:page;mso-position-vertical-relative:paragraph;z-index:5200" coordorigin="4105,-362" coordsize="4512,3393">
            <v:shape style="position:absolute;left:4170;top:2823;width:612;height:142" type="#_x0000_t75" stroked="false">
              <v:imagedata r:id="rId186" o:title=""/>
            </v:shape>
            <v:shape style="position:absolute;left:6819;top:6428;width:4949;height:1135" coordorigin="6819,6428" coordsize="4949,1135" path="m4171,2824l4781,2824m4781,2824l4781,2964e" filled="false" stroked="true" strokeweight=".437691pt" strokecolor="#000000">
              <v:path arrowok="t"/>
            </v:shape>
            <v:shape style="position:absolute;left:11782;top:3053;width:4920;height:4495" coordorigin="11782,3053" coordsize="4920,4495" path="m4783,2407l4783,2407m4783,2493l4869,2407m4783,2578l4954,2407m4783,2664l5040,2407m4783,2750l5126,2407m4783,2836l5211,2407m4783,2922l5297,2407m4828,2963l5383,2407m4914,2963l5390,2485m5000,2963l5390,2571m5085,2963l5390,2657m5171,2963l5390,2743m5257,2963l5390,2829m5342,2963l5390,2915e" filled="false" stroked="true" strokeweight=".262617pt" strokecolor="#000000">
              <v:path arrowok="t"/>
            </v:shape>
            <v:shape style="position:absolute;left:11768;top:3039;width:4948;height:4524" coordorigin="11768,3039" coordsize="4948,4524" path="m4781,2405l5391,2405m5391,2405l5391,2964m4781,2964l4781,2405e" filled="false" stroked="true" strokeweight=".437691pt" strokecolor="#000000">
              <v:path arrowok="t"/>
            </v:shape>
            <v:shape style="position:absolute;left:16730;top:-3738;width:4920;height:11287" coordorigin="16730,-3738" coordsize="4920,11287" path="m5393,1566l5393,1566m5393,1652l5479,1566m5393,1738l5564,1566m5393,1824l5650,1566m5393,1910l5736,1566m5393,1996l5821,1566m5393,2082l5907,1566m5393,2168l5993,1566m5393,2254l6000,1645m5393,2340l6000,1731m5393,2426l6000,1817m5393,2512l6000,1903m5393,2598l6000,1989m5393,2684l6000,2075m5393,2770l6000,2161m5393,2856l6000,2247m5393,2942l6000,2333m5458,2963l6000,2419m5543,2963l6000,2505m5629,2963l6000,2591m5715,2963l6000,2677m5800,2963l6000,2763m5886,2963l6000,2849m5972,2963l6000,2935e" filled="false" stroked="true" strokeweight=".262617pt" strokecolor="#000000">
              <v:path arrowok="t"/>
            </v:shape>
            <v:shape style="position:absolute;left:16716;top:-3752;width:4948;height:11315" coordorigin="16716,-3752" coordsize="4948,11315" path="m5391,1564l6002,1564m6002,1564l6002,2964m5391,2964l5391,1564e" filled="false" stroked="true" strokeweight=".437691pt" strokecolor="#000000">
              <v:path arrowok="t"/>
            </v:shape>
            <v:shape style="position:absolute;left:21678;top:-15053;width:4920;height:22602" coordorigin="21678,-15053" coordsize="4920,22602" path="m6003,166l6003,166m6003,252l6089,166m6003,338l6175,166m6003,424l6260,166m6003,510l6346,166m6003,596l6432,166m6003,682l6517,166m6003,768l6603,166m6003,854l6610,245m6003,940l6610,331m6003,1026l6610,417m6003,1112l6610,503m6003,1198l6610,589m6003,1284l6610,675m6003,1370l6610,761m6003,1456l6610,847m6003,1542l6610,933m6003,1628l6610,1019m6003,1714l6610,1105m6003,1799l6610,1191m6003,1885l6610,1277m6003,1971l6610,1363m6003,2057l6610,1449m6003,2143l6610,1535m6003,2229l6610,1620m6003,2315l6610,1706m6003,2401l6610,1792m6003,2487l6610,1878m6003,2573l6610,1964m6003,2659l6610,2050m6003,2745l6610,2136m6003,2831l6610,2222m6003,2917l6610,2308m6043,2963l6610,2394m6129,2963l6610,2480m6215,2963l6610,2566m6300,2963l6610,2652m6386,2963l6610,2738m6472,2963l6610,2824m6557,2963l6610,2910e" filled="false" stroked="true" strokeweight=".262617pt" strokecolor="#000000">
              <v:path arrowok="t"/>
            </v:shape>
            <v:shape style="position:absolute;left:21664;top:-15068;width:4948;height:22630" coordorigin="21664,-15068" coordsize="4948,22630" path="m6002,164l6612,164m6612,164l6612,2964m6002,2964l6002,164e" filled="false" stroked="true" strokeweight=".437691pt" strokecolor="#000000">
              <v:path arrowok="t"/>
            </v:shape>
            <v:shape style="position:absolute;left:26626;top:784;width:4920;height:6764" coordorigin="26626,784" coordsize="4920,6764" path="m6613,2126l6613,2126m6613,2212l6699,2126m6613,2298l6785,2126m6613,2384l6870,2126m6613,2470l6956,2126m6613,2556l7042,2126m6613,2642l7127,2126m6613,2728l7213,2126m6613,2814l7220,2205m6613,2900l7220,2291m6636,2963l7220,2377m6722,2963l7220,2463m6807,2963l7220,2549m6893,2963l7220,2635m6979,2963l7220,2721m7064,2963l7220,2807m7150,2963l7220,2893e" filled="false" stroked="true" strokeweight=".262617pt" strokecolor="#000000">
              <v:path arrowok="t"/>
            </v:shape>
            <v:shape style="position:absolute;left:26611;top:770;width:4948;height:6792" coordorigin="26611,770" coordsize="4948,6792" path="m6612,2124l7222,2124m7222,2124l7222,2964m6612,2964l6612,2124e" filled="false" stroked="true" strokeweight=".437691pt" strokecolor="#000000">
              <v:path arrowok="t"/>
            </v:shape>
            <v:shape style="position:absolute;left:7221;top:2823;width:612;height:142" type="#_x0000_t75" stroked="false">
              <v:imagedata r:id="rId187" o:title=""/>
            </v:shape>
            <v:shape style="position:absolute;left:31559;top:6428;width:4948;height:1135" coordorigin="31559,6428" coordsize="4948,1135" path="m7222,2824l7832,2824m7832,2824l7832,2964m7222,2964l7222,2824e" filled="false" stroked="true" strokeweight=".437691pt" strokecolor="#000000">
              <v:path arrowok="t"/>
            </v:shape>
            <v:shape style="position:absolute;left:6337;top:-16882;width:32652;height:24927" coordorigin="6337,-16882" coordsize="32652,24927" path="m4171,2994l4171,2964m4477,3024l4477,2964m4781,2994l4781,2964m5087,3024l5087,2964m5391,2994l5391,2964m5697,3024l5697,2964m6002,2994l6002,2964m6307,3024l6307,2964m6612,2994l6612,2964m6918,3024l6918,2964m7222,2994l7222,2964m7528,3024l7528,2964m7832,2994l7832,2964m8138,3024l8138,2964m4171,2964l8138,2964m4112,2964l4171,2964m4141,2684l4171,2684m4112,2405l4171,2405m4141,2124l4171,2124m4112,1843l4171,1843m4141,1564l4171,1564m4112,1284l4171,1284m4141,1005l4171,1005m4112,724l4171,724m4141,443l4171,443m4112,164l4171,164m4171,2964l4171,-60e" filled="false" stroked="true" strokeweight=".612765pt" strokecolor="#000000">
              <v:path arrowok="t"/>
            </v:shape>
            <v:shape style="position:absolute;left:6404;top:-359;width:2210;height:381" type="#_x0000_t202" filled="false" stroked="true" strokeweight=".350731pt" strokecolor="#000000">
              <v:textbox inset="0,0,0,0">
                <w:txbxContent>
                  <w:p>
                    <w:pPr>
                      <w:spacing w:before="18"/>
                      <w:ind w:left="122" w:right="0" w:firstLine="0"/>
                      <w:jc w:val="left"/>
                      <w:rPr>
                        <w:sz w:val="14"/>
                      </w:rPr>
                    </w:pPr>
                    <w:r>
                      <w:rPr>
                        <w:w w:val="105"/>
                        <w:sz w:val="14"/>
                      </w:rPr>
                      <w:t>Diametro promedio =17.5 nm</w:t>
                    </w:r>
                  </w:p>
                  <w:p>
                    <w:pPr>
                      <w:spacing w:before="23"/>
                      <w:ind w:left="122" w:right="0" w:firstLine="0"/>
                      <w:jc w:val="left"/>
                      <w:rPr>
                        <w:sz w:val="14"/>
                      </w:rPr>
                    </w:pPr>
                    <w:r>
                      <w:rPr>
                        <w:rFonts w:ascii="Symbol" w:hAnsi="Symbol"/>
                        <w:w w:val="105"/>
                        <w:sz w:val="13"/>
                      </w:rPr>
                      <w:t></w:t>
                    </w:r>
                    <w:r>
                      <w:rPr>
                        <w:rFonts w:ascii="Times New Roman" w:hAnsi="Times New Roman"/>
                        <w:w w:val="105"/>
                        <w:sz w:val="13"/>
                      </w:rPr>
                      <w:t> </w:t>
                    </w:r>
                    <w:r>
                      <w:rPr>
                        <w:rFonts w:ascii="Symbol" w:hAnsi="Symbol"/>
                        <w:w w:val="105"/>
                        <w:sz w:val="13"/>
                      </w:rPr>
                      <w:t></w:t>
                    </w:r>
                    <w:r>
                      <w:rPr>
                        <w:rFonts w:ascii="Times New Roman" w:hAnsi="Times New Roman"/>
                        <w:w w:val="105"/>
                        <w:sz w:val="13"/>
                      </w:rPr>
                      <w:t> </w:t>
                    </w:r>
                    <w:r>
                      <w:rPr>
                        <w:w w:val="105"/>
                        <w:sz w:val="14"/>
                      </w:rPr>
                      <w:t>8.53</w:t>
                    </w:r>
                  </w:p>
                </w:txbxContent>
              </v:textbox>
              <w10:wrap type="none"/>
            </v:shape>
            <w10:wrap type="none"/>
          </v:group>
        </w:pict>
      </w:r>
      <w:r>
        <w:rPr>
          <w:sz w:val="12"/>
        </w:rPr>
        <w:t>100</w:t>
      </w:r>
    </w:p>
    <w:p>
      <w:pPr>
        <w:pStyle w:val="BodyText"/>
        <w:spacing w:before="2"/>
        <w:rPr>
          <w:sz w:val="29"/>
        </w:rPr>
      </w:pPr>
    </w:p>
    <w:p>
      <w:pPr>
        <w:spacing w:before="86"/>
        <w:ind w:left="2658" w:right="0" w:firstLine="0"/>
        <w:jc w:val="left"/>
        <w:rPr>
          <w:sz w:val="12"/>
        </w:rPr>
      </w:pPr>
      <w:r>
        <w:rPr>
          <w:sz w:val="12"/>
        </w:rPr>
        <w:t>80</w:t>
      </w:r>
    </w:p>
    <w:p>
      <w:pPr>
        <w:pStyle w:val="BodyText"/>
        <w:spacing w:before="2"/>
        <w:rPr>
          <w:sz w:val="29"/>
        </w:rPr>
      </w:pPr>
    </w:p>
    <w:p>
      <w:pPr>
        <w:spacing w:before="86"/>
        <w:ind w:left="2658" w:right="0" w:firstLine="0"/>
        <w:jc w:val="left"/>
        <w:rPr>
          <w:sz w:val="12"/>
        </w:rPr>
      </w:pPr>
      <w:r>
        <w:rPr/>
        <w:pict>
          <v:shape style="position:absolute;margin-left:181.411118pt;margin-top:2.343371pt;width:9.35pt;height:38.5pt;mso-position-horizontal-relative:page;mso-position-vertical-relative:paragraph;z-index:5272" type="#_x0000_t202" filled="false" stroked="false">
            <v:textbox inset="0,0,0,0" style="layout-flow:vertical;mso-layout-flow-alt:bottom-to-top">
              <w:txbxContent>
                <w:p>
                  <w:pPr>
                    <w:spacing w:before="7"/>
                    <w:ind w:left="20" w:right="-581" w:firstLine="0"/>
                    <w:jc w:val="left"/>
                    <w:rPr>
                      <w:sz w:val="14"/>
                    </w:rPr>
                  </w:pPr>
                  <w:r>
                    <w:rPr>
                      <w:spacing w:val="-1"/>
                      <w:w w:val="105"/>
                      <w:sz w:val="14"/>
                    </w:rPr>
                    <w:t>F</w:t>
                  </w:r>
                  <w:r>
                    <w:rPr>
                      <w:w w:val="105"/>
                      <w:sz w:val="14"/>
                    </w:rPr>
                    <w:t>recuencia</w:t>
                  </w:r>
                </w:p>
              </w:txbxContent>
            </v:textbox>
            <w10:wrap type="none"/>
          </v:shape>
        </w:pict>
      </w:r>
      <w:r>
        <w:rPr>
          <w:sz w:val="12"/>
        </w:rPr>
        <w:t>60</w:t>
      </w:r>
    </w:p>
    <w:p>
      <w:pPr>
        <w:pStyle w:val="BodyText"/>
        <w:spacing w:before="2"/>
        <w:rPr>
          <w:sz w:val="29"/>
        </w:rPr>
      </w:pPr>
    </w:p>
    <w:p>
      <w:pPr>
        <w:spacing w:before="86"/>
        <w:ind w:left="2658" w:right="0" w:firstLine="0"/>
        <w:jc w:val="left"/>
        <w:rPr>
          <w:sz w:val="12"/>
        </w:rPr>
      </w:pPr>
      <w:r>
        <w:rPr>
          <w:sz w:val="12"/>
        </w:rPr>
        <w:t>40</w:t>
      </w:r>
    </w:p>
    <w:p>
      <w:pPr>
        <w:pStyle w:val="BodyText"/>
        <w:spacing w:before="4"/>
        <w:rPr>
          <w:sz w:val="29"/>
        </w:rPr>
      </w:pPr>
    </w:p>
    <w:p>
      <w:pPr>
        <w:spacing w:before="86"/>
        <w:ind w:left="2658" w:right="0" w:firstLine="0"/>
        <w:jc w:val="left"/>
        <w:rPr>
          <w:sz w:val="12"/>
        </w:rPr>
      </w:pPr>
      <w:r>
        <w:rPr>
          <w:sz w:val="12"/>
        </w:rPr>
        <w:t>20</w:t>
      </w:r>
    </w:p>
    <w:p>
      <w:pPr>
        <w:pStyle w:val="BodyText"/>
        <w:spacing w:before="2"/>
        <w:rPr>
          <w:sz w:val="29"/>
        </w:rPr>
      </w:pPr>
    </w:p>
    <w:p>
      <w:pPr>
        <w:spacing w:before="86"/>
        <w:ind w:left="2724" w:right="0" w:firstLine="0"/>
        <w:jc w:val="left"/>
        <w:rPr>
          <w:sz w:val="12"/>
        </w:rPr>
      </w:pPr>
      <w:r>
        <w:rPr>
          <w:w w:val="100"/>
          <w:sz w:val="12"/>
        </w:rPr>
        <w:t>0</w:t>
      </w:r>
    </w:p>
    <w:p>
      <w:pPr>
        <w:tabs>
          <w:tab w:pos="3740" w:val="left" w:leader="none"/>
          <w:tab w:pos="4350" w:val="left" w:leader="none"/>
          <w:tab w:pos="4960" w:val="left" w:leader="none"/>
          <w:tab w:pos="5571" w:val="left" w:leader="none"/>
          <w:tab w:pos="6181" w:val="left" w:leader="none"/>
          <w:tab w:pos="6791" w:val="left" w:leader="none"/>
        </w:tabs>
        <w:spacing w:before="23"/>
        <w:ind w:left="3163" w:right="0" w:firstLine="0"/>
        <w:jc w:val="left"/>
        <w:rPr>
          <w:sz w:val="12"/>
        </w:rPr>
      </w:pPr>
      <w:r>
        <w:rPr>
          <w:sz w:val="12"/>
        </w:rPr>
        <w:t>5</w:t>
        <w:tab/>
        <w:t>10</w:t>
        <w:tab/>
        <w:t>15</w:t>
        <w:tab/>
        <w:t>20</w:t>
        <w:tab/>
        <w:t>25</w:t>
        <w:tab/>
        <w:t>30</w:t>
        <w:tab/>
        <w:t>35</w:t>
      </w:r>
    </w:p>
    <w:p>
      <w:pPr>
        <w:spacing w:before="76"/>
        <w:ind w:left="0" w:right="1212" w:firstLine="0"/>
        <w:jc w:val="center"/>
        <w:rPr>
          <w:sz w:val="14"/>
        </w:rPr>
      </w:pPr>
      <w:r>
        <w:rPr>
          <w:w w:val="105"/>
          <w:sz w:val="14"/>
        </w:rPr>
        <w:t>Tamaño (nm)</w:t>
      </w:r>
    </w:p>
    <w:p>
      <w:pPr>
        <w:pStyle w:val="BodyText"/>
        <w:rPr>
          <w:sz w:val="20"/>
        </w:rPr>
      </w:pPr>
    </w:p>
    <w:p>
      <w:pPr>
        <w:pStyle w:val="BodyText"/>
        <w:spacing w:before="6"/>
        <w:rPr>
          <w:sz w:val="29"/>
        </w:rPr>
      </w:pPr>
    </w:p>
    <w:p>
      <w:pPr>
        <w:pStyle w:val="BodyText"/>
        <w:spacing w:line="360" w:lineRule="auto" w:before="70"/>
        <w:ind w:left="160" w:right="1435"/>
        <w:jc w:val="both"/>
      </w:pPr>
      <w:r>
        <w:rPr>
          <w:b/>
        </w:rPr>
        <w:t>Figura 12. </w:t>
      </w:r>
      <w:r>
        <w:rPr/>
        <w:t>Histograma de la distribución del tamaño de Np-Ag reducidas por </w:t>
      </w:r>
      <w:r>
        <w:rPr>
          <w:i/>
        </w:rPr>
        <w:t>Heterotheca inuloides, c</w:t>
      </w:r>
      <w:r>
        <w:rPr/>
        <w:t>on el cual se obtuvieron nanopartículas que van desde 5nm a 30nm, tamaño promedio de 17.5nm, teniendo una desviación estándar de 8.53.</w:t>
      </w:r>
    </w:p>
    <w:p>
      <w:pPr>
        <w:pStyle w:val="BodyText"/>
        <w:rPr>
          <w:sz w:val="20"/>
        </w:rPr>
      </w:pPr>
    </w:p>
    <w:p>
      <w:pPr>
        <w:pStyle w:val="BodyText"/>
        <w:rPr>
          <w:sz w:val="20"/>
        </w:rPr>
      </w:pPr>
    </w:p>
    <w:p>
      <w:pPr>
        <w:pStyle w:val="BodyText"/>
        <w:spacing w:before="1"/>
        <w:rPr>
          <w:sz w:val="19"/>
        </w:rPr>
      </w:pPr>
    </w:p>
    <w:p>
      <w:pPr>
        <w:spacing w:before="93"/>
        <w:ind w:left="2722" w:right="0" w:firstLine="0"/>
        <w:jc w:val="left"/>
        <w:rPr>
          <w:sz w:val="11"/>
        </w:rPr>
      </w:pPr>
      <w:r>
        <w:rPr/>
        <w:pict>
          <v:group style="position:absolute;margin-left:211.598175pt;margin-top:-9.304145pt;width:212.55pt;height:160.8pt;mso-position-horizontal-relative:page;mso-position-vertical-relative:paragraph;z-index:5248" coordorigin="4232,-186" coordsize="4251,3216">
            <v:shape style="position:absolute;left:4296;top:2341;width:746;height:625" type="#_x0000_t75" stroked="false">
              <v:imagedata r:id="rId188" o:title=""/>
            </v:shape>
            <v:shape style="position:absolute;left:9889;top:-3586;width:3063;height:5176" coordorigin="9889,-3586" coordsize="3063,5176" path="m5040,2343l5040,2966m4669,2966l4669,2343e" filled="false" stroked="true" strokeweight=".085615pt" strokecolor="#000000">
              <v:path arrowok="t"/>
            </v:shape>
            <v:shape style="position:absolute;left:12959;top:306;width:3034;height:1262" coordorigin="12959,306" coordsize="3034,1262" path="m5041,2811l5041,2811m5041,2866l5096,2811m5041,2921l5151,2811m5053,2963l5206,2811m5108,2963l5261,2811m5163,2963l5316,2811m5218,2963l5371,2811m5273,2963l5409,2828m5328,2963l5409,2883m5383,2963l5409,2938e" filled="false" stroked="true" strokeweight=".256846pt" strokecolor="#000000">
              <v:path arrowok="t"/>
            </v:shape>
            <v:shape style="position:absolute;left:12952;top:299;width:3063;height:1291" coordorigin="12952,299" coordsize="3063,1291" path="m5040,2811l5412,2811m5412,2811l5412,2966m5040,2966l5040,2811e" filled="false" stroked="true" strokeweight=".085615pt" strokecolor="#000000">
              <v:path arrowok="t"/>
            </v:shape>
            <v:shape style="position:absolute;left:16021;top:-6159;width:3034;height:7728" coordorigin="16021,-6159" coordsize="3034,7728" path="m5413,2033l5413,2033m5413,2088l5468,2033m5413,2143l5523,2033m5413,2197l5578,2033m5413,2252l5633,2033m5413,2306l5688,2033m5413,2361l5743,2033m5413,2416l5781,2051m5413,2470l5781,2105m5413,2525l5781,2160m5413,2579l5781,2214m5413,2634l5781,2269m5413,2689l5781,2323m5413,2743l5781,2378m5413,2798l5781,2433m5413,2852l5781,2487m5413,2907l5781,2542m5413,2962l5781,2596m5466,2963l5781,2651m5521,2963l5781,2706m5576,2963l5781,2760m5631,2963l5781,2815m5686,2963l5781,2869m5741,2963l5781,2924e" filled="false" stroked="true" strokeweight=".256846pt" strokecolor="#000000">
              <v:path arrowok="t"/>
            </v:shape>
            <v:shape style="position:absolute;left:16014;top:-6167;width:3063;height:7757" coordorigin="16014,-6167" coordsize="3063,7757" path="m5412,2033l5783,2033m5783,2033l5783,2966m5412,2966l5412,2033e" filled="false" stroked="true" strokeweight=".085615pt" strokecolor="#000000">
              <v:path arrowok="t"/>
            </v:shape>
            <v:shape style="position:absolute;left:19084;top:-21033;width:3034;height:22602" coordorigin="19084,-21033" coordsize="3034,22602" path="m5784,244l5784,244m5784,298l5839,244m5784,353l5894,244m5784,408l5949,244m5784,462l6004,244m5784,517l6059,244m5784,571l6114,244m5784,626l6152,261m5784,681l6152,316m5784,735l6152,370m5784,790l6152,425m5784,844l6152,479m5784,899l6152,534m5784,954l6152,589m5784,1008l6152,643m5784,1063l6152,698m5784,1117l6152,752m5784,1172l6152,807m5784,1227l6152,861m5784,1281l6152,916m5784,1336l6152,971m5784,1390l6152,1025m5784,1445l6152,1080m5784,1500l6152,1134m5784,1554l6152,1189m5784,1609l6152,1244m5784,1663l6152,1298m5784,1718l6152,1353m5784,1773l6152,1407m5784,1827l6152,1462m5784,1882l6152,1517m5784,1936l6152,1571m5784,1991l6152,1626m5784,2045l6152,1680m5784,2100l6152,1735m5784,2155l6152,1790m5784,2209l6152,1844m5784,2264l6152,1899m5784,2318l6152,1953m5784,2373l6152,2008m5784,2428l6152,2063m5784,2482l6152,2117m5784,2537l6152,2172m5784,2591l6152,2226m5784,2646l6152,2281m5784,2701l6152,2335m5784,2755l6152,2390m5784,2810l6152,2445m5784,2864l6152,2499m5784,2919l6152,2554m5794,2963l6152,2608m5849,2963l6152,2663m5904,2963l6152,2718m5960,2963l6152,2772m6015,2963l6152,2827m6070,2963l6152,2881m6125,2963l6152,2936e" filled="false" stroked="true" strokeweight=".256846pt" strokecolor="#000000">
              <v:path arrowok="t"/>
            </v:shape>
            <v:shape style="position:absolute;left:19076;top:-21040;width:3063;height:22630" coordorigin="19076,-21040" coordsize="3063,22630" path="m5783,243l6155,243m6155,243l6155,2966m5783,2966l5783,243e" filled="false" stroked="true" strokeweight=".085615pt" strokecolor="#000000">
              <v:path arrowok="t"/>
            </v:shape>
            <v:shape style="position:absolute;left:22146;top:-20395;width:3049;height:21964" coordorigin="22146,-20395" coordsize="3049,21964" path="m6156,321l6156,321m6156,375l6211,321m6156,430l6266,321m6156,484l6321,321m6156,539l6376,321m6156,594l6431,321m6156,648l6486,321m6156,703l6525,336m6156,757l6525,391m6156,812l6525,445m6156,867l6525,500m6156,921l6525,554m6156,976l6525,609m6156,1030l6525,664m6156,1085l6525,718m6156,1140l6525,773m6156,1194l6525,827m6156,1249l6525,882m6156,1303l6525,937m6156,1358l6525,991m6156,1413l6525,1046m6156,1467l6525,1100m6156,1522l6525,1155m6156,1576l6525,1210m6156,1631l6525,1264m6156,1685l6525,1319m6156,1740l6525,1373m6156,1795l6525,1428m6156,1849l6525,1482m6156,1904l6525,1537m6156,1958l6525,1592m6156,2013l6525,1646m6156,2068l6525,1701m6156,2122l6525,1755m6156,2177l6525,1810m6156,2231l6525,1865m6156,2286l6525,1919m6156,2341l6525,1974m6156,2395l6525,2028m6156,2450l6525,2083m6156,2504l6525,2138m6156,2559l6525,2192m6156,2614l6525,2247m6156,2668l6525,2301m6156,2723l6525,2356m6156,2777l6525,2411m6156,2832l6525,2465m6156,2886l6525,2520m6156,2941l6525,2574m6188,2963l6525,2629m6243,2963l6525,2683m6298,2963l6525,2738m6353,2963l6525,2793m6408,2963l6525,2847m6463,2963l6525,2902m6519,2963l6525,2956e" filled="false" stroked="true" strokeweight=".256846pt" strokecolor="#000000">
              <v:path arrowok="t"/>
            </v:shape>
            <v:shape style="position:absolute;left:22139;top:-20402;width:3077;height:21992" coordorigin="22139,-20402" coordsize="3077,21992" path="m6155,320l6528,320m6528,320l6528,2966m6155,2966l6155,320e" filled="false" stroked="true" strokeweight=".085615pt" strokecolor="#000000">
              <v:path arrowok="t"/>
            </v:shape>
            <v:shape style="position:absolute;left:25222;top:-10044;width:3035;height:11613" coordorigin="25222,-10044" coordsize="3035,11613" path="m6529,1566l6529,1566m6529,1621l6584,1566m6529,1675l6639,1566m6529,1730l6694,1566m6529,1784l6749,1566m6529,1839l6804,1566m6529,1894l6859,1566m6529,1948l6897,1583m6529,2003l6897,1638m6529,2057l6897,1692m6529,2112l6897,1747m6529,2167l6897,1802m6529,2221l6897,1856m6529,2276l6897,1911m6529,2330l6897,1965m6529,2385l6897,2020m6529,2440l6897,2074m6529,2494l6897,2129m6529,2549l6897,2184m6529,2603l6897,2238m6529,2658l6897,2293m6529,2712l6897,2347m6529,2767l6897,2402m6529,2822l6897,2457m6529,2876l6897,2511m6529,2931l6897,2566m6551,2963l6897,2620m6606,2963l6897,2675m6661,2963l6897,2730m6716,2963l6897,2784m6771,2963l6897,2839m6826,2963l6897,2893m6881,2963l6897,2948e" filled="false" stroked="true" strokeweight=".256846pt" strokecolor="#000000">
              <v:path arrowok="t"/>
            </v:shape>
            <v:shape style="position:absolute;left:25215;top:-10051;width:3063;height:11641" coordorigin="25215,-10051" coordsize="3063,11641" path="m6528,1565l6899,1565m6899,1565l6899,2966m6528,2966l6528,1565e" filled="false" stroked="true" strokeweight=".085615pt" strokecolor="#000000">
              <v:path arrowok="t"/>
            </v:shape>
            <v:shape style="position:absolute;left:6898;top:2186;width:374;height:780" type="#_x0000_t75" stroked="false">
              <v:imagedata r:id="rId189" o:title=""/>
            </v:shape>
            <v:line style="position:absolute" from="6899,2966" to="6899,2188" stroked="true" strokeweight=".085965pt" strokecolor="#000000"/>
            <v:shape style="position:absolute;left:7269;top:2187;width:374;height:780" type="#_x0000_t75" stroked="false">
              <v:imagedata r:id="rId190" o:title=""/>
            </v:shape>
            <v:shape style="position:absolute;left:31340;top:-4224;width:3063;height:5814" coordorigin="31340,-4224" coordsize="3063,5814" path="m7642,2266l7642,2966m7271,2966l7271,2266e" filled="false" stroked="true" strokeweight=".085615pt" strokecolor="#000000">
              <v:path arrowok="t"/>
            </v:shape>
            <v:shape style="position:absolute;left:34410;top:-1636;width:3035;height:3205" coordorigin="34410,-1636" coordsize="3035,3205" path="m7643,2578l7643,2578m7643,2632l7698,2578m7643,2687l7753,2578m7643,2741l7808,2578m7643,2796l7863,2578m7643,2851l7918,2578m7643,2905l7974,2578m7643,2960l8011,2595m7695,2963l8011,2649m7750,2963l8011,2704m7805,2963l8011,2759m7860,2963l8011,2813m7915,2963l8011,2868m7970,2963l8011,2922e" filled="false" stroked="true" strokeweight=".256846pt" strokecolor="#000000">
              <v:path arrowok="t"/>
            </v:shape>
            <v:shape style="position:absolute;left:34403;top:-1643;width:3063;height:3233" coordorigin="34403,-1643" coordsize="3063,3233" path="m7642,2577l8014,2577m8014,2577l8014,2966m7642,2966l7642,2577e" filled="false" stroked="true" strokeweight=".085615pt" strokecolor="#000000">
              <v:path arrowok="t"/>
            </v:shape>
            <v:shape style="position:absolute;left:6337;top:-22862;width:32652;height:24927" coordorigin="6337,-22862" coordsize="32652,24927" path="m4482,2994l4482,2965m4854,3023l4854,2965m5225,2994l5225,2965m5597,3023l5597,2965m5968,2994l5968,2965m6341,3023l6341,2965m6713,2994l6713,2965m7084,3023l7084,2965m7456,2994l7456,2965m7827,3023l7827,2965m8199,2994l8199,2965m4296,2965l8199,2965m4238,2965l4296,2965m4267,2810l4296,2810m4238,2654l4296,2654m4267,2498l4296,2498m4238,2342l4296,2342m4267,2187l4296,2187m4238,2032l4296,2032m4267,1875l4296,1875m4238,1720l4296,1720m4267,1564l4296,1564m4238,1409l4296,1409m4267,1254l4296,1254m4238,1097l4296,1097m4267,942l4296,942m4238,786l4296,786m4267,631l4296,631m4238,476l4296,476m4267,319l4296,319m4238,164l4296,164m4296,2965l4296,24e" filled="false" stroked="true" strokeweight=".599300pt" strokecolor="#000000">
              <v:path arrowok="t"/>
            </v:shape>
            <v:shape style="position:absolute;left:6484;top:-183;width:1995;height:401" type="#_x0000_t202" filled="false" stroked="true" strokeweight=".341164pt" strokecolor="#000000">
              <v:textbox inset="0,0,0,0">
                <w:txbxContent>
                  <w:p>
                    <w:pPr>
                      <w:spacing w:before="13"/>
                      <w:ind w:left="91" w:right="0" w:firstLine="0"/>
                      <w:jc w:val="left"/>
                      <w:rPr>
                        <w:sz w:val="14"/>
                      </w:rPr>
                    </w:pPr>
                    <w:r>
                      <w:rPr>
                        <w:w w:val="105"/>
                        <w:sz w:val="14"/>
                      </w:rPr>
                      <w:t>Diametro promedio = 48.23</w:t>
                    </w:r>
                  </w:p>
                  <w:p>
                    <w:pPr>
                      <w:spacing w:before="47"/>
                      <w:ind w:left="91" w:right="0" w:firstLine="0"/>
                      <w:jc w:val="left"/>
                      <w:rPr>
                        <w:sz w:val="14"/>
                      </w:rPr>
                    </w:pPr>
                    <w:r>
                      <w:rPr>
                        <w:rFonts w:ascii="Symbol" w:hAnsi="Symbol"/>
                        <w:sz w:val="13"/>
                      </w:rPr>
                      <w:t></w:t>
                    </w:r>
                    <w:r>
                      <w:rPr>
                        <w:rFonts w:ascii="Times New Roman" w:hAnsi="Times New Roman"/>
                        <w:sz w:val="13"/>
                      </w:rPr>
                      <w:t> </w:t>
                    </w:r>
                    <w:r>
                      <w:rPr>
                        <w:rFonts w:ascii="Symbol" w:hAnsi="Symbol"/>
                        <w:sz w:val="13"/>
                      </w:rPr>
                      <w:t></w:t>
                    </w:r>
                    <w:r>
                      <w:rPr>
                        <w:rFonts w:ascii="Times New Roman" w:hAnsi="Times New Roman"/>
                        <w:sz w:val="13"/>
                      </w:rPr>
                      <w:t> </w:t>
                    </w:r>
                    <w:r>
                      <w:rPr>
                        <w:sz w:val="14"/>
                      </w:rPr>
                      <w:t>13.16</w:t>
                    </w:r>
                  </w:p>
                </w:txbxContent>
              </v:textbox>
              <w10:wrap type="none"/>
            </v:shape>
            <w10:wrap type="none"/>
          </v:group>
        </w:pict>
      </w:r>
      <w:r>
        <w:rPr>
          <w:w w:val="110"/>
          <w:sz w:val="11"/>
        </w:rPr>
        <w:t>180</w:t>
      </w:r>
    </w:p>
    <w:p>
      <w:pPr>
        <w:pStyle w:val="BodyText"/>
        <w:spacing w:before="1"/>
        <w:rPr>
          <w:sz w:val="16"/>
        </w:rPr>
      </w:pPr>
    </w:p>
    <w:p>
      <w:pPr>
        <w:spacing w:before="0"/>
        <w:ind w:left="2722" w:right="0" w:firstLine="0"/>
        <w:jc w:val="left"/>
        <w:rPr>
          <w:sz w:val="11"/>
        </w:rPr>
      </w:pPr>
      <w:r>
        <w:rPr>
          <w:w w:val="110"/>
          <w:sz w:val="11"/>
        </w:rPr>
        <w:t>160</w:t>
      </w:r>
    </w:p>
    <w:p>
      <w:pPr>
        <w:pStyle w:val="BodyText"/>
        <w:rPr>
          <w:sz w:val="16"/>
        </w:rPr>
      </w:pPr>
    </w:p>
    <w:p>
      <w:pPr>
        <w:spacing w:before="0"/>
        <w:ind w:left="2722" w:right="0" w:firstLine="0"/>
        <w:jc w:val="left"/>
        <w:rPr>
          <w:sz w:val="11"/>
        </w:rPr>
      </w:pPr>
      <w:r>
        <w:rPr>
          <w:w w:val="110"/>
          <w:sz w:val="11"/>
        </w:rPr>
        <w:t>140</w:t>
      </w:r>
    </w:p>
    <w:p>
      <w:pPr>
        <w:pStyle w:val="BodyText"/>
        <w:spacing w:before="11"/>
        <w:rPr>
          <w:sz w:val="15"/>
        </w:rPr>
      </w:pPr>
    </w:p>
    <w:p>
      <w:pPr>
        <w:spacing w:before="0"/>
        <w:ind w:left="2722" w:right="0" w:firstLine="0"/>
        <w:jc w:val="left"/>
        <w:rPr>
          <w:sz w:val="11"/>
        </w:rPr>
      </w:pPr>
      <w:r>
        <w:rPr>
          <w:w w:val="110"/>
          <w:sz w:val="11"/>
        </w:rPr>
        <w:t>120</w:t>
      </w:r>
    </w:p>
    <w:p>
      <w:pPr>
        <w:pStyle w:val="BodyText"/>
        <w:spacing w:before="1"/>
        <w:rPr>
          <w:sz w:val="16"/>
        </w:rPr>
      </w:pPr>
    </w:p>
    <w:p>
      <w:pPr>
        <w:spacing w:before="0"/>
        <w:ind w:left="2722" w:right="0" w:firstLine="0"/>
        <w:jc w:val="left"/>
        <w:rPr>
          <w:sz w:val="11"/>
        </w:rPr>
      </w:pPr>
      <w:r>
        <w:rPr/>
        <w:pict>
          <v:shape style="position:absolute;margin-left:188.10289pt;margin-top:-6.1657pt;width:9.25pt;height:37.5pt;mso-position-horizontal-relative:page;mso-position-vertical-relative:paragraph;z-index:5296" type="#_x0000_t202" filled="false" stroked="false">
            <v:textbox inset="0,0,0,0" style="layout-flow:vertical;mso-layout-flow-alt:bottom-to-top">
              <w:txbxContent>
                <w:p>
                  <w:pPr>
                    <w:spacing w:before="5"/>
                    <w:ind w:left="20" w:right="-563" w:firstLine="0"/>
                    <w:jc w:val="left"/>
                    <w:rPr>
                      <w:sz w:val="14"/>
                    </w:rPr>
                  </w:pPr>
                  <w:r>
                    <w:rPr>
                      <w:spacing w:val="-1"/>
                      <w:w w:val="102"/>
                      <w:sz w:val="14"/>
                    </w:rPr>
                    <w:t>F</w:t>
                  </w:r>
                  <w:r>
                    <w:rPr>
                      <w:w w:val="102"/>
                      <w:sz w:val="14"/>
                    </w:rPr>
                    <w:t>recuencia</w:t>
                  </w:r>
                </w:p>
              </w:txbxContent>
            </v:textbox>
            <w10:wrap type="none"/>
          </v:shape>
        </w:pict>
      </w:r>
      <w:r>
        <w:rPr>
          <w:w w:val="110"/>
          <w:sz w:val="11"/>
        </w:rPr>
        <w:t>100</w:t>
      </w:r>
    </w:p>
    <w:p>
      <w:pPr>
        <w:pStyle w:val="BodyText"/>
        <w:spacing w:before="11"/>
        <w:rPr>
          <w:sz w:val="15"/>
        </w:rPr>
      </w:pPr>
    </w:p>
    <w:p>
      <w:pPr>
        <w:spacing w:before="0"/>
        <w:ind w:left="2787" w:right="0" w:firstLine="0"/>
        <w:jc w:val="left"/>
        <w:rPr>
          <w:sz w:val="11"/>
        </w:rPr>
      </w:pPr>
      <w:r>
        <w:rPr>
          <w:w w:val="110"/>
          <w:sz w:val="11"/>
        </w:rPr>
        <w:t>80</w:t>
      </w:r>
    </w:p>
    <w:p>
      <w:pPr>
        <w:pStyle w:val="BodyText"/>
        <w:spacing w:before="1"/>
        <w:rPr>
          <w:sz w:val="16"/>
        </w:rPr>
      </w:pPr>
    </w:p>
    <w:p>
      <w:pPr>
        <w:spacing w:before="0"/>
        <w:ind w:left="2787" w:right="0" w:firstLine="0"/>
        <w:jc w:val="left"/>
        <w:rPr>
          <w:sz w:val="11"/>
        </w:rPr>
      </w:pPr>
      <w:r>
        <w:rPr>
          <w:w w:val="110"/>
          <w:sz w:val="11"/>
        </w:rPr>
        <w:t>60</w:t>
      </w:r>
    </w:p>
    <w:p>
      <w:pPr>
        <w:pStyle w:val="BodyText"/>
        <w:spacing w:before="11"/>
        <w:rPr>
          <w:sz w:val="15"/>
        </w:rPr>
      </w:pPr>
    </w:p>
    <w:p>
      <w:pPr>
        <w:spacing w:before="0"/>
        <w:ind w:left="2787" w:right="0" w:firstLine="0"/>
        <w:jc w:val="left"/>
        <w:rPr>
          <w:sz w:val="11"/>
        </w:rPr>
      </w:pPr>
      <w:r>
        <w:rPr>
          <w:w w:val="110"/>
          <w:sz w:val="11"/>
        </w:rPr>
        <w:t>40</w:t>
      </w:r>
    </w:p>
    <w:p>
      <w:pPr>
        <w:pStyle w:val="BodyText"/>
        <w:spacing w:before="1"/>
        <w:rPr>
          <w:sz w:val="16"/>
        </w:rPr>
      </w:pPr>
    </w:p>
    <w:p>
      <w:pPr>
        <w:spacing w:before="0"/>
        <w:ind w:left="2787" w:right="0" w:firstLine="0"/>
        <w:jc w:val="left"/>
        <w:rPr>
          <w:sz w:val="11"/>
        </w:rPr>
      </w:pPr>
      <w:r>
        <w:rPr>
          <w:w w:val="110"/>
          <w:sz w:val="11"/>
        </w:rPr>
        <w:t>20</w:t>
      </w:r>
    </w:p>
    <w:p>
      <w:pPr>
        <w:pStyle w:val="BodyText"/>
        <w:spacing w:before="11"/>
        <w:rPr>
          <w:sz w:val="15"/>
        </w:rPr>
      </w:pPr>
    </w:p>
    <w:p>
      <w:pPr>
        <w:spacing w:before="0"/>
        <w:ind w:left="2853" w:right="0" w:firstLine="0"/>
        <w:jc w:val="left"/>
        <w:rPr>
          <w:sz w:val="11"/>
        </w:rPr>
      </w:pPr>
      <w:r>
        <w:rPr>
          <w:w w:val="107"/>
          <w:sz w:val="11"/>
        </w:rPr>
        <w:t>0</w:t>
      </w:r>
    </w:p>
    <w:p>
      <w:pPr>
        <w:tabs>
          <w:tab w:pos="742" w:val="left" w:leader="none"/>
          <w:tab w:pos="1487" w:val="left" w:leader="none"/>
          <w:tab w:pos="2230" w:val="left" w:leader="none"/>
          <w:tab w:pos="2973" w:val="left" w:leader="none"/>
        </w:tabs>
        <w:spacing w:before="30"/>
        <w:ind w:left="0" w:right="837" w:firstLine="0"/>
        <w:jc w:val="center"/>
        <w:rPr>
          <w:sz w:val="11"/>
        </w:rPr>
      </w:pPr>
      <w:r>
        <w:rPr>
          <w:w w:val="110"/>
          <w:sz w:val="11"/>
        </w:rPr>
        <w:t>30</w:t>
        <w:tab/>
        <w:t>40</w:t>
        <w:tab/>
        <w:t>50</w:t>
        <w:tab/>
        <w:t>60</w:t>
        <w:tab/>
        <w:t>70</w:t>
      </w:r>
    </w:p>
    <w:p>
      <w:pPr>
        <w:spacing w:before="72"/>
        <w:ind w:left="0" w:right="1026" w:firstLine="0"/>
        <w:jc w:val="center"/>
        <w:rPr>
          <w:sz w:val="14"/>
        </w:rPr>
      </w:pPr>
      <w:r>
        <w:rPr>
          <w:w w:val="105"/>
          <w:sz w:val="14"/>
        </w:rPr>
        <w:t>Tamaño (nm)</w:t>
      </w:r>
    </w:p>
    <w:p>
      <w:pPr>
        <w:pStyle w:val="BodyText"/>
        <w:rPr>
          <w:sz w:val="20"/>
        </w:rPr>
      </w:pPr>
    </w:p>
    <w:p>
      <w:pPr>
        <w:pStyle w:val="BodyText"/>
        <w:spacing w:before="8"/>
        <w:rPr>
          <w:sz w:val="28"/>
        </w:rPr>
      </w:pPr>
    </w:p>
    <w:p>
      <w:pPr>
        <w:pStyle w:val="BodyText"/>
        <w:spacing w:line="360" w:lineRule="auto" w:before="69"/>
        <w:ind w:left="160" w:right="1435"/>
        <w:jc w:val="both"/>
      </w:pPr>
      <w:r>
        <w:rPr>
          <w:b/>
        </w:rPr>
        <w:t>Figura 13. </w:t>
      </w:r>
      <w:r>
        <w:rPr/>
        <w:t>Histograma de la distribución del tamaño de Np-Ag reducidas por </w:t>
      </w:r>
      <w:r>
        <w:rPr>
          <w:i/>
        </w:rPr>
        <w:t>Camellia </w:t>
      </w:r>
      <w:r>
        <w:rPr>
          <w:i/>
        </w:rPr>
        <w:t>sinensis, </w:t>
      </w:r>
      <w:r>
        <w:rPr/>
        <w:t>con el cual se obtuvieron nanopartículas que van de 25nm a 70nm, con un tamaño promedio de 48nm, teniendo una desviación estándar de 13.16.</w:t>
      </w:r>
    </w:p>
    <w:p>
      <w:pPr>
        <w:spacing w:after="0" w:line="360" w:lineRule="auto"/>
        <w:jc w:val="both"/>
        <w:sectPr>
          <w:pgSz w:w="12240" w:h="15840"/>
          <w:pgMar w:header="736" w:footer="1024" w:top="1180" w:bottom="1220" w:left="1280" w:right="0"/>
        </w:sectPr>
      </w:pPr>
    </w:p>
    <w:p>
      <w:pPr>
        <w:pStyle w:val="BodyText"/>
        <w:rPr>
          <w:sz w:val="20"/>
        </w:rPr>
      </w:pPr>
    </w:p>
    <w:p>
      <w:pPr>
        <w:pStyle w:val="BodyText"/>
        <w:rPr>
          <w:sz w:val="20"/>
        </w:rPr>
      </w:pPr>
    </w:p>
    <w:p>
      <w:pPr>
        <w:pStyle w:val="BodyText"/>
        <w:spacing w:before="1"/>
        <w:rPr>
          <w:sz w:val="18"/>
        </w:rPr>
      </w:pPr>
    </w:p>
    <w:p>
      <w:pPr>
        <w:spacing w:before="87"/>
        <w:ind w:left="2556" w:right="0" w:firstLine="0"/>
        <w:jc w:val="left"/>
        <w:rPr>
          <w:sz w:val="12"/>
        </w:rPr>
      </w:pPr>
      <w:r>
        <w:rPr/>
        <w:pict>
          <v:group style="position:absolute;margin-left:203.742416pt;margin-top:-5.053604pt;width:229.2pt;height:165.9pt;mso-position-horizontal-relative:page;mso-position-vertical-relative:paragraph;z-index:5344" coordorigin="4075,-101" coordsize="4584,3318">
            <v:shape style="position:absolute;left:4145;top:2549;width:554;height:606" type="#_x0000_t75" stroked="false">
              <v:imagedata r:id="rId191" o:title=""/>
            </v:shape>
            <v:shape style="position:absolute;left:9017;top:3056;width:2183;height:4765" coordorigin="9017,3056" coordsize="2183,4765" path="m4695,2553l4695,3150m4419,3150l4419,2553e" filled="false" stroked="true" strokeweight=".445353pt" strokecolor="#000000">
              <v:path arrowok="t"/>
            </v:shape>
            <v:shape style="position:absolute;left:11158;top:-985;width:2156;height:8792" coordorigin="11158,-985" coordsize="2156,8792" path="m4689,2047l4689,2047m4689,2086l4729,2047m4689,2125l4768,2047m4689,2164l4807,2047m4689,2203l4847,2047m4689,2242l4886,2047m4689,2281l4925,2047m4689,2320l4961,2050m4689,2360l4961,2090m4689,2399l4961,2129m4689,2438l4961,2168m4689,2477l4961,2207m4689,2516l4961,2246m4689,2555l4961,2285m4689,2594l4961,2324m4689,2633l4961,2363m4689,2672l4961,2402m4689,2711l4961,2441m4689,2750l4961,2480m4689,2789l4961,2519m4689,2829l4961,2559m4689,2868l4961,2598m4689,2907l4961,2637m4689,2946l4961,2676m4689,2985l4961,2715m4689,3024l4961,2754m4689,3063l4961,2793m4689,3102l4961,2832m4689,3141l4961,2871m4721,3148l4961,2910m4761,3148l4961,2949m4800,3148l4961,2988m4839,3148l4961,3027m4879,3148l4961,3067m4918,3148l4961,3106m4957,3148l4961,3145e" filled="false" stroked="true" strokeweight=".267214pt" strokecolor="#000000">
              <v:path arrowok="t"/>
            </v:shape>
            <v:shape style="position:absolute;left:11144;top:-999;width:2184;height:8820" coordorigin="11144,-999" coordsize="2184,8820" path="m4687,2045l4963,2045m4963,2045l4963,3150m4687,3150l4687,2045e" filled="false" stroked="true" strokeweight=".445353pt" strokecolor="#000000">
              <v:path arrowok="t"/>
            </v:shape>
            <v:shape style="position:absolute;left:6904;top:7820;width:6395;height:482" coordorigin="6904,7820" coordsize="6395,482" path="m4153,3180l4153,3150m4287,3210l4287,3150m4421,3180l4421,3150m4557,3210l4557,3150m4691,3180l4691,3150m4825,3210l4825,3150m4959,3180l4959,3150e" filled="false" stroked="true" strokeweight=".623491pt" strokecolor="#000000">
              <v:path arrowok="t"/>
            </v:shape>
            <v:shape style="position:absolute;left:15425;top:-2885;width:2155;height:10691" coordorigin="15425,-2885" coordsize="2155,10691" path="m5227,1809l5227,1809m5227,1848l5267,1809m5227,1887l5306,1809m5227,1926l5345,1809m5227,1965l5385,1809m5227,2004l5424,1809m5227,2043l5463,1809m5227,2082l5499,1812m5227,2122l5499,1852m5227,2161l5499,1891m5227,2200l5499,1930m5227,2239l5499,1969m5227,2278l5499,2008m5227,2317l5499,2047m5227,2356l5499,2086m5227,2395l5499,2125m5227,2434l5499,2164m5227,2473l5499,2203m5227,2512l5499,2242m5227,2551l5499,2281m5227,2590l5499,2320m5227,2630l5499,2360m5227,2669l5499,2399m5227,2708l5499,2438m5227,2747l5499,2477m5227,2786l5499,2516m5227,2825l5499,2555m5227,2864l5499,2594m5227,2903l5499,2633m5227,2942l5499,2672m5227,2981l5499,2711m5227,3020l5499,2750m5227,3059l5499,2789m5227,3098l5499,2829m5227,3138l5499,2868m5256,3148l5499,2907m5295,3148l5499,2946m5335,3148l5499,2985m5374,3148l5499,3024m5413,3148l5499,3063m5453,3148l5499,3102m5492,3148l5499,3141e" filled="false" stroked="true" strokeweight=".267214pt" strokecolor="#000000">
              <v:path arrowok="t"/>
            </v:shape>
            <v:shape style="position:absolute;left:15411;top:-2899;width:2184;height:10720" coordorigin="15411,-2899" coordsize="2184,10720" path="m5226,1807l5501,1807m5501,1807l5501,3150m5226,3150l5226,1807e" filled="false" stroked="true" strokeweight=".445353pt" strokecolor="#000000">
              <v:path arrowok="t"/>
            </v:shape>
            <v:shape style="position:absolute;left:17566;top:-10031;width:2142;height:17838" coordorigin="17566,-10031" coordsize="2142,17838" path="m5497,914l5497,914m5497,953l5537,914m5497,992l5576,914m5497,1031l5615,914m5497,1070l5655,914m5497,1109l5694,914m5497,1148l5733,914m5497,1187l5767,919m5497,1226l5767,958m5497,1265l5767,997m5497,1304l5767,1036m5497,1344l5767,1075m5497,1383l5767,1114m5497,1422l5767,1153m5497,1461l5767,1193m5497,1500l5767,1232m5497,1539l5767,1271m5497,1578l5767,1310m5497,1617l5767,1349m5497,1656l5767,1388m5497,1695l5767,1427m5497,1734l5767,1466m5497,1773l5767,1505m5497,1812l5767,1544m5497,1852l5767,1583m5497,1891l5767,1622m5497,1930l5767,1661m5497,1969l5767,1701m5497,2008l5767,1740m5497,2047l5767,1779m5497,2086l5767,1818m5497,2125l5767,1857m5497,2164l5767,1896m5497,2203l5767,1935m5497,2242l5767,1974m5497,2281l5767,2013m5497,2320l5767,2052m5497,2360l5767,2091m5497,2399l5767,2130m5497,2438l5767,2169m5497,2477l5767,2209m5497,2516l5767,2248m5497,2555l5767,2287m5497,2594l5767,2326m5497,2633l5767,2365m5497,2672l5767,2404m5497,2711l5767,2443m5497,2750l5767,2482m5497,2789l5767,2521m5497,2829l5767,2560m5497,2868l5767,2599m5497,2907l5767,2638m5497,2946l5767,2678m5497,2985l5767,2717m5497,3024l5767,2756m5497,3063l5767,2795m5497,3102l5767,2834m5497,3141l5767,2873m5529,3148l5767,2912m5569,3148l5767,2951m5608,3148l5767,2990m5647,3148l5767,3029m5687,3148l5767,3068m5726,3148l5767,3107m5765,3148l5767,3146e" filled="false" stroked="true" strokeweight=".267214pt" strokecolor="#000000">
              <v:path arrowok="t"/>
            </v:shape>
            <v:shape style="position:absolute;left:17552;top:-10045;width:2170;height:17866" coordorigin="17552,-10045" coordsize="2170,17866" path="m5495,912l5769,912m5769,912l5769,3150m5495,3150l5495,912e" filled="false" stroked="true" strokeweight=".445353pt" strokecolor="#000000">
              <v:path arrowok="t"/>
            </v:shape>
            <v:shape style="position:absolute;left:19693;top:-12413;width:2155;height:20220" coordorigin="19693,-12413" coordsize="2155,20220" path="m5765,615l5765,615m5765,654l5805,615m5765,693l5844,615m5765,732l5883,615m5765,772l5923,615m5765,811l5962,615m5765,850l6001,615m5765,889l6037,619m5765,928l6037,658m5765,967l6037,697m5765,1006l6037,736m5765,1045l6037,775m5765,1084l6037,814m5765,1123l6037,853m5765,1162l6037,892m5765,1201l6037,931m5765,1240l6037,970m5765,1280l6037,1010m5765,1319l6037,1049m5765,1358l6037,1088m5765,1397l6037,1127m5765,1436l6037,1166m5765,1475l6037,1205m5765,1514l6037,1244m5765,1553l6037,1283m5765,1592l6037,1322m5765,1631l6037,1361m5765,1670l6037,1400m5765,1709l6037,1439m5765,1748l6037,1479m5765,1788l6037,1518m5765,1827l6037,1557m5765,1866l6037,1596m5765,1905l6037,1635m5765,1944l6037,1674m5765,1983l6037,1713m5765,2022l6037,1752m5765,2061l6037,1791m5765,2100l6037,1830m5765,2139l6037,1869m5765,2178l6037,1908m5765,2217l6037,1947m5765,2257l6037,1987m5765,2296l6037,2026m5765,2335l6037,2065m5765,2374l6037,2104m5765,2413l6037,2143m5765,2452l6037,2182m5765,2491l6037,2221m5765,2530l6037,2260m5765,2569l6037,2299m5765,2608l6037,2338m5765,2647l6037,2377m5765,2686l6037,2416m5765,2725l6037,2455m5765,2765l6037,2495m5765,2804l6037,2534m5765,2843l6037,2573m5765,2882l6037,2612m5765,2921l6037,2651m5765,2960l6037,2690m5765,2999l6037,2729m5765,3038l6037,2768m5765,3077l6037,2807m5765,3116l6037,2846m5773,3148l6037,2885m5812,3148l6037,2924m5851,3148l6037,2964m5891,3148l6037,3003m5930,3148l6037,3042m5969,3148l6037,3081m6009,3148l6037,3120e" filled="false" stroked="true" strokeweight=".267214pt" strokecolor="#000000">
              <v:path arrowok="t"/>
            </v:shape>
            <v:shape style="position:absolute;left:19679;top:-12428;width:2184;height:20248" coordorigin="19679,-12428" coordsize="2184,20248" path="m5764,613l6039,613m6039,613l6039,3150m5764,3150l5764,613e" filled="false" stroked="true" strokeweight=".445353pt" strokecolor="#000000">
              <v:path arrowok="t"/>
            </v:shape>
            <v:shape style="position:absolute;left:21834;top:-14795;width:2141;height:22602" coordorigin="21834,-14795" coordsize="2141,22602" path="m6035,317l6035,317m6035,356l6075,317m6035,395l6114,317m6035,434l6153,317m6035,473l6193,317m6035,512l6232,317m6035,551l6271,317m6035,590l6305,322m6035,629l6305,361m6035,668l6305,400m6035,708l6305,439m6035,747l6305,478m6035,786l6305,518m6035,825l6305,557m6035,864l6305,596m6035,903l6305,635m6035,942l6305,674m6035,981l6305,713m6035,1020l6305,752m6035,1059l6305,791m6035,1098l6305,830m6035,1137l6305,869m6035,1177l6305,908m6035,1216l6305,947m6035,1255l6305,986m6035,1294l6305,1026m6035,1333l6305,1065m6035,1372l6305,1104m6035,1411l6305,1143m6035,1450l6305,1182m6035,1489l6305,1221m6035,1528l6305,1260m6035,1567l6305,1299m6035,1606l6305,1338m6035,1646l6305,1377m6035,1685l6305,1416m6035,1724l6305,1455m6035,1763l6305,1495m6035,1802l6305,1534m6035,1841l6305,1573m6035,1880l6305,1612m6035,1919l6305,1651m6035,1958l6305,1690m6035,1997l6305,1729m6035,2036l6305,1768m6035,2075l6305,1807m6035,2114l6305,1846m6035,2154l6305,1885m6035,2193l6305,1924m6035,2232l6305,1963m6035,2271l6305,2003m6035,2310l6305,2042m6035,2349l6305,2081m6035,2388l6305,2120m6035,2427l6305,2159m6035,2466l6305,2198m6035,2505l6305,2237m6035,2544l6305,2276m6035,2583l6305,2315m6035,2622l6305,2354m6035,2662l6305,2393m6035,2701l6305,2432m6035,2740l6305,2471m6035,2779l6305,2511m6035,2818l6305,2550m6035,2857l6305,2589m6035,2896l6305,2628m6035,2935l6305,2667m6035,2974l6305,2706m6035,3013l6305,2745m6035,3052l6305,2784m6035,3091l6305,2823m6035,3130l6305,2862m6057,3148l6305,2901m6096,3148l6305,2940m6136,3148l6305,2980m6175,3148l6305,3019m6214,3148l6305,3058m6254,3148l6305,3097m6293,3148l6305,3136e" filled="false" stroked="true" strokeweight=".267214pt" strokecolor="#000000">
              <v:path arrowok="t"/>
            </v:shape>
            <v:shape style="position:absolute;left:21819;top:-14810;width:2169;height:22630" coordorigin="21819,-14810" coordsize="2169,22630" path="m6034,315l6307,315m6307,315l6307,3150m6034,3150l6034,315e" filled="false" stroked="true" strokeweight=".445353pt" strokecolor="#000000">
              <v:path arrowok="t"/>
            </v:shape>
            <v:shape style="position:absolute;left:23960;top:-11222;width:2156;height:19029" coordorigin="23960,-11222" coordsize="2156,19029" path="m6304,764l6304,764m6304,804l6343,764m6304,843l6382,764m6304,882l6422,764m6304,921l6461,764m6304,960l6500,764m6304,999l6540,764m6304,1038l6575,768m6304,1077l6575,807m6304,1116l6575,846m6304,1155l6575,885m6304,1194l6575,924m6304,1233l6575,963m6304,1272l6575,1002m6304,1312l6575,1042m6304,1351l6575,1081m6304,1390l6575,1120m6304,1429l6575,1159m6304,1468l6575,1198m6304,1507l6575,1237m6304,1546l6575,1276m6304,1585l6575,1315m6304,1624l6575,1354m6304,1663l6575,1393m6304,1702l6575,1432m6304,1741l6575,1471m6304,1781l6575,1511m6304,1820l6575,1550m6304,1859l6575,1589m6304,1898l6575,1628m6304,1937l6575,1667m6304,1976l6575,1706m6304,2015l6575,1745m6304,2054l6575,1784m6304,2093l6575,1823m6304,2132l6575,1862m6304,2171l6575,1901m6304,2210l6575,1940m6304,2249l6575,1979m6304,2289l6575,2019m6304,2328l6575,2058m6304,2367l6575,2097m6304,2406l6575,2136m6304,2445l6575,2175m6304,2484l6575,2214m6304,2523l6575,2253m6304,2562l6575,2292m6304,2601l6575,2331m6304,2640l6575,2370m6304,2679l6575,2409m6304,2718l6575,2448m6304,2757l6575,2487m6304,2797l6575,2527m6304,2836l6575,2566m6304,2875l6575,2605m6304,2914l6575,2644m6304,2953l6575,2683m6304,2992l6575,2722m6304,3031l6575,2761m6304,3070l6575,2800m6304,3109l6575,2839m6304,3148l6575,2878m6343,3148l6575,2917m6382,3148l6575,2956m6422,3148l6575,2995m6461,3148l6575,3035m6500,3148l6575,3074m6540,3148l6575,3113e" filled="false" stroked="true" strokeweight=".267214pt" strokecolor="#000000">
              <v:path arrowok="t"/>
            </v:shape>
            <v:shape style="position:absolute;left:23946;top:-11236;width:2184;height:19057" coordorigin="23946,-11236" coordsize="2184,19057" path="m6302,763l6577,763m6577,763l6577,3150m6302,3150l6302,763e" filled="false" stroked="true" strokeweight=".445353pt" strokecolor="#000000">
              <v:path arrowok="t"/>
            </v:shape>
            <v:shape style="position:absolute;left:26101;top:-5267;width:2141;height:13073" coordorigin="26101,-5267" coordsize="2141,13073" path="m6574,1511l6574,1511m6574,1550l6613,1511m6574,1589l6652,1511m6574,1628l6692,1511m6574,1667l6731,1511m6574,1706l6770,1511m6574,1745l6810,1511m6574,1784l6844,1516m6574,1823l6844,1555m6574,1862l6844,1594m6574,1901l6844,1633m6574,1940l6844,1672m6574,1979l6844,1711m6574,2019l6844,1750m6574,2058l6844,1789m6574,2097l6844,1828m6574,2136l6844,1868m6574,2175l6844,1907m6574,2214l6844,1946m6574,2253l6844,1985m6574,2292l6844,2024m6574,2331l6844,2063m6574,2370l6844,2102m6574,2409l6844,2141m6574,2448l6844,2180m6574,2487l6844,2219m6574,2527l6844,2258m6574,2566l6844,2297m6574,2605l6844,2336m6574,2644l6844,2376m6574,2683l6844,2415m6574,2722l6844,2454m6574,2761l6844,2493m6574,2800l6844,2532m6574,2839l6844,2571m6574,2878l6844,2610m6574,2917l6844,2649m6574,2956l6844,2688m6574,2995l6844,2727m6574,3035l6844,2766m6574,3074l6844,2805m6574,3113l6844,2845m6577,3148l6844,2884m6616,3148l6844,2923m6656,3148l6844,2962m6695,3148l6844,3001m6734,3148l6844,3040m6774,3148l6844,3079m6813,3148l6844,3118e" filled="false" stroked="true" strokeweight=".267214pt" strokecolor="#000000">
              <v:path arrowok="t"/>
            </v:shape>
            <v:shape style="position:absolute;left:26087;top:-5281;width:2169;height:13102" coordorigin="26087,-5281" coordsize="2169,13102" path="m6572,1509l6845,1509m6845,1509l6845,3150m6572,3150l6572,1509e" filled="false" stroked="true" strokeweight=".445353pt" strokecolor="#000000">
              <v:path arrowok="t"/>
            </v:shape>
            <v:shape style="position:absolute;left:28228;top:-2176;width:2156;height:9983" coordorigin="28228,-2176" coordsize="2156,9983" path="m6842,1898l6842,1898m6842,1937l6881,1898m6842,1976l6920,1898m6842,2015l6960,1898m6842,2054l6999,1898m6842,2093l7038,1898m6842,2132l7078,1898m6842,2171l7114,1901m6842,2210l7114,1940m6842,2249l7114,1979m6842,2289l7114,2019m6842,2328l7114,2058m6842,2367l7114,2097m6842,2406l7114,2136m6842,2445l7114,2175m6842,2484l7114,2214m6842,2523l7114,2253m6842,2562l7114,2292m6842,2601l7114,2331m6842,2640l7114,2370m6842,2679l7114,2409m6842,2718l7114,2448m6842,2757l7114,2487m6842,2797l7114,2527m6842,2836l7114,2566m6842,2875l7114,2605m6842,2914l7114,2644m6842,2953l7114,2683m6842,2992l7114,2722m6842,3031l7114,2761m6842,3070l7114,2800m6842,3109l7114,2839m6842,3148l7114,2878m6881,3148l7114,2917m6920,3148l7114,2956m6960,3148l7114,2995m6999,3148l7114,3035m7038,3148l7114,3074m7078,3148l7114,3113e" filled="false" stroked="true" strokeweight=".267214pt" strokecolor="#000000">
              <v:path arrowok="t"/>
            </v:shape>
            <v:shape style="position:absolute;left:28214;top:-2191;width:2184;height:10011" coordorigin="28214,-2191" coordsize="2184,10011" path="m6840,1896l7115,1896m7115,1896l7115,3150m6840,3150l6840,1896e" filled="false" stroked="true" strokeweight=".445353pt" strokecolor="#000000">
              <v:path arrowok="t"/>
            </v:shape>
            <v:shape style="position:absolute;left:7104;top:2430;width:284;height:721" type="#_x0000_t75" stroked="false">
              <v:imagedata r:id="rId192" o:title=""/>
            </v:shape>
            <v:line style="position:absolute" from="7108,3150" to="7108,2434" stroked="true" strokeweight=".446811pt" strokecolor="#000000"/>
            <v:shape style="position:absolute;left:7374;top:2430;width:284;height:725" type="#_x0000_t75" stroked="false">
              <v:imagedata r:id="rId193" o:title=""/>
            </v:shape>
            <v:shape style="position:absolute;left:32481;top:2347;width:2183;height:5474" coordorigin="32481,2347" coordsize="2183,5474" path="m7653,2464l7653,3150m7378,3150l7378,2464e" filled="false" stroked="true" strokeweight=".445353pt" strokecolor="#000000">
              <v:path arrowok="t"/>
            </v:shape>
            <v:shape style="position:absolute;left:34622;top:4743;width:2156;height:3063" coordorigin="34622,4743" coordsize="2156,3063" path="m7648,2765l7648,2765m7648,2804l7687,2765m7648,2843l7727,2765m7648,2882l7766,2765m7648,2921l7805,2765m7648,2960l7845,2765m7648,2999l7884,2765m7648,3038l7920,2768m7648,3077l7920,2807m7648,3116l7920,2846m7655,3148l7920,2885m7695,3148l7920,2924m7734,3148l7920,2964m7773,3148l7920,3003m7813,3148l7920,3042m7852,3148l7920,3081m7891,3148l7920,3120e" filled="false" stroked="true" strokeweight=".267214pt" strokecolor="#000000">
              <v:path arrowok="t"/>
            </v:shape>
            <v:shape style="position:absolute;left:34608;top:4729;width:2184;height:3092" coordorigin="34608,4729" coordsize="2184,3092" path="m7646,2763l7922,2763m7922,2763l7922,3150m7646,3150l7646,2763e" filled="false" stroked="true" strokeweight=".445353pt" strokecolor="#000000">
              <v:path arrowok="t"/>
            </v:shape>
            <v:shape style="position:absolute;left:36763;top:6161;width:2155;height:1645" coordorigin="36763,6161" coordsize="2155,1645" path="m7918,2942l7918,2942m7918,2981l7957,2942m7918,3020l7997,2942m7918,3059l8036,2942m7918,3098l8075,2942m7918,3138l8115,2942m7947,3148l8154,2942m7986,3148l8190,2946m8025,3148l8190,2985m8065,3148l8190,3024m8104,3148l8190,3063m8143,3148l8190,3102m8183,3148l8190,3141e" filled="false" stroked="true" strokeweight=".267214pt" strokecolor="#000000">
              <v:path arrowok="t"/>
            </v:shape>
            <v:shape style="position:absolute;left:36749;top:6147;width:2184;height:1674" coordorigin="36749,6147" coordsize="2184,1674" path="m7916,2940l8192,2940m8192,2940l8192,3150m7916,3150l7916,2940e" filled="false" stroked="true" strokeweight=".445353pt" strokecolor="#000000">
              <v:path arrowok="t"/>
            </v:shape>
            <v:shape style="position:absolute;left:6337;top:-16625;width:32652;height:24927" coordorigin="6337,-16625" coordsize="32652,24927" path="m5229,3180l5229,3150m5363,3210l5363,3150m5497,3180l5497,3150m5633,3210l5633,3150m5767,3180l5767,3150m5901,3210l5901,3150m6035,3180l6035,3150m6171,3210l6171,3150m6305,3180l6305,3150m6439,3210l6439,3150m6574,3180l6574,3150m6708,3210l6708,3150m6844,3180l6844,3150m6978,3210l6978,3150m7112,3180l7112,3150m7246,3210l7246,3150m7382,3180l7382,3150m7516,3210l7516,3150m7650,3180l7650,3150m7784,3210l7784,3150m7920,3180l7920,3150m8054,3210l8054,3150m8188,3180l8188,3150m5095,3210l5095,3150m4142,3150l8199,3150m4081,3150l4142,3150m4112,2852l4142,2852m4081,2553l4142,2553m4112,2255l4142,2255m4081,1956l4142,1956m4112,1658l4142,1658m4081,1359l4142,1359m4112,1061l4142,1061m4081,763l4142,763m4112,464l4142,464m4081,166l4142,166m4142,3150l4142,88e" filled="false" stroked="true" strokeweight=".623491pt" strokecolor="#000000">
              <v:path arrowok="t"/>
            </v:shape>
            <v:shape style="position:absolute;left:6402;top:-97;width:2253;height:386" type="#_x0000_t202" filled="false" stroked="true" strokeweight=".355177pt" strokecolor="#000000">
              <v:textbox inset="0,0,0,0">
                <w:txbxContent>
                  <w:p>
                    <w:pPr>
                      <w:spacing w:before="10"/>
                      <w:ind w:left="109" w:right="0" w:firstLine="0"/>
                      <w:jc w:val="left"/>
                      <w:rPr>
                        <w:sz w:val="15"/>
                      </w:rPr>
                    </w:pPr>
                    <w:r>
                      <w:rPr>
                        <w:sz w:val="15"/>
                      </w:rPr>
                      <w:t>Diametro Promedio= 8.28 nm</w:t>
                    </w:r>
                  </w:p>
                  <w:p>
                    <w:pPr>
                      <w:spacing w:before="23"/>
                      <w:ind w:left="109" w:right="0" w:firstLine="0"/>
                      <w:jc w:val="left"/>
                      <w:rPr>
                        <w:sz w:val="14"/>
                      </w:rPr>
                    </w:pPr>
                    <w:r>
                      <w:rPr>
                        <w:rFonts w:ascii="Symbol" w:hAnsi="Symbol"/>
                        <w:w w:val="105"/>
                        <w:sz w:val="13"/>
                      </w:rPr>
                      <w:t></w:t>
                    </w:r>
                    <w:r>
                      <w:rPr>
                        <w:rFonts w:ascii="Times New Roman" w:hAnsi="Times New Roman"/>
                        <w:w w:val="105"/>
                        <w:sz w:val="13"/>
                      </w:rPr>
                      <w:t> </w:t>
                    </w:r>
                    <w:r>
                      <w:rPr>
                        <w:rFonts w:ascii="Symbol" w:hAnsi="Symbol"/>
                        <w:w w:val="105"/>
                        <w:sz w:val="13"/>
                      </w:rPr>
                      <w:t></w:t>
                    </w:r>
                    <w:r>
                      <w:rPr>
                        <w:rFonts w:ascii="Times New Roman" w:hAnsi="Times New Roman"/>
                        <w:w w:val="105"/>
                        <w:sz w:val="13"/>
                      </w:rPr>
                      <w:t> </w:t>
                    </w:r>
                    <w:r>
                      <w:rPr>
                        <w:w w:val="105"/>
                        <w:sz w:val="14"/>
                      </w:rPr>
                      <w:t>4.33</w:t>
                    </w:r>
                  </w:p>
                </w:txbxContent>
              </v:textbox>
              <w10:wrap type="none"/>
            </v:shape>
            <w10:wrap type="none"/>
          </v:group>
        </w:pict>
      </w:r>
      <w:r>
        <w:rPr>
          <w:w w:val="105"/>
          <w:sz w:val="12"/>
        </w:rPr>
        <w:t>100</w:t>
      </w:r>
    </w:p>
    <w:p>
      <w:pPr>
        <w:pStyle w:val="BodyText"/>
        <w:rPr>
          <w:sz w:val="20"/>
        </w:rPr>
      </w:pPr>
    </w:p>
    <w:p>
      <w:pPr>
        <w:pStyle w:val="BodyText"/>
        <w:rPr>
          <w:sz w:val="12"/>
        </w:rPr>
      </w:pPr>
    </w:p>
    <w:p>
      <w:pPr>
        <w:spacing w:before="91"/>
        <w:ind w:left="2624" w:right="0" w:firstLine="0"/>
        <w:jc w:val="left"/>
        <w:rPr>
          <w:sz w:val="12"/>
        </w:rPr>
      </w:pPr>
      <w:r>
        <w:rPr>
          <w:w w:val="105"/>
          <w:sz w:val="12"/>
        </w:rPr>
        <w:t>80</w:t>
      </w:r>
    </w:p>
    <w:p>
      <w:pPr>
        <w:pStyle w:val="BodyText"/>
        <w:rPr>
          <w:sz w:val="20"/>
        </w:rPr>
      </w:pPr>
    </w:p>
    <w:p>
      <w:pPr>
        <w:pStyle w:val="BodyText"/>
        <w:rPr>
          <w:sz w:val="12"/>
        </w:rPr>
      </w:pPr>
    </w:p>
    <w:p>
      <w:pPr>
        <w:spacing w:before="91"/>
        <w:ind w:left="2624" w:right="0" w:firstLine="0"/>
        <w:jc w:val="left"/>
        <w:rPr>
          <w:sz w:val="12"/>
        </w:rPr>
      </w:pPr>
      <w:r>
        <w:rPr/>
        <w:pict>
          <v:shape style="position:absolute;margin-left:179.371155pt;margin-top:6.954157pt;width:9.550pt;height:39pt;mso-position-horizontal-relative:page;mso-position-vertical-relative:paragraph;z-index:5464" type="#_x0000_t202" filled="false" stroked="false">
            <v:textbox inset="0,0,0,0" style="layout-flow:vertical;mso-layout-flow-alt:bottom-to-top">
              <w:txbxContent>
                <w:p>
                  <w:pPr>
                    <w:spacing w:before="1"/>
                    <w:ind w:left="20" w:right="-586" w:firstLine="0"/>
                    <w:jc w:val="left"/>
                    <w:rPr>
                      <w:sz w:val="15"/>
                    </w:rPr>
                  </w:pPr>
                  <w:r>
                    <w:rPr>
                      <w:spacing w:val="-1"/>
                      <w:w w:val="99"/>
                      <w:sz w:val="15"/>
                    </w:rPr>
                    <w:t>F</w:t>
                  </w:r>
                  <w:r>
                    <w:rPr>
                      <w:w w:val="99"/>
                      <w:sz w:val="15"/>
                    </w:rPr>
                    <w:t>recuencia</w:t>
                  </w:r>
                </w:p>
              </w:txbxContent>
            </v:textbox>
            <w10:wrap type="none"/>
          </v:shape>
        </w:pict>
      </w:r>
      <w:r>
        <w:rPr>
          <w:w w:val="105"/>
          <w:sz w:val="12"/>
        </w:rPr>
        <w:t>60</w:t>
      </w:r>
    </w:p>
    <w:p>
      <w:pPr>
        <w:pStyle w:val="BodyText"/>
        <w:rPr>
          <w:sz w:val="20"/>
        </w:rPr>
      </w:pPr>
    </w:p>
    <w:p>
      <w:pPr>
        <w:pStyle w:val="BodyText"/>
        <w:rPr>
          <w:sz w:val="12"/>
        </w:rPr>
      </w:pPr>
    </w:p>
    <w:p>
      <w:pPr>
        <w:spacing w:before="91"/>
        <w:ind w:left="2624" w:right="0" w:firstLine="0"/>
        <w:jc w:val="left"/>
        <w:rPr>
          <w:sz w:val="12"/>
        </w:rPr>
      </w:pPr>
      <w:r>
        <w:rPr>
          <w:w w:val="105"/>
          <w:sz w:val="12"/>
        </w:rPr>
        <w:t>40</w:t>
      </w:r>
    </w:p>
    <w:p>
      <w:pPr>
        <w:pStyle w:val="BodyText"/>
        <w:rPr>
          <w:sz w:val="20"/>
        </w:rPr>
      </w:pPr>
    </w:p>
    <w:p>
      <w:pPr>
        <w:pStyle w:val="BodyText"/>
        <w:rPr>
          <w:sz w:val="12"/>
        </w:rPr>
      </w:pPr>
    </w:p>
    <w:p>
      <w:pPr>
        <w:spacing w:before="91"/>
        <w:ind w:left="2624" w:right="0" w:firstLine="0"/>
        <w:jc w:val="left"/>
        <w:rPr>
          <w:sz w:val="12"/>
        </w:rPr>
      </w:pPr>
      <w:r>
        <w:rPr>
          <w:w w:val="105"/>
          <w:sz w:val="12"/>
        </w:rPr>
        <w:t>20</w:t>
      </w:r>
    </w:p>
    <w:p>
      <w:pPr>
        <w:pStyle w:val="BodyText"/>
        <w:rPr>
          <w:sz w:val="20"/>
        </w:rPr>
      </w:pPr>
    </w:p>
    <w:p>
      <w:pPr>
        <w:pStyle w:val="BodyText"/>
        <w:rPr>
          <w:sz w:val="12"/>
        </w:rPr>
      </w:pPr>
    </w:p>
    <w:p>
      <w:pPr>
        <w:spacing w:before="91"/>
        <w:ind w:left="2692" w:right="0" w:firstLine="0"/>
        <w:jc w:val="left"/>
        <w:rPr>
          <w:sz w:val="12"/>
        </w:rPr>
      </w:pPr>
      <w:r>
        <w:rPr>
          <w:w w:val="102"/>
          <w:sz w:val="12"/>
        </w:rPr>
        <w:t>0</w:t>
      </w:r>
    </w:p>
    <w:p>
      <w:pPr>
        <w:tabs>
          <w:tab w:pos="269" w:val="left" w:leader="none"/>
          <w:tab w:pos="807" w:val="left" w:leader="none"/>
          <w:tab w:pos="1346" w:val="left" w:leader="none"/>
          <w:tab w:pos="1884" w:val="left" w:leader="none"/>
        </w:tabs>
        <w:spacing w:before="25"/>
        <w:ind w:left="0" w:right="1143" w:firstLine="0"/>
        <w:jc w:val="center"/>
        <w:rPr>
          <w:sz w:val="12"/>
        </w:rPr>
      </w:pPr>
      <w:r>
        <w:rPr>
          <w:w w:val="105"/>
          <w:sz w:val="12"/>
        </w:rPr>
        <w:t>1</w:t>
        <w:tab/>
        <w:t>2    </w:t>
      </w:r>
      <w:r>
        <w:rPr>
          <w:spacing w:val="21"/>
          <w:w w:val="105"/>
          <w:sz w:val="12"/>
        </w:rPr>
        <w:t> </w:t>
      </w:r>
      <w:r>
        <w:rPr>
          <w:w w:val="105"/>
          <w:sz w:val="12"/>
        </w:rPr>
        <w:t>3</w:t>
        <w:tab/>
        <w:t>4    </w:t>
      </w:r>
      <w:r>
        <w:rPr>
          <w:spacing w:val="21"/>
          <w:w w:val="105"/>
          <w:sz w:val="12"/>
        </w:rPr>
        <w:t> </w:t>
      </w:r>
      <w:r>
        <w:rPr>
          <w:w w:val="105"/>
          <w:sz w:val="12"/>
        </w:rPr>
        <w:t>5</w:t>
        <w:tab/>
        <w:t>6    </w:t>
      </w:r>
      <w:r>
        <w:rPr>
          <w:spacing w:val="21"/>
          <w:w w:val="105"/>
          <w:sz w:val="12"/>
        </w:rPr>
        <w:t> </w:t>
      </w:r>
      <w:r>
        <w:rPr>
          <w:w w:val="105"/>
          <w:sz w:val="12"/>
        </w:rPr>
        <w:t>7</w:t>
        <w:tab/>
        <w:t>8      9     10    11    12    13    14</w:t>
      </w:r>
      <w:r>
        <w:rPr>
          <w:spacing w:val="18"/>
          <w:w w:val="105"/>
          <w:sz w:val="12"/>
        </w:rPr>
        <w:t> </w:t>
      </w:r>
      <w:r>
        <w:rPr>
          <w:w w:val="105"/>
          <w:sz w:val="12"/>
        </w:rPr>
        <w:t>15</w:t>
      </w:r>
    </w:p>
    <w:p>
      <w:pPr>
        <w:spacing w:before="70"/>
        <w:ind w:left="0" w:right="1180" w:firstLine="0"/>
        <w:jc w:val="center"/>
        <w:rPr>
          <w:sz w:val="15"/>
        </w:rPr>
      </w:pPr>
      <w:r>
        <w:rPr>
          <w:sz w:val="15"/>
        </w:rPr>
        <w:t>Tamaño (nm)</w:t>
      </w:r>
    </w:p>
    <w:p>
      <w:pPr>
        <w:pStyle w:val="BodyText"/>
        <w:rPr>
          <w:sz w:val="20"/>
        </w:rPr>
      </w:pPr>
    </w:p>
    <w:p>
      <w:pPr>
        <w:pStyle w:val="BodyText"/>
        <w:spacing w:before="5"/>
        <w:rPr>
          <w:sz w:val="21"/>
        </w:rPr>
      </w:pPr>
    </w:p>
    <w:p>
      <w:pPr>
        <w:pStyle w:val="BodyText"/>
        <w:spacing w:line="360" w:lineRule="auto" w:before="70"/>
        <w:ind w:left="160" w:right="1435"/>
        <w:jc w:val="both"/>
      </w:pPr>
      <w:r>
        <w:rPr>
          <w:b/>
        </w:rPr>
        <w:t>Figura 14. </w:t>
      </w:r>
      <w:r>
        <w:rPr/>
        <w:t>Histograma de la distribución de tamaño de Np-Ag reducidas por Borohidruro de sodio</w:t>
      </w:r>
      <w:r>
        <w:rPr>
          <w:i/>
        </w:rPr>
        <w:t>, </w:t>
      </w:r>
      <w:r>
        <w:rPr/>
        <w:t>con el cual se obtuvieron nanopartículas que van de 1nm hasta 14nm, tamaño promedio de 8.28nm, teniendo una desviación estándar de</w:t>
      </w:r>
      <w:r>
        <w:rPr>
          <w:spacing w:val="-24"/>
        </w:rPr>
        <w:t> </w:t>
      </w:r>
      <w:r>
        <w:rPr/>
        <w:t>4.33</w:t>
      </w:r>
    </w:p>
    <w:p>
      <w:pPr>
        <w:pStyle w:val="BodyText"/>
      </w:pPr>
    </w:p>
    <w:p>
      <w:pPr>
        <w:pStyle w:val="BodyText"/>
      </w:pPr>
    </w:p>
    <w:p>
      <w:pPr>
        <w:pStyle w:val="BodyText"/>
        <w:spacing w:before="166"/>
        <w:ind w:left="160"/>
        <w:jc w:val="both"/>
      </w:pPr>
      <w:r>
        <w:rPr/>
        <w:t>Finalmente se presentan los resultados del análisis microbiológico de la etapa tres:</w:t>
      </w:r>
    </w:p>
    <w:p>
      <w:pPr>
        <w:pStyle w:val="BodyText"/>
      </w:pPr>
    </w:p>
    <w:p>
      <w:pPr>
        <w:pStyle w:val="BodyText"/>
      </w:pPr>
    </w:p>
    <w:p>
      <w:pPr>
        <w:pStyle w:val="BodyText"/>
      </w:pPr>
    </w:p>
    <w:p>
      <w:pPr>
        <w:spacing w:line="480" w:lineRule="auto" w:before="0"/>
        <w:ind w:left="160" w:right="1434" w:firstLine="0"/>
        <w:jc w:val="both"/>
        <w:rPr>
          <w:i/>
          <w:sz w:val="24"/>
        </w:rPr>
      </w:pPr>
      <w:r>
        <w:rPr/>
        <w:pict>
          <v:group style="position:absolute;margin-left:318.070007pt;margin-top:132.499847pt;width:165.45pt;height:135.450pt;mso-position-horizontal-relative:page;mso-position-vertical-relative:paragraph;z-index:-189328" coordorigin="6361,2650" coordsize="3309,2709">
            <v:shape style="position:absolute;left:6401;top:2690;width:3229;height:2629" type="#_x0000_t75" stroked="false">
              <v:imagedata r:id="rId194" o:title=""/>
            </v:shape>
            <v:shape style="position:absolute;left:6394;top:2683;width:414;height:447" type="#_x0000_t75" stroked="false">
              <v:imagedata r:id="rId195" o:title=""/>
            </v:shape>
            <v:shape style="position:absolute;left:6381;top:2670;width:3269;height:2669" type="#_x0000_t202" filled="false" stroked="true" strokeweight="2pt" strokecolor="#4f81bc">
              <v:textbox inset="0,0,0,0">
                <w:txbxContent>
                  <w:p>
                    <w:pPr>
                      <w:spacing w:before="81"/>
                      <w:ind w:left="152" w:right="0" w:firstLine="0"/>
                      <w:jc w:val="left"/>
                      <w:rPr>
                        <w:rFonts w:ascii="Calibri"/>
                        <w:sz w:val="22"/>
                      </w:rPr>
                    </w:pPr>
                    <w:r>
                      <w:rPr>
                        <w:rFonts w:ascii="Calibri"/>
                        <w:w w:val="100"/>
                        <w:sz w:val="22"/>
                      </w:rPr>
                      <w:t>b</w:t>
                    </w:r>
                  </w:p>
                </w:txbxContent>
              </v:textbox>
              <w10:wrap type="none"/>
            </v:shape>
            <w10:wrap type="none"/>
          </v:group>
        </w:pict>
      </w:r>
      <w:r>
        <w:rPr/>
        <w:pict>
          <v:group style="position:absolute;margin-left:124pt;margin-top:131.930847pt;width:170.9pt;height:135.450pt;mso-position-horizontal-relative:page;mso-position-vertical-relative:paragraph;z-index:-189280" coordorigin="2480,2639" coordsize="3418,2709">
            <v:shape style="position:absolute;left:2520;top:2679;width:3337;height:2629" type="#_x0000_t75" stroked="false">
              <v:imagedata r:id="rId196" o:title=""/>
            </v:shape>
            <v:shape style="position:absolute;left:2513;top:2682;width:414;height:447" type="#_x0000_t75" stroked="false">
              <v:imagedata r:id="rId195" o:title=""/>
            </v:shape>
            <v:shape style="position:absolute;left:2500;top:2659;width:3378;height:2669" type="#_x0000_t202" filled="false" stroked="true" strokeweight="2pt" strokecolor="#4f81bc">
              <v:textbox inset="0,0,0,0">
                <w:txbxContent>
                  <w:p>
                    <w:pPr>
                      <w:spacing w:before="93"/>
                      <w:ind w:left="151" w:right="0" w:firstLine="0"/>
                      <w:jc w:val="left"/>
                      <w:rPr>
                        <w:rFonts w:ascii="Calibri"/>
                        <w:sz w:val="22"/>
                      </w:rPr>
                    </w:pPr>
                    <w:r>
                      <w:rPr>
                        <w:rFonts w:ascii="Calibri"/>
                        <w:w w:val="100"/>
                        <w:sz w:val="22"/>
                      </w:rPr>
                      <w:t>a</w:t>
                    </w:r>
                  </w:p>
                </w:txbxContent>
              </v:textbox>
              <w10:wrap type="none"/>
            </v:shape>
            <w10:wrap type="none"/>
          </v:group>
        </w:pict>
      </w:r>
      <w:r>
        <w:rPr>
          <w:sz w:val="24"/>
        </w:rPr>
        <w:t>En la figura 15 se presentan los resultados de la etapa final, de los halos inhibitorios obtenidos mediante la evaluación </w:t>
      </w:r>
      <w:r>
        <w:rPr>
          <w:i/>
          <w:sz w:val="24"/>
        </w:rPr>
        <w:t>in vitro </w:t>
      </w:r>
      <w:r>
        <w:rPr>
          <w:sz w:val="24"/>
        </w:rPr>
        <w:t>del efecto antibacteriano de Np-Ag </w:t>
      </w:r>
      <w:r>
        <w:rPr>
          <w:i/>
          <w:sz w:val="24"/>
        </w:rPr>
        <w:t>versus </w:t>
      </w:r>
      <w:r>
        <w:rPr>
          <w:sz w:val="24"/>
        </w:rPr>
        <w:t>Clorhexidna. Se observan los halos inhibitorios de las Np-Ag sintetizadas por </w:t>
      </w:r>
      <w:r>
        <w:rPr>
          <w:i/>
          <w:sz w:val="24"/>
        </w:rPr>
        <w:t>Heterotheca inuloides </w:t>
      </w:r>
      <w:r>
        <w:rPr>
          <w:sz w:val="24"/>
        </w:rPr>
        <w:t>y Np-Ag sintetizadas por </w:t>
      </w:r>
      <w:r>
        <w:rPr>
          <w:i/>
          <w:sz w:val="24"/>
        </w:rPr>
        <w:t>Camellia sinensis </w:t>
      </w:r>
      <w:r>
        <w:rPr>
          <w:sz w:val="24"/>
        </w:rPr>
        <w:t>los cuales muestran un efecto inhibitorio contra </w:t>
      </w:r>
      <w:r>
        <w:rPr>
          <w:i/>
          <w:sz w:val="24"/>
        </w:rPr>
        <w:t>Streptoccus mutans </w:t>
      </w:r>
      <w:r>
        <w:rPr>
          <w:sz w:val="24"/>
        </w:rPr>
        <w:t>y </w:t>
      </w:r>
      <w:r>
        <w:rPr>
          <w:i/>
          <w:sz w:val="24"/>
        </w:rPr>
        <w:t>Lactobacillus casei</w:t>
      </w:r>
    </w:p>
    <w:p>
      <w:pPr>
        <w:spacing w:after="0" w:line="480" w:lineRule="auto"/>
        <w:jc w:val="both"/>
        <w:rPr>
          <w:sz w:val="24"/>
        </w:rPr>
        <w:sectPr>
          <w:pgSz w:w="12240" w:h="15840"/>
          <w:pgMar w:header="736" w:footer="1024" w:top="1180" w:bottom="1220" w:left="1280" w:right="0"/>
        </w:sectPr>
      </w:pPr>
    </w:p>
    <w:p>
      <w:pPr>
        <w:pStyle w:val="BodyText"/>
        <w:spacing w:before="11"/>
        <w:rPr>
          <w:i/>
          <w:sz w:val="16"/>
        </w:rPr>
      </w:pPr>
      <w:r>
        <w:rPr/>
        <w:pict>
          <v:group style="position:absolute;margin-left:198.800003pt;margin-top:430.75pt;width:99.4pt;height:90.7pt;mso-position-horizontal-relative:page;mso-position-vertical-relative:page;z-index:-189160" coordorigin="3976,8615" coordsize="1988,1814">
            <v:shape style="position:absolute;left:3996;top:8635;width:1948;height:1774" coordorigin="3996,8635" coordsize="1948,1774" path="m3996,9522l3999,9449,4009,9378,4024,9309,4046,9242,4073,9177,4105,9114,4142,9055,4184,8998,4230,8945,4281,8895,4336,8849,4395,8806,4457,8768,4522,8734,4591,8705,4662,8680,4736,8661,4812,8647,4890,8638,4970,8635,5050,8638,5128,8647,5204,8661,5278,8680,5349,8705,5418,8734,5483,8768,5545,8806,5604,8849,5659,8895,5710,8945,5756,8998,5798,9055,5835,9114,5867,9177,5894,9242,5916,9309,5931,9378,5941,9449,5944,9522,5941,9595,5931,9666,5916,9735,5894,9802,5867,9867,5835,9930,5798,9989,5756,10046,5710,10099,5659,10149,5604,10195,5545,10238,5483,10276,5418,10310,5349,10339,5278,10364,5204,10383,5128,10397,5050,10406,4970,10409,4890,10406,4812,10397,4736,10383,4662,10364,4591,10339,4522,10310,4457,10276,4395,10238,4336,10195,4281,10149,4230,10099,4184,10046,4142,9989,4105,9930,4073,9867,4046,9802,4024,9735,4009,9666,3999,9595,3996,9522xe" filled="false" stroked="true" strokeweight="2pt" strokecolor="#385d89">
              <v:path arrowok="t"/>
            </v:shape>
            <v:shape style="position:absolute;left:4386;top:8934;width:414;height:417" coordorigin="4386,8934" coordsize="414,417" path="m4593,8934l4528,8945,4471,8975,4426,9020,4397,9077,4386,9143,4397,9209,4426,9266,4471,9311,4528,9341,4593,9351,4659,9341,4715,9311,4760,9266,4790,9209,4800,9143,4790,9077,4760,9020,4715,8975,4659,8945,4593,8934xe" filled="true" fillcolor="#00af50" stroked="false">
              <v:path arrowok="t"/>
              <v:fill type="solid"/>
            </v:shape>
            <v:shape style="position:absolute;left:4386;top:8934;width:414;height:417" coordorigin="4386,8934" coordsize="414,417" path="m4386,9143l4397,9077,4426,9020,4471,8975,4528,8945,4593,8934,4659,8945,4715,8975,4760,9020,4790,9077,4800,9143,4790,9209,4760,9266,4715,9311,4659,9341,4593,9351,4528,9341,4471,9311,4426,9266,4397,9209,4386,9143xe" filled="false" stroked="true" strokeweight="2.0pt" strokecolor="#00af50">
              <v:path arrowok="t"/>
            </v:shape>
            <v:shape style="position:absolute;left:4394;top:9636;width:414;height:417" coordorigin="4394,9636" coordsize="414,417" path="m4394,9844l4405,9778,4434,9721,4479,9676,4536,9646,4601,9636,4667,9646,4724,9676,4768,9721,4798,9778,4808,9844,4798,9910,4768,9967,4724,10012,4667,10042,4601,10053,4536,10042,4479,10012,4434,9967,4405,9910,4394,9844xe" filled="false" stroked="true" strokeweight="2pt" strokecolor="#385d89">
              <v:path arrowok="t"/>
            </v:shape>
            <v:shape style="position:absolute;left:5134;top:9626;width:414;height:417" coordorigin="5134,9626" coordsize="414,417" path="m5341,9626l5276,9637,5219,9667,5174,9712,5145,9769,5134,9835,5145,9901,5174,9958,5219,10003,5276,10033,5341,10043,5406,10033,5463,10003,5508,9958,5537,9901,5548,9835,5537,9769,5508,9712,5463,9667,5406,9637,5341,9626xe" filled="true" fillcolor="#4f81bc" stroked="false">
              <v:path arrowok="t"/>
              <v:fill type="solid"/>
            </v:shape>
            <v:shape style="position:absolute;left:5134;top:9626;width:414;height:417" coordorigin="5134,9626" coordsize="414,417" path="m5134,9835l5145,9769,5174,9712,5219,9667,5276,9637,5341,9626,5406,9637,5463,9667,5508,9712,5537,9769,5548,9835,5537,9901,5508,9958,5463,10003,5406,10033,5341,10043,5276,10033,5219,10003,5174,9958,5145,9901,5134,9835xe" filled="false" stroked="true" strokeweight="2.0pt" strokecolor="#385d89">
              <v:path arrowok="t"/>
            </v:shape>
            <v:shape style="position:absolute;left:5118;top:8934;width:414;height:417" coordorigin="5118,8934" coordsize="414,417" path="m5325,8934l5259,8945,5203,8975,5158,9020,5128,9077,5118,9143,5128,9209,5158,9266,5203,9311,5259,9341,5325,9351,5390,9341,5447,9311,5492,9266,5521,9209,5532,9143,5521,9077,5492,9020,5447,8975,5390,8945,5325,8934xe" filled="true" fillcolor="#c0504d" stroked="false">
              <v:path arrowok="t"/>
              <v:fill type="solid"/>
            </v:shape>
            <v:shape style="position:absolute;left:5118;top:8934;width:414;height:417" coordorigin="5118,8934" coordsize="414,417" path="m5118,9143l5128,9077,5158,9020,5203,8975,5259,8945,5325,8934,5390,8945,5447,8975,5492,9020,5521,9077,5532,9143,5521,9209,5492,9266,5447,9311,5390,9341,5325,9351,5259,9341,5203,9311,5158,9266,5128,9209,5118,9143xe" filled="false" stroked="true" strokeweight="2.0pt" strokecolor="#c0504d">
              <v:path arrowok="t"/>
            </v:shape>
            <v:shape style="position:absolute;left:5052;top:9372;width:670;height:115" type="#_x0000_t75" stroked="false">
              <v:imagedata r:id="rId197" o:title=""/>
            </v:shape>
            <v:shape style="position:absolute;left:4332;top:9094;width:559;height:110" type="#_x0000_t75" stroked="false">
              <v:imagedata r:id="rId144" o:title=""/>
            </v:shape>
            <v:shape style="position:absolute;left:5057;top:9094;width:569;height:144" type="#_x0000_t75" stroked="false">
              <v:imagedata r:id="rId118" o:title=""/>
            </v:shape>
            <v:shape style="position:absolute;left:5093;top:9794;width:554;height:113" type="#_x0000_t75" stroked="false">
              <v:imagedata r:id="rId144" o:title=""/>
            </v:shape>
            <v:shape style="position:absolute;left:4296;top:9372;width:665;height:115" type="#_x0000_t75" stroked="false">
              <v:imagedata r:id="rId197" o:title=""/>
            </v:shape>
            <v:shape style="position:absolute;left:5069;top:10078;width:660;height:144" type="#_x0000_t75" stroked="false">
              <v:imagedata r:id="rId198" o:title=""/>
            </v:shape>
            <w10:wrap type="none"/>
          </v:group>
        </w:pict>
      </w:r>
      <w:r>
        <w:rPr/>
        <w:pict>
          <v:group style="position:absolute;margin-left:197.449997pt;margin-top:547.789978pt;width:99.4pt;height:90.7pt;mso-position-horizontal-relative:page;mso-position-vertical-relative:page;z-index:-189136" coordorigin="3949,10956" coordsize="1988,1814">
            <v:shape style="position:absolute;left:3969;top:10976;width:1948;height:1774" coordorigin="3969,10976" coordsize="1948,1774" path="m3969,11863l3972,11790,3982,11719,3997,11650,4019,11582,4046,11518,4078,11455,4115,11396,4157,11339,4203,11286,4254,11236,4309,11189,4368,11147,4430,11109,4495,11075,4564,11046,4635,11021,4709,11002,4785,10987,4863,10979,4943,10976,5023,10979,5101,10987,5177,11002,5251,11021,5322,11046,5391,11075,5456,11109,5518,11147,5577,11189,5632,11236,5683,11286,5729,11339,5771,11396,5808,11455,5840,11518,5867,11582,5889,11650,5904,11719,5914,11790,5917,11863,5914,11936,5904,12007,5889,12076,5867,12143,5840,12208,5808,12270,5771,12330,5729,12387,5683,12440,5632,12490,5577,12536,5518,12579,5456,12617,5391,12651,5322,12680,5251,12705,5177,12724,5101,12738,5023,12747,4943,12750,4863,12747,4785,12738,4709,12724,4635,12705,4564,12680,4495,12651,4430,12617,4368,12579,4309,12536,4254,12490,4203,12440,4157,12387,4115,12330,4078,12270,4046,12208,4019,12143,3997,12076,3982,12007,3972,11936,3969,11863xe" filled="false" stroked="true" strokeweight="2pt" strokecolor="#385d89">
              <v:path arrowok="t"/>
            </v:shape>
            <v:shape style="position:absolute;left:4359;top:11275;width:414;height:417" coordorigin="4359,11275" coordsize="414,417" path="m4566,11275l4501,11286,4444,11315,4399,11360,4370,11418,4359,11484,4370,11549,4399,11607,4444,11652,4501,11681,4566,11692,4632,11681,4688,11652,4733,11607,4763,11549,4773,11484,4763,11418,4733,11360,4688,11315,4632,11286,4566,11275xe" filled="true" fillcolor="#00af50" stroked="false">
              <v:path arrowok="t"/>
              <v:fill type="solid"/>
            </v:shape>
            <v:shape style="position:absolute;left:4359;top:11275;width:414;height:417" coordorigin="4359,11275" coordsize="414,417" path="m4359,11484l4370,11418,4399,11360,4444,11315,4501,11286,4566,11275,4632,11286,4688,11315,4733,11360,4763,11418,4773,11484,4763,11549,4733,11607,4688,11652,4632,11681,4566,11692,4501,11681,4444,11652,4399,11607,4370,11549,4359,11484xe" filled="false" stroked="true" strokeweight="2pt" strokecolor="#00af50">
              <v:path arrowok="t"/>
            </v:shape>
            <v:shape style="position:absolute;left:4367;top:11977;width:414;height:417" coordorigin="4367,11977" coordsize="414,417" path="m4367,12185l4378,12119,4407,12062,4452,12017,4509,11987,4574,11977,4640,11987,4697,12017,4741,12062,4771,12119,4781,12185,4771,12251,4741,12308,4697,12353,4640,12383,4574,12394,4509,12383,4452,12353,4407,12308,4378,12251,4367,12185xe" filled="false" stroked="true" strokeweight="2pt" strokecolor="#385d89">
              <v:path arrowok="t"/>
            </v:shape>
            <v:shape style="position:absolute;left:5107;top:11967;width:414;height:417" coordorigin="5107,11967" coordsize="414,417" path="m5314,11967l5249,11978,5192,12008,5147,12053,5118,12110,5107,12176,5118,12242,5147,12299,5192,12344,5249,12374,5314,12384,5379,12374,5436,12344,5481,12299,5510,12242,5521,12176,5510,12110,5481,12053,5436,12008,5379,11978,5314,11967xe" filled="true" fillcolor="#4f81bc" stroked="false">
              <v:path arrowok="t"/>
              <v:fill type="solid"/>
            </v:shape>
            <v:shape style="position:absolute;left:5107;top:11967;width:414;height:417" coordorigin="5107,11967" coordsize="414,417" path="m5107,12176l5118,12110,5147,12053,5192,12008,5249,11978,5314,11967,5379,11978,5436,12008,5481,12053,5510,12110,5521,12176,5510,12242,5481,12299,5436,12344,5379,12374,5314,12384,5249,12374,5192,12344,5147,12299,5118,12242,5107,12176xe" filled="false" stroked="true" strokeweight="2pt" strokecolor="#385d89">
              <v:path arrowok="t"/>
            </v:shape>
            <v:shape style="position:absolute;left:5091;top:11275;width:414;height:417" coordorigin="5091,11275" coordsize="414,417" path="m5298,11275l5232,11286,5176,11315,5131,11360,5101,11418,5091,11484,5101,11549,5131,11607,5176,11652,5232,11681,5298,11692,5363,11681,5420,11652,5465,11607,5494,11549,5505,11484,5494,11418,5465,11360,5420,11315,5363,11286,5298,11275xe" filled="true" fillcolor="#c0504d" stroked="false">
              <v:path arrowok="t"/>
              <v:fill type="solid"/>
            </v:shape>
            <v:shape style="position:absolute;left:5091;top:11275;width:414;height:417" coordorigin="5091,11275" coordsize="414,417" path="m5091,11484l5101,11418,5131,11360,5176,11315,5232,11286,5298,11275,5363,11286,5420,11315,5465,11360,5494,11418,5505,11484,5494,11549,5465,11607,5420,11652,5363,11681,5298,11692,5232,11681,5176,11652,5131,11607,5101,11549,5091,11484xe" filled="false" stroked="true" strokeweight="2pt" strokecolor="#c0504d">
              <v:path arrowok="t"/>
            </v:shape>
            <v:shape style="position:absolute;left:4973;top:11714;width:722;height:173" type="#_x0000_t75" stroked="false">
              <v:imagedata r:id="rId199" o:title=""/>
            </v:shape>
            <v:shape style="position:absolute;left:4294;top:11434;width:569;height:113" type="#_x0000_t75" stroked="false">
              <v:imagedata r:id="rId120" o:title=""/>
            </v:shape>
            <v:shape style="position:absolute;left:5066;top:11434;width:533;height:113" type="#_x0000_t75" stroked="false">
              <v:imagedata r:id="rId121" o:title=""/>
            </v:shape>
            <v:shape style="position:absolute;left:5066;top:12134;width:552;height:113" type="#_x0000_t75" stroked="false">
              <v:imagedata r:id="rId200" o:title=""/>
            </v:shape>
            <v:shape style="position:absolute;left:4219;top:11714;width:787;height:113" type="#_x0000_t75" stroked="false">
              <v:imagedata r:id="rId201" o:title=""/>
            </v:shape>
            <v:shape style="position:absolute;left:5021;top:12418;width:682;height:113" type="#_x0000_t75" stroked="false">
              <v:imagedata r:id="rId202" o:title=""/>
            </v:shape>
            <w10:wrap type="none"/>
          </v:group>
        </w:pict>
      </w:r>
      <w:r>
        <w:rPr/>
        <w:pict>
          <v:group style="position:absolute;margin-left:314.100006pt;margin-top:432.299988pt;width:99.4pt;height:90.7pt;mso-position-horizontal-relative:page;mso-position-vertical-relative:page;z-index:-189112" coordorigin="6282,8646" coordsize="1988,1814">
            <v:shape style="position:absolute;left:6302;top:8666;width:1948;height:1774" coordorigin="6302,8666" coordsize="1948,1774" path="m6302,9553l6305,9480,6315,9409,6330,9340,6352,9273,6379,9208,6411,9145,6448,9086,6490,9029,6536,8976,6587,8926,6642,8880,6701,8837,6763,8799,6828,8765,6897,8736,6968,8711,7042,8692,7118,8678,7196,8669,7276,8666,7356,8669,7434,8678,7510,8692,7584,8711,7655,8736,7724,8765,7789,8799,7851,8837,7910,8880,7965,8926,8016,8976,8062,9029,8104,9086,8141,9145,8173,9208,8200,9273,8222,9340,8237,9409,8247,9480,8250,9553,8247,9626,8237,9697,8222,9766,8200,9833,8173,9898,8141,9961,8104,10020,8062,10077,8016,10130,7965,10180,7910,10226,7851,10269,7789,10307,7724,10341,7655,10370,7584,10395,7510,10414,7434,10428,7356,10437,7276,10440,7196,10437,7118,10428,7042,10414,6968,10395,6897,10370,6828,10341,6763,10307,6701,10269,6642,10226,6587,10180,6536,10130,6490,10077,6448,10020,6411,9961,6379,9898,6352,9833,6330,9766,6315,9697,6305,9626,6302,9553xe" filled="false" stroked="true" strokeweight="2pt" strokecolor="#385d89">
              <v:path arrowok="t"/>
            </v:shape>
            <v:shape style="position:absolute;left:6692;top:8965;width:414;height:417" coordorigin="6692,8965" coordsize="414,417" path="m6899,8965l6834,8976,6777,9006,6732,9051,6703,9108,6692,9174,6703,9240,6732,9297,6777,9342,6834,9372,6899,9382,6965,9372,7021,9342,7066,9297,7096,9240,7106,9174,7096,9108,7066,9051,7021,9006,6965,8976,6899,8965xe" filled="true" fillcolor="#00af50" stroked="false">
              <v:path arrowok="t"/>
              <v:fill type="solid"/>
            </v:shape>
            <v:shape style="position:absolute;left:6692;top:8965;width:414;height:417" coordorigin="6692,8965" coordsize="414,417" path="m6692,9174l6703,9108,6732,9051,6777,9006,6834,8976,6899,8965,6965,8976,7021,9006,7066,9051,7096,9108,7106,9174,7096,9240,7066,9297,7021,9342,6965,9372,6899,9382,6834,9372,6777,9342,6732,9297,6703,9240,6692,9174xe" filled="false" stroked="true" strokeweight="2pt" strokecolor="#00af50">
              <v:path arrowok="t"/>
            </v:shape>
            <v:shape style="position:absolute;left:6700;top:9667;width:414;height:417" coordorigin="6700,9667" coordsize="414,417" path="m6700,9875l6711,9809,6740,9752,6785,9707,6842,9677,6907,9667,6973,9677,7029,9707,7074,9752,7104,9809,7114,9875,7104,9941,7074,9998,7029,10043,6973,10073,6907,10084,6842,10073,6785,10043,6740,9998,6711,9941,6700,9875xe" filled="false" stroked="true" strokeweight="2pt" strokecolor="#385d89">
              <v:path arrowok="t"/>
            </v:shape>
            <v:shape style="position:absolute;left:7440;top:9657;width:414;height:417" coordorigin="7440,9657" coordsize="414,417" path="m7647,9657l7582,9668,7525,9698,7480,9743,7451,9800,7440,9866,7451,9932,7480,9989,7525,10034,7582,10064,7647,10074,7712,10064,7769,10034,7814,9989,7843,9932,7854,9866,7843,9800,7814,9743,7769,9698,7712,9668,7647,9657xe" filled="true" fillcolor="#4f81bc" stroked="false">
              <v:path arrowok="t"/>
              <v:fill type="solid"/>
            </v:shape>
            <v:shape style="position:absolute;left:7440;top:9657;width:414;height:417" coordorigin="7440,9657" coordsize="414,417" path="m7440,9866l7451,9800,7480,9743,7525,9698,7582,9668,7647,9657,7712,9668,7769,9698,7814,9743,7843,9800,7854,9866,7843,9932,7814,9989,7769,10034,7712,10064,7647,10074,7582,10064,7525,10034,7480,9989,7451,9932,7440,9866xe" filled="false" stroked="true" strokeweight="2.0pt" strokecolor="#385d89">
              <v:path arrowok="t"/>
            </v:shape>
            <v:shape style="position:absolute;left:7424;top:8965;width:414;height:417" coordorigin="7424,8965" coordsize="414,417" path="m7631,8965l7565,8976,7509,9006,7464,9051,7434,9108,7424,9174,7434,9240,7464,9297,7509,9342,7565,9372,7631,9382,7696,9372,7753,9342,7798,9297,7827,9240,7838,9174,7827,9108,7798,9051,7753,9006,7696,8976,7631,8965xe" filled="true" fillcolor="#c0504d" stroked="false">
              <v:path arrowok="t"/>
              <v:fill type="solid"/>
            </v:shape>
            <v:shape style="position:absolute;left:7424;top:8965;width:414;height:417" coordorigin="7424,8965" coordsize="414,417" path="m7424,9174l7434,9108,7464,9051,7509,9006,7565,8976,7631,8965,7696,8976,7753,9006,7798,9051,7827,9108,7838,9174,7827,9240,7798,9297,7753,9342,7696,9372,7631,9382,7565,9372,7509,9342,7464,9297,7434,9240,7424,9174xe" filled="false" stroked="true" strokeweight="2pt" strokecolor="#c0504d">
              <v:path arrowok="t"/>
            </v:shape>
            <v:shape style="position:absolute;left:7358;top:9403;width:670;height:113" type="#_x0000_t75" stroked="false">
              <v:imagedata r:id="rId197" o:title=""/>
            </v:shape>
            <v:shape style="position:absolute;left:6638;top:9125;width:557;height:110" type="#_x0000_t75" stroked="false">
              <v:imagedata r:id="rId144" o:title=""/>
            </v:shape>
            <v:shape style="position:absolute;left:7363;top:9125;width:569;height:144" type="#_x0000_t75" stroked="false">
              <v:imagedata r:id="rId118" o:title=""/>
            </v:shape>
            <v:shape style="position:absolute;left:7399;top:9826;width:552;height:110" type="#_x0000_t75" stroked="false">
              <v:imagedata r:id="rId200" o:title=""/>
            </v:shape>
            <v:shape style="position:absolute;left:6602;top:9403;width:665;height:113" type="#_x0000_t75" stroked="false">
              <v:imagedata r:id="rId197" o:title=""/>
            </v:shape>
            <v:shape style="position:absolute;left:7375;top:10109;width:660;height:168" type="#_x0000_t75" stroked="false">
              <v:imagedata r:id="rId203" o:title=""/>
            </v:shape>
            <w10:wrap type="none"/>
          </v:group>
        </w:pict>
      </w:r>
      <w:r>
        <w:rPr/>
        <w:pict>
          <v:group style="position:absolute;margin-left:431.549988pt;margin-top:431.899994pt;width:99.4pt;height:90.7pt;mso-position-horizontal-relative:page;mso-position-vertical-relative:page;z-index:-189088" coordorigin="8631,8638" coordsize="1988,1814">
            <v:shape style="position:absolute;left:8651;top:8658;width:1948;height:1774" coordorigin="8651,8658" coordsize="1948,1774" path="m8651,9545l8654,9472,8664,9401,8679,9332,8701,9265,8728,9200,8760,9137,8797,9078,8839,9021,8885,8968,8936,8918,8991,8872,9050,8829,9112,8791,9177,8757,9246,8728,9317,8703,9391,8684,9467,8670,9545,8661,9625,8658,9705,8661,9783,8670,9859,8684,9933,8703,10004,8728,10073,8757,10138,8791,10200,8829,10259,8872,10314,8918,10365,8968,10411,9021,10453,9078,10490,9137,10522,9200,10549,9265,10571,9332,10586,9401,10596,9472,10599,9545,10596,9618,10586,9689,10571,9758,10549,9825,10522,9890,10490,9953,10453,10012,10411,10069,10365,10122,10314,10172,10259,10218,10200,10261,10138,10299,10073,10333,10004,10362,9933,10387,9859,10406,9783,10420,9705,10429,9625,10432,9545,10429,9467,10420,9391,10406,9317,10387,9246,10362,9177,10333,9112,10299,9050,10261,8991,10218,8936,10172,8885,10122,8839,10069,8797,10012,8760,9953,8728,9890,8701,9825,8679,9758,8664,9689,8654,9618,8651,9545xe" filled="false" stroked="true" strokeweight="2pt" strokecolor="#385d89">
              <v:path arrowok="t"/>
            </v:shape>
            <v:shape style="position:absolute;left:9041;top:8957;width:414;height:417" coordorigin="9041,8957" coordsize="414,417" path="m9248,8957l9183,8968,9126,8998,9081,9043,9052,9100,9041,9166,9052,9232,9081,9289,9126,9334,9183,9364,9248,9374,9314,9364,9370,9334,9415,9289,9445,9232,9455,9166,9445,9100,9415,9043,9370,8998,9314,8968,9248,8957xe" filled="true" fillcolor="#00af50" stroked="false">
              <v:path arrowok="t"/>
              <v:fill type="solid"/>
            </v:shape>
            <v:shape style="position:absolute;left:9041;top:8957;width:414;height:417" coordorigin="9041,8957" coordsize="414,417" path="m9041,9166l9052,9100,9081,9043,9126,8998,9183,8968,9248,8957,9314,8968,9370,8998,9415,9043,9445,9100,9455,9166,9445,9232,9415,9289,9370,9334,9314,9364,9248,9374,9183,9364,9126,9334,9081,9289,9052,9232,9041,9166xe" filled="false" stroked="true" strokeweight="2.0pt" strokecolor="#00af50">
              <v:path arrowok="t"/>
            </v:shape>
            <v:shape style="position:absolute;left:9049;top:9659;width:414;height:417" coordorigin="9049,9659" coordsize="414,417" path="m9049,9867l9060,9801,9089,9744,9134,9699,9191,9669,9256,9659,9322,9669,9379,9699,9423,9744,9453,9801,9463,9867,9453,9933,9423,9990,9379,10035,9322,10065,9256,10076,9191,10065,9134,10035,9089,9990,9060,9933,9049,9867xe" filled="false" stroked="true" strokeweight="2pt" strokecolor="#385d89">
              <v:path arrowok="t"/>
            </v:shape>
            <v:shape style="position:absolute;left:9789;top:9649;width:414;height:417" coordorigin="9789,9649" coordsize="414,417" path="m9996,9649l9931,9660,9874,9690,9829,9735,9800,9792,9789,9858,9800,9924,9829,9981,9874,10026,9931,10056,9996,10066,10061,10056,10118,10026,10163,9981,10192,9924,10203,9858,10192,9792,10163,9735,10118,9690,10061,9660,9996,9649xe" filled="true" fillcolor="#4f81bc" stroked="false">
              <v:path arrowok="t"/>
              <v:fill type="solid"/>
            </v:shape>
            <v:shape style="position:absolute;left:9789;top:9649;width:414;height:417" coordorigin="9789,9649" coordsize="414,417" path="m9789,9858l9800,9792,9829,9735,9874,9690,9931,9660,9996,9649,10061,9660,10118,9690,10163,9735,10192,9792,10203,9858,10192,9924,10163,9981,10118,10026,10061,10056,9996,10066,9931,10056,9874,10026,9829,9981,9800,9924,9789,9858xe" filled="false" stroked="true" strokeweight="2pt" strokecolor="#385d89">
              <v:path arrowok="t"/>
            </v:shape>
            <v:shape style="position:absolute;left:9773;top:8957;width:414;height:417" coordorigin="9773,8957" coordsize="414,417" path="m9980,8957l9914,8968,9858,8998,9813,9043,9783,9100,9773,9166,9783,9232,9813,9289,9858,9334,9914,9364,9980,9374,10045,9364,10102,9334,10147,9289,10176,9232,10187,9166,10176,9100,10147,9043,10102,8998,10045,8968,9980,8957xe" filled="true" fillcolor="#c0504d" stroked="false">
              <v:path arrowok="t"/>
              <v:fill type="solid"/>
            </v:shape>
            <v:shape style="position:absolute;left:9773;top:8957;width:414;height:417" coordorigin="9773,8957" coordsize="414,417" path="m9773,9166l9783,9100,9813,9043,9858,8998,9914,8968,9980,8957,10045,8968,10102,8998,10147,9043,10176,9100,10187,9166,10176,9232,10147,9289,10102,9334,10045,9364,9980,9374,9914,9364,9858,9334,9813,9289,9783,9232,9773,9166xe" filled="false" stroked="true" strokeweight="2.0pt" strokecolor="#c0504d">
              <v:path arrowok="t"/>
            </v:shape>
            <v:shape style="position:absolute;left:9708;top:9396;width:667;height:113" type="#_x0000_t75" stroked="false">
              <v:imagedata r:id="rId197" o:title=""/>
            </v:shape>
            <v:shape style="position:absolute;left:8988;top:9115;width:557;height:113" type="#_x0000_t75" stroked="false">
              <v:imagedata r:id="rId144" o:title=""/>
            </v:shape>
            <v:shape style="position:absolute;left:9713;top:9115;width:569;height:146" type="#_x0000_t75" stroked="false">
              <v:imagedata r:id="rId118" o:title=""/>
            </v:shape>
            <v:shape style="position:absolute;left:9749;top:9816;width:552;height:113" type="#_x0000_t75" stroked="false">
              <v:imagedata r:id="rId200" o:title=""/>
            </v:shape>
            <v:shape style="position:absolute;left:8952;top:9396;width:665;height:113" type="#_x0000_t75" stroked="false">
              <v:imagedata r:id="rId197" o:title=""/>
            </v:shape>
            <v:shape style="position:absolute;left:9725;top:10099;width:660;height:113" type="#_x0000_t75" stroked="false">
              <v:imagedata r:id="rId204" o:title=""/>
            </v:shape>
            <w10:wrap type="none"/>
          </v:group>
        </w:pict>
      </w:r>
      <w:r>
        <w:rPr/>
        <w:pict>
          <v:group style="position:absolute;margin-left:314.100006pt;margin-top:548.140015pt;width:99.4pt;height:90.7pt;mso-position-horizontal-relative:page;mso-position-vertical-relative:page;z-index:-189064" coordorigin="6282,10963" coordsize="1988,1814">
            <v:shape style="position:absolute;left:6302;top:10983;width:1948;height:1774" coordorigin="6302,10983" coordsize="1948,1774" path="m6302,11870l6305,11797,6315,11726,6330,11657,6352,11589,6379,11525,6411,11462,6448,11403,6490,11346,6536,11293,6587,11243,6642,11196,6701,11154,6763,11116,6828,11082,6897,11053,6968,11028,7042,11009,7118,10994,7196,10986,7276,10983,7356,10986,7434,10994,7510,11009,7584,11028,7655,11053,7724,11082,7789,11116,7851,11154,7910,11196,7965,11243,8016,11293,8062,11346,8104,11403,8141,11462,8173,11525,8200,11589,8222,11657,8237,11726,8247,11797,8250,11870,8247,11943,8237,12014,8222,12083,8200,12150,8173,12215,8141,12277,8104,12337,8062,12394,8016,12447,7965,12497,7910,12543,7851,12586,7789,12624,7724,12658,7655,12687,7584,12712,7510,12731,7434,12745,7356,12754,7276,12757,7196,12754,7118,12745,7042,12731,6968,12712,6897,12687,6828,12658,6763,12624,6701,12586,6642,12543,6587,12497,6536,12447,6490,12394,6448,12337,6411,12277,6379,12215,6352,12150,6330,12083,6315,12014,6305,11943,6302,11870xe" filled="false" stroked="true" strokeweight="2pt" strokecolor="#385d89">
              <v:path arrowok="t"/>
            </v:shape>
            <v:shape style="position:absolute;left:6692;top:11282;width:414;height:417" coordorigin="6692,11282" coordsize="414,417" path="m6899,11282l6834,11293,6777,11322,6732,11367,6703,11425,6692,11491,6703,11556,6732,11614,6777,11659,6834,11688,6899,11699,6965,11688,7021,11659,7066,11614,7096,11556,7106,11491,7096,11425,7066,11367,7021,11322,6965,11293,6899,11282xe" filled="true" fillcolor="#00af50" stroked="false">
              <v:path arrowok="t"/>
              <v:fill type="solid"/>
            </v:shape>
            <v:shape style="position:absolute;left:6692;top:11282;width:414;height:417" coordorigin="6692,11282" coordsize="414,417" path="m6692,11491l6703,11425,6732,11367,6777,11322,6834,11293,6899,11282,6965,11293,7021,11322,7066,11367,7096,11425,7106,11491,7096,11556,7066,11614,7021,11659,6965,11688,6899,11699,6834,11688,6777,11659,6732,11614,6703,11556,6692,11491xe" filled="false" stroked="true" strokeweight="2.0pt" strokecolor="#00af50">
              <v:path arrowok="t"/>
            </v:shape>
            <v:shape style="position:absolute;left:6700;top:11984;width:414;height:417" coordorigin="6700,11984" coordsize="414,417" path="m6700,12192l6711,12126,6740,12069,6785,12024,6842,11994,6907,11984,6973,11994,7030,12024,7074,12069,7104,12126,7114,12192,7104,12258,7074,12315,7030,12360,6973,12390,6907,12401,6842,12390,6785,12360,6740,12315,6711,12258,6700,12192xe" filled="false" stroked="true" strokeweight="2pt" strokecolor="#385d89">
              <v:path arrowok="t"/>
            </v:shape>
            <v:shape style="position:absolute;left:7440;top:11974;width:414;height:417" coordorigin="7440,11974" coordsize="414,417" path="m7647,11974l7582,11985,7525,12015,7480,12060,7451,12117,7440,12183,7451,12249,7480,12306,7525,12351,7582,12381,7647,12391,7712,12381,7769,12351,7814,12306,7843,12249,7854,12183,7843,12117,7814,12060,7769,12015,7712,11985,7647,11974xe" filled="true" fillcolor="#4f81bc" stroked="false">
              <v:path arrowok="t"/>
              <v:fill type="solid"/>
            </v:shape>
            <v:shape style="position:absolute;left:7440;top:11974;width:414;height:417" coordorigin="7440,11974" coordsize="414,417" path="m7440,12183l7451,12117,7480,12060,7525,12015,7582,11985,7647,11974,7712,11985,7769,12015,7814,12060,7843,12117,7854,12183,7843,12249,7814,12306,7769,12351,7712,12381,7647,12391,7582,12381,7525,12351,7480,12306,7451,12249,7440,12183xe" filled="false" stroked="true" strokeweight="2pt" strokecolor="#385d89">
              <v:path arrowok="t"/>
            </v:shape>
            <v:shape style="position:absolute;left:7424;top:11282;width:414;height:417" coordorigin="7424,11282" coordsize="414,417" path="m7631,11282l7565,11293,7509,11322,7464,11367,7434,11425,7424,11491,7434,11556,7464,11614,7509,11659,7565,11688,7631,11699,7696,11688,7753,11659,7798,11614,7827,11556,7838,11491,7827,11425,7798,11367,7753,11322,7696,11293,7631,11282xe" filled="true" fillcolor="#c0504d" stroked="false">
              <v:path arrowok="t"/>
              <v:fill type="solid"/>
            </v:shape>
            <v:shape style="position:absolute;left:7424;top:11282;width:414;height:417" coordorigin="7424,11282" coordsize="414,417" path="m7424,11491l7434,11425,7464,11367,7509,11322,7565,11293,7631,11282,7696,11293,7753,11322,7798,11367,7827,11425,7838,11491,7827,11556,7798,11614,7753,11659,7696,11688,7631,11699,7565,11688,7509,11659,7464,11614,7434,11556,7424,11491xe" filled="false" stroked="true" strokeweight="2.0pt" strokecolor="#c0504d">
              <v:path arrowok="t"/>
            </v:shape>
            <v:shape style="position:absolute;left:7306;top:11722;width:722;height:173" type="#_x0000_t75" stroked="false">
              <v:imagedata r:id="rId199" o:title=""/>
            </v:shape>
            <v:shape style="position:absolute;left:6626;top:11441;width:569;height:113" type="#_x0000_t75" stroked="false">
              <v:imagedata r:id="rId120" o:title=""/>
            </v:shape>
            <v:shape style="position:absolute;left:7399;top:11441;width:533;height:113" type="#_x0000_t75" stroked="false">
              <v:imagedata r:id="rId121" o:title=""/>
            </v:shape>
            <v:shape style="position:absolute;left:7399;top:12074;width:552;height:190" type="#_x0000_t75" stroked="false">
              <v:imagedata r:id="rId205" o:title=""/>
            </v:shape>
            <v:shape style="position:absolute;left:6552;top:11722;width:787;height:113" type="#_x0000_t75" stroked="false">
              <v:imagedata r:id="rId201" o:title=""/>
            </v:shape>
            <v:shape style="position:absolute;left:7354;top:12425;width:682;height:113" type="#_x0000_t75" stroked="false">
              <v:imagedata r:id="rId202" o:title=""/>
            </v:shape>
            <w10:wrap type="none"/>
          </v:group>
        </w:pict>
      </w:r>
      <w:r>
        <w:rPr/>
        <w:pict>
          <v:group style="position:absolute;margin-left:432.100006pt;margin-top:548.289978pt;width:99.4pt;height:90.7pt;mso-position-horizontal-relative:page;mso-position-vertical-relative:page;z-index:-189040" coordorigin="8642,10966" coordsize="1988,1814">
            <v:shape style="position:absolute;left:8662;top:10986;width:1948;height:1774" coordorigin="8662,10986" coordsize="1948,1774" path="m8662,11873l8665,11800,8675,11729,8690,11660,8712,11592,8739,11528,8771,11465,8808,11406,8850,11349,8896,11296,8947,11246,9002,11199,9061,11157,9123,11119,9188,11085,9257,11056,9328,11031,9402,11012,9478,10997,9556,10989,9636,10986,9716,10989,9794,10997,9870,11012,9944,11031,10015,11056,10084,11085,10149,11119,10211,11157,10270,11199,10325,11246,10376,11296,10422,11349,10464,11406,10501,11465,10533,11528,10560,11592,10582,11660,10597,11729,10607,11800,10610,11873,10607,11946,10597,12017,10582,12086,10560,12153,10533,12218,10501,12280,10464,12340,10422,12397,10376,12450,10325,12500,10270,12546,10211,12589,10149,12627,10084,12661,10015,12690,9944,12715,9870,12734,9794,12748,9716,12757,9636,12760,9556,12757,9478,12748,9402,12734,9328,12715,9257,12690,9188,12661,9123,12627,9061,12589,9002,12546,8947,12500,8896,12450,8850,12397,8808,12340,8771,12280,8739,12218,8712,12153,8690,12086,8675,12017,8665,11946,8662,11873xe" filled="false" stroked="true" strokeweight="2pt" strokecolor="#385d89">
              <v:path arrowok="t"/>
            </v:shape>
            <v:shape style="position:absolute;left:9052;top:11285;width:414;height:417" coordorigin="9052,11285" coordsize="414,417" path="m9259,11285l9194,11296,9137,11325,9092,11370,9063,11428,9052,11494,9063,11559,9092,11617,9137,11662,9194,11691,9259,11702,9325,11691,9381,11662,9426,11617,9456,11559,9466,11494,9456,11428,9426,11370,9381,11325,9325,11296,9259,11285xe" filled="true" fillcolor="#00af50" stroked="false">
              <v:path arrowok="t"/>
              <v:fill type="solid"/>
            </v:shape>
            <v:shape style="position:absolute;left:9052;top:11285;width:414;height:417" coordorigin="9052,11285" coordsize="414,417" path="m9052,11494l9063,11428,9092,11370,9137,11325,9194,11296,9259,11285,9325,11296,9381,11325,9426,11370,9456,11428,9466,11494,9456,11559,9426,11617,9381,11662,9325,11691,9259,11702,9194,11691,9137,11662,9092,11617,9063,11559,9052,11494xe" filled="false" stroked="true" strokeweight="2pt" strokecolor="#00af50">
              <v:path arrowok="t"/>
            </v:shape>
            <v:shape style="position:absolute;left:9060;top:11987;width:414;height:417" coordorigin="9060,11987" coordsize="414,417" path="m9060,12195l9071,12129,9100,12072,9145,12027,9202,11997,9267,11987,9333,11997,9390,12027,9434,12072,9464,12129,9474,12195,9464,12261,9434,12318,9390,12363,9333,12393,9267,12404,9202,12393,9145,12363,9100,12318,9071,12261,9060,12195xe" filled="false" stroked="true" strokeweight="2pt" strokecolor="#385d89">
              <v:path arrowok="t"/>
            </v:shape>
            <v:shape style="position:absolute;left:9800;top:11977;width:414;height:417" coordorigin="9800,11977" coordsize="414,417" path="m10007,11977l9942,11988,9885,12018,9840,12063,9811,12120,9800,12186,9811,12252,9840,12309,9885,12354,9942,12384,10007,12394,10072,12384,10129,12354,10174,12309,10203,12252,10214,12186,10203,12120,10174,12063,10129,12018,10072,11988,10007,11977xe" filled="true" fillcolor="#4f81bc" stroked="false">
              <v:path arrowok="t"/>
              <v:fill type="solid"/>
            </v:shape>
            <v:shape style="position:absolute;left:9800;top:11977;width:414;height:417" coordorigin="9800,11977" coordsize="414,417" path="m9800,12186l9811,12120,9840,12063,9885,12018,9942,11988,10007,11977,10072,11988,10129,12018,10174,12063,10203,12120,10214,12186,10203,12252,10174,12309,10129,12354,10072,12384,10007,12394,9942,12384,9885,12354,9840,12309,9811,12252,9800,12186xe" filled="false" stroked="true" strokeweight="2pt" strokecolor="#385d89">
              <v:path arrowok="t"/>
            </v:shape>
            <v:shape style="position:absolute;left:9784;top:11285;width:414;height:417" coordorigin="9784,11285" coordsize="414,417" path="m9991,11285l9925,11296,9869,11325,9824,11370,9794,11428,9784,11494,9794,11559,9824,11617,9869,11662,9925,11691,9991,11702,10056,11691,10113,11662,10158,11617,10187,11559,10198,11494,10187,11428,10158,11370,10113,11325,10056,11296,9991,11285xe" filled="true" fillcolor="#c0504d" stroked="false">
              <v:path arrowok="t"/>
              <v:fill type="solid"/>
            </v:shape>
            <v:shape style="position:absolute;left:9784;top:11285;width:414;height:417" coordorigin="9784,11285" coordsize="414,417" path="m9784,11494l9794,11428,9824,11370,9869,11325,9925,11296,9991,11285,10056,11296,10113,11325,10158,11370,10187,11428,10198,11494,10187,11559,10158,11617,10113,11662,10056,11691,9991,11702,9925,11691,9869,11662,9824,11617,9794,11559,9784,11494xe" filled="false" stroked="true" strokeweight="2pt" strokecolor="#c0504d">
              <v:path arrowok="t"/>
            </v:shape>
            <v:shape style="position:absolute;left:9667;top:11724;width:720;height:175" type="#_x0000_t75" stroked="false">
              <v:imagedata r:id="rId206" o:title=""/>
            </v:shape>
            <v:shape style="position:absolute;left:8988;top:11443;width:569;height:113" type="#_x0000_t75" stroked="false">
              <v:imagedata r:id="rId120" o:title=""/>
            </v:shape>
            <v:shape style="position:absolute;left:9758;top:11443;width:533;height:113" type="#_x0000_t75" stroked="false">
              <v:imagedata r:id="rId121" o:title=""/>
            </v:shape>
            <v:shape style="position:absolute;left:9758;top:12144;width:554;height:113" type="#_x0000_t75" stroked="false">
              <v:imagedata r:id="rId144" o:title=""/>
            </v:shape>
            <v:shape style="position:absolute;left:8914;top:11724;width:785;height:113" type="#_x0000_t75" stroked="false">
              <v:imagedata r:id="rId201" o:title=""/>
            </v:shape>
            <v:shape style="position:absolute;left:9715;top:12427;width:679;height:113" type="#_x0000_t75" stroked="false">
              <v:imagedata r:id="rId202" o:title=""/>
            </v:shape>
            <w10:wrap type="none"/>
          </v:group>
        </w:pict>
      </w:r>
    </w:p>
    <w:p>
      <w:pPr>
        <w:pStyle w:val="BodyText"/>
        <w:spacing w:line="360" w:lineRule="auto" w:before="69"/>
        <w:ind w:left="220" w:right="219"/>
        <w:jc w:val="both"/>
        <w:rPr>
          <w:i/>
        </w:rPr>
      </w:pPr>
      <w:r>
        <w:rPr>
          <w:b/>
        </w:rPr>
        <w:t>Figura 15 </w:t>
      </w:r>
      <w:r>
        <w:rPr/>
        <w:t>Cajas de Petri con </w:t>
      </w:r>
      <w:r>
        <w:rPr>
          <w:i/>
        </w:rPr>
        <w:t>mitis salivarius </w:t>
      </w:r>
      <w:r>
        <w:rPr/>
        <w:t>agar y Rogosa agar que muestran los halos inhibitorios de los discos impregnados con Np-Ag mediante dos agentes reductores ecoamigables, así como Clorhexidina versus </w:t>
      </w:r>
      <w:r>
        <w:rPr>
          <w:i/>
        </w:rPr>
        <w:t>S. mutans </w:t>
      </w:r>
      <w:r>
        <w:rPr/>
        <w:t>y </w:t>
      </w:r>
      <w:r>
        <w:rPr>
          <w:i/>
        </w:rPr>
        <w:t>L.casei.</w:t>
      </w:r>
    </w:p>
    <w:p>
      <w:pPr>
        <w:pStyle w:val="BodyText"/>
        <w:rPr>
          <w:i/>
        </w:rPr>
      </w:pPr>
    </w:p>
    <w:p>
      <w:pPr>
        <w:pStyle w:val="BodyText"/>
        <w:rPr>
          <w:i/>
        </w:rPr>
      </w:pPr>
    </w:p>
    <w:p>
      <w:pPr>
        <w:pStyle w:val="BodyText"/>
        <w:spacing w:before="1"/>
        <w:rPr>
          <w:i/>
          <w:sz w:val="35"/>
        </w:rPr>
      </w:pPr>
    </w:p>
    <w:p>
      <w:pPr>
        <w:pStyle w:val="BodyText"/>
        <w:spacing w:line="480" w:lineRule="auto"/>
        <w:ind w:left="220" w:right="215"/>
        <w:jc w:val="both"/>
      </w:pPr>
      <w:r>
        <w:rPr/>
        <w:t>En la figura 16 se presentan los resultados de la medición de halos inhibitorios para las dos soluciones ecoamigables y para Clorhexidina contra los dos microorganismos cariogénicos.</w:t>
      </w:r>
    </w:p>
    <w:p>
      <w:pPr>
        <w:spacing w:before="205"/>
        <w:ind w:left="220" w:right="0" w:firstLine="0"/>
        <w:jc w:val="both"/>
        <w:rPr>
          <w:i/>
          <w:sz w:val="24"/>
        </w:rPr>
      </w:pPr>
      <w:r>
        <w:rPr/>
        <w:pict>
          <v:group style="position:absolute;margin-left:196.800003pt;margin-top:56.715855pt;width:99.4pt;height:90.7pt;mso-position-horizontal-relative:page;mso-position-vertical-relative:paragraph;z-index:-189232" coordorigin="3936,1134" coordsize="1988,1814">
            <v:shape style="position:absolute;left:3956;top:1154;width:1948;height:1774" coordorigin="3956,1154" coordsize="1948,1774" path="m3956,2041l3959,1969,3969,1897,3984,1828,4006,1761,4033,1696,4065,1634,4102,1574,4144,1517,4190,1464,4241,1414,4296,1368,4355,1325,4417,1287,4482,1253,4551,1224,4622,1200,4696,1180,4772,1166,4850,1157,4930,1154,5010,1157,5088,1166,5164,1180,5238,1200,5309,1224,5378,1253,5443,1287,5505,1325,5564,1368,5619,1414,5670,1464,5716,1517,5758,1574,5795,1634,5827,1696,5854,1761,5876,1828,5891,1897,5901,1969,5904,2041,5901,2114,5891,2185,5876,2254,5854,2322,5827,2387,5795,2449,5758,2509,5716,2565,5670,2619,5619,2668,5564,2715,5505,2757,5443,2795,5378,2829,5309,2859,5238,2883,5164,2903,5088,2917,5010,2925,4930,2928,4850,2925,4772,2917,4696,2903,4622,2883,4551,2859,4482,2829,4417,2795,4355,2757,4296,2715,4241,2668,4190,2619,4144,2565,4102,2509,4065,2449,4033,2387,4006,2322,3984,2254,3969,2185,3959,2114,3956,2041xe" filled="false" stroked="true" strokeweight="2pt" strokecolor="#385d89">
              <v:path arrowok="t"/>
            </v:shape>
            <v:shape style="position:absolute;left:4346;top:1454;width:414;height:417" coordorigin="4346,1454" coordsize="414,417" path="m4553,1454l4488,1464,4431,1494,4386,1539,4357,1596,4346,1662,4357,1728,4386,1785,4431,1830,4488,1860,4553,1871,4619,1860,4675,1830,4720,1785,4750,1728,4760,1662,4750,1596,4720,1539,4675,1494,4619,1464,4553,1454xe" filled="true" fillcolor="#00af50" stroked="false">
              <v:path arrowok="t"/>
              <v:fill type="solid"/>
            </v:shape>
            <v:shape style="position:absolute;left:4346;top:1454;width:414;height:417" coordorigin="4346,1454" coordsize="414,417" path="m4346,1662l4357,1596,4386,1539,4431,1494,4488,1464,4553,1454,4619,1464,4675,1494,4720,1539,4750,1596,4760,1662,4750,1728,4720,1785,4675,1830,4619,1860,4553,1871,4488,1860,4431,1830,4386,1785,4357,1728,4346,1662xe" filled="false" stroked="true" strokeweight="2.0pt" strokecolor="#00af50">
              <v:path arrowok="t"/>
            </v:shape>
            <v:shape style="position:absolute;left:4354;top:2155;width:414;height:417" coordorigin="4354,2155" coordsize="414,417" path="m4354,2364l4365,2298,4394,2240,4439,2195,4496,2166,4561,2155,4627,2166,4684,2195,4728,2240,4758,2298,4768,2364,4758,2429,4728,2487,4684,2532,4627,2561,4561,2572,4496,2561,4439,2532,4394,2487,4365,2429,4354,2364xe" filled="false" stroked="true" strokeweight="2pt" strokecolor="#385d89">
              <v:path arrowok="t"/>
            </v:shape>
            <v:shape style="position:absolute;left:5094;top:2146;width:414;height:417" coordorigin="5094,2146" coordsize="414,417" path="m5301,2146l5236,2156,5179,2186,5134,2231,5105,2288,5094,2354,5105,2420,5134,2477,5179,2522,5236,2552,5301,2563,5366,2552,5423,2522,5468,2477,5497,2420,5508,2354,5497,2288,5468,2231,5423,2186,5366,2156,5301,2146xe" filled="true" fillcolor="#4f81bc" stroked="false">
              <v:path arrowok="t"/>
              <v:fill type="solid"/>
            </v:shape>
            <v:shape style="position:absolute;left:5094;top:2146;width:414;height:417" coordorigin="5094,2146" coordsize="414,417" path="m5094,2354l5105,2288,5134,2231,5179,2186,5236,2156,5301,2146,5366,2156,5423,2186,5468,2231,5497,2288,5508,2354,5497,2420,5468,2477,5423,2522,5366,2552,5301,2563,5236,2552,5179,2522,5134,2477,5105,2420,5094,2354xe" filled="false" stroked="true" strokeweight="2.0pt" strokecolor="#385d89">
              <v:path arrowok="t"/>
            </v:shape>
            <v:shape style="position:absolute;left:5078;top:1454;width:414;height:417" coordorigin="5078,1454" coordsize="414,417" path="m5285,1454l5219,1464,5163,1494,5118,1539,5088,1596,5078,1662,5088,1728,5118,1785,5163,1830,5219,1860,5285,1871,5350,1860,5407,1830,5452,1785,5481,1728,5492,1662,5481,1596,5452,1539,5407,1494,5350,1464,5285,1454xe" filled="true" fillcolor="#c0504d" stroked="false">
              <v:path arrowok="t"/>
              <v:fill type="solid"/>
            </v:shape>
            <v:shape style="position:absolute;left:5078;top:1454;width:414;height:417" coordorigin="5078,1454" coordsize="414,417" path="m5078,1662l5088,1596,5118,1539,5163,1494,5219,1464,5285,1454,5350,1464,5407,1494,5452,1539,5481,1596,5492,1662,5481,1728,5452,1785,5407,1830,5350,1860,5285,1871,5219,1860,5163,1830,5118,1785,5088,1728,5078,1662xe" filled="false" stroked="true" strokeweight="2.0pt" strokecolor="#c0504d">
              <v:path arrowok="t"/>
            </v:shape>
            <v:shape style="position:absolute;left:5052;top:1893;width:672;height:125" type="#_x0000_t75" stroked="false">
              <v:imagedata r:id="rId207" o:title=""/>
            </v:shape>
            <v:shape style="position:absolute;left:4322;top:1612;width:605;height:113" type="#_x0000_t75" stroked="false">
              <v:imagedata r:id="rId130" o:title=""/>
            </v:shape>
            <v:shape style="position:absolute;left:5062;top:1612;width:614;height:137" type="#_x0000_t75" stroked="false">
              <v:imagedata r:id="rId139" o:title=""/>
            </v:shape>
            <v:shape style="position:absolute;left:5026;top:2313;width:634;height:113" type="#_x0000_t75" stroked="false">
              <v:imagedata r:id="rId132" o:title=""/>
            </v:shape>
            <v:shape style="position:absolute;left:4147;top:1893;width:773;height:113" type="#_x0000_t75" stroked="false">
              <v:imagedata r:id="rId208" o:title=""/>
            </v:shape>
            <v:shape style="position:absolute;left:5062;top:2596;width:662;height:137" type="#_x0000_t75" stroked="false">
              <v:imagedata r:id="rId209" o:title=""/>
            </v:shape>
            <w10:wrap type="none"/>
          </v:group>
        </w:pict>
      </w:r>
      <w:r>
        <w:rPr/>
        <w:pict>
          <v:group style="position:absolute;margin-left:314.200012pt;margin-top:57.965855pt;width:99.4pt;height:90.7pt;mso-position-horizontal-relative:page;mso-position-vertical-relative:paragraph;z-index:-189208" coordorigin="6284,1159" coordsize="1988,1814">
            <v:shape style="position:absolute;left:6304;top:1179;width:1948;height:1774" coordorigin="6304,1179" coordsize="1948,1774" path="m6304,2066l6307,1994,6317,1922,6332,1853,6354,1786,6381,1721,6413,1659,6450,1599,6492,1542,6538,1489,6589,1439,6644,1393,6703,1350,6765,1312,6830,1278,6899,1249,6970,1225,7044,1205,7120,1191,7198,1182,7278,1179,7358,1182,7436,1191,7512,1205,7586,1225,7657,1249,7726,1278,7791,1312,7853,1350,7912,1393,7967,1439,8018,1489,8064,1542,8106,1599,8143,1659,8175,1721,8202,1786,8224,1853,8239,1922,8249,1994,8252,2066,8249,2139,8239,2210,8224,2279,8202,2347,8175,2412,8143,2474,8106,2534,8064,2590,8018,2644,7967,2693,7912,2740,7853,2782,7791,2820,7726,2854,7657,2884,7586,2908,7512,2928,7436,2942,7358,2950,7278,2953,7198,2950,7120,2942,7044,2928,6970,2908,6899,2884,6830,2854,6765,2820,6703,2782,6644,2740,6589,2693,6538,2644,6492,2590,6450,2534,6413,2474,6381,2412,6354,2347,6332,2279,6317,2210,6307,2139,6304,2066xe" filled="false" stroked="true" strokeweight="2pt" strokecolor="#385d89">
              <v:path arrowok="t"/>
            </v:shape>
            <v:shape style="position:absolute;left:6694;top:1479;width:414;height:417" coordorigin="6694,1479" coordsize="414,417" path="m6901,1479l6836,1489,6779,1519,6734,1564,6705,1621,6694,1687,6705,1753,6734,1810,6779,1855,6836,1885,6901,1896,6967,1885,7023,1855,7068,1810,7098,1753,7108,1687,7098,1621,7068,1564,7023,1519,6967,1489,6901,1479xe" filled="true" fillcolor="#00af50" stroked="false">
              <v:path arrowok="t"/>
              <v:fill type="solid"/>
            </v:shape>
            <v:shape style="position:absolute;left:6694;top:1479;width:414;height:417" coordorigin="6694,1479" coordsize="414,417" path="m6694,1687l6705,1621,6734,1564,6779,1519,6836,1489,6901,1479,6967,1489,7023,1519,7068,1564,7098,1621,7108,1687,7098,1753,7068,1810,7023,1855,6967,1885,6901,1896,6836,1885,6779,1855,6734,1810,6705,1753,6694,1687xe" filled="false" stroked="true" strokeweight="2pt" strokecolor="#00af50">
              <v:path arrowok="t"/>
            </v:shape>
            <v:shape style="position:absolute;left:6702;top:2180;width:414;height:417" coordorigin="6702,2180" coordsize="414,417" path="m6702,2389l6713,2323,6742,2265,6787,2220,6844,2191,6909,2180,6975,2191,7032,2220,7076,2265,7106,2323,7116,2389,7106,2454,7076,2512,7032,2557,6975,2586,6909,2597,6844,2586,6787,2557,6742,2512,6713,2454,6702,2389xe" filled="false" stroked="true" strokeweight="2pt" strokecolor="#385d89">
              <v:path arrowok="t"/>
            </v:shape>
            <v:shape style="position:absolute;left:7442;top:2171;width:414;height:417" coordorigin="7442,2171" coordsize="414,417" path="m7649,2171l7584,2181,7527,2211,7482,2256,7453,2313,7442,2379,7453,2445,7482,2502,7527,2547,7584,2577,7649,2588,7714,2577,7771,2547,7816,2502,7845,2445,7856,2379,7845,2313,7816,2256,7771,2211,7714,2181,7649,2171xe" filled="true" fillcolor="#4f81bc" stroked="false">
              <v:path arrowok="t"/>
              <v:fill type="solid"/>
            </v:shape>
            <v:shape style="position:absolute;left:7442;top:2171;width:414;height:417" coordorigin="7442,2171" coordsize="414,417" path="m7442,2379l7453,2313,7482,2256,7527,2211,7584,2181,7649,2171,7714,2181,7771,2211,7816,2256,7845,2313,7856,2379,7845,2445,7816,2502,7771,2547,7714,2577,7649,2588,7584,2577,7527,2547,7482,2502,7453,2445,7442,2379xe" filled="false" stroked="true" strokeweight="2.0pt" strokecolor="#385d89">
              <v:path arrowok="t"/>
            </v:shape>
            <v:shape style="position:absolute;left:7426;top:1479;width:414;height:417" coordorigin="7426,1479" coordsize="414,417" path="m7633,1479l7567,1489,7511,1519,7466,1564,7436,1621,7426,1687,7436,1753,7466,1810,7511,1855,7567,1885,7633,1896,7698,1885,7755,1855,7800,1810,7829,1753,7840,1687,7829,1621,7800,1564,7755,1519,7698,1489,7633,1479xe" filled="true" fillcolor="#c0504d" stroked="false">
              <v:path arrowok="t"/>
              <v:fill type="solid"/>
            </v:shape>
            <v:shape style="position:absolute;left:7426;top:1479;width:414;height:417" coordorigin="7426,1479" coordsize="414,417" path="m7426,1687l7436,1621,7466,1564,7511,1519,7567,1489,7633,1479,7698,1489,7755,1519,7800,1564,7829,1621,7840,1687,7829,1753,7800,1810,7755,1855,7698,1885,7633,1896,7567,1885,7511,1855,7466,1810,7436,1753,7426,1687xe" filled="false" stroked="true" strokeweight="2pt" strokecolor="#c0504d">
              <v:path arrowok="t"/>
            </v:shape>
            <v:shape style="position:absolute;left:7284;top:1917;width:744;height:151" type="#_x0000_t75" stroked="false">
              <v:imagedata r:id="rId210" o:title=""/>
            </v:shape>
            <v:shape style="position:absolute;left:6641;top:1636;width:557;height:156" type="#_x0000_t75" stroked="false">
              <v:imagedata r:id="rId125" o:title=""/>
            </v:shape>
            <v:shape style="position:absolute;left:7402;top:1636;width:533;height:168" type="#_x0000_t75" stroked="false">
              <v:imagedata r:id="rId211" o:title=""/>
            </v:shape>
            <v:shape style="position:absolute;left:7402;top:2337;width:552;height:180" type="#_x0000_t75" stroked="false">
              <v:imagedata r:id="rId141" o:title=""/>
            </v:shape>
            <v:shape style="position:absolute;left:6571;top:1917;width:698;height:163" type="#_x0000_t75" stroked="false">
              <v:imagedata r:id="rId212" o:title=""/>
            </v:shape>
            <v:shape style="position:absolute;left:7284;top:2620;width:754;height:113" type="#_x0000_t75" stroked="false">
              <v:imagedata r:id="rId213" o:title=""/>
            </v:shape>
            <w10:wrap type="none"/>
          </v:group>
        </w:pict>
      </w:r>
      <w:r>
        <w:rPr/>
        <w:pict>
          <v:group style="position:absolute;margin-left:432.200012pt;margin-top:57.315853pt;width:99.4pt;height:90.7pt;mso-position-horizontal-relative:page;mso-position-vertical-relative:paragraph;z-index:-189184" coordorigin="8644,1146" coordsize="1988,1814">
            <v:shape style="position:absolute;left:8664;top:1166;width:1948;height:1774" coordorigin="8664,1166" coordsize="1948,1774" path="m8664,2053l8667,1981,8677,1909,8692,1840,8714,1773,8741,1708,8773,1646,8810,1586,8852,1529,8898,1476,8949,1426,9004,1380,9063,1337,9125,1299,9190,1265,9259,1236,9330,1212,9404,1192,9480,1178,9558,1169,9638,1166,9718,1169,9796,1178,9872,1192,9946,1212,10017,1236,10086,1265,10151,1299,10213,1337,10272,1380,10327,1426,10378,1476,10424,1529,10466,1586,10503,1646,10535,1708,10562,1773,10584,1840,10599,1909,10609,1981,10612,2053,10609,2126,10599,2197,10584,2266,10562,2334,10535,2399,10503,2461,10466,2521,10424,2577,10378,2631,10327,2680,10272,2727,10213,2769,10151,2807,10086,2841,10017,2871,9946,2895,9872,2915,9796,2929,9718,2937,9638,2940,9558,2937,9480,2929,9404,2915,9330,2895,9259,2871,9190,2841,9125,2807,9063,2769,9004,2727,8949,2680,8898,2631,8852,2577,8810,2521,8773,2461,8741,2399,8714,2334,8692,2266,8677,2197,8667,2126,8664,2053xe" filled="false" stroked="true" strokeweight="2pt" strokecolor="#385d89">
              <v:path arrowok="t"/>
            </v:shape>
            <v:shape style="position:absolute;left:9054;top:1466;width:414;height:417" coordorigin="9054,1466" coordsize="414,417" path="m9261,1466l9196,1476,9139,1506,9094,1551,9065,1608,9054,1674,9065,1740,9094,1797,9139,1842,9196,1872,9261,1883,9327,1872,9383,1842,9428,1797,9458,1740,9468,1674,9458,1608,9428,1551,9383,1506,9327,1476,9261,1466xe" filled="true" fillcolor="#00af50" stroked="false">
              <v:path arrowok="t"/>
              <v:fill type="solid"/>
            </v:shape>
            <v:shape style="position:absolute;left:9054;top:1466;width:414;height:417" coordorigin="9054,1466" coordsize="414,417" path="m9054,1674l9065,1608,9094,1551,9139,1506,9196,1476,9261,1466,9327,1476,9383,1506,9428,1551,9458,1608,9468,1674,9458,1740,9428,1797,9383,1842,9327,1872,9261,1883,9196,1872,9139,1842,9094,1797,9065,1740,9054,1674xe" filled="false" stroked="true" strokeweight="2pt" strokecolor="#00af50">
              <v:path arrowok="t"/>
            </v:shape>
            <v:shape style="position:absolute;left:9062;top:2167;width:414;height:417" coordorigin="9062,2167" coordsize="414,417" path="m9062,2376l9073,2310,9102,2252,9147,2207,9204,2178,9269,2167,9335,2178,9392,2207,9436,2252,9466,2310,9476,2376,9466,2441,9436,2499,9392,2544,9335,2573,9269,2584,9204,2573,9147,2544,9102,2499,9073,2441,9062,2376xe" filled="false" stroked="true" strokeweight="2pt" strokecolor="#385d89">
              <v:path arrowok="t"/>
            </v:shape>
            <v:shape style="position:absolute;left:9802;top:2158;width:414;height:417" coordorigin="9802,2158" coordsize="414,417" path="m10009,2158l9944,2168,9887,2198,9842,2243,9813,2300,9802,2366,9813,2432,9842,2489,9887,2534,9944,2564,10009,2575,10074,2564,10131,2534,10176,2489,10205,2432,10216,2366,10205,2300,10176,2243,10131,2198,10074,2168,10009,2158xe" filled="true" fillcolor="#4f81bc" stroked="false">
              <v:path arrowok="t"/>
              <v:fill type="solid"/>
            </v:shape>
            <v:shape style="position:absolute;left:9802;top:2158;width:414;height:417" coordorigin="9802,2158" coordsize="414,417" path="m9802,2366l9813,2300,9842,2243,9887,2198,9944,2168,10009,2158,10074,2168,10131,2198,10176,2243,10205,2300,10216,2366,10205,2432,10176,2489,10131,2534,10074,2564,10009,2575,9944,2564,9887,2534,9842,2489,9813,2432,9802,2366xe" filled="false" stroked="true" strokeweight="2pt" strokecolor="#385d89">
              <v:path arrowok="t"/>
            </v:shape>
            <v:shape style="position:absolute;left:9786;top:1466;width:414;height:417" coordorigin="9786,1466" coordsize="414,417" path="m9993,1466l9927,1476,9871,1506,9826,1551,9796,1608,9786,1674,9796,1740,9826,1797,9871,1842,9927,1872,9993,1883,10058,1872,10115,1842,10160,1797,10189,1740,10200,1674,10189,1608,10160,1551,10115,1506,10058,1476,9993,1466xe" filled="true" fillcolor="#c0504d" stroked="false">
              <v:path arrowok="t"/>
              <v:fill type="solid"/>
            </v:shape>
            <v:shape style="position:absolute;left:9786;top:1466;width:414;height:417" coordorigin="9786,1466" coordsize="414,417" path="m9786,1674l9796,1608,9826,1551,9871,1506,9927,1476,9993,1466,10058,1476,10115,1506,10160,1551,10189,1608,10200,1674,10189,1740,10160,1797,10115,1842,10058,1872,9993,1883,9927,1872,9871,1842,9826,1797,9796,1740,9786,1674xe" filled="false" stroked="true" strokeweight="2pt" strokecolor="#c0504d">
              <v:path arrowok="t"/>
            </v:shape>
            <v:shape style="position:absolute;left:9000;top:1624;width:559;height:101" type="#_x0000_t75" stroked="false">
              <v:imagedata r:id="rId214" o:title=""/>
            </v:shape>
            <v:shape style="position:absolute;left:9761;top:1624;width:533;height:180" type="#_x0000_t75" stroked="false">
              <v:imagedata r:id="rId215" o:title=""/>
            </v:shape>
            <v:shape style="position:absolute;left:9768;top:2325;width:547;height:137" type="#_x0000_t75" stroked="false">
              <v:imagedata r:id="rId137" o:title=""/>
            </v:shape>
            <v:shape style="position:absolute;left:9031;top:1905;width:1358;height:98" type="#_x0000_t75" stroked="false">
              <v:imagedata r:id="rId216" o:title=""/>
            </v:shape>
            <v:shape style="position:absolute;left:9720;top:2608;width:677;height:125" type="#_x0000_t75" stroked="false">
              <v:imagedata r:id="rId207" o:title=""/>
            </v:shape>
            <w10:wrap type="none"/>
          </v:group>
        </w:pict>
      </w:r>
      <w:r>
        <w:rPr>
          <w:sz w:val="24"/>
        </w:rPr>
        <w:t>Valores de los halos inhibitorios en las 9 cajas para </w:t>
      </w:r>
      <w:r>
        <w:rPr>
          <w:i/>
          <w:sz w:val="24"/>
        </w:rPr>
        <w:t>Streptococcus mutans</w:t>
      </w:r>
    </w:p>
    <w:p>
      <w:pPr>
        <w:pStyle w:val="BodyText"/>
        <w:rPr>
          <w:i/>
          <w:sz w:val="20"/>
        </w:rPr>
      </w:pPr>
    </w:p>
    <w:p>
      <w:pPr>
        <w:pStyle w:val="BodyText"/>
        <w:spacing w:before="10"/>
        <w:rPr>
          <w:i/>
          <w:sz w:val="21"/>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5"/>
        <w:gridCol w:w="1237"/>
        <w:gridCol w:w="1157"/>
        <w:gridCol w:w="1152"/>
        <w:gridCol w:w="1243"/>
        <w:gridCol w:w="1163"/>
        <w:gridCol w:w="1230"/>
      </w:tblGrid>
      <w:tr>
        <w:trPr>
          <w:trHeight w:val="2218" w:hRule="exact"/>
        </w:trPr>
        <w:tc>
          <w:tcPr>
            <w:tcW w:w="2395" w:type="dxa"/>
          </w:tcPr>
          <w:p>
            <w:pPr>
              <w:pStyle w:val="TableParagraph"/>
              <w:rPr>
                <w:i/>
                <w:sz w:val="28"/>
              </w:rPr>
            </w:pPr>
          </w:p>
          <w:p>
            <w:pPr>
              <w:pStyle w:val="TableParagraph"/>
              <w:spacing w:before="2"/>
              <w:rPr>
                <w:i/>
                <w:sz w:val="40"/>
              </w:rPr>
            </w:pPr>
          </w:p>
          <w:p>
            <w:pPr>
              <w:pStyle w:val="TableParagraph"/>
              <w:ind w:left="811"/>
              <w:rPr>
                <w:rFonts w:ascii="Calibri"/>
                <w:sz w:val="28"/>
              </w:rPr>
            </w:pPr>
            <w:r>
              <w:rPr>
                <w:rFonts w:ascii="Calibri"/>
                <w:sz w:val="28"/>
              </w:rPr>
              <w:t>Caja 1</w:t>
            </w:r>
          </w:p>
        </w:tc>
        <w:tc>
          <w:tcPr>
            <w:tcW w:w="1237"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89"/>
              <w:ind w:left="734"/>
              <w:rPr>
                <w:rFonts w:ascii="Calibri" w:hAnsi="Calibri"/>
                <w:sz w:val="12"/>
              </w:rPr>
            </w:pPr>
            <w:r>
              <w:rPr>
                <w:rFonts w:ascii="Calibri" w:hAnsi="Calibri"/>
                <w:sz w:val="12"/>
              </w:rPr>
              <w:t>10 µl</w:t>
            </w:r>
          </w:p>
          <w:p>
            <w:pPr>
              <w:pStyle w:val="TableParagraph"/>
              <w:spacing w:before="7"/>
              <w:rPr>
                <w:i/>
                <w:sz w:val="11"/>
              </w:rPr>
            </w:pPr>
          </w:p>
          <w:p>
            <w:pPr>
              <w:pStyle w:val="TableParagraph"/>
              <w:spacing w:before="1"/>
              <w:ind w:left="559"/>
              <w:rPr>
                <w:rFonts w:ascii="Calibri"/>
                <w:sz w:val="12"/>
              </w:rPr>
            </w:pPr>
            <w:r>
              <w:rPr>
                <w:rFonts w:ascii="Calibri"/>
                <w:sz w:val="12"/>
              </w:rPr>
              <w:t>6.4 mm</w:t>
            </w:r>
          </w:p>
        </w:tc>
        <w:tc>
          <w:tcPr>
            <w:tcW w:w="1157"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89"/>
              <w:ind w:left="242"/>
              <w:rPr>
                <w:rFonts w:ascii="Calibri" w:hAnsi="Calibri"/>
                <w:sz w:val="12"/>
              </w:rPr>
            </w:pPr>
            <w:r>
              <w:rPr>
                <w:rFonts w:ascii="Calibri" w:hAnsi="Calibri"/>
                <w:sz w:val="12"/>
              </w:rPr>
              <w:t>20 µl</w:t>
            </w:r>
          </w:p>
          <w:p>
            <w:pPr>
              <w:pStyle w:val="TableParagraph"/>
              <w:spacing w:before="7"/>
              <w:rPr>
                <w:i/>
                <w:sz w:val="11"/>
              </w:rPr>
            </w:pPr>
          </w:p>
          <w:p>
            <w:pPr>
              <w:pStyle w:val="TableParagraph"/>
              <w:spacing w:before="1"/>
              <w:ind w:left="232"/>
              <w:rPr>
                <w:rFonts w:ascii="Calibri"/>
                <w:sz w:val="12"/>
              </w:rPr>
            </w:pPr>
            <w:r>
              <w:rPr>
                <w:rFonts w:ascii="Calibri"/>
                <w:sz w:val="12"/>
              </w:rPr>
              <w:t>6.8 mm</w:t>
            </w:r>
          </w:p>
          <w:p>
            <w:pPr>
              <w:pStyle w:val="TableParagraph"/>
              <w:rPr>
                <w:i/>
                <w:sz w:val="12"/>
              </w:rPr>
            </w:pPr>
          </w:p>
          <w:p>
            <w:pPr>
              <w:pStyle w:val="TableParagraph"/>
              <w:spacing w:before="9"/>
              <w:rPr>
                <w:i/>
                <w:sz w:val="11"/>
              </w:rPr>
            </w:pPr>
          </w:p>
          <w:p>
            <w:pPr>
              <w:pStyle w:val="TableParagraph"/>
              <w:ind w:left="206"/>
              <w:rPr>
                <w:rFonts w:ascii="Calibri" w:hAnsi="Calibri"/>
                <w:sz w:val="12"/>
              </w:rPr>
            </w:pPr>
            <w:r>
              <w:rPr>
                <w:rFonts w:ascii="Calibri" w:hAnsi="Calibri"/>
                <w:sz w:val="12"/>
              </w:rPr>
              <w:t>30 µl</w:t>
            </w:r>
          </w:p>
          <w:p>
            <w:pPr>
              <w:pStyle w:val="TableParagraph"/>
              <w:spacing w:before="10"/>
              <w:rPr>
                <w:i/>
                <w:sz w:val="11"/>
              </w:rPr>
            </w:pPr>
          </w:p>
          <w:p>
            <w:pPr>
              <w:pStyle w:val="TableParagraph"/>
              <w:ind w:left="242"/>
              <w:rPr>
                <w:rFonts w:ascii="Calibri"/>
                <w:sz w:val="12"/>
              </w:rPr>
            </w:pPr>
            <w:r>
              <w:rPr>
                <w:rFonts w:ascii="Calibri"/>
                <w:sz w:val="12"/>
              </w:rPr>
              <w:t>5.8 mm</w:t>
            </w:r>
          </w:p>
        </w:tc>
        <w:tc>
          <w:tcPr>
            <w:tcW w:w="1152"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10"/>
              <w:rPr>
                <w:i/>
                <w:sz w:val="9"/>
              </w:rPr>
            </w:pPr>
          </w:p>
          <w:p>
            <w:pPr>
              <w:pStyle w:val="TableParagraph"/>
              <w:ind w:left="660"/>
              <w:rPr>
                <w:rFonts w:ascii="Calibri" w:hAnsi="Calibri"/>
                <w:sz w:val="12"/>
              </w:rPr>
            </w:pPr>
            <w:r>
              <w:rPr>
                <w:rFonts w:ascii="Calibri" w:hAnsi="Calibri"/>
                <w:sz w:val="12"/>
              </w:rPr>
              <w:t>10 µl</w:t>
            </w:r>
          </w:p>
          <w:p>
            <w:pPr>
              <w:pStyle w:val="TableParagraph"/>
              <w:spacing w:before="7"/>
              <w:rPr>
                <w:i/>
                <w:sz w:val="11"/>
              </w:rPr>
            </w:pPr>
          </w:p>
          <w:p>
            <w:pPr>
              <w:pStyle w:val="TableParagraph"/>
              <w:spacing w:before="1"/>
              <w:ind w:left="590"/>
              <w:rPr>
                <w:rFonts w:ascii="Calibri"/>
                <w:sz w:val="12"/>
              </w:rPr>
            </w:pPr>
            <w:r>
              <w:rPr>
                <w:rFonts w:ascii="Calibri"/>
                <w:sz w:val="12"/>
              </w:rPr>
              <w:t>5.9 mm</w:t>
            </w:r>
          </w:p>
        </w:tc>
        <w:tc>
          <w:tcPr>
            <w:tcW w:w="1243"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10"/>
              <w:rPr>
                <w:i/>
                <w:sz w:val="9"/>
              </w:rPr>
            </w:pPr>
          </w:p>
          <w:p>
            <w:pPr>
              <w:pStyle w:val="TableParagraph"/>
              <w:ind w:left="273"/>
              <w:rPr>
                <w:rFonts w:ascii="Calibri" w:hAnsi="Calibri"/>
                <w:sz w:val="12"/>
              </w:rPr>
            </w:pPr>
            <w:r>
              <w:rPr>
                <w:rFonts w:ascii="Calibri" w:hAnsi="Calibri"/>
                <w:sz w:val="12"/>
              </w:rPr>
              <w:t>20 µl</w:t>
            </w:r>
          </w:p>
          <w:p>
            <w:pPr>
              <w:pStyle w:val="TableParagraph"/>
              <w:spacing w:before="7"/>
              <w:rPr>
                <w:i/>
                <w:sz w:val="11"/>
              </w:rPr>
            </w:pPr>
          </w:p>
          <w:p>
            <w:pPr>
              <w:pStyle w:val="TableParagraph"/>
              <w:spacing w:before="1"/>
              <w:ind w:left="273" w:hanging="118"/>
              <w:rPr>
                <w:rFonts w:ascii="Calibri"/>
                <w:sz w:val="12"/>
              </w:rPr>
            </w:pPr>
            <w:r>
              <w:rPr>
                <w:rFonts w:ascii="Calibri"/>
                <w:sz w:val="12"/>
              </w:rPr>
              <w:t>7.4 mm</w:t>
            </w:r>
          </w:p>
          <w:p>
            <w:pPr>
              <w:pStyle w:val="TableParagraph"/>
              <w:rPr>
                <w:i/>
                <w:sz w:val="12"/>
              </w:rPr>
            </w:pPr>
          </w:p>
          <w:p>
            <w:pPr>
              <w:pStyle w:val="TableParagraph"/>
              <w:spacing w:before="9"/>
              <w:rPr>
                <w:i/>
                <w:sz w:val="11"/>
              </w:rPr>
            </w:pPr>
          </w:p>
          <w:p>
            <w:pPr>
              <w:pStyle w:val="TableParagraph"/>
              <w:ind w:left="273"/>
              <w:rPr>
                <w:rFonts w:ascii="Calibri" w:hAnsi="Calibri"/>
                <w:sz w:val="12"/>
              </w:rPr>
            </w:pPr>
            <w:r>
              <w:rPr>
                <w:rFonts w:ascii="Calibri" w:hAnsi="Calibri"/>
                <w:sz w:val="12"/>
              </w:rPr>
              <w:t>30 µl</w:t>
            </w:r>
          </w:p>
          <w:p>
            <w:pPr>
              <w:pStyle w:val="TableParagraph"/>
              <w:spacing w:before="10"/>
              <w:rPr>
                <w:i/>
                <w:sz w:val="11"/>
              </w:rPr>
            </w:pPr>
          </w:p>
          <w:p>
            <w:pPr>
              <w:pStyle w:val="TableParagraph"/>
              <w:ind w:left="156"/>
              <w:rPr>
                <w:rFonts w:ascii="Calibri"/>
                <w:sz w:val="12"/>
              </w:rPr>
            </w:pPr>
            <w:r>
              <w:rPr>
                <w:rFonts w:ascii="Calibri"/>
                <w:sz w:val="12"/>
              </w:rPr>
              <w:t>5.6 mm</w:t>
            </w:r>
          </w:p>
        </w:tc>
        <w:tc>
          <w:tcPr>
            <w:tcW w:w="1163"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101"/>
              <w:ind w:left="624"/>
              <w:rPr>
                <w:rFonts w:ascii="Calibri" w:hAnsi="Calibri"/>
                <w:sz w:val="12"/>
              </w:rPr>
            </w:pPr>
            <w:r>
              <w:rPr>
                <w:rFonts w:ascii="Calibri" w:hAnsi="Calibri"/>
                <w:sz w:val="12"/>
              </w:rPr>
              <w:t>10 µl</w:t>
            </w:r>
          </w:p>
          <w:p>
            <w:pPr>
              <w:pStyle w:val="TableParagraph"/>
              <w:spacing w:before="7"/>
              <w:rPr>
                <w:i/>
                <w:sz w:val="11"/>
              </w:rPr>
            </w:pPr>
          </w:p>
          <w:p>
            <w:pPr>
              <w:pStyle w:val="TableParagraph"/>
              <w:spacing w:before="1"/>
              <w:ind w:left="655"/>
              <w:rPr>
                <w:rFonts w:ascii="Calibri"/>
                <w:sz w:val="12"/>
              </w:rPr>
            </w:pPr>
            <w:r>
              <w:rPr>
                <w:rFonts w:ascii="Calibri"/>
                <w:sz w:val="12"/>
              </w:rPr>
              <w:t>6.3 mm</w:t>
            </w:r>
          </w:p>
        </w:tc>
        <w:tc>
          <w:tcPr>
            <w:tcW w:w="1230"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101"/>
              <w:ind w:left="226"/>
              <w:rPr>
                <w:rFonts w:ascii="Calibri" w:hAnsi="Calibri"/>
                <w:sz w:val="12"/>
              </w:rPr>
            </w:pPr>
            <w:r>
              <w:rPr>
                <w:rFonts w:ascii="Calibri" w:hAnsi="Calibri"/>
                <w:sz w:val="12"/>
              </w:rPr>
              <w:t>20 µl</w:t>
            </w:r>
          </w:p>
          <w:p>
            <w:pPr>
              <w:pStyle w:val="TableParagraph"/>
              <w:spacing w:before="7"/>
              <w:rPr>
                <w:i/>
                <w:sz w:val="11"/>
              </w:rPr>
            </w:pPr>
          </w:p>
          <w:p>
            <w:pPr>
              <w:pStyle w:val="TableParagraph"/>
              <w:spacing w:before="1"/>
              <w:ind w:left="234" w:hanging="101"/>
              <w:rPr>
                <w:rFonts w:ascii="Calibri"/>
                <w:sz w:val="12"/>
              </w:rPr>
            </w:pPr>
            <w:r>
              <w:rPr>
                <w:rFonts w:ascii="Calibri"/>
                <w:sz w:val="12"/>
              </w:rPr>
              <w:t>6.6 mm</w:t>
            </w:r>
          </w:p>
          <w:p>
            <w:pPr>
              <w:pStyle w:val="TableParagraph"/>
              <w:rPr>
                <w:i/>
                <w:sz w:val="12"/>
              </w:rPr>
            </w:pPr>
          </w:p>
          <w:p>
            <w:pPr>
              <w:pStyle w:val="TableParagraph"/>
              <w:spacing w:before="9"/>
              <w:rPr>
                <w:i/>
                <w:sz w:val="11"/>
              </w:rPr>
            </w:pPr>
          </w:p>
          <w:p>
            <w:pPr>
              <w:pStyle w:val="TableParagraph"/>
              <w:ind w:left="234"/>
              <w:rPr>
                <w:rFonts w:ascii="Calibri" w:hAnsi="Calibri"/>
                <w:sz w:val="12"/>
              </w:rPr>
            </w:pPr>
            <w:r>
              <w:rPr>
                <w:rFonts w:ascii="Calibri" w:hAnsi="Calibri"/>
                <w:sz w:val="12"/>
              </w:rPr>
              <w:t>30 µl</w:t>
            </w:r>
          </w:p>
          <w:p>
            <w:pPr>
              <w:pStyle w:val="TableParagraph"/>
              <w:spacing w:before="10"/>
              <w:rPr>
                <w:i/>
                <w:sz w:val="11"/>
              </w:rPr>
            </w:pPr>
          </w:p>
          <w:p>
            <w:pPr>
              <w:pStyle w:val="TableParagraph"/>
              <w:ind w:left="186"/>
              <w:rPr>
                <w:rFonts w:ascii="Calibri"/>
                <w:sz w:val="12"/>
              </w:rPr>
            </w:pPr>
            <w:r>
              <w:rPr>
                <w:rFonts w:ascii="Calibri"/>
                <w:sz w:val="12"/>
              </w:rPr>
              <w:t>6.1 mm</w:t>
            </w:r>
          </w:p>
        </w:tc>
      </w:tr>
      <w:tr>
        <w:trPr>
          <w:trHeight w:val="2218" w:hRule="exact"/>
        </w:trPr>
        <w:tc>
          <w:tcPr>
            <w:tcW w:w="2395" w:type="dxa"/>
          </w:tcPr>
          <w:p>
            <w:pPr>
              <w:pStyle w:val="TableParagraph"/>
              <w:rPr>
                <w:i/>
                <w:sz w:val="28"/>
              </w:rPr>
            </w:pPr>
          </w:p>
          <w:p>
            <w:pPr>
              <w:pStyle w:val="TableParagraph"/>
              <w:spacing w:before="10"/>
              <w:rPr>
                <w:i/>
                <w:sz w:val="36"/>
              </w:rPr>
            </w:pPr>
          </w:p>
          <w:p>
            <w:pPr>
              <w:pStyle w:val="TableParagraph"/>
              <w:ind w:left="791"/>
              <w:rPr>
                <w:rFonts w:ascii="Calibri"/>
                <w:sz w:val="28"/>
              </w:rPr>
            </w:pPr>
            <w:r>
              <w:rPr>
                <w:rFonts w:ascii="Calibri"/>
                <w:sz w:val="28"/>
              </w:rPr>
              <w:t>Caja 2</w:t>
            </w:r>
          </w:p>
        </w:tc>
        <w:tc>
          <w:tcPr>
            <w:tcW w:w="1237"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spacing w:before="1"/>
              <w:rPr>
                <w:i/>
                <w:sz w:val="16"/>
              </w:rPr>
            </w:pPr>
          </w:p>
          <w:p>
            <w:pPr>
              <w:pStyle w:val="TableParagraph"/>
              <w:ind w:left="744"/>
              <w:rPr>
                <w:rFonts w:ascii="Calibri" w:hAnsi="Calibri"/>
                <w:sz w:val="12"/>
              </w:rPr>
            </w:pPr>
            <w:r>
              <w:rPr>
                <w:rFonts w:ascii="Calibri" w:hAnsi="Calibri"/>
                <w:sz w:val="12"/>
              </w:rPr>
              <w:t>20 µl</w:t>
            </w:r>
          </w:p>
          <w:p>
            <w:pPr>
              <w:pStyle w:val="TableParagraph"/>
              <w:spacing w:before="5"/>
              <w:rPr>
                <w:i/>
                <w:sz w:val="11"/>
              </w:rPr>
            </w:pPr>
          </w:p>
          <w:p>
            <w:pPr>
              <w:pStyle w:val="TableParagraph"/>
              <w:ind w:left="708"/>
              <w:rPr>
                <w:rFonts w:ascii="Calibri"/>
                <w:sz w:val="12"/>
              </w:rPr>
            </w:pPr>
            <w:r>
              <w:rPr>
                <w:rFonts w:ascii="Calibri"/>
                <w:sz w:val="12"/>
              </w:rPr>
              <w:t>7.1 mm</w:t>
            </w:r>
          </w:p>
        </w:tc>
        <w:tc>
          <w:tcPr>
            <w:tcW w:w="1157"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spacing w:before="1"/>
              <w:rPr>
                <w:i/>
                <w:sz w:val="16"/>
              </w:rPr>
            </w:pPr>
          </w:p>
          <w:p>
            <w:pPr>
              <w:pStyle w:val="TableParagraph"/>
              <w:ind w:left="237"/>
              <w:rPr>
                <w:rFonts w:ascii="Calibri" w:hAnsi="Calibri"/>
                <w:sz w:val="12"/>
              </w:rPr>
            </w:pPr>
            <w:r>
              <w:rPr>
                <w:rFonts w:ascii="Calibri" w:hAnsi="Calibri"/>
                <w:sz w:val="12"/>
              </w:rPr>
              <w:t>30 µl</w:t>
            </w:r>
          </w:p>
          <w:p>
            <w:pPr>
              <w:pStyle w:val="TableParagraph"/>
              <w:spacing w:before="5"/>
              <w:rPr>
                <w:i/>
                <w:sz w:val="11"/>
              </w:rPr>
            </w:pPr>
          </w:p>
          <w:p>
            <w:pPr>
              <w:pStyle w:val="TableParagraph"/>
              <w:ind w:left="232"/>
              <w:rPr>
                <w:rFonts w:ascii="Calibri"/>
                <w:sz w:val="12"/>
              </w:rPr>
            </w:pPr>
            <w:r>
              <w:rPr>
                <w:rFonts w:ascii="Calibri"/>
                <w:sz w:val="12"/>
              </w:rPr>
              <w:t>6.3 mm</w:t>
            </w:r>
          </w:p>
          <w:p>
            <w:pPr>
              <w:pStyle w:val="TableParagraph"/>
              <w:rPr>
                <w:i/>
                <w:sz w:val="12"/>
              </w:rPr>
            </w:pPr>
          </w:p>
          <w:p>
            <w:pPr>
              <w:pStyle w:val="TableParagraph"/>
              <w:spacing w:before="11"/>
              <w:rPr>
                <w:i/>
                <w:sz w:val="11"/>
              </w:rPr>
            </w:pPr>
          </w:p>
          <w:p>
            <w:pPr>
              <w:pStyle w:val="TableParagraph"/>
              <w:ind w:left="273"/>
              <w:rPr>
                <w:rFonts w:ascii="Calibri" w:hAnsi="Calibri"/>
                <w:sz w:val="12"/>
              </w:rPr>
            </w:pPr>
            <w:r>
              <w:rPr>
                <w:rFonts w:ascii="Calibri" w:hAnsi="Calibri"/>
                <w:sz w:val="12"/>
              </w:rPr>
              <w:t>10 µl</w:t>
            </w:r>
          </w:p>
          <w:p>
            <w:pPr>
              <w:pStyle w:val="TableParagraph"/>
              <w:spacing w:before="10"/>
              <w:rPr>
                <w:i/>
                <w:sz w:val="11"/>
              </w:rPr>
            </w:pPr>
          </w:p>
          <w:p>
            <w:pPr>
              <w:pStyle w:val="TableParagraph"/>
              <w:ind w:left="249"/>
              <w:rPr>
                <w:rFonts w:ascii="Calibri"/>
                <w:sz w:val="12"/>
              </w:rPr>
            </w:pPr>
            <w:r>
              <w:rPr>
                <w:rFonts w:ascii="Calibri"/>
                <w:sz w:val="12"/>
              </w:rPr>
              <w:t>5.8 mm</w:t>
            </w:r>
          </w:p>
        </w:tc>
        <w:tc>
          <w:tcPr>
            <w:tcW w:w="1152"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78"/>
              <w:ind w:left="658"/>
              <w:rPr>
                <w:rFonts w:ascii="Calibri" w:hAnsi="Calibri"/>
                <w:sz w:val="12"/>
              </w:rPr>
            </w:pPr>
            <w:r>
              <w:rPr>
                <w:rFonts w:ascii="Calibri" w:hAnsi="Calibri"/>
                <w:sz w:val="12"/>
              </w:rPr>
              <w:t>20 µl</w:t>
            </w:r>
          </w:p>
          <w:p>
            <w:pPr>
              <w:pStyle w:val="TableParagraph"/>
              <w:spacing w:before="5"/>
              <w:rPr>
                <w:i/>
                <w:sz w:val="11"/>
              </w:rPr>
            </w:pPr>
          </w:p>
          <w:p>
            <w:pPr>
              <w:pStyle w:val="TableParagraph"/>
              <w:ind w:left="622"/>
              <w:rPr>
                <w:rFonts w:ascii="Calibri"/>
                <w:sz w:val="12"/>
              </w:rPr>
            </w:pPr>
            <w:r>
              <w:rPr>
                <w:rFonts w:ascii="Calibri"/>
                <w:sz w:val="12"/>
              </w:rPr>
              <w:t>6.6 mm</w:t>
            </w:r>
          </w:p>
        </w:tc>
        <w:tc>
          <w:tcPr>
            <w:tcW w:w="1243"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78"/>
              <w:ind w:left="235"/>
              <w:rPr>
                <w:rFonts w:ascii="Calibri" w:hAnsi="Calibri"/>
                <w:sz w:val="12"/>
              </w:rPr>
            </w:pPr>
            <w:r>
              <w:rPr>
                <w:rFonts w:ascii="Calibri" w:hAnsi="Calibri"/>
                <w:sz w:val="12"/>
              </w:rPr>
              <w:t>30 µl</w:t>
            </w:r>
          </w:p>
          <w:p>
            <w:pPr>
              <w:pStyle w:val="TableParagraph"/>
              <w:spacing w:before="5"/>
              <w:rPr>
                <w:i/>
                <w:sz w:val="11"/>
              </w:rPr>
            </w:pPr>
          </w:p>
          <w:p>
            <w:pPr>
              <w:pStyle w:val="TableParagraph"/>
              <w:ind w:left="230"/>
              <w:rPr>
                <w:rFonts w:ascii="Calibri"/>
                <w:sz w:val="12"/>
              </w:rPr>
            </w:pPr>
            <w:r>
              <w:rPr>
                <w:rFonts w:ascii="Calibri"/>
                <w:sz w:val="12"/>
              </w:rPr>
              <w:t>6.0 mm</w:t>
            </w:r>
          </w:p>
          <w:p>
            <w:pPr>
              <w:pStyle w:val="TableParagraph"/>
              <w:rPr>
                <w:i/>
                <w:sz w:val="12"/>
              </w:rPr>
            </w:pPr>
          </w:p>
          <w:p>
            <w:pPr>
              <w:pStyle w:val="TableParagraph"/>
              <w:spacing w:before="11"/>
              <w:rPr>
                <w:i/>
                <w:sz w:val="11"/>
              </w:rPr>
            </w:pPr>
          </w:p>
          <w:p>
            <w:pPr>
              <w:pStyle w:val="TableParagraph"/>
              <w:ind w:left="271"/>
              <w:rPr>
                <w:rFonts w:ascii="Calibri" w:hAnsi="Calibri"/>
                <w:sz w:val="12"/>
              </w:rPr>
            </w:pPr>
            <w:r>
              <w:rPr>
                <w:rFonts w:ascii="Calibri" w:hAnsi="Calibri"/>
                <w:sz w:val="12"/>
              </w:rPr>
              <w:t>10 µl</w:t>
            </w:r>
          </w:p>
          <w:p>
            <w:pPr>
              <w:pStyle w:val="TableParagraph"/>
              <w:spacing w:before="10"/>
              <w:rPr>
                <w:i/>
                <w:sz w:val="11"/>
              </w:rPr>
            </w:pPr>
          </w:p>
          <w:p>
            <w:pPr>
              <w:pStyle w:val="TableParagraph"/>
              <w:ind w:left="247"/>
              <w:rPr>
                <w:rFonts w:ascii="Calibri"/>
                <w:sz w:val="12"/>
              </w:rPr>
            </w:pPr>
            <w:r>
              <w:rPr>
                <w:rFonts w:ascii="Calibri"/>
                <w:sz w:val="12"/>
              </w:rPr>
              <w:t>5.7 mm</w:t>
            </w:r>
          </w:p>
        </w:tc>
        <w:tc>
          <w:tcPr>
            <w:tcW w:w="1163"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spacing w:before="11"/>
              <w:rPr>
                <w:i/>
                <w:sz w:val="17"/>
              </w:rPr>
            </w:pPr>
          </w:p>
          <w:p>
            <w:pPr>
              <w:pStyle w:val="TableParagraph"/>
              <w:ind w:left="612"/>
              <w:rPr>
                <w:rFonts w:ascii="Calibri" w:hAnsi="Calibri"/>
                <w:sz w:val="12"/>
              </w:rPr>
            </w:pPr>
            <w:r>
              <w:rPr>
                <w:rFonts w:ascii="Calibri" w:hAnsi="Calibri"/>
                <w:sz w:val="12"/>
              </w:rPr>
              <w:t>20 µl</w:t>
            </w:r>
          </w:p>
          <w:p>
            <w:pPr>
              <w:pStyle w:val="TableParagraph"/>
              <w:spacing w:before="7"/>
              <w:rPr>
                <w:i/>
                <w:sz w:val="11"/>
              </w:rPr>
            </w:pPr>
          </w:p>
          <w:p>
            <w:pPr>
              <w:pStyle w:val="TableParagraph"/>
              <w:spacing w:before="1"/>
              <w:ind w:left="576"/>
              <w:rPr>
                <w:rFonts w:ascii="Calibri"/>
                <w:sz w:val="12"/>
              </w:rPr>
            </w:pPr>
            <w:r>
              <w:rPr>
                <w:rFonts w:ascii="Calibri"/>
                <w:sz w:val="12"/>
              </w:rPr>
              <w:t>6.8 mm</w:t>
            </w:r>
          </w:p>
        </w:tc>
        <w:tc>
          <w:tcPr>
            <w:tcW w:w="1230"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spacing w:before="11"/>
              <w:rPr>
                <w:i/>
                <w:sz w:val="17"/>
              </w:rPr>
            </w:pPr>
          </w:p>
          <w:p>
            <w:pPr>
              <w:pStyle w:val="TableParagraph"/>
              <w:ind w:left="178"/>
              <w:rPr>
                <w:rFonts w:ascii="Calibri" w:hAnsi="Calibri"/>
                <w:sz w:val="12"/>
              </w:rPr>
            </w:pPr>
            <w:r>
              <w:rPr>
                <w:rFonts w:ascii="Calibri" w:hAnsi="Calibri"/>
                <w:sz w:val="12"/>
              </w:rPr>
              <w:t>30 µl</w:t>
            </w:r>
          </w:p>
          <w:p>
            <w:pPr>
              <w:pStyle w:val="TableParagraph"/>
              <w:spacing w:before="7"/>
              <w:rPr>
                <w:i/>
                <w:sz w:val="11"/>
              </w:rPr>
            </w:pPr>
          </w:p>
          <w:p>
            <w:pPr>
              <w:pStyle w:val="TableParagraph"/>
              <w:spacing w:before="1"/>
              <w:ind w:left="174"/>
              <w:rPr>
                <w:rFonts w:ascii="Calibri"/>
                <w:sz w:val="12"/>
              </w:rPr>
            </w:pPr>
            <w:r>
              <w:rPr>
                <w:rFonts w:ascii="Calibri"/>
                <w:sz w:val="12"/>
              </w:rPr>
              <w:t>7.4 mm</w:t>
            </w:r>
          </w:p>
          <w:p>
            <w:pPr>
              <w:pStyle w:val="TableParagraph"/>
              <w:rPr>
                <w:i/>
                <w:sz w:val="12"/>
              </w:rPr>
            </w:pPr>
          </w:p>
          <w:p>
            <w:pPr>
              <w:pStyle w:val="TableParagraph"/>
              <w:spacing w:before="9"/>
              <w:rPr>
                <w:i/>
                <w:sz w:val="11"/>
              </w:rPr>
            </w:pPr>
          </w:p>
          <w:p>
            <w:pPr>
              <w:pStyle w:val="TableParagraph"/>
              <w:ind w:left="214"/>
              <w:rPr>
                <w:rFonts w:ascii="Calibri" w:hAnsi="Calibri"/>
                <w:sz w:val="12"/>
              </w:rPr>
            </w:pPr>
            <w:r>
              <w:rPr>
                <w:rFonts w:ascii="Calibri" w:hAnsi="Calibri"/>
                <w:sz w:val="12"/>
              </w:rPr>
              <w:t>10 µl</w:t>
            </w:r>
          </w:p>
          <w:p>
            <w:pPr>
              <w:pStyle w:val="TableParagraph"/>
              <w:spacing w:before="10"/>
              <w:rPr>
                <w:i/>
                <w:sz w:val="11"/>
              </w:rPr>
            </w:pPr>
          </w:p>
          <w:p>
            <w:pPr>
              <w:pStyle w:val="TableParagraph"/>
              <w:ind w:left="190"/>
              <w:rPr>
                <w:rFonts w:ascii="Calibri"/>
                <w:sz w:val="12"/>
              </w:rPr>
            </w:pPr>
            <w:r>
              <w:rPr>
                <w:rFonts w:ascii="Calibri"/>
                <w:sz w:val="12"/>
              </w:rPr>
              <w:t>5.3 mm</w:t>
            </w:r>
          </w:p>
        </w:tc>
      </w:tr>
      <w:tr>
        <w:trPr>
          <w:trHeight w:val="2218" w:hRule="exact"/>
        </w:trPr>
        <w:tc>
          <w:tcPr>
            <w:tcW w:w="2395" w:type="dxa"/>
          </w:tcPr>
          <w:p>
            <w:pPr>
              <w:pStyle w:val="TableParagraph"/>
              <w:rPr>
                <w:i/>
                <w:sz w:val="28"/>
              </w:rPr>
            </w:pPr>
          </w:p>
          <w:p>
            <w:pPr>
              <w:pStyle w:val="TableParagraph"/>
              <w:spacing w:before="2"/>
              <w:rPr>
                <w:i/>
                <w:sz w:val="39"/>
              </w:rPr>
            </w:pPr>
          </w:p>
          <w:p>
            <w:pPr>
              <w:pStyle w:val="TableParagraph"/>
              <w:ind w:left="830"/>
              <w:rPr>
                <w:rFonts w:ascii="Calibri"/>
                <w:sz w:val="28"/>
              </w:rPr>
            </w:pPr>
            <w:r>
              <w:rPr>
                <w:rFonts w:ascii="Calibri"/>
                <w:sz w:val="28"/>
              </w:rPr>
              <w:t>Caja 3</w:t>
            </w:r>
          </w:p>
        </w:tc>
        <w:tc>
          <w:tcPr>
            <w:tcW w:w="1237"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8"/>
              <w:rPr>
                <w:i/>
                <w:sz w:val="14"/>
              </w:rPr>
            </w:pPr>
          </w:p>
          <w:p>
            <w:pPr>
              <w:pStyle w:val="TableParagraph"/>
              <w:ind w:left="706"/>
              <w:rPr>
                <w:rFonts w:ascii="Calibri" w:hAnsi="Calibri"/>
                <w:sz w:val="12"/>
              </w:rPr>
            </w:pPr>
            <w:r>
              <w:rPr>
                <w:rFonts w:ascii="Calibri" w:hAnsi="Calibri"/>
                <w:sz w:val="12"/>
              </w:rPr>
              <w:t>30 µl</w:t>
            </w:r>
          </w:p>
          <w:p>
            <w:pPr>
              <w:pStyle w:val="TableParagraph"/>
              <w:spacing w:before="7"/>
              <w:rPr>
                <w:i/>
                <w:sz w:val="11"/>
              </w:rPr>
            </w:pPr>
          </w:p>
          <w:p>
            <w:pPr>
              <w:pStyle w:val="TableParagraph"/>
              <w:spacing w:before="1"/>
              <w:ind w:left="631"/>
              <w:rPr>
                <w:rFonts w:ascii="Calibri"/>
                <w:sz w:val="12"/>
              </w:rPr>
            </w:pPr>
            <w:r>
              <w:rPr>
                <w:rFonts w:ascii="Calibri"/>
                <w:sz w:val="12"/>
              </w:rPr>
              <w:t>6.3 mm</w:t>
            </w:r>
          </w:p>
        </w:tc>
        <w:tc>
          <w:tcPr>
            <w:tcW w:w="1157"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8"/>
              <w:rPr>
                <w:i/>
                <w:sz w:val="14"/>
              </w:rPr>
            </w:pPr>
          </w:p>
          <w:p>
            <w:pPr>
              <w:pStyle w:val="TableParagraph"/>
              <w:ind w:left="247"/>
              <w:rPr>
                <w:rFonts w:ascii="Calibri" w:hAnsi="Calibri"/>
                <w:sz w:val="12"/>
              </w:rPr>
            </w:pPr>
            <w:r>
              <w:rPr>
                <w:rFonts w:ascii="Calibri" w:hAnsi="Calibri"/>
                <w:sz w:val="12"/>
              </w:rPr>
              <w:t>10 µl</w:t>
            </w:r>
          </w:p>
          <w:p>
            <w:pPr>
              <w:pStyle w:val="TableParagraph"/>
              <w:spacing w:before="7"/>
              <w:rPr>
                <w:i/>
                <w:sz w:val="11"/>
              </w:rPr>
            </w:pPr>
          </w:p>
          <w:p>
            <w:pPr>
              <w:pStyle w:val="TableParagraph"/>
              <w:spacing w:before="1"/>
              <w:ind w:left="247" w:hanging="94"/>
              <w:rPr>
                <w:rFonts w:ascii="Calibri"/>
                <w:sz w:val="12"/>
              </w:rPr>
            </w:pPr>
            <w:r>
              <w:rPr>
                <w:rFonts w:ascii="Calibri"/>
                <w:sz w:val="12"/>
              </w:rPr>
              <w:t>5.8 mm</w:t>
            </w:r>
          </w:p>
          <w:p>
            <w:pPr>
              <w:pStyle w:val="TableParagraph"/>
              <w:rPr>
                <w:i/>
                <w:sz w:val="12"/>
              </w:rPr>
            </w:pPr>
          </w:p>
          <w:p>
            <w:pPr>
              <w:pStyle w:val="TableParagraph"/>
              <w:spacing w:before="9"/>
              <w:rPr>
                <w:i/>
                <w:sz w:val="11"/>
              </w:rPr>
            </w:pPr>
          </w:p>
          <w:p>
            <w:pPr>
              <w:pStyle w:val="TableParagraph"/>
              <w:ind w:left="247"/>
              <w:rPr>
                <w:rFonts w:ascii="Calibri" w:hAnsi="Calibri"/>
                <w:sz w:val="12"/>
              </w:rPr>
            </w:pPr>
            <w:r>
              <w:rPr>
                <w:rFonts w:ascii="Calibri" w:hAnsi="Calibri"/>
                <w:sz w:val="12"/>
              </w:rPr>
              <w:t>20 µl</w:t>
            </w:r>
          </w:p>
          <w:p>
            <w:pPr>
              <w:pStyle w:val="TableParagraph"/>
              <w:spacing w:before="10"/>
              <w:rPr>
                <w:i/>
                <w:sz w:val="11"/>
              </w:rPr>
            </w:pPr>
          </w:p>
          <w:p>
            <w:pPr>
              <w:pStyle w:val="TableParagraph"/>
              <w:ind w:left="201"/>
              <w:rPr>
                <w:rFonts w:ascii="Calibri"/>
                <w:sz w:val="12"/>
              </w:rPr>
            </w:pPr>
            <w:r>
              <w:rPr>
                <w:rFonts w:ascii="Calibri"/>
                <w:sz w:val="12"/>
              </w:rPr>
              <w:t>6.4 mm</w:t>
            </w:r>
          </w:p>
        </w:tc>
        <w:tc>
          <w:tcPr>
            <w:tcW w:w="1152"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3"/>
              <w:rPr>
                <w:i/>
                <w:sz w:val="15"/>
              </w:rPr>
            </w:pPr>
          </w:p>
          <w:p>
            <w:pPr>
              <w:pStyle w:val="TableParagraph"/>
              <w:ind w:left="646"/>
              <w:rPr>
                <w:rFonts w:ascii="Calibri" w:hAnsi="Calibri"/>
                <w:sz w:val="12"/>
              </w:rPr>
            </w:pPr>
            <w:r>
              <w:rPr>
                <w:rFonts w:ascii="Calibri" w:hAnsi="Calibri"/>
                <w:sz w:val="12"/>
              </w:rPr>
              <w:t>30 µl</w:t>
            </w:r>
          </w:p>
          <w:p>
            <w:pPr>
              <w:pStyle w:val="TableParagraph"/>
              <w:spacing w:before="7"/>
              <w:rPr>
                <w:i/>
                <w:sz w:val="11"/>
              </w:rPr>
            </w:pPr>
          </w:p>
          <w:p>
            <w:pPr>
              <w:pStyle w:val="TableParagraph"/>
              <w:spacing w:before="1"/>
              <w:ind w:left="571"/>
              <w:rPr>
                <w:rFonts w:ascii="Calibri"/>
                <w:sz w:val="12"/>
              </w:rPr>
            </w:pPr>
            <w:r>
              <w:rPr>
                <w:rFonts w:ascii="Calibri"/>
                <w:sz w:val="12"/>
              </w:rPr>
              <w:t>6.0 mm</w:t>
            </w:r>
          </w:p>
        </w:tc>
        <w:tc>
          <w:tcPr>
            <w:tcW w:w="1243"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3"/>
              <w:rPr>
                <w:i/>
                <w:sz w:val="15"/>
              </w:rPr>
            </w:pPr>
          </w:p>
          <w:p>
            <w:pPr>
              <w:pStyle w:val="TableParagraph"/>
              <w:ind w:left="271"/>
              <w:rPr>
                <w:rFonts w:ascii="Calibri" w:hAnsi="Calibri"/>
                <w:sz w:val="12"/>
              </w:rPr>
            </w:pPr>
            <w:r>
              <w:rPr>
                <w:rFonts w:ascii="Calibri" w:hAnsi="Calibri"/>
                <w:sz w:val="12"/>
              </w:rPr>
              <w:t>10 µl</w:t>
            </w:r>
          </w:p>
          <w:p>
            <w:pPr>
              <w:pStyle w:val="TableParagraph"/>
              <w:spacing w:before="7"/>
              <w:rPr>
                <w:i/>
                <w:sz w:val="11"/>
              </w:rPr>
            </w:pPr>
          </w:p>
          <w:p>
            <w:pPr>
              <w:pStyle w:val="TableParagraph"/>
              <w:spacing w:line="578" w:lineRule="auto" w:before="1"/>
              <w:ind w:left="271" w:right="670" w:hanging="94"/>
              <w:rPr>
                <w:rFonts w:ascii="Calibri" w:hAnsi="Calibri"/>
                <w:sz w:val="12"/>
              </w:rPr>
            </w:pPr>
            <w:r>
              <w:rPr>
                <w:rFonts w:ascii="Calibri" w:hAnsi="Calibri"/>
                <w:sz w:val="12"/>
              </w:rPr>
              <w:t>5.0 mm 20 µl</w:t>
            </w:r>
          </w:p>
          <w:p>
            <w:pPr>
              <w:pStyle w:val="TableParagraph"/>
              <w:spacing w:line="144" w:lineRule="exact"/>
              <w:ind w:left="225"/>
              <w:rPr>
                <w:rFonts w:ascii="Calibri"/>
                <w:sz w:val="12"/>
              </w:rPr>
            </w:pPr>
            <w:r>
              <w:rPr>
                <w:rFonts w:ascii="Calibri"/>
                <w:sz w:val="12"/>
              </w:rPr>
              <w:t>6.0 mm</w:t>
            </w:r>
          </w:p>
        </w:tc>
        <w:tc>
          <w:tcPr>
            <w:tcW w:w="1163"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6"/>
              <w:rPr>
                <w:i/>
                <w:sz w:val="15"/>
              </w:rPr>
            </w:pPr>
          </w:p>
          <w:p>
            <w:pPr>
              <w:pStyle w:val="TableParagraph"/>
              <w:ind w:left="612"/>
              <w:rPr>
                <w:rFonts w:ascii="Calibri" w:hAnsi="Calibri"/>
                <w:sz w:val="12"/>
              </w:rPr>
            </w:pPr>
            <w:r>
              <w:rPr>
                <w:rFonts w:ascii="Calibri" w:hAnsi="Calibri"/>
                <w:sz w:val="12"/>
              </w:rPr>
              <w:t>30 µl</w:t>
            </w:r>
          </w:p>
          <w:p>
            <w:pPr>
              <w:pStyle w:val="TableParagraph"/>
              <w:spacing w:before="7"/>
              <w:rPr>
                <w:i/>
                <w:sz w:val="11"/>
              </w:rPr>
            </w:pPr>
          </w:p>
          <w:p>
            <w:pPr>
              <w:pStyle w:val="TableParagraph"/>
              <w:spacing w:before="1"/>
              <w:ind w:left="537"/>
              <w:rPr>
                <w:rFonts w:ascii="Calibri"/>
                <w:sz w:val="12"/>
              </w:rPr>
            </w:pPr>
            <w:r>
              <w:rPr>
                <w:rFonts w:ascii="Calibri"/>
                <w:sz w:val="12"/>
              </w:rPr>
              <w:t>5.8 mm</w:t>
            </w:r>
          </w:p>
        </w:tc>
        <w:tc>
          <w:tcPr>
            <w:tcW w:w="1230"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6"/>
              <w:rPr>
                <w:i/>
                <w:sz w:val="15"/>
              </w:rPr>
            </w:pPr>
          </w:p>
          <w:p>
            <w:pPr>
              <w:pStyle w:val="TableParagraph"/>
              <w:ind w:left="224"/>
              <w:rPr>
                <w:rFonts w:ascii="Calibri" w:hAnsi="Calibri"/>
                <w:sz w:val="12"/>
              </w:rPr>
            </w:pPr>
            <w:r>
              <w:rPr>
                <w:rFonts w:ascii="Calibri" w:hAnsi="Calibri"/>
                <w:sz w:val="12"/>
              </w:rPr>
              <w:t>10 µl</w:t>
            </w:r>
          </w:p>
          <w:p>
            <w:pPr>
              <w:pStyle w:val="TableParagraph"/>
              <w:spacing w:before="7"/>
              <w:rPr>
                <w:i/>
                <w:sz w:val="11"/>
              </w:rPr>
            </w:pPr>
          </w:p>
          <w:p>
            <w:pPr>
              <w:pStyle w:val="TableParagraph"/>
              <w:spacing w:before="1"/>
              <w:ind w:left="133"/>
              <w:rPr>
                <w:rFonts w:ascii="Calibri"/>
                <w:sz w:val="12"/>
              </w:rPr>
            </w:pPr>
            <w:r>
              <w:rPr>
                <w:rFonts w:ascii="Calibri"/>
                <w:sz w:val="12"/>
              </w:rPr>
              <w:t>5.5 mm</w:t>
            </w:r>
          </w:p>
          <w:p>
            <w:pPr>
              <w:pStyle w:val="TableParagraph"/>
              <w:rPr>
                <w:i/>
                <w:sz w:val="12"/>
              </w:rPr>
            </w:pPr>
          </w:p>
          <w:p>
            <w:pPr>
              <w:pStyle w:val="TableParagraph"/>
              <w:spacing w:before="9"/>
              <w:rPr>
                <w:i/>
                <w:sz w:val="11"/>
              </w:rPr>
            </w:pPr>
          </w:p>
          <w:p>
            <w:pPr>
              <w:pStyle w:val="TableParagraph"/>
              <w:ind w:left="224"/>
              <w:rPr>
                <w:rFonts w:ascii="Calibri" w:hAnsi="Calibri"/>
                <w:sz w:val="12"/>
              </w:rPr>
            </w:pPr>
            <w:r>
              <w:rPr>
                <w:rFonts w:ascii="Calibri" w:hAnsi="Calibri"/>
                <w:sz w:val="12"/>
              </w:rPr>
              <w:t>20 µl</w:t>
            </w:r>
          </w:p>
          <w:p>
            <w:pPr>
              <w:pStyle w:val="TableParagraph"/>
              <w:spacing w:before="10"/>
              <w:rPr>
                <w:i/>
                <w:sz w:val="11"/>
              </w:rPr>
            </w:pPr>
          </w:p>
          <w:p>
            <w:pPr>
              <w:pStyle w:val="TableParagraph"/>
              <w:ind w:left="178"/>
              <w:rPr>
                <w:rFonts w:ascii="Calibri"/>
                <w:sz w:val="12"/>
              </w:rPr>
            </w:pPr>
            <w:r>
              <w:rPr>
                <w:rFonts w:ascii="Calibri"/>
                <w:sz w:val="12"/>
              </w:rPr>
              <w:t>5.8 mm</w:t>
            </w:r>
          </w:p>
        </w:tc>
      </w:tr>
    </w:tbl>
    <w:p>
      <w:pPr>
        <w:spacing w:after="0"/>
        <w:rPr>
          <w:rFonts w:ascii="Calibri"/>
          <w:sz w:val="12"/>
        </w:rPr>
        <w:sectPr>
          <w:pgSz w:w="12240" w:h="15840"/>
          <w:pgMar w:header="736" w:footer="1024" w:top="1180" w:bottom="1220" w:left="1220" w:right="1220"/>
        </w:sectPr>
      </w:pPr>
    </w:p>
    <w:p>
      <w:pPr>
        <w:pStyle w:val="BodyText"/>
        <w:spacing w:before="11"/>
        <w:rPr>
          <w:i/>
          <w:sz w:val="16"/>
        </w:rPr>
      </w:pPr>
      <w:r>
        <w:rPr/>
        <w:pict>
          <v:group style="position:absolute;margin-left:198.649994pt;margin-top:480.679993pt;width:99.4pt;height:90.7pt;mso-position-horizontal-relative:page;mso-position-vertical-relative:page;z-index:-188944" coordorigin="3973,9614" coordsize="1988,1814">
            <v:shape style="position:absolute;left:3993;top:9634;width:1948;height:1774" coordorigin="3993,9634" coordsize="1948,1774" path="m3993,10521l3996,10448,4006,10377,4021,10307,4043,10240,4070,10175,4102,10113,4139,10053,4181,9997,4227,9943,4278,9893,4333,9847,4392,9805,4454,9766,4519,9733,4588,9703,4659,9679,4733,9659,4809,9645,4887,9637,4967,9634,5047,9637,5125,9645,5201,9659,5275,9679,5346,9703,5415,9733,5480,9766,5542,9805,5601,9847,5656,9893,5707,9943,5753,9997,5795,10053,5832,10113,5864,10175,5891,10240,5913,10307,5928,10377,5938,10448,5941,10521,5938,10593,5928,10664,5913,10734,5891,10801,5864,10866,5832,10928,5795,10988,5753,11044,5707,11098,5656,11148,5601,11194,5542,11236,5480,11275,5415,11309,5346,11338,5275,11362,5201,11382,5125,11396,5047,11405,4967,11408,4887,11405,4809,11396,4733,11382,4659,11362,4588,11338,4519,11309,4454,11275,4392,11236,4333,11194,4278,11148,4227,11098,4181,11044,4139,10988,4102,10928,4070,10866,4043,10801,4021,10734,4006,10664,3996,10593,3993,10521xe" filled="false" stroked="true" strokeweight="2pt" strokecolor="#385d89">
              <v:path arrowok="t"/>
            </v:shape>
            <v:shape style="position:absolute;left:4383;top:9933;width:414;height:417" coordorigin="4383,9933" coordsize="414,417" path="m4590,9933l4525,9943,4468,9973,4423,10018,4394,10075,4383,10141,4394,10207,4423,10264,4468,10309,4525,10339,4590,10350,4656,10339,4712,10309,4757,10264,4787,10207,4797,10141,4787,10075,4757,10018,4712,9973,4656,9943,4590,9933xe" filled="true" fillcolor="#00af50" stroked="false">
              <v:path arrowok="t"/>
              <v:fill type="solid"/>
            </v:shape>
            <v:shape style="position:absolute;left:4383;top:9933;width:414;height:417" coordorigin="4383,9933" coordsize="414,417" path="m4383,10141l4394,10075,4423,10018,4468,9973,4525,9943,4590,9933,4656,9943,4712,9973,4757,10018,4787,10075,4797,10141,4787,10207,4757,10264,4712,10309,4656,10339,4590,10350,4525,10339,4468,10309,4423,10264,4394,10207,4383,10141xe" filled="false" stroked="true" strokeweight="2pt" strokecolor="#00af50">
              <v:path arrowok="t"/>
            </v:shape>
            <v:shape style="position:absolute;left:4391;top:10634;width:414;height:417" coordorigin="4391,10634" coordsize="414,417" path="m4391,10843l4402,10777,4431,10720,4476,10675,4533,10645,4598,10634,4664,10645,4721,10675,4765,10720,4795,10777,4805,10843,4795,10909,4765,10966,4721,11011,4664,11041,4598,11051,4533,11041,4476,11011,4431,10966,4402,10909,4391,10843xe" filled="false" stroked="true" strokeweight="2pt" strokecolor="#385d89">
              <v:path arrowok="t"/>
            </v:shape>
            <v:shape style="position:absolute;left:5131;top:10625;width:414;height:417" coordorigin="5131,10625" coordsize="414,417" path="m5338,10625l5273,10636,5216,10665,5171,10710,5142,10768,5131,10833,5142,10899,5171,10957,5216,11002,5273,11031,5338,11042,5403,11031,5460,11002,5505,10957,5534,10899,5545,10833,5534,10768,5505,10710,5460,10665,5403,10636,5338,10625xe" filled="true" fillcolor="#4f81bc" stroked="false">
              <v:path arrowok="t"/>
              <v:fill type="solid"/>
            </v:shape>
            <v:shape style="position:absolute;left:5131;top:10625;width:414;height:417" coordorigin="5131,10625" coordsize="414,417" path="m5131,10833l5142,10768,5171,10710,5216,10665,5273,10636,5338,10625,5403,10636,5460,10665,5505,10710,5534,10768,5545,10833,5534,10899,5505,10957,5460,11002,5403,11031,5338,11042,5273,11031,5216,11002,5171,10957,5142,10899,5131,10833xe" filled="false" stroked="true" strokeweight="2pt" strokecolor="#385d89">
              <v:path arrowok="t"/>
            </v:shape>
            <v:shape style="position:absolute;left:5115;top:9933;width:414;height:417" coordorigin="5115,9933" coordsize="414,417" path="m5322,9933l5256,9943,5200,9973,5155,10018,5125,10075,5115,10141,5125,10207,5155,10264,5200,10309,5256,10339,5322,10350,5387,10339,5444,10309,5489,10264,5518,10207,5529,10141,5518,10075,5489,10018,5444,9973,5387,9943,5322,9933xe" filled="true" fillcolor="#c0504d" stroked="false">
              <v:path arrowok="t"/>
              <v:fill type="solid"/>
            </v:shape>
            <v:shape style="position:absolute;left:5115;top:9933;width:414;height:417" coordorigin="5115,9933" coordsize="414,417" path="m5115,10141l5125,10075,5155,10018,5200,9973,5256,9943,5322,9933,5387,9943,5444,9973,5489,10018,5518,10075,5529,10141,5518,10207,5489,10264,5444,10309,5387,10339,5322,10350,5256,10339,5200,10309,5155,10264,5125,10207,5115,10141xe" filled="false" stroked="true" strokeweight="2pt" strokecolor="#c0504d">
              <v:path arrowok="t"/>
            </v:shape>
            <v:shape style="position:absolute;left:5050;top:10373;width:670;height:113" type="#_x0000_t75" stroked="false">
              <v:imagedata r:id="rId197" o:title=""/>
            </v:shape>
            <v:shape style="position:absolute;left:4330;top:10092;width:557;height:113" type="#_x0000_t75" stroked="false">
              <v:imagedata r:id="rId144" o:title=""/>
            </v:shape>
            <v:shape style="position:absolute;left:5054;top:10092;width:569;height:144" type="#_x0000_t75" stroked="false">
              <v:imagedata r:id="rId118" o:title=""/>
            </v:shape>
            <v:shape style="position:absolute;left:5090;top:10793;width:552;height:113" type="#_x0000_t75" stroked="false">
              <v:imagedata r:id="rId200" o:title=""/>
            </v:shape>
            <v:shape style="position:absolute;left:4294;top:10373;width:665;height:113" type="#_x0000_t75" stroked="false">
              <v:imagedata r:id="rId197" o:title=""/>
            </v:shape>
            <v:shape style="position:absolute;left:5066;top:11076;width:660;height:113" type="#_x0000_t75" stroked="false">
              <v:imagedata r:id="rId204" o:title=""/>
            </v:shape>
            <w10:wrap type="none"/>
          </v:group>
        </w:pict>
      </w:r>
      <w:r>
        <w:rPr/>
        <w:pict>
          <v:group style="position:absolute;margin-left:197.449997pt;margin-top:597.469971pt;width:99.4pt;height:90.7pt;mso-position-horizontal-relative:page;mso-position-vertical-relative:page;z-index:-188920" coordorigin="3949,11949" coordsize="1988,1814">
            <v:shape style="position:absolute;left:3969;top:11969;width:1948;height:1774" coordorigin="3969,11969" coordsize="1948,1774" path="m3969,12856l3972,12784,3982,12712,3997,12643,4019,12576,4046,12511,4078,12449,4115,12389,4157,12332,4203,12279,4254,12229,4309,12183,4368,12141,4430,12102,4495,12068,4564,12039,4635,12015,4709,11995,4785,11981,4863,11972,4943,11969,5023,11972,5101,11981,5177,11995,5251,12015,5322,12039,5391,12068,5456,12102,5518,12141,5577,12183,5632,12229,5683,12279,5729,12332,5771,12389,5808,12449,5840,12511,5867,12576,5889,12643,5904,12712,5914,12784,5917,12856,5914,12929,5904,13000,5889,13070,5867,13137,5840,13202,5808,13264,5771,13324,5729,13380,5683,13434,5632,13484,5577,13530,5518,13572,5456,13610,5391,13644,5322,13674,5251,13698,5177,13718,5101,13732,5023,13740,4943,13743,4863,13740,4785,13732,4709,13718,4635,13698,4564,13674,4495,13644,4430,13610,4368,13572,4309,13530,4254,13484,4203,13434,4157,13380,4115,13324,4078,13264,4046,13202,4019,13137,3997,13070,3982,13000,3972,12929,3969,12856xe" filled="false" stroked="true" strokeweight="2pt" strokecolor="#385d89">
              <v:path arrowok="t"/>
            </v:shape>
            <v:shape style="position:absolute;left:4359;top:12269;width:414;height:417" coordorigin="4359,12269" coordsize="414,417" path="m4566,12269l4501,12279,4444,12309,4399,12354,4370,12411,4359,12477,4370,12543,4399,12600,4444,12645,4501,12675,4566,12685,4632,12675,4688,12645,4733,12600,4763,12543,4773,12477,4763,12411,4733,12354,4688,12309,4632,12279,4566,12269xe" filled="true" fillcolor="#00af50" stroked="false">
              <v:path arrowok="t"/>
              <v:fill type="solid"/>
            </v:shape>
            <v:shape style="position:absolute;left:4359;top:12269;width:414;height:417" coordorigin="4359,12269" coordsize="414,417" path="m4359,12477l4370,12411,4399,12354,4444,12309,4501,12279,4566,12269,4632,12279,4688,12309,4733,12354,4763,12411,4773,12477,4763,12543,4733,12600,4688,12645,4632,12675,4566,12685,4501,12675,4444,12645,4399,12600,4370,12543,4359,12477xe" filled="false" stroked="true" strokeweight="2pt" strokecolor="#00af50">
              <v:path arrowok="t"/>
            </v:shape>
            <v:shape style="position:absolute;left:4367;top:12970;width:414;height:417" coordorigin="4367,12970" coordsize="414,417" path="m4367,13179l4378,13113,4407,13055,4452,13010,4509,12981,4574,12970,4640,12981,4697,13010,4741,13055,4771,13113,4781,13179,4771,13245,4741,13302,4697,13347,4640,13376,4574,13387,4509,13376,4452,13347,4407,13302,4378,13245,4367,13179xe" filled="false" stroked="true" strokeweight="2pt" strokecolor="#385d89">
              <v:path arrowok="t"/>
            </v:shape>
            <v:shape style="position:absolute;left:5107;top:12961;width:414;height:417" coordorigin="5107,12961" coordsize="414,417" path="m5314,12961l5249,12971,5192,13001,5147,13046,5118,13103,5107,13169,5118,13235,5147,13292,5192,13337,5249,13367,5314,13378,5379,13367,5436,13337,5481,13292,5510,13235,5521,13169,5510,13103,5481,13046,5436,13001,5379,12971,5314,12961xe" filled="true" fillcolor="#4f81bc" stroked="false">
              <v:path arrowok="t"/>
              <v:fill type="solid"/>
            </v:shape>
            <v:shape style="position:absolute;left:5107;top:12961;width:414;height:417" coordorigin="5107,12961" coordsize="414,417" path="m5107,13169l5118,13103,5147,13046,5192,13001,5249,12971,5314,12961,5379,12971,5436,13001,5481,13046,5510,13103,5521,13169,5510,13235,5481,13292,5436,13337,5379,13367,5314,13378,5249,13367,5192,13337,5147,13292,5118,13235,5107,13169xe" filled="false" stroked="true" strokeweight="2pt" strokecolor="#385d89">
              <v:path arrowok="t"/>
            </v:shape>
            <v:shape style="position:absolute;left:5091;top:12269;width:414;height:417" coordorigin="5091,12269" coordsize="414,417" path="m5298,12269l5232,12279,5176,12309,5131,12354,5101,12411,5091,12477,5101,12543,5131,12600,5176,12645,5232,12675,5298,12685,5363,12675,5420,12645,5465,12600,5494,12543,5505,12477,5494,12411,5465,12354,5420,12309,5363,12279,5298,12269xe" filled="true" fillcolor="#c0504d" stroked="false">
              <v:path arrowok="t"/>
              <v:fill type="solid"/>
            </v:shape>
            <v:shape style="position:absolute;left:5091;top:12269;width:414;height:417" coordorigin="5091,12269" coordsize="414,417" path="m5091,12477l5101,12411,5131,12354,5176,12309,5232,12279,5298,12269,5363,12279,5420,12309,5465,12354,5494,12411,5505,12477,5494,12543,5465,12600,5420,12645,5363,12675,5298,12685,5232,12675,5176,12645,5131,12600,5101,12543,5091,12477xe" filled="false" stroked="true" strokeweight="2pt" strokecolor="#c0504d">
              <v:path arrowok="t"/>
            </v:shape>
            <v:shape style="position:absolute;left:4973;top:12708;width:722;height:173" type="#_x0000_t75" stroked="false">
              <v:imagedata r:id="rId199" o:title=""/>
            </v:shape>
            <v:shape style="position:absolute;left:4294;top:12427;width:569;height:113" type="#_x0000_t75" stroked="false">
              <v:imagedata r:id="rId120" o:title=""/>
            </v:shape>
            <v:shape style="position:absolute;left:5066;top:12427;width:533;height:113" type="#_x0000_t75" stroked="false">
              <v:imagedata r:id="rId121" o:title=""/>
            </v:shape>
            <v:shape style="position:absolute;left:5066;top:13128;width:552;height:113" type="#_x0000_t75" stroked="false">
              <v:imagedata r:id="rId200" o:title=""/>
            </v:shape>
            <v:shape style="position:absolute;left:4219;top:12708;width:787;height:113" type="#_x0000_t75" stroked="false">
              <v:imagedata r:id="rId201" o:title=""/>
            </v:shape>
            <v:shape style="position:absolute;left:5021;top:13411;width:682;height:113" type="#_x0000_t75" stroked="false">
              <v:imagedata r:id="rId202" o:title=""/>
            </v:shape>
            <w10:wrap type="none"/>
          </v:group>
        </w:pict>
      </w:r>
      <w:r>
        <w:rPr/>
        <w:pict>
          <v:group style="position:absolute;margin-left:314.25pt;margin-top:481.779999pt;width:99.4pt;height:90.7pt;mso-position-horizontal-relative:page;mso-position-vertical-relative:page;z-index:-188896" coordorigin="6285,9636" coordsize="1988,1814">
            <v:shape style="position:absolute;left:6305;top:9656;width:1948;height:1774" coordorigin="6305,9656" coordsize="1948,1774" path="m6305,10543l6308,10470,6318,10399,6333,10329,6355,10262,6382,10197,6414,10135,6451,10075,6493,10019,6539,9965,6590,9915,6645,9869,6704,9827,6766,9788,6831,9755,6900,9725,6971,9701,7045,9681,7121,9667,7199,9659,7279,9656,7359,9659,7437,9667,7513,9681,7587,9701,7658,9725,7727,9755,7792,9788,7854,9827,7913,9869,7968,9915,8019,9965,8065,10019,8107,10075,8144,10135,8176,10197,8203,10262,8225,10329,8240,10399,8250,10470,8253,10543,8250,10615,8240,10686,8225,10756,8203,10823,8176,10888,8144,10950,8107,11010,8065,11066,8019,11120,7968,11170,7913,11216,7854,11258,7792,11297,7727,11331,7658,11360,7587,11384,7513,11404,7437,11418,7359,11427,7279,11430,7199,11427,7121,11418,7045,11404,6971,11384,6900,11360,6831,11331,6766,11297,6704,11258,6645,11216,6590,11170,6539,11120,6493,11066,6451,11010,6414,10950,6382,10888,6355,10823,6333,10756,6318,10686,6308,10615,6305,10543xe" filled="false" stroked="true" strokeweight="2pt" strokecolor="#385d89">
              <v:path arrowok="t"/>
            </v:shape>
            <v:shape style="position:absolute;left:6695;top:9955;width:414;height:417" coordorigin="6695,9955" coordsize="414,417" path="m6902,9955l6837,9965,6780,9995,6735,10040,6706,10097,6695,10163,6706,10229,6735,10286,6780,10331,6837,10361,6902,10372,6968,10361,7024,10331,7069,10286,7099,10229,7109,10163,7099,10097,7069,10040,7024,9995,6968,9965,6902,9955xe" filled="true" fillcolor="#00af50" stroked="false">
              <v:path arrowok="t"/>
              <v:fill type="solid"/>
            </v:shape>
            <v:shape style="position:absolute;left:6695;top:9955;width:414;height:417" coordorigin="6695,9955" coordsize="414,417" path="m6695,10163l6706,10097,6735,10040,6780,9995,6837,9965,6902,9955,6968,9965,7024,9995,7069,10040,7099,10097,7109,10163,7099,10229,7069,10286,7024,10331,6968,10361,6902,10372,6837,10361,6780,10331,6735,10286,6706,10229,6695,10163xe" filled="false" stroked="true" strokeweight="2.0pt" strokecolor="#00af50">
              <v:path arrowok="t"/>
            </v:shape>
            <v:shape style="position:absolute;left:6703;top:10656;width:414;height:417" coordorigin="6703,10656" coordsize="414,417" path="m6703,10865l6714,10799,6743,10742,6788,10697,6845,10667,6910,10656,6976,10667,7033,10697,7077,10742,7107,10799,7117,10865,7107,10931,7077,10988,7033,11033,6976,11063,6910,11073,6845,11063,6788,11033,6743,10988,6714,10931,6703,10865xe" filled="false" stroked="true" strokeweight="2pt" strokecolor="#385d89">
              <v:path arrowok="t"/>
            </v:shape>
            <v:shape style="position:absolute;left:7443;top:10647;width:414;height:417" coordorigin="7443,10647" coordsize="414,417" path="m7650,10647l7585,10658,7528,10687,7483,10732,7454,10790,7443,10855,7454,10921,7483,10979,7528,11024,7585,11053,7650,11064,7715,11053,7772,11024,7817,10979,7846,10921,7857,10855,7846,10790,7817,10732,7772,10687,7715,10658,7650,10647xe" filled="true" fillcolor="#4f81bc" stroked="false">
              <v:path arrowok="t"/>
              <v:fill type="solid"/>
            </v:shape>
            <v:shape style="position:absolute;left:7443;top:10647;width:414;height:417" coordorigin="7443,10647" coordsize="414,417" path="m7443,10855l7454,10790,7483,10732,7528,10687,7585,10658,7650,10647,7715,10658,7772,10687,7817,10732,7846,10790,7857,10855,7846,10921,7817,10979,7772,11024,7715,11053,7650,11064,7585,11053,7528,11024,7483,10979,7454,10921,7443,10855xe" filled="false" stroked="true" strokeweight="2pt" strokecolor="#385d89">
              <v:path arrowok="t"/>
            </v:shape>
            <v:shape style="position:absolute;left:7427;top:9955;width:414;height:417" coordorigin="7427,9955" coordsize="414,417" path="m7634,9955l7568,9965,7512,9995,7467,10040,7437,10097,7427,10163,7437,10229,7467,10286,7512,10331,7568,10361,7634,10372,7699,10361,7756,10331,7801,10286,7830,10229,7841,10163,7830,10097,7801,10040,7756,9995,7699,9965,7634,9955xe" filled="true" fillcolor="#c0504d" stroked="false">
              <v:path arrowok="t"/>
              <v:fill type="solid"/>
            </v:shape>
            <v:shape style="position:absolute;left:7427;top:9955;width:414;height:417" coordorigin="7427,9955" coordsize="414,417" path="m7427,10163l7437,10097,7467,10040,7512,9995,7568,9965,7634,9955,7699,9965,7756,9995,7801,10040,7830,10097,7841,10163,7830,10229,7801,10286,7756,10331,7699,10361,7634,10372,7568,10361,7512,10331,7467,10286,7437,10229,7427,10163xe" filled="false" stroked="true" strokeweight="2pt" strokecolor="#c0504d">
              <v:path arrowok="t"/>
            </v:shape>
            <v:shape style="position:absolute;left:7361;top:10394;width:670;height:113" type="#_x0000_t75" stroked="false">
              <v:imagedata r:id="rId197" o:title=""/>
            </v:shape>
            <v:shape style="position:absolute;left:6643;top:10114;width:557;height:113" type="#_x0000_t75" stroked="false">
              <v:imagedata r:id="rId144" o:title=""/>
            </v:shape>
            <v:shape style="position:absolute;left:7366;top:10114;width:569;height:146" type="#_x0000_t75" stroked="false">
              <v:imagedata r:id="rId118" o:title=""/>
            </v:shape>
            <v:shape style="position:absolute;left:7402;top:10814;width:554;height:113" type="#_x0000_t75" stroked="false">
              <v:imagedata r:id="rId144" o:title=""/>
            </v:shape>
            <v:shape style="position:absolute;left:6607;top:10394;width:662;height:113" type="#_x0000_t75" stroked="false">
              <v:imagedata r:id="rId204" o:title=""/>
            </v:shape>
            <v:shape style="position:absolute;left:7378;top:11098;width:660;height:113" type="#_x0000_t75" stroked="false">
              <v:imagedata r:id="rId204" o:title=""/>
            </v:shape>
            <w10:wrap type="none"/>
          </v:group>
        </w:pict>
      </w:r>
      <w:r>
        <w:rPr/>
        <w:pict>
          <v:group style="position:absolute;margin-left:431.549988pt;margin-top:481.579987pt;width:99.4pt;height:90.7pt;mso-position-horizontal-relative:page;mso-position-vertical-relative:page;z-index:-188872" coordorigin="8631,9632" coordsize="1988,1814">
            <v:shape style="position:absolute;left:8651;top:9652;width:1948;height:1774" coordorigin="8651,9652" coordsize="1948,1774" path="m8651,10539l8654,10466,8664,10395,8679,10325,8701,10258,8728,10193,8760,10131,8797,10071,8839,10015,8885,9961,8936,9911,8991,9865,9050,9823,9112,9784,9177,9751,9246,9721,9317,9697,9391,9677,9467,9663,9545,9655,9625,9652,9705,9655,9783,9663,9859,9677,9933,9697,10004,9721,10073,9751,10138,9784,10200,9823,10259,9865,10314,9911,10365,9961,10411,10015,10453,10071,10490,10131,10522,10193,10549,10258,10571,10325,10586,10395,10596,10466,10599,10539,10596,10611,10586,10682,10571,10752,10549,10819,10522,10884,10490,10946,10453,11006,10411,11062,10365,11116,10314,11166,10259,11212,10200,11254,10138,11293,10073,11327,10004,11356,9933,11380,9859,11400,9783,11414,9705,11423,9625,11426,9545,11423,9467,11414,9391,11400,9317,11380,9246,11356,9177,11327,9112,11293,9050,11254,8991,11212,8936,11166,8885,11116,8839,11062,8797,11006,8760,10946,8728,10884,8701,10819,8679,10752,8664,10682,8654,10611,8651,10539xe" filled="false" stroked="true" strokeweight="2pt" strokecolor="#385d89">
              <v:path arrowok="t"/>
            </v:shape>
            <v:shape style="position:absolute;left:9041;top:9951;width:414;height:417" coordorigin="9041,9951" coordsize="414,417" path="m9248,9951l9183,9961,9126,9991,9081,10036,9052,10093,9041,10159,9052,10225,9081,10282,9126,10327,9183,10357,9248,10368,9314,10357,9370,10327,9415,10282,9445,10225,9455,10159,9445,10093,9415,10036,9370,9991,9314,9961,9248,9951xe" filled="true" fillcolor="#00af50" stroked="false">
              <v:path arrowok="t"/>
              <v:fill type="solid"/>
            </v:shape>
            <v:shape style="position:absolute;left:9041;top:9951;width:414;height:417" coordorigin="9041,9951" coordsize="414,417" path="m9041,10159l9052,10093,9081,10036,9126,9991,9183,9961,9248,9951,9314,9961,9370,9991,9415,10036,9445,10093,9455,10159,9445,10225,9415,10282,9370,10327,9314,10357,9248,10368,9183,10357,9126,10327,9081,10282,9052,10225,9041,10159xe" filled="false" stroked="true" strokeweight="2.0pt" strokecolor="#00af50">
              <v:path arrowok="t"/>
            </v:shape>
            <v:shape style="position:absolute;left:9049;top:10652;width:414;height:417" coordorigin="9049,10652" coordsize="414,417" path="m9049,10861l9060,10795,9089,10738,9134,10693,9191,10663,9256,10652,9322,10663,9379,10693,9423,10738,9453,10795,9463,10861,9453,10927,9423,10984,9379,11029,9322,11059,9256,11069,9191,11059,9134,11029,9089,10984,9060,10927,9049,10861xe" filled="false" stroked="true" strokeweight="2pt" strokecolor="#385d89">
              <v:path arrowok="t"/>
            </v:shape>
            <v:shape style="position:absolute;left:9789;top:10643;width:414;height:417" coordorigin="9789,10643" coordsize="414,417" path="m9996,10643l9931,10654,9874,10683,9829,10728,9800,10786,9789,10851,9800,10917,9829,10975,9874,11020,9931,11049,9996,11060,10061,11049,10118,11020,10163,10975,10192,10917,10203,10851,10192,10786,10163,10728,10118,10683,10061,10654,9996,10643xe" filled="true" fillcolor="#4f81bc" stroked="false">
              <v:path arrowok="t"/>
              <v:fill type="solid"/>
            </v:shape>
            <v:shape style="position:absolute;left:9789;top:10643;width:414;height:417" coordorigin="9789,10643" coordsize="414,417" path="m9789,10851l9800,10786,9829,10728,9874,10683,9931,10654,9996,10643,10061,10654,10118,10683,10163,10728,10192,10786,10203,10851,10192,10917,10163,10975,10118,11020,10061,11049,9996,11060,9931,11049,9874,11020,9829,10975,9800,10917,9789,10851xe" filled="false" stroked="true" strokeweight="2pt" strokecolor="#385d89">
              <v:path arrowok="t"/>
            </v:shape>
            <v:shape style="position:absolute;left:9773;top:9951;width:414;height:417" coordorigin="9773,9951" coordsize="414,417" path="m9980,9951l9914,9961,9858,9991,9813,10036,9783,10093,9773,10159,9783,10225,9813,10282,9858,10327,9914,10357,9980,10368,10045,10357,10102,10327,10147,10282,10176,10225,10187,10159,10176,10093,10147,10036,10102,9991,10045,9961,9980,9951xe" filled="true" fillcolor="#c0504d" stroked="false">
              <v:path arrowok="t"/>
              <v:fill type="solid"/>
            </v:shape>
            <v:shape style="position:absolute;left:9773;top:9951;width:414;height:417" coordorigin="9773,9951" coordsize="414,417" path="m9773,10159l9783,10093,9813,10036,9858,9991,9914,9961,9980,9951,10045,9961,10102,9991,10147,10036,10176,10093,10187,10159,10176,10225,10147,10282,10102,10327,10045,10357,9980,10368,9914,10357,9858,10327,9813,10282,9783,10225,9773,10159xe" filled="false" stroked="true" strokeweight="2.0pt" strokecolor="#c0504d">
              <v:path arrowok="t"/>
            </v:shape>
            <v:shape style="position:absolute;left:9708;top:10390;width:667;height:113" type="#_x0000_t75" stroked="false">
              <v:imagedata r:id="rId197" o:title=""/>
            </v:shape>
            <v:shape style="position:absolute;left:8988;top:10111;width:557;height:110" type="#_x0000_t75" stroked="false">
              <v:imagedata r:id="rId144" o:title=""/>
            </v:shape>
            <v:shape style="position:absolute;left:9713;top:10111;width:569;height:144" type="#_x0000_t75" stroked="false">
              <v:imagedata r:id="rId118" o:title=""/>
            </v:shape>
            <v:shape style="position:absolute;left:9749;top:10812;width:552;height:110" type="#_x0000_t75" stroked="false">
              <v:imagedata r:id="rId200" o:title=""/>
            </v:shape>
            <v:shape style="position:absolute;left:8952;top:10390;width:665;height:113" type="#_x0000_t75" stroked="false">
              <v:imagedata r:id="rId197" o:title=""/>
            </v:shape>
            <v:shape style="position:absolute;left:9725;top:11095;width:660;height:113" type="#_x0000_t75" stroked="false">
              <v:imagedata r:id="rId204" o:title=""/>
            </v:shape>
            <w10:wrap type="none"/>
          </v:group>
        </w:pict>
      </w:r>
      <w:r>
        <w:rPr/>
        <w:pict>
          <v:group style="position:absolute;margin-left:314.100006pt;margin-top:598.070007pt;width:99.4pt;height:90.7pt;mso-position-horizontal-relative:page;mso-position-vertical-relative:page;z-index:-188848" coordorigin="6282,11961" coordsize="1988,1814">
            <v:shape style="position:absolute;left:6302;top:11981;width:1948;height:1774" coordorigin="6302,11981" coordsize="1948,1774" path="m6302,12868l6305,12796,6315,12724,6330,12655,6352,12588,6379,12523,6411,12461,6448,12401,6490,12344,6536,12291,6587,12241,6642,12195,6701,12153,6763,12114,6828,12080,6897,12051,6968,12027,7042,12007,7118,11993,7196,11984,7276,11981,7356,11984,7434,11993,7510,12007,7584,12027,7655,12051,7724,12080,7789,12114,7851,12153,7910,12195,7965,12241,8016,12291,8062,12344,8104,12401,8141,12461,8173,12523,8200,12588,8222,12655,8237,12724,8247,12796,8250,12868,8247,12941,8237,13012,8222,13082,8200,13149,8173,13214,8141,13276,8104,13336,8062,13392,8016,13446,7965,13496,7910,13542,7851,13584,7789,13622,7724,13656,7655,13686,7584,13710,7510,13730,7434,13744,7356,13752,7276,13755,7196,13752,7118,13744,7042,13730,6968,13710,6897,13686,6828,13656,6763,13622,6701,13584,6642,13542,6587,13496,6536,13446,6490,13392,6448,13336,6411,13276,6379,13214,6352,13149,6330,13082,6315,13012,6305,12941,6302,12868xe" filled="false" stroked="true" strokeweight="2.0pt" strokecolor="#385d89">
              <v:path arrowok="t"/>
            </v:shape>
            <v:shape style="position:absolute;left:6692;top:12281;width:414;height:417" coordorigin="6692,12281" coordsize="414,417" path="m6899,12281l6834,12291,6777,12321,6732,12366,6703,12423,6692,12489,6703,12555,6732,12612,6777,12657,6834,12687,6899,12697,6965,12687,7021,12657,7066,12612,7096,12555,7106,12489,7096,12423,7066,12366,7021,12321,6965,12291,6899,12281xe" filled="true" fillcolor="#00af50" stroked="false">
              <v:path arrowok="t"/>
              <v:fill type="solid"/>
            </v:shape>
            <v:shape style="position:absolute;left:6692;top:12281;width:414;height:417" coordorigin="6692,12281" coordsize="414,417" path="m6692,12489l6703,12423,6732,12366,6777,12321,6834,12291,6899,12281,6965,12291,7021,12321,7066,12366,7096,12423,7106,12489,7096,12555,7066,12612,7021,12657,6965,12687,6899,12697,6834,12687,6777,12657,6732,12612,6703,12555,6692,12489xe" filled="false" stroked="true" strokeweight="2pt" strokecolor="#00af50">
              <v:path arrowok="t"/>
            </v:shape>
            <v:shape style="position:absolute;left:6700;top:12982;width:414;height:417" coordorigin="6700,12982" coordsize="414,417" path="m6700,13191l6711,13125,6740,13067,6785,13022,6842,12993,6907,12982,6973,12993,7030,13022,7074,13067,7104,13125,7114,13191,7104,13257,7074,13314,7030,13359,6973,13388,6907,13399,6842,13388,6785,13359,6740,13314,6711,13257,6700,13191xe" filled="false" stroked="true" strokeweight="2pt" strokecolor="#385d89">
              <v:path arrowok="t"/>
            </v:shape>
            <v:shape style="position:absolute;left:7440;top:12973;width:414;height:417" coordorigin="7440,12973" coordsize="414,417" path="m7647,12973l7582,12983,7525,13013,7480,13058,7451,13115,7440,13181,7451,13247,7480,13304,7525,13349,7582,13379,7647,13390,7712,13379,7769,13349,7814,13304,7843,13247,7854,13181,7843,13115,7814,13058,7769,13013,7712,12983,7647,12973xe" filled="true" fillcolor="#4f81bc" stroked="false">
              <v:path arrowok="t"/>
              <v:fill type="solid"/>
            </v:shape>
            <v:shape style="position:absolute;left:7440;top:12973;width:414;height:417" coordorigin="7440,12973" coordsize="414,417" path="m7440,13181l7451,13115,7480,13058,7525,13013,7582,12983,7647,12973,7712,12983,7769,13013,7814,13058,7843,13115,7854,13181,7843,13247,7814,13304,7769,13349,7712,13379,7647,13390,7582,13379,7525,13349,7480,13304,7451,13247,7440,13181xe" filled="false" stroked="true" strokeweight="2pt" strokecolor="#385d89">
              <v:path arrowok="t"/>
            </v:shape>
            <v:shape style="position:absolute;left:7424;top:12281;width:414;height:417" coordorigin="7424,12281" coordsize="414,417" path="m7631,12281l7565,12291,7509,12321,7464,12366,7434,12423,7424,12489,7434,12555,7464,12612,7509,12657,7565,12687,7631,12697,7696,12687,7753,12657,7798,12612,7827,12555,7838,12489,7827,12423,7798,12366,7753,12321,7696,12291,7631,12281xe" filled="true" fillcolor="#c0504d" stroked="false">
              <v:path arrowok="t"/>
              <v:fill type="solid"/>
            </v:shape>
            <v:shape style="position:absolute;left:7424;top:12281;width:414;height:417" coordorigin="7424,12281" coordsize="414,417" path="m7424,12489l7434,12423,7464,12366,7509,12321,7565,12291,7631,12281,7696,12291,7753,12321,7798,12366,7827,12423,7838,12489,7827,12555,7798,12612,7753,12657,7696,12687,7631,12697,7565,12687,7509,12657,7464,12612,7434,12555,7424,12489xe" filled="false" stroked="true" strokeweight="2pt" strokecolor="#c0504d">
              <v:path arrowok="t"/>
            </v:shape>
            <v:shape style="position:absolute;left:7306;top:12720;width:722;height:173" type="#_x0000_t75" stroked="false">
              <v:imagedata r:id="rId199" o:title=""/>
            </v:shape>
            <v:shape style="position:absolute;left:6626;top:12439;width:569;height:113" type="#_x0000_t75" stroked="false">
              <v:imagedata r:id="rId120" o:title=""/>
            </v:shape>
            <v:shape style="position:absolute;left:7399;top:12439;width:533;height:113" type="#_x0000_t75" stroked="false">
              <v:imagedata r:id="rId121" o:title=""/>
            </v:shape>
            <v:shape style="position:absolute;left:7399;top:13140;width:552;height:113" type="#_x0000_t75" stroked="false">
              <v:imagedata r:id="rId200" o:title=""/>
            </v:shape>
            <v:shape style="position:absolute;left:6552;top:12720;width:787;height:113" type="#_x0000_t75" stroked="false">
              <v:imagedata r:id="rId201" o:title=""/>
            </v:shape>
            <v:shape style="position:absolute;left:7354;top:13423;width:682;height:113" type="#_x0000_t75" stroked="false">
              <v:imagedata r:id="rId202" o:title=""/>
            </v:shape>
            <w10:wrap type="none"/>
          </v:group>
        </w:pict>
      </w:r>
      <w:r>
        <w:rPr/>
        <w:pict>
          <v:group style="position:absolute;margin-left:432.100006pt;margin-top:597.969971pt;width:99.4pt;height:90.7pt;mso-position-horizontal-relative:page;mso-position-vertical-relative:page;z-index:-188824" coordorigin="8642,11959" coordsize="1988,1814">
            <v:shape style="position:absolute;left:8662;top:11979;width:1948;height:1774" coordorigin="8662,11979" coordsize="1948,1774" path="m8662,12866l8665,12794,8675,12722,8690,12653,8712,12586,8739,12521,8771,12459,8808,12399,8850,12342,8896,12289,8947,12239,9002,12193,9061,12151,9123,12112,9188,12078,9257,12049,9328,12025,9402,12005,9478,11991,9556,11982,9636,11979,9716,11982,9794,11991,9870,12005,9944,12025,10015,12049,10084,12078,10149,12112,10211,12151,10270,12193,10325,12239,10376,12289,10422,12342,10464,12399,10501,12459,10533,12521,10560,12586,10582,12653,10597,12722,10607,12794,10610,12866,10607,12939,10597,13010,10582,13080,10560,13147,10533,13212,10501,13274,10464,13334,10422,13390,10376,13444,10325,13494,10270,13540,10211,13582,10149,13620,10084,13654,10015,13684,9944,13708,9870,13728,9794,13742,9716,13750,9636,13753,9556,13750,9478,13742,9402,13728,9328,13708,9257,13684,9188,13654,9123,13620,9061,13582,9002,13540,8947,13494,8896,13444,8850,13390,8808,13334,8771,13274,8739,13212,8712,13147,8690,13080,8675,13010,8665,12939,8662,12866xe" filled="false" stroked="true" strokeweight="2.0pt" strokecolor="#385d89">
              <v:path arrowok="t"/>
            </v:shape>
            <v:shape style="position:absolute;left:9052;top:12279;width:414;height:417" coordorigin="9052,12279" coordsize="414,417" path="m9259,12279l9194,12289,9137,12319,9092,12364,9063,12421,9052,12487,9063,12553,9092,12610,9137,12655,9194,12685,9259,12695,9325,12685,9381,12655,9426,12610,9456,12553,9466,12487,9456,12421,9426,12364,9381,12319,9325,12289,9259,12279xe" filled="true" fillcolor="#00af50" stroked="false">
              <v:path arrowok="t"/>
              <v:fill type="solid"/>
            </v:shape>
            <v:shape style="position:absolute;left:9052;top:12279;width:414;height:417" coordorigin="9052,12279" coordsize="414,417" path="m9052,12487l9063,12421,9092,12364,9137,12319,9194,12289,9259,12279,9325,12289,9381,12319,9426,12364,9456,12421,9466,12487,9456,12553,9426,12610,9381,12655,9325,12685,9259,12695,9194,12685,9137,12655,9092,12610,9063,12553,9052,12487xe" filled="false" stroked="true" strokeweight="2pt" strokecolor="#00af50">
              <v:path arrowok="t"/>
            </v:shape>
            <v:shape style="position:absolute;left:9060;top:12980;width:414;height:417" coordorigin="9060,12980" coordsize="414,417" path="m9060,13189l9071,13123,9100,13065,9145,13020,9202,12991,9267,12980,9333,12991,9390,13020,9434,13065,9464,13123,9474,13189,9464,13255,9434,13312,9390,13357,9333,13386,9267,13397,9202,13386,9145,13357,9100,13312,9071,13255,9060,13189xe" filled="false" stroked="true" strokeweight="2pt" strokecolor="#385d89">
              <v:path arrowok="t"/>
            </v:shape>
            <v:shape style="position:absolute;left:9800;top:12971;width:414;height:417" coordorigin="9800,12971" coordsize="414,417" path="m10007,12971l9942,12981,9885,13011,9840,13056,9811,13113,9800,13179,9811,13245,9840,13302,9885,13347,9942,13377,10007,13388,10072,13377,10129,13347,10174,13302,10203,13245,10214,13179,10203,13113,10174,13056,10129,13011,10072,12981,10007,12971xe" filled="true" fillcolor="#4f81bc" stroked="false">
              <v:path arrowok="t"/>
              <v:fill type="solid"/>
            </v:shape>
            <v:shape style="position:absolute;left:9800;top:12971;width:414;height:417" coordorigin="9800,12971" coordsize="414,417" path="m9800,13179l9811,13113,9840,13056,9885,13011,9942,12981,10007,12971,10072,12981,10129,13011,10174,13056,10203,13113,10214,13179,10203,13245,10174,13302,10129,13347,10072,13377,10007,13388,9942,13377,9885,13347,9840,13302,9811,13245,9800,13179xe" filled="false" stroked="true" strokeweight="2pt" strokecolor="#385d89">
              <v:path arrowok="t"/>
            </v:shape>
            <v:shape style="position:absolute;left:9784;top:12279;width:414;height:417" coordorigin="9784,12279" coordsize="414,417" path="m9991,12279l9925,12289,9869,12319,9824,12364,9794,12421,9784,12487,9794,12553,9824,12610,9869,12655,9925,12685,9991,12695,10056,12685,10113,12655,10158,12610,10187,12553,10198,12487,10187,12421,10158,12364,10113,12319,10056,12289,9991,12279xe" filled="true" fillcolor="#c0504d" stroked="false">
              <v:path arrowok="t"/>
              <v:fill type="solid"/>
            </v:shape>
            <v:shape style="position:absolute;left:9784;top:12279;width:414;height:417" coordorigin="9784,12279" coordsize="414,417" path="m9784,12487l9794,12421,9824,12364,9869,12319,9925,12289,9991,12279,10056,12289,10113,12319,10158,12364,10187,12421,10198,12487,10187,12553,10158,12610,10113,12655,10056,12685,9991,12695,9925,12685,9869,12655,9824,12610,9794,12553,9784,12487xe" filled="false" stroked="true" strokeweight="2pt" strokecolor="#c0504d">
              <v:path arrowok="t"/>
            </v:shape>
            <v:shape style="position:absolute;left:9667;top:12718;width:720;height:173" type="#_x0000_t75" stroked="false">
              <v:imagedata r:id="rId206" o:title=""/>
            </v:shape>
            <v:shape style="position:absolute;left:8988;top:12437;width:569;height:113" type="#_x0000_t75" stroked="false">
              <v:imagedata r:id="rId120" o:title=""/>
            </v:shape>
            <v:shape style="position:absolute;left:9758;top:12437;width:533;height:113" type="#_x0000_t75" stroked="false">
              <v:imagedata r:id="rId121" o:title=""/>
            </v:shape>
            <v:shape style="position:absolute;left:9758;top:13138;width:554;height:113" type="#_x0000_t75" stroked="false">
              <v:imagedata r:id="rId144" o:title=""/>
            </v:shape>
            <v:shape style="position:absolute;left:8914;top:12718;width:785;height:113" type="#_x0000_t75" stroked="false">
              <v:imagedata r:id="rId201" o:title=""/>
            </v:shape>
            <v:shape style="position:absolute;left:9715;top:13421;width:679;height:113" type="#_x0000_t75" stroked="false">
              <v:imagedata r:id="rId202" o:title=""/>
            </v:shape>
            <w10:wrap type="none"/>
          </v:group>
        </w:pict>
      </w:r>
    </w:p>
    <w:p>
      <w:pPr>
        <w:pStyle w:val="BodyText"/>
        <w:spacing w:line="360" w:lineRule="auto" w:before="69"/>
        <w:ind w:left="220" w:right="214"/>
        <w:jc w:val="both"/>
      </w:pPr>
      <w:r>
        <w:rPr>
          <w:b/>
        </w:rPr>
        <w:t>Figura 16. </w:t>
      </w:r>
      <w:r>
        <w:rPr/>
        <w:t>Halos inhibitorios de las tres soluciones sobre </w:t>
      </w:r>
      <w:r>
        <w:rPr>
          <w:i/>
        </w:rPr>
        <w:t>S. mutans</w:t>
      </w:r>
      <w:r>
        <w:rPr/>
        <w:t>; Np-Ag reducidas por </w:t>
      </w:r>
      <w:r>
        <w:rPr>
          <w:i/>
        </w:rPr>
        <w:t>Camellia sinensis</w:t>
      </w:r>
      <w:r>
        <w:rPr/>
        <w:t>, Np-Ag reducidas por </w:t>
      </w:r>
      <w:r>
        <w:rPr>
          <w:i/>
        </w:rPr>
        <w:t>Heterotheca inuloides </w:t>
      </w:r>
      <w:r>
        <w:rPr/>
        <w:t>y Clorhexidina, así como un disco que no se encontraba impregnado con ninguna de las soluciones en estudio, el cual sirvió como grupo control. Se observa una media de 6.8, una desviación estándar de .25 con una valor mínimo de 6.6mm y un valor máximo de 7.1mm a la  dosis de 20µl para </w:t>
      </w:r>
      <w:r>
        <w:rPr>
          <w:i/>
        </w:rPr>
        <w:t>Camellia sinensis, </w:t>
      </w:r>
      <w:r>
        <w:rPr/>
        <w:t>mientras que para </w:t>
      </w:r>
      <w:r>
        <w:rPr>
          <w:i/>
        </w:rPr>
        <w:t>Heterotheca inuloides </w:t>
      </w:r>
      <w:r>
        <w:rPr/>
        <w:t>una media de 6.9, desviación estándar de .41, un valor mínimo de 6.6mm y un máximo de 7.4mm. Finalmente una media de 6.0, desviación estándar de .30 y un valor mínimo de 5.8mm y un valor máximo de 6.4mm para</w:t>
      </w:r>
      <w:r>
        <w:rPr>
          <w:spacing w:val="-16"/>
        </w:rPr>
        <w:t> </w:t>
      </w:r>
      <w:r>
        <w:rPr/>
        <w:t>Clorhexidina</w:t>
      </w:r>
    </w:p>
    <w:p>
      <w:pPr>
        <w:pStyle w:val="BodyText"/>
      </w:pPr>
    </w:p>
    <w:p>
      <w:pPr>
        <w:pStyle w:val="BodyText"/>
      </w:pPr>
    </w:p>
    <w:p>
      <w:pPr>
        <w:pStyle w:val="BodyText"/>
        <w:spacing w:before="169"/>
        <w:ind w:left="220"/>
        <w:jc w:val="both"/>
      </w:pPr>
      <w:r>
        <w:rPr/>
        <w:t>En la figura 17 se presentan los valores de los halos inhibitorios en las 9 cajas para</w:t>
      </w:r>
    </w:p>
    <w:p>
      <w:pPr>
        <w:spacing w:before="41"/>
        <w:ind w:left="220" w:right="0" w:firstLine="0"/>
        <w:jc w:val="both"/>
        <w:rPr>
          <w:i/>
          <w:sz w:val="24"/>
        </w:rPr>
      </w:pPr>
      <w:r>
        <w:rPr/>
        <w:pict>
          <v:group style="position:absolute;margin-left:196.800003pt;margin-top:62.545868pt;width:99.4pt;height:90.7pt;mso-position-horizontal-relative:page;mso-position-vertical-relative:paragraph;z-index:-189016" coordorigin="3936,1251" coordsize="1988,1814">
            <v:shape style="position:absolute;left:3956;top:1271;width:1948;height:1774" coordorigin="3956,1271" coordsize="1948,1774" path="m3956,2158l3959,2085,3969,2014,3984,1945,4006,1878,4033,1813,4065,1750,4102,1691,4144,1634,4190,1581,4241,1531,4296,1484,4355,1442,4417,1404,4482,1370,4551,1341,4622,1316,4696,1297,4772,1283,4850,1274,4930,1271,5010,1274,5088,1283,5164,1297,5238,1316,5309,1341,5378,1370,5443,1404,5505,1442,5564,1484,5619,1531,5670,1581,5716,1634,5758,1691,5795,1750,5827,1813,5854,1878,5876,1945,5891,2014,5901,2085,5904,2158,5901,2231,5891,2302,5876,2371,5854,2438,5827,2503,5795,2566,5758,2625,5716,2682,5670,2735,5619,2785,5564,2831,5505,2874,5443,2912,5378,2946,5309,2975,5238,3000,5164,3019,5088,3033,5010,3042,4930,3045,4850,3042,4772,3033,4696,3019,4622,3000,4551,2975,4482,2946,4417,2912,4355,2874,4296,2831,4241,2785,4190,2735,4144,2682,4102,2625,4065,2566,4033,2503,4006,2438,3984,2371,3969,2302,3959,2231,3956,2158xe" filled="false" stroked="true" strokeweight="2pt" strokecolor="#385d89">
              <v:path arrowok="t"/>
            </v:shape>
            <v:shape style="position:absolute;left:4346;top:1570;width:414;height:417" coordorigin="4346,1570" coordsize="414,417" path="m4553,1570l4488,1581,4431,1611,4386,1656,4357,1713,4346,1779,4357,1845,4386,1902,4431,1947,4488,1977,4553,1987,4619,1977,4675,1947,4720,1902,4750,1845,4760,1779,4750,1713,4720,1656,4675,1611,4619,1581,4553,1570xe" filled="true" fillcolor="#00af50" stroked="false">
              <v:path arrowok="t"/>
              <v:fill type="solid"/>
            </v:shape>
            <v:shape style="position:absolute;left:4346;top:1570;width:414;height:417" coordorigin="4346,1570" coordsize="414,417" path="m4346,1779l4357,1713,4386,1656,4431,1611,4488,1581,4553,1570,4619,1581,4675,1611,4720,1656,4750,1713,4760,1779,4750,1845,4720,1902,4675,1947,4619,1977,4553,1987,4488,1977,4431,1947,4386,1902,4357,1845,4346,1779xe" filled="false" stroked="true" strokeweight="2pt" strokecolor="#00af50">
              <v:path arrowok="t"/>
            </v:shape>
            <v:shape style="position:absolute;left:4354;top:2272;width:414;height:417" coordorigin="4354,2272" coordsize="414,417" path="m4354,2480l4365,2414,4394,2357,4439,2312,4496,2283,4561,2272,4627,2283,4684,2312,4728,2357,4758,2414,4768,2480,4758,2546,4728,2603,4684,2648,4627,2678,4561,2689,4496,2678,4439,2648,4394,2603,4365,2546,4354,2480xe" filled="false" stroked="true" strokeweight="2pt" strokecolor="#385d89">
              <v:path arrowok="t"/>
            </v:shape>
            <v:shape style="position:absolute;left:5094;top:2263;width:414;height:417" coordorigin="5094,2263" coordsize="414,417" path="m5301,2263l5236,2273,5179,2303,5134,2348,5105,2405,5094,2471,5105,2537,5134,2594,5179,2639,5236,2669,5301,2679,5366,2669,5423,2639,5468,2594,5497,2537,5508,2471,5497,2405,5468,2348,5423,2303,5366,2273,5301,2263xe" filled="true" fillcolor="#4f81bc" stroked="false">
              <v:path arrowok="t"/>
              <v:fill type="solid"/>
            </v:shape>
            <v:shape style="position:absolute;left:5094;top:2263;width:414;height:417" coordorigin="5094,2263" coordsize="414,417" path="m5094,2471l5105,2405,5134,2348,5179,2303,5236,2273,5301,2263,5366,2273,5423,2303,5468,2348,5497,2405,5508,2471,5497,2537,5468,2594,5423,2639,5366,2669,5301,2679,5236,2669,5179,2639,5134,2594,5105,2537,5094,2471xe" filled="false" stroked="true" strokeweight="2.0pt" strokecolor="#385d89">
              <v:path arrowok="t"/>
            </v:shape>
            <v:shape style="position:absolute;left:5078;top:1570;width:414;height:417" coordorigin="5078,1570" coordsize="414,417" path="m5285,1570l5219,1581,5163,1611,5118,1656,5088,1713,5078,1779,5088,1845,5118,1902,5163,1947,5219,1977,5285,1987,5350,1977,5407,1947,5452,1902,5481,1845,5492,1779,5481,1713,5452,1656,5407,1611,5350,1581,5285,1570xe" filled="true" fillcolor="#c0504d" stroked="false">
              <v:path arrowok="t"/>
              <v:fill type="solid"/>
            </v:shape>
            <v:shape style="position:absolute;left:5078;top:1570;width:414;height:417" coordorigin="5078,1570" coordsize="414,417" path="m5078,1779l5088,1713,5118,1656,5163,1611,5219,1581,5285,1570,5350,1581,5407,1611,5452,1656,5481,1713,5492,1779,5481,1845,5452,1902,5407,1947,5350,1977,5285,1987,5219,1977,5163,1947,5118,1902,5088,1845,5078,1779xe" filled="false" stroked="true" strokeweight="2pt" strokecolor="#c0504d">
              <v:path arrowok="t"/>
            </v:shape>
            <v:shape style="position:absolute;left:5052;top:2010;width:672;height:125" type="#_x0000_t75" stroked="false">
              <v:imagedata r:id="rId207" o:title=""/>
            </v:shape>
            <v:shape style="position:absolute;left:4322;top:1729;width:605;height:113" type="#_x0000_t75" stroked="false">
              <v:imagedata r:id="rId130" o:title=""/>
            </v:shape>
            <v:shape style="position:absolute;left:5062;top:1729;width:614;height:137" type="#_x0000_t75" stroked="false">
              <v:imagedata r:id="rId139" o:title=""/>
            </v:shape>
            <v:shape style="position:absolute;left:5026;top:2430;width:634;height:113" type="#_x0000_t75" stroked="false">
              <v:imagedata r:id="rId132" o:title=""/>
            </v:shape>
            <v:shape style="position:absolute;left:4147;top:2010;width:773;height:113" type="#_x0000_t75" stroked="false">
              <v:imagedata r:id="rId208" o:title=""/>
            </v:shape>
            <v:shape style="position:absolute;left:5062;top:2713;width:662;height:137" type="#_x0000_t75" stroked="false">
              <v:imagedata r:id="rId209" o:title=""/>
            </v:shape>
            <w10:wrap type="none"/>
          </v:group>
        </w:pict>
      </w:r>
      <w:r>
        <w:rPr/>
        <w:pict>
          <v:group style="position:absolute;margin-left:314.200012pt;margin-top:63.795868pt;width:99.4pt;height:90.7pt;mso-position-horizontal-relative:page;mso-position-vertical-relative:paragraph;z-index:-188992" coordorigin="6284,1276" coordsize="1988,1814">
            <v:shape style="position:absolute;left:6304;top:1296;width:1948;height:1774" coordorigin="6304,1296" coordsize="1948,1774" path="m6304,2183l6307,2110,6317,2039,6332,1970,6354,1903,6381,1838,6413,1775,6450,1716,6492,1659,6538,1606,6589,1556,6644,1509,6703,1467,6765,1429,6830,1395,6899,1366,6970,1341,7044,1322,7120,1308,7198,1299,7278,1296,7358,1299,7436,1308,7512,1322,7586,1341,7657,1366,7726,1395,7791,1429,7853,1467,7912,1509,7967,1556,8018,1606,8064,1659,8106,1716,8143,1775,8175,1838,8202,1903,8224,1970,8239,2039,8249,2110,8252,2183,8249,2256,8239,2327,8224,2396,8202,2463,8175,2528,8143,2591,8106,2650,8064,2707,8018,2760,7967,2810,7912,2856,7853,2899,7791,2937,7726,2971,7657,3000,7586,3025,7512,3044,7436,3058,7358,3067,7278,3070,7198,3067,7120,3058,7044,3044,6970,3025,6899,3000,6830,2971,6765,2937,6703,2899,6644,2856,6589,2810,6538,2760,6492,2707,6450,2650,6413,2591,6381,2528,6354,2463,6332,2396,6317,2327,6307,2256,6304,2183xe" filled="false" stroked="true" strokeweight="2pt" strokecolor="#385d89">
              <v:path arrowok="t"/>
            </v:shape>
            <v:shape style="position:absolute;left:6694;top:1595;width:414;height:417" coordorigin="6694,1595" coordsize="414,417" path="m6901,1595l6836,1606,6779,1636,6734,1681,6705,1738,6694,1804,6705,1870,6734,1927,6779,1972,6836,2002,6901,2012,6967,2002,7023,1972,7068,1927,7098,1870,7108,1804,7098,1738,7068,1681,7023,1636,6967,1606,6901,1595xe" filled="true" fillcolor="#00af50" stroked="false">
              <v:path arrowok="t"/>
              <v:fill type="solid"/>
            </v:shape>
            <v:shape style="position:absolute;left:6694;top:1595;width:414;height:417" coordorigin="6694,1595" coordsize="414,417" path="m6694,1804l6705,1738,6734,1681,6779,1636,6836,1606,6901,1595,6967,1606,7023,1636,7068,1681,7098,1738,7108,1804,7098,1870,7068,1927,7023,1972,6967,2002,6901,2012,6836,2002,6779,1972,6734,1927,6705,1870,6694,1804xe" filled="false" stroked="true" strokeweight="2pt" strokecolor="#00af50">
              <v:path arrowok="t"/>
            </v:shape>
            <v:shape style="position:absolute;left:6702;top:2297;width:414;height:417" coordorigin="6702,2297" coordsize="414,417" path="m6702,2505l6713,2439,6742,2382,6787,2337,6844,2308,6909,2297,6975,2308,7032,2337,7076,2382,7106,2439,7116,2505,7106,2571,7076,2628,7032,2673,6975,2703,6909,2714,6844,2703,6787,2673,6742,2628,6713,2571,6702,2505xe" filled="false" stroked="true" strokeweight="2pt" strokecolor="#385d89">
              <v:path arrowok="t"/>
            </v:shape>
            <v:shape style="position:absolute;left:7442;top:2288;width:414;height:417" coordorigin="7442,2288" coordsize="414,417" path="m7649,2288l7584,2298,7527,2328,7482,2373,7453,2430,7442,2496,7453,2562,7482,2619,7527,2664,7584,2694,7649,2704,7714,2694,7771,2664,7816,2619,7845,2562,7856,2496,7845,2430,7816,2373,7771,2328,7714,2298,7649,2288xe" filled="true" fillcolor="#4f81bc" stroked="false">
              <v:path arrowok="t"/>
              <v:fill type="solid"/>
            </v:shape>
            <v:shape style="position:absolute;left:7442;top:2288;width:414;height:417" coordorigin="7442,2288" coordsize="414,417" path="m7442,2496l7453,2430,7482,2373,7527,2328,7584,2298,7649,2288,7714,2298,7771,2328,7816,2373,7845,2430,7856,2496,7845,2562,7816,2619,7771,2664,7714,2694,7649,2704,7584,2694,7527,2664,7482,2619,7453,2562,7442,2496xe" filled="false" stroked="true" strokeweight="2.0pt" strokecolor="#385d89">
              <v:path arrowok="t"/>
            </v:shape>
            <v:shape style="position:absolute;left:7426;top:1595;width:414;height:417" coordorigin="7426,1595" coordsize="414,417" path="m7633,1595l7567,1606,7511,1636,7466,1681,7436,1738,7426,1804,7436,1870,7466,1927,7511,1972,7567,2002,7633,2012,7698,2002,7755,1972,7800,1927,7829,1870,7840,1804,7829,1738,7800,1681,7755,1636,7698,1606,7633,1595xe" filled="true" fillcolor="#c0504d" stroked="false">
              <v:path arrowok="t"/>
              <v:fill type="solid"/>
            </v:shape>
            <v:shape style="position:absolute;left:7426;top:1595;width:414;height:417" coordorigin="7426,1595" coordsize="414,417" path="m7426,1804l7436,1738,7466,1681,7511,1636,7567,1606,7633,1595,7698,1606,7755,1636,7800,1681,7829,1738,7840,1804,7829,1870,7800,1927,7755,1972,7698,2002,7633,2012,7567,2002,7511,1972,7466,1927,7436,1870,7426,1804xe" filled="false" stroked="true" strokeweight="2pt" strokecolor="#c0504d">
              <v:path arrowok="t"/>
            </v:shape>
            <v:shape style="position:absolute;left:7284;top:2034;width:744;height:151" type="#_x0000_t75" stroked="false">
              <v:imagedata r:id="rId210" o:title=""/>
            </v:shape>
            <v:shape style="position:absolute;left:6641;top:1756;width:557;height:154" type="#_x0000_t75" stroked="false">
              <v:imagedata r:id="rId125" o:title=""/>
            </v:shape>
            <v:shape style="position:absolute;left:7402;top:1756;width:533;height:166" type="#_x0000_t75" stroked="false">
              <v:imagedata r:id="rId133" o:title=""/>
            </v:shape>
            <v:shape style="position:absolute;left:7402;top:2456;width:552;height:178" type="#_x0000_t75" stroked="false">
              <v:imagedata r:id="rId134" o:title=""/>
            </v:shape>
            <v:shape style="position:absolute;left:6571;top:2034;width:698;height:163" type="#_x0000_t75" stroked="false">
              <v:imagedata r:id="rId212" o:title=""/>
            </v:shape>
            <v:shape style="position:absolute;left:7284;top:2740;width:754;height:113" type="#_x0000_t75" stroked="false">
              <v:imagedata r:id="rId213" o:title=""/>
            </v:shape>
            <w10:wrap type="none"/>
          </v:group>
        </w:pict>
      </w:r>
      <w:r>
        <w:rPr/>
        <w:pict>
          <v:group style="position:absolute;margin-left:432.200012pt;margin-top:63.14587pt;width:99.4pt;height:90.7pt;mso-position-horizontal-relative:page;mso-position-vertical-relative:paragraph;z-index:-188968" coordorigin="8644,1263" coordsize="1988,1814">
            <v:shape style="position:absolute;left:8664;top:1283;width:1948;height:1774" coordorigin="8664,1283" coordsize="1948,1774" path="m8664,2170l8667,2097,8677,2026,8692,1957,8714,1890,8741,1825,8773,1762,8810,1703,8852,1646,8898,1593,8949,1543,9004,1496,9063,1454,9125,1416,9190,1382,9259,1353,9330,1328,9404,1309,9480,1295,9558,1286,9638,1283,9718,1286,9796,1295,9872,1309,9946,1328,10017,1353,10086,1382,10151,1416,10213,1454,10272,1496,10327,1543,10378,1593,10424,1646,10466,1703,10503,1762,10535,1825,10562,1890,10584,1957,10599,2026,10609,2097,10612,2170,10609,2243,10599,2314,10584,2383,10562,2450,10535,2515,10503,2578,10466,2637,10424,2694,10378,2747,10327,2797,10272,2843,10213,2886,10151,2924,10086,2958,10017,2987,9946,3012,9872,3031,9796,3045,9718,3054,9638,3057,9558,3054,9480,3045,9404,3031,9330,3012,9259,2987,9190,2958,9125,2924,9063,2886,9004,2843,8949,2797,8898,2747,8852,2694,8810,2637,8773,2578,8741,2515,8714,2450,8692,2383,8677,2314,8667,2243,8664,2170xe" filled="false" stroked="true" strokeweight="2pt" strokecolor="#385d89">
              <v:path arrowok="t"/>
            </v:shape>
            <v:shape style="position:absolute;left:9054;top:1582;width:414;height:417" coordorigin="9054,1582" coordsize="414,417" path="m9261,1582l9196,1593,9139,1623,9094,1668,9065,1725,9054,1791,9065,1857,9094,1914,9139,1959,9196,1989,9261,1999,9327,1989,9383,1959,9428,1914,9458,1857,9468,1791,9458,1725,9428,1668,9383,1623,9327,1593,9261,1582xe" filled="true" fillcolor="#00af50" stroked="false">
              <v:path arrowok="t"/>
              <v:fill type="solid"/>
            </v:shape>
            <v:shape style="position:absolute;left:9054;top:1582;width:414;height:417" coordorigin="9054,1582" coordsize="414,417" path="m9054,1791l9065,1725,9094,1668,9139,1623,9196,1593,9261,1582,9327,1593,9383,1623,9428,1668,9458,1725,9468,1791,9458,1857,9428,1914,9383,1959,9327,1989,9261,1999,9196,1989,9139,1959,9094,1914,9065,1857,9054,1791xe" filled="false" stroked="true" strokeweight="2pt" strokecolor="#00af50">
              <v:path arrowok="t"/>
            </v:shape>
            <v:shape style="position:absolute;left:9062;top:2284;width:414;height:417" coordorigin="9062,2284" coordsize="414,417" path="m9062,2492l9073,2426,9102,2369,9147,2324,9204,2295,9269,2284,9335,2295,9392,2324,9436,2369,9466,2426,9476,2492,9466,2558,9436,2615,9392,2660,9335,2690,9269,2701,9204,2690,9147,2660,9102,2615,9073,2558,9062,2492xe" filled="false" stroked="true" strokeweight="2pt" strokecolor="#385d89">
              <v:path arrowok="t"/>
            </v:shape>
            <v:shape style="position:absolute;left:9802;top:2275;width:414;height:417" coordorigin="9802,2275" coordsize="414,417" path="m10009,2275l9944,2285,9887,2315,9842,2360,9813,2417,9802,2483,9813,2549,9842,2606,9887,2651,9944,2681,10009,2691,10074,2681,10131,2651,10176,2606,10205,2549,10216,2483,10205,2417,10176,2360,10131,2315,10074,2285,10009,2275xe" filled="true" fillcolor="#4f81bc" stroked="false">
              <v:path arrowok="t"/>
              <v:fill type="solid"/>
            </v:shape>
            <v:shape style="position:absolute;left:9802;top:2275;width:414;height:417" coordorigin="9802,2275" coordsize="414,417" path="m9802,2483l9813,2417,9842,2360,9887,2315,9944,2285,10009,2275,10074,2285,10131,2315,10176,2360,10205,2417,10216,2483,10205,2549,10176,2606,10131,2651,10074,2681,10009,2691,9944,2681,9887,2651,9842,2606,9813,2549,9802,2483xe" filled="false" stroked="true" strokeweight="2.0pt" strokecolor="#385d89">
              <v:path arrowok="t"/>
            </v:shape>
            <v:shape style="position:absolute;left:9786;top:1582;width:414;height:417" coordorigin="9786,1582" coordsize="414,417" path="m9993,1582l9927,1593,9871,1623,9826,1668,9796,1725,9786,1791,9796,1857,9826,1914,9871,1959,9927,1989,9993,1999,10058,1989,10115,1959,10160,1914,10189,1857,10200,1791,10189,1725,10160,1668,10115,1623,10058,1593,9993,1582xe" filled="true" fillcolor="#c0504d" stroked="false">
              <v:path arrowok="t"/>
              <v:fill type="solid"/>
            </v:shape>
            <v:shape style="position:absolute;left:9786;top:1582;width:414;height:417" coordorigin="9786,1582" coordsize="414,417" path="m9786,1791l9796,1725,9826,1668,9871,1623,9927,1593,9993,1582,10058,1593,10115,1623,10160,1668,10189,1725,10200,1791,10189,1857,10160,1914,10115,1959,10058,1989,9993,1999,9927,1989,9871,1959,9826,1914,9796,1857,9786,1791xe" filled="false" stroked="true" strokeweight="2.0pt" strokecolor="#c0504d">
              <v:path arrowok="t"/>
            </v:shape>
            <v:shape style="position:absolute;left:9000;top:1741;width:559;height:101" type="#_x0000_t75" stroked="false">
              <v:imagedata r:id="rId214" o:title=""/>
            </v:shape>
            <v:shape style="position:absolute;left:9761;top:1741;width:533;height:180" type="#_x0000_t75" stroked="false">
              <v:imagedata r:id="rId215" o:title=""/>
            </v:shape>
            <v:shape style="position:absolute;left:9768;top:2442;width:547;height:137" type="#_x0000_t75" stroked="false">
              <v:imagedata r:id="rId137" o:title=""/>
            </v:shape>
            <v:shape style="position:absolute;left:9031;top:2022;width:1358;height:98" type="#_x0000_t75" stroked="false">
              <v:imagedata r:id="rId216" o:title=""/>
            </v:shape>
            <v:shape style="position:absolute;left:9720;top:2725;width:677;height:125" type="#_x0000_t75" stroked="false">
              <v:imagedata r:id="rId207" o:title=""/>
            </v:shape>
            <w10:wrap type="none"/>
          </v:group>
        </w:pict>
      </w:r>
      <w:r>
        <w:rPr>
          <w:i/>
          <w:sz w:val="24"/>
        </w:rPr>
        <w:t>Lactobacillus casei</w:t>
      </w:r>
    </w:p>
    <w:p>
      <w:pPr>
        <w:pStyle w:val="BodyText"/>
        <w:rPr>
          <w:i/>
          <w:sz w:val="20"/>
        </w:rPr>
      </w:pPr>
    </w:p>
    <w:p>
      <w:pPr>
        <w:pStyle w:val="BodyText"/>
        <w:rPr>
          <w:i/>
          <w:sz w:val="20"/>
        </w:rPr>
      </w:pPr>
    </w:p>
    <w:p>
      <w:pPr>
        <w:pStyle w:val="BodyText"/>
        <w:spacing w:before="3" w:after="1"/>
        <w:rPr>
          <w:i/>
          <w:sz w:val="2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5"/>
        <w:gridCol w:w="1235"/>
        <w:gridCol w:w="1158"/>
        <w:gridCol w:w="1155"/>
        <w:gridCol w:w="1241"/>
        <w:gridCol w:w="1163"/>
        <w:gridCol w:w="1230"/>
      </w:tblGrid>
      <w:tr>
        <w:trPr>
          <w:trHeight w:val="2218" w:hRule="exact"/>
        </w:trPr>
        <w:tc>
          <w:tcPr>
            <w:tcW w:w="2395" w:type="dxa"/>
          </w:tcPr>
          <w:p>
            <w:pPr>
              <w:pStyle w:val="TableParagraph"/>
              <w:rPr>
                <w:i/>
                <w:sz w:val="28"/>
              </w:rPr>
            </w:pPr>
          </w:p>
          <w:p>
            <w:pPr>
              <w:pStyle w:val="TableParagraph"/>
              <w:spacing w:before="2"/>
              <w:rPr>
                <w:i/>
                <w:sz w:val="40"/>
              </w:rPr>
            </w:pPr>
          </w:p>
          <w:p>
            <w:pPr>
              <w:pStyle w:val="TableParagraph"/>
              <w:ind w:left="791"/>
              <w:rPr>
                <w:rFonts w:ascii="Calibri"/>
                <w:sz w:val="28"/>
              </w:rPr>
            </w:pPr>
            <w:r>
              <w:rPr>
                <w:rFonts w:ascii="Calibri"/>
                <w:sz w:val="28"/>
              </w:rPr>
              <w:t>Caja 1</w:t>
            </w:r>
          </w:p>
        </w:tc>
        <w:tc>
          <w:tcPr>
            <w:tcW w:w="1235"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89"/>
              <w:ind w:left="734"/>
              <w:rPr>
                <w:rFonts w:ascii="Calibri" w:hAnsi="Calibri"/>
                <w:sz w:val="12"/>
              </w:rPr>
            </w:pPr>
            <w:r>
              <w:rPr>
                <w:rFonts w:ascii="Calibri" w:hAnsi="Calibri"/>
                <w:sz w:val="12"/>
              </w:rPr>
              <w:t>10 µl</w:t>
            </w:r>
          </w:p>
          <w:p>
            <w:pPr>
              <w:pStyle w:val="TableParagraph"/>
              <w:spacing w:before="7"/>
              <w:rPr>
                <w:i/>
                <w:sz w:val="11"/>
              </w:rPr>
            </w:pPr>
          </w:p>
          <w:p>
            <w:pPr>
              <w:pStyle w:val="TableParagraph"/>
              <w:spacing w:before="1"/>
              <w:ind w:left="559"/>
              <w:rPr>
                <w:rFonts w:ascii="Calibri"/>
                <w:sz w:val="12"/>
              </w:rPr>
            </w:pPr>
            <w:r>
              <w:rPr>
                <w:rFonts w:ascii="Calibri"/>
                <w:sz w:val="12"/>
              </w:rPr>
              <w:t>6.5 mm</w:t>
            </w:r>
          </w:p>
        </w:tc>
        <w:tc>
          <w:tcPr>
            <w:tcW w:w="1158"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89"/>
              <w:ind w:left="243"/>
              <w:rPr>
                <w:rFonts w:ascii="Calibri" w:hAnsi="Calibri"/>
                <w:sz w:val="12"/>
              </w:rPr>
            </w:pPr>
            <w:r>
              <w:rPr>
                <w:rFonts w:ascii="Calibri" w:hAnsi="Calibri"/>
                <w:sz w:val="12"/>
              </w:rPr>
              <w:t>20 µl</w:t>
            </w:r>
          </w:p>
          <w:p>
            <w:pPr>
              <w:pStyle w:val="TableParagraph"/>
              <w:spacing w:before="7"/>
              <w:rPr>
                <w:i/>
                <w:sz w:val="11"/>
              </w:rPr>
            </w:pPr>
          </w:p>
          <w:p>
            <w:pPr>
              <w:pStyle w:val="TableParagraph"/>
              <w:spacing w:before="1"/>
              <w:ind w:left="234"/>
              <w:rPr>
                <w:rFonts w:ascii="Calibri"/>
                <w:sz w:val="12"/>
              </w:rPr>
            </w:pPr>
            <w:r>
              <w:rPr>
                <w:rFonts w:ascii="Calibri"/>
                <w:sz w:val="12"/>
              </w:rPr>
              <w:t>6.8 mm</w:t>
            </w:r>
          </w:p>
          <w:p>
            <w:pPr>
              <w:pStyle w:val="TableParagraph"/>
              <w:rPr>
                <w:i/>
                <w:sz w:val="12"/>
              </w:rPr>
            </w:pPr>
          </w:p>
          <w:p>
            <w:pPr>
              <w:pStyle w:val="TableParagraph"/>
              <w:spacing w:before="9"/>
              <w:rPr>
                <w:i/>
                <w:sz w:val="11"/>
              </w:rPr>
            </w:pPr>
          </w:p>
          <w:p>
            <w:pPr>
              <w:pStyle w:val="TableParagraph"/>
              <w:ind w:left="207"/>
              <w:rPr>
                <w:rFonts w:ascii="Calibri" w:hAnsi="Calibri"/>
                <w:sz w:val="12"/>
              </w:rPr>
            </w:pPr>
            <w:r>
              <w:rPr>
                <w:rFonts w:ascii="Calibri" w:hAnsi="Calibri"/>
                <w:sz w:val="12"/>
              </w:rPr>
              <w:t>30 µl</w:t>
            </w:r>
          </w:p>
          <w:p>
            <w:pPr>
              <w:pStyle w:val="TableParagraph"/>
              <w:spacing w:before="10"/>
              <w:rPr>
                <w:i/>
                <w:sz w:val="11"/>
              </w:rPr>
            </w:pPr>
          </w:p>
          <w:p>
            <w:pPr>
              <w:pStyle w:val="TableParagraph"/>
              <w:ind w:left="243"/>
              <w:rPr>
                <w:rFonts w:ascii="Calibri"/>
                <w:sz w:val="12"/>
              </w:rPr>
            </w:pPr>
            <w:r>
              <w:rPr>
                <w:rFonts w:ascii="Calibri"/>
                <w:sz w:val="12"/>
              </w:rPr>
              <w:t>5.7 mm</w:t>
            </w:r>
          </w:p>
        </w:tc>
        <w:tc>
          <w:tcPr>
            <w:tcW w:w="1155"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10"/>
              <w:rPr>
                <w:i/>
                <w:sz w:val="9"/>
              </w:rPr>
            </w:pPr>
          </w:p>
          <w:p>
            <w:pPr>
              <w:pStyle w:val="TableParagraph"/>
              <w:ind w:left="660"/>
              <w:rPr>
                <w:rFonts w:ascii="Calibri" w:hAnsi="Calibri"/>
                <w:sz w:val="12"/>
              </w:rPr>
            </w:pPr>
            <w:r>
              <w:rPr>
                <w:rFonts w:ascii="Calibri" w:hAnsi="Calibri"/>
                <w:sz w:val="12"/>
              </w:rPr>
              <w:t>10 µl</w:t>
            </w:r>
          </w:p>
          <w:p>
            <w:pPr>
              <w:pStyle w:val="TableParagraph"/>
              <w:spacing w:before="7"/>
              <w:rPr>
                <w:i/>
                <w:sz w:val="11"/>
              </w:rPr>
            </w:pPr>
          </w:p>
          <w:p>
            <w:pPr>
              <w:pStyle w:val="TableParagraph"/>
              <w:spacing w:before="1"/>
              <w:ind w:left="590"/>
              <w:rPr>
                <w:rFonts w:ascii="Calibri"/>
                <w:sz w:val="12"/>
              </w:rPr>
            </w:pPr>
            <w:r>
              <w:rPr>
                <w:rFonts w:ascii="Calibri"/>
                <w:sz w:val="12"/>
              </w:rPr>
              <w:t>6.5 mm</w:t>
            </w:r>
          </w:p>
        </w:tc>
        <w:tc>
          <w:tcPr>
            <w:tcW w:w="1241"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10"/>
              <w:rPr>
                <w:i/>
                <w:sz w:val="9"/>
              </w:rPr>
            </w:pPr>
          </w:p>
          <w:p>
            <w:pPr>
              <w:pStyle w:val="TableParagraph"/>
              <w:ind w:left="271"/>
              <w:rPr>
                <w:rFonts w:ascii="Calibri" w:hAnsi="Calibri"/>
                <w:sz w:val="12"/>
              </w:rPr>
            </w:pPr>
            <w:r>
              <w:rPr>
                <w:rFonts w:ascii="Calibri" w:hAnsi="Calibri"/>
                <w:sz w:val="12"/>
              </w:rPr>
              <w:t>20 µl</w:t>
            </w:r>
          </w:p>
          <w:p>
            <w:pPr>
              <w:pStyle w:val="TableParagraph"/>
              <w:spacing w:before="7"/>
              <w:rPr>
                <w:i/>
                <w:sz w:val="11"/>
              </w:rPr>
            </w:pPr>
          </w:p>
          <w:p>
            <w:pPr>
              <w:pStyle w:val="TableParagraph"/>
              <w:spacing w:before="1"/>
              <w:ind w:left="271" w:hanging="118"/>
              <w:rPr>
                <w:rFonts w:ascii="Calibri"/>
                <w:sz w:val="12"/>
              </w:rPr>
            </w:pPr>
            <w:r>
              <w:rPr>
                <w:rFonts w:ascii="Calibri"/>
                <w:sz w:val="12"/>
              </w:rPr>
              <w:t>6.8 mm</w:t>
            </w:r>
          </w:p>
          <w:p>
            <w:pPr>
              <w:pStyle w:val="TableParagraph"/>
              <w:rPr>
                <w:i/>
                <w:sz w:val="12"/>
              </w:rPr>
            </w:pPr>
          </w:p>
          <w:p>
            <w:pPr>
              <w:pStyle w:val="TableParagraph"/>
              <w:rPr>
                <w:i/>
                <w:sz w:val="12"/>
              </w:rPr>
            </w:pPr>
          </w:p>
          <w:p>
            <w:pPr>
              <w:pStyle w:val="TableParagraph"/>
              <w:ind w:left="271"/>
              <w:rPr>
                <w:rFonts w:ascii="Calibri" w:hAnsi="Calibri"/>
                <w:sz w:val="12"/>
              </w:rPr>
            </w:pPr>
            <w:r>
              <w:rPr>
                <w:rFonts w:ascii="Calibri" w:hAnsi="Calibri"/>
                <w:sz w:val="12"/>
              </w:rPr>
              <w:t>30 µl</w:t>
            </w:r>
          </w:p>
          <w:p>
            <w:pPr>
              <w:pStyle w:val="TableParagraph"/>
              <w:spacing w:before="10"/>
              <w:rPr>
                <w:i/>
                <w:sz w:val="11"/>
              </w:rPr>
            </w:pPr>
          </w:p>
          <w:p>
            <w:pPr>
              <w:pStyle w:val="TableParagraph"/>
              <w:ind w:left="153"/>
              <w:rPr>
                <w:rFonts w:ascii="Calibri"/>
                <w:sz w:val="12"/>
              </w:rPr>
            </w:pPr>
            <w:r>
              <w:rPr>
                <w:rFonts w:ascii="Calibri"/>
                <w:sz w:val="12"/>
              </w:rPr>
              <w:t>6.4 mm</w:t>
            </w:r>
          </w:p>
        </w:tc>
        <w:tc>
          <w:tcPr>
            <w:tcW w:w="1163"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101"/>
              <w:ind w:left="624"/>
              <w:rPr>
                <w:rFonts w:ascii="Calibri" w:hAnsi="Calibri"/>
                <w:sz w:val="12"/>
              </w:rPr>
            </w:pPr>
            <w:r>
              <w:rPr>
                <w:rFonts w:ascii="Calibri" w:hAnsi="Calibri"/>
                <w:sz w:val="12"/>
              </w:rPr>
              <w:t>10 µl</w:t>
            </w:r>
          </w:p>
          <w:p>
            <w:pPr>
              <w:pStyle w:val="TableParagraph"/>
              <w:spacing w:before="7"/>
              <w:rPr>
                <w:i/>
                <w:sz w:val="11"/>
              </w:rPr>
            </w:pPr>
          </w:p>
          <w:p>
            <w:pPr>
              <w:pStyle w:val="TableParagraph"/>
              <w:spacing w:before="1"/>
              <w:ind w:left="655"/>
              <w:rPr>
                <w:rFonts w:ascii="Calibri"/>
                <w:sz w:val="12"/>
              </w:rPr>
            </w:pPr>
            <w:r>
              <w:rPr>
                <w:rFonts w:ascii="Calibri"/>
                <w:sz w:val="12"/>
              </w:rPr>
              <w:t>5.8 mm</w:t>
            </w:r>
          </w:p>
        </w:tc>
        <w:tc>
          <w:tcPr>
            <w:tcW w:w="1230"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101"/>
              <w:ind w:left="226"/>
              <w:rPr>
                <w:rFonts w:ascii="Calibri" w:hAnsi="Calibri"/>
                <w:sz w:val="12"/>
              </w:rPr>
            </w:pPr>
            <w:r>
              <w:rPr>
                <w:rFonts w:ascii="Calibri" w:hAnsi="Calibri"/>
                <w:sz w:val="12"/>
              </w:rPr>
              <w:t>20 µl</w:t>
            </w:r>
          </w:p>
          <w:p>
            <w:pPr>
              <w:pStyle w:val="TableParagraph"/>
              <w:spacing w:before="7"/>
              <w:rPr>
                <w:i/>
                <w:sz w:val="11"/>
              </w:rPr>
            </w:pPr>
          </w:p>
          <w:p>
            <w:pPr>
              <w:pStyle w:val="TableParagraph"/>
              <w:spacing w:before="1"/>
              <w:ind w:left="234" w:hanging="101"/>
              <w:rPr>
                <w:rFonts w:ascii="Calibri"/>
                <w:sz w:val="12"/>
              </w:rPr>
            </w:pPr>
            <w:r>
              <w:rPr>
                <w:rFonts w:ascii="Calibri"/>
                <w:sz w:val="12"/>
              </w:rPr>
              <w:t>7.2 mm</w:t>
            </w:r>
          </w:p>
          <w:p>
            <w:pPr>
              <w:pStyle w:val="TableParagraph"/>
              <w:rPr>
                <w:i/>
                <w:sz w:val="12"/>
              </w:rPr>
            </w:pPr>
          </w:p>
          <w:p>
            <w:pPr>
              <w:pStyle w:val="TableParagraph"/>
              <w:spacing w:before="9"/>
              <w:rPr>
                <w:i/>
                <w:sz w:val="11"/>
              </w:rPr>
            </w:pPr>
          </w:p>
          <w:p>
            <w:pPr>
              <w:pStyle w:val="TableParagraph"/>
              <w:ind w:left="234"/>
              <w:rPr>
                <w:rFonts w:ascii="Calibri" w:hAnsi="Calibri"/>
                <w:sz w:val="12"/>
              </w:rPr>
            </w:pPr>
            <w:r>
              <w:rPr>
                <w:rFonts w:ascii="Calibri" w:hAnsi="Calibri"/>
                <w:sz w:val="12"/>
              </w:rPr>
              <w:t>30 µl</w:t>
            </w:r>
          </w:p>
          <w:p>
            <w:pPr>
              <w:pStyle w:val="TableParagraph"/>
              <w:spacing w:before="10"/>
              <w:rPr>
                <w:i/>
                <w:sz w:val="11"/>
              </w:rPr>
            </w:pPr>
          </w:p>
          <w:p>
            <w:pPr>
              <w:pStyle w:val="TableParagraph"/>
              <w:ind w:left="186"/>
              <w:rPr>
                <w:rFonts w:ascii="Calibri"/>
                <w:sz w:val="12"/>
              </w:rPr>
            </w:pPr>
            <w:r>
              <w:rPr>
                <w:rFonts w:ascii="Calibri"/>
                <w:sz w:val="12"/>
              </w:rPr>
              <w:t>5.0 mm</w:t>
            </w:r>
          </w:p>
        </w:tc>
      </w:tr>
      <w:tr>
        <w:trPr>
          <w:trHeight w:val="2218" w:hRule="exact"/>
        </w:trPr>
        <w:tc>
          <w:tcPr>
            <w:tcW w:w="2395" w:type="dxa"/>
          </w:tcPr>
          <w:p>
            <w:pPr>
              <w:pStyle w:val="TableParagraph"/>
              <w:rPr>
                <w:i/>
                <w:sz w:val="28"/>
              </w:rPr>
            </w:pPr>
          </w:p>
          <w:p>
            <w:pPr>
              <w:pStyle w:val="TableParagraph"/>
              <w:rPr>
                <w:i/>
                <w:sz w:val="28"/>
              </w:rPr>
            </w:pPr>
          </w:p>
          <w:p>
            <w:pPr>
              <w:pStyle w:val="TableParagraph"/>
              <w:spacing w:before="232"/>
              <w:ind w:left="782"/>
              <w:rPr>
                <w:rFonts w:ascii="Calibri"/>
                <w:sz w:val="28"/>
              </w:rPr>
            </w:pPr>
            <w:r>
              <w:rPr>
                <w:rFonts w:ascii="Calibri"/>
                <w:sz w:val="28"/>
              </w:rPr>
              <w:t>Caja 2</w:t>
            </w:r>
          </w:p>
        </w:tc>
        <w:tc>
          <w:tcPr>
            <w:tcW w:w="1235"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spacing w:before="5"/>
              <w:rPr>
                <w:i/>
                <w:sz w:val="16"/>
              </w:rPr>
            </w:pPr>
          </w:p>
          <w:p>
            <w:pPr>
              <w:pStyle w:val="TableParagraph"/>
              <w:ind w:left="742"/>
              <w:rPr>
                <w:rFonts w:ascii="Calibri" w:hAnsi="Calibri"/>
                <w:sz w:val="12"/>
              </w:rPr>
            </w:pPr>
            <w:r>
              <w:rPr>
                <w:rFonts w:ascii="Calibri" w:hAnsi="Calibri"/>
                <w:sz w:val="12"/>
              </w:rPr>
              <w:t>20 µl</w:t>
            </w:r>
          </w:p>
          <w:p>
            <w:pPr>
              <w:pStyle w:val="TableParagraph"/>
              <w:spacing w:before="7"/>
              <w:rPr>
                <w:i/>
                <w:sz w:val="11"/>
              </w:rPr>
            </w:pPr>
          </w:p>
          <w:p>
            <w:pPr>
              <w:pStyle w:val="TableParagraph"/>
              <w:spacing w:before="1"/>
              <w:ind w:left="706"/>
              <w:rPr>
                <w:rFonts w:ascii="Calibri"/>
                <w:sz w:val="12"/>
              </w:rPr>
            </w:pPr>
            <w:r>
              <w:rPr>
                <w:rFonts w:ascii="Calibri"/>
                <w:sz w:val="12"/>
              </w:rPr>
              <w:t>7.3 mm</w:t>
            </w:r>
          </w:p>
        </w:tc>
        <w:tc>
          <w:tcPr>
            <w:tcW w:w="1158"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spacing w:before="5"/>
              <w:rPr>
                <w:i/>
                <w:sz w:val="16"/>
              </w:rPr>
            </w:pPr>
          </w:p>
          <w:p>
            <w:pPr>
              <w:pStyle w:val="TableParagraph"/>
              <w:ind w:left="236"/>
              <w:rPr>
                <w:rFonts w:ascii="Calibri" w:hAnsi="Calibri"/>
                <w:sz w:val="12"/>
              </w:rPr>
            </w:pPr>
            <w:r>
              <w:rPr>
                <w:rFonts w:ascii="Calibri" w:hAnsi="Calibri"/>
                <w:sz w:val="12"/>
              </w:rPr>
              <w:t>30 µl</w:t>
            </w:r>
          </w:p>
          <w:p>
            <w:pPr>
              <w:pStyle w:val="TableParagraph"/>
              <w:spacing w:before="7"/>
              <w:rPr>
                <w:i/>
                <w:sz w:val="11"/>
              </w:rPr>
            </w:pPr>
          </w:p>
          <w:p>
            <w:pPr>
              <w:pStyle w:val="TableParagraph"/>
              <w:spacing w:before="1"/>
              <w:ind w:left="231"/>
              <w:rPr>
                <w:rFonts w:ascii="Calibri"/>
                <w:sz w:val="12"/>
              </w:rPr>
            </w:pPr>
            <w:r>
              <w:rPr>
                <w:rFonts w:ascii="Calibri"/>
                <w:sz w:val="12"/>
              </w:rPr>
              <w:t>6.1 mm</w:t>
            </w:r>
          </w:p>
          <w:p>
            <w:pPr>
              <w:pStyle w:val="TableParagraph"/>
              <w:rPr>
                <w:i/>
                <w:sz w:val="12"/>
              </w:rPr>
            </w:pPr>
          </w:p>
          <w:p>
            <w:pPr>
              <w:pStyle w:val="TableParagraph"/>
              <w:spacing w:before="9"/>
              <w:rPr>
                <w:i/>
                <w:sz w:val="11"/>
              </w:rPr>
            </w:pPr>
          </w:p>
          <w:p>
            <w:pPr>
              <w:pStyle w:val="TableParagraph"/>
              <w:ind w:left="272"/>
              <w:rPr>
                <w:rFonts w:ascii="Calibri" w:hAnsi="Calibri"/>
                <w:sz w:val="12"/>
              </w:rPr>
            </w:pPr>
            <w:r>
              <w:rPr>
                <w:rFonts w:ascii="Calibri" w:hAnsi="Calibri"/>
                <w:sz w:val="12"/>
              </w:rPr>
              <w:t>10 µl</w:t>
            </w:r>
          </w:p>
          <w:p>
            <w:pPr>
              <w:pStyle w:val="TableParagraph"/>
              <w:spacing w:before="10"/>
              <w:rPr>
                <w:i/>
                <w:sz w:val="11"/>
              </w:rPr>
            </w:pPr>
          </w:p>
          <w:p>
            <w:pPr>
              <w:pStyle w:val="TableParagraph"/>
              <w:ind w:left="248"/>
              <w:rPr>
                <w:rFonts w:ascii="Calibri"/>
                <w:sz w:val="12"/>
              </w:rPr>
            </w:pPr>
            <w:r>
              <w:rPr>
                <w:rFonts w:ascii="Calibri"/>
                <w:sz w:val="12"/>
              </w:rPr>
              <w:t>5.9 mm</w:t>
            </w:r>
          </w:p>
        </w:tc>
        <w:tc>
          <w:tcPr>
            <w:tcW w:w="1155"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73"/>
              <w:ind w:left="662"/>
              <w:rPr>
                <w:rFonts w:ascii="Calibri" w:hAnsi="Calibri"/>
                <w:sz w:val="12"/>
              </w:rPr>
            </w:pPr>
            <w:r>
              <w:rPr>
                <w:rFonts w:ascii="Calibri" w:hAnsi="Calibri"/>
                <w:sz w:val="12"/>
              </w:rPr>
              <w:t>20 µl</w:t>
            </w:r>
          </w:p>
          <w:p>
            <w:pPr>
              <w:pStyle w:val="TableParagraph"/>
              <w:spacing w:before="7"/>
              <w:rPr>
                <w:i/>
                <w:sz w:val="11"/>
              </w:rPr>
            </w:pPr>
          </w:p>
          <w:p>
            <w:pPr>
              <w:pStyle w:val="TableParagraph"/>
              <w:spacing w:before="1"/>
              <w:ind w:left="626"/>
              <w:rPr>
                <w:rFonts w:ascii="Calibri"/>
                <w:sz w:val="12"/>
              </w:rPr>
            </w:pPr>
            <w:r>
              <w:rPr>
                <w:rFonts w:ascii="Calibri"/>
                <w:sz w:val="12"/>
              </w:rPr>
              <w:t>6.8 mm</w:t>
            </w:r>
          </w:p>
        </w:tc>
        <w:tc>
          <w:tcPr>
            <w:tcW w:w="1241"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73"/>
              <w:ind w:left="235"/>
              <w:rPr>
                <w:rFonts w:ascii="Calibri" w:hAnsi="Calibri"/>
                <w:sz w:val="12"/>
              </w:rPr>
            </w:pPr>
            <w:r>
              <w:rPr>
                <w:rFonts w:ascii="Calibri" w:hAnsi="Calibri"/>
                <w:sz w:val="12"/>
              </w:rPr>
              <w:t>30 µl</w:t>
            </w:r>
          </w:p>
          <w:p>
            <w:pPr>
              <w:pStyle w:val="TableParagraph"/>
              <w:spacing w:before="7"/>
              <w:rPr>
                <w:i/>
                <w:sz w:val="11"/>
              </w:rPr>
            </w:pPr>
          </w:p>
          <w:p>
            <w:pPr>
              <w:pStyle w:val="TableParagraph"/>
              <w:spacing w:before="1"/>
              <w:ind w:left="230"/>
              <w:rPr>
                <w:rFonts w:ascii="Calibri"/>
                <w:sz w:val="12"/>
              </w:rPr>
            </w:pPr>
            <w:r>
              <w:rPr>
                <w:rFonts w:ascii="Calibri"/>
                <w:sz w:val="12"/>
              </w:rPr>
              <w:t>6.0 mm</w:t>
            </w:r>
          </w:p>
          <w:p>
            <w:pPr>
              <w:pStyle w:val="TableParagraph"/>
              <w:rPr>
                <w:i/>
                <w:sz w:val="12"/>
              </w:rPr>
            </w:pPr>
          </w:p>
          <w:p>
            <w:pPr>
              <w:pStyle w:val="TableParagraph"/>
              <w:spacing w:before="9"/>
              <w:rPr>
                <w:i/>
                <w:sz w:val="11"/>
              </w:rPr>
            </w:pPr>
          </w:p>
          <w:p>
            <w:pPr>
              <w:pStyle w:val="TableParagraph"/>
              <w:ind w:left="271"/>
              <w:rPr>
                <w:rFonts w:ascii="Calibri" w:hAnsi="Calibri"/>
                <w:sz w:val="12"/>
              </w:rPr>
            </w:pPr>
            <w:r>
              <w:rPr>
                <w:rFonts w:ascii="Calibri" w:hAnsi="Calibri"/>
                <w:sz w:val="12"/>
              </w:rPr>
              <w:t>10 µl</w:t>
            </w:r>
          </w:p>
          <w:p>
            <w:pPr>
              <w:pStyle w:val="TableParagraph"/>
              <w:spacing w:before="10"/>
              <w:rPr>
                <w:i/>
                <w:sz w:val="11"/>
              </w:rPr>
            </w:pPr>
          </w:p>
          <w:p>
            <w:pPr>
              <w:pStyle w:val="TableParagraph"/>
              <w:ind w:left="247"/>
              <w:rPr>
                <w:rFonts w:ascii="Calibri"/>
                <w:sz w:val="12"/>
              </w:rPr>
            </w:pPr>
            <w:r>
              <w:rPr>
                <w:rFonts w:ascii="Calibri"/>
                <w:sz w:val="12"/>
              </w:rPr>
              <w:t>5.0 mm</w:t>
            </w:r>
          </w:p>
        </w:tc>
        <w:tc>
          <w:tcPr>
            <w:tcW w:w="1163"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70"/>
              <w:ind w:left="612"/>
              <w:rPr>
                <w:rFonts w:ascii="Calibri" w:hAnsi="Calibri"/>
                <w:sz w:val="12"/>
              </w:rPr>
            </w:pPr>
            <w:r>
              <w:rPr>
                <w:rFonts w:ascii="Calibri" w:hAnsi="Calibri"/>
                <w:sz w:val="12"/>
              </w:rPr>
              <w:t>20 µl</w:t>
            </w:r>
          </w:p>
          <w:p>
            <w:pPr>
              <w:pStyle w:val="TableParagraph"/>
              <w:spacing w:before="5"/>
              <w:rPr>
                <w:i/>
                <w:sz w:val="11"/>
              </w:rPr>
            </w:pPr>
          </w:p>
          <w:p>
            <w:pPr>
              <w:pStyle w:val="TableParagraph"/>
              <w:ind w:left="576"/>
              <w:rPr>
                <w:rFonts w:ascii="Calibri"/>
                <w:sz w:val="12"/>
              </w:rPr>
            </w:pPr>
            <w:r>
              <w:rPr>
                <w:rFonts w:ascii="Calibri"/>
                <w:sz w:val="12"/>
              </w:rPr>
              <w:t>6.9 mm</w:t>
            </w:r>
          </w:p>
        </w:tc>
        <w:tc>
          <w:tcPr>
            <w:tcW w:w="1230"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70"/>
              <w:ind w:left="178"/>
              <w:rPr>
                <w:rFonts w:ascii="Calibri" w:hAnsi="Calibri"/>
                <w:sz w:val="12"/>
              </w:rPr>
            </w:pPr>
            <w:r>
              <w:rPr>
                <w:rFonts w:ascii="Calibri" w:hAnsi="Calibri"/>
                <w:sz w:val="12"/>
              </w:rPr>
              <w:t>30 µl</w:t>
            </w:r>
          </w:p>
          <w:p>
            <w:pPr>
              <w:pStyle w:val="TableParagraph"/>
              <w:spacing w:before="5"/>
              <w:rPr>
                <w:i/>
                <w:sz w:val="11"/>
              </w:rPr>
            </w:pPr>
          </w:p>
          <w:p>
            <w:pPr>
              <w:pStyle w:val="TableParagraph"/>
              <w:ind w:left="174"/>
              <w:rPr>
                <w:rFonts w:ascii="Calibri"/>
                <w:sz w:val="12"/>
              </w:rPr>
            </w:pPr>
            <w:r>
              <w:rPr>
                <w:rFonts w:ascii="Calibri"/>
                <w:sz w:val="12"/>
              </w:rPr>
              <w:t>7.4 mm</w:t>
            </w:r>
          </w:p>
          <w:p>
            <w:pPr>
              <w:pStyle w:val="TableParagraph"/>
              <w:rPr>
                <w:i/>
                <w:sz w:val="12"/>
              </w:rPr>
            </w:pPr>
          </w:p>
          <w:p>
            <w:pPr>
              <w:pStyle w:val="TableParagraph"/>
              <w:spacing w:before="11"/>
              <w:rPr>
                <w:i/>
                <w:sz w:val="11"/>
              </w:rPr>
            </w:pPr>
          </w:p>
          <w:p>
            <w:pPr>
              <w:pStyle w:val="TableParagraph"/>
              <w:ind w:left="214"/>
              <w:rPr>
                <w:rFonts w:ascii="Calibri" w:hAnsi="Calibri"/>
                <w:sz w:val="12"/>
              </w:rPr>
            </w:pPr>
            <w:r>
              <w:rPr>
                <w:rFonts w:ascii="Calibri" w:hAnsi="Calibri"/>
                <w:sz w:val="12"/>
              </w:rPr>
              <w:t>10 µl</w:t>
            </w:r>
          </w:p>
          <w:p>
            <w:pPr>
              <w:pStyle w:val="TableParagraph"/>
              <w:spacing w:before="7"/>
              <w:rPr>
                <w:i/>
                <w:sz w:val="11"/>
              </w:rPr>
            </w:pPr>
          </w:p>
          <w:p>
            <w:pPr>
              <w:pStyle w:val="TableParagraph"/>
              <w:spacing w:before="1"/>
              <w:ind w:left="190"/>
              <w:rPr>
                <w:rFonts w:ascii="Calibri"/>
                <w:sz w:val="12"/>
              </w:rPr>
            </w:pPr>
            <w:r>
              <w:rPr>
                <w:rFonts w:ascii="Calibri"/>
                <w:sz w:val="12"/>
              </w:rPr>
              <w:t>5.8 mm</w:t>
            </w:r>
          </w:p>
        </w:tc>
      </w:tr>
      <w:tr>
        <w:trPr>
          <w:trHeight w:val="2218" w:hRule="exact"/>
        </w:trPr>
        <w:tc>
          <w:tcPr>
            <w:tcW w:w="2395" w:type="dxa"/>
          </w:tcPr>
          <w:p>
            <w:pPr>
              <w:pStyle w:val="TableParagraph"/>
              <w:rPr>
                <w:i/>
                <w:sz w:val="28"/>
              </w:rPr>
            </w:pPr>
          </w:p>
          <w:p>
            <w:pPr>
              <w:pStyle w:val="TableParagraph"/>
              <w:spacing w:before="3"/>
              <w:rPr>
                <w:i/>
                <w:sz w:val="35"/>
              </w:rPr>
            </w:pPr>
          </w:p>
          <w:p>
            <w:pPr>
              <w:pStyle w:val="TableParagraph"/>
              <w:ind w:left="796"/>
              <w:rPr>
                <w:rFonts w:ascii="Calibri"/>
                <w:sz w:val="28"/>
              </w:rPr>
            </w:pPr>
            <w:r>
              <w:rPr>
                <w:rFonts w:ascii="Calibri"/>
                <w:sz w:val="28"/>
              </w:rPr>
              <w:t>Caja 3</w:t>
            </w:r>
          </w:p>
        </w:tc>
        <w:tc>
          <w:tcPr>
            <w:tcW w:w="1235"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8"/>
              <w:rPr>
                <w:i/>
                <w:sz w:val="14"/>
              </w:rPr>
            </w:pPr>
          </w:p>
          <w:p>
            <w:pPr>
              <w:pStyle w:val="TableParagraph"/>
              <w:ind w:left="706"/>
              <w:rPr>
                <w:rFonts w:ascii="Calibri" w:hAnsi="Calibri"/>
                <w:sz w:val="12"/>
              </w:rPr>
            </w:pPr>
            <w:r>
              <w:rPr>
                <w:rFonts w:ascii="Calibri" w:hAnsi="Calibri"/>
                <w:sz w:val="12"/>
              </w:rPr>
              <w:t>30 µl</w:t>
            </w:r>
          </w:p>
          <w:p>
            <w:pPr>
              <w:pStyle w:val="TableParagraph"/>
              <w:spacing w:before="7"/>
              <w:rPr>
                <w:i/>
                <w:sz w:val="11"/>
              </w:rPr>
            </w:pPr>
          </w:p>
          <w:p>
            <w:pPr>
              <w:pStyle w:val="TableParagraph"/>
              <w:spacing w:before="1"/>
              <w:ind w:left="631"/>
              <w:rPr>
                <w:rFonts w:ascii="Calibri"/>
                <w:sz w:val="12"/>
              </w:rPr>
            </w:pPr>
            <w:r>
              <w:rPr>
                <w:rFonts w:ascii="Calibri"/>
                <w:sz w:val="12"/>
              </w:rPr>
              <w:t>6.4 mm</w:t>
            </w:r>
          </w:p>
        </w:tc>
        <w:tc>
          <w:tcPr>
            <w:tcW w:w="1158"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8"/>
              <w:rPr>
                <w:i/>
                <w:sz w:val="14"/>
              </w:rPr>
            </w:pPr>
          </w:p>
          <w:p>
            <w:pPr>
              <w:pStyle w:val="TableParagraph"/>
              <w:ind w:left="248"/>
              <w:rPr>
                <w:rFonts w:ascii="Calibri" w:hAnsi="Calibri"/>
                <w:sz w:val="12"/>
              </w:rPr>
            </w:pPr>
            <w:r>
              <w:rPr>
                <w:rFonts w:ascii="Calibri" w:hAnsi="Calibri"/>
                <w:sz w:val="12"/>
              </w:rPr>
              <w:t>10 µl</w:t>
            </w:r>
          </w:p>
          <w:p>
            <w:pPr>
              <w:pStyle w:val="TableParagraph"/>
              <w:spacing w:before="7"/>
              <w:rPr>
                <w:i/>
                <w:sz w:val="11"/>
              </w:rPr>
            </w:pPr>
          </w:p>
          <w:p>
            <w:pPr>
              <w:pStyle w:val="TableParagraph"/>
              <w:spacing w:before="1"/>
              <w:ind w:left="248" w:hanging="94"/>
              <w:rPr>
                <w:rFonts w:ascii="Calibri"/>
                <w:sz w:val="12"/>
              </w:rPr>
            </w:pPr>
            <w:r>
              <w:rPr>
                <w:rFonts w:ascii="Calibri"/>
                <w:sz w:val="12"/>
              </w:rPr>
              <w:t>5.3 mm</w:t>
            </w:r>
          </w:p>
          <w:p>
            <w:pPr>
              <w:pStyle w:val="TableParagraph"/>
              <w:rPr>
                <w:i/>
                <w:sz w:val="12"/>
              </w:rPr>
            </w:pPr>
          </w:p>
          <w:p>
            <w:pPr>
              <w:pStyle w:val="TableParagraph"/>
              <w:spacing w:before="9"/>
              <w:rPr>
                <w:i/>
                <w:sz w:val="11"/>
              </w:rPr>
            </w:pPr>
          </w:p>
          <w:p>
            <w:pPr>
              <w:pStyle w:val="TableParagraph"/>
              <w:ind w:left="248"/>
              <w:rPr>
                <w:rFonts w:ascii="Calibri" w:hAnsi="Calibri"/>
                <w:sz w:val="12"/>
              </w:rPr>
            </w:pPr>
            <w:r>
              <w:rPr>
                <w:rFonts w:ascii="Calibri" w:hAnsi="Calibri"/>
                <w:sz w:val="12"/>
              </w:rPr>
              <w:t>20 µl</w:t>
            </w:r>
          </w:p>
          <w:p>
            <w:pPr>
              <w:pStyle w:val="TableParagraph"/>
              <w:spacing w:before="10"/>
              <w:rPr>
                <w:i/>
                <w:sz w:val="11"/>
              </w:rPr>
            </w:pPr>
          </w:p>
          <w:p>
            <w:pPr>
              <w:pStyle w:val="TableParagraph"/>
              <w:ind w:left="202"/>
              <w:rPr>
                <w:rFonts w:ascii="Calibri"/>
                <w:sz w:val="12"/>
              </w:rPr>
            </w:pPr>
            <w:r>
              <w:rPr>
                <w:rFonts w:ascii="Calibri"/>
                <w:sz w:val="12"/>
              </w:rPr>
              <w:t>6.0 mm</w:t>
            </w:r>
          </w:p>
        </w:tc>
        <w:tc>
          <w:tcPr>
            <w:tcW w:w="1155"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9"/>
              <w:rPr>
                <w:i/>
                <w:sz w:val="15"/>
              </w:rPr>
            </w:pPr>
          </w:p>
          <w:p>
            <w:pPr>
              <w:pStyle w:val="TableParagraph"/>
              <w:ind w:left="646"/>
              <w:rPr>
                <w:rFonts w:ascii="Calibri" w:hAnsi="Calibri"/>
                <w:sz w:val="12"/>
              </w:rPr>
            </w:pPr>
            <w:r>
              <w:rPr>
                <w:rFonts w:ascii="Calibri" w:hAnsi="Calibri"/>
                <w:sz w:val="12"/>
              </w:rPr>
              <w:t>30 µl</w:t>
            </w:r>
          </w:p>
          <w:p>
            <w:pPr>
              <w:pStyle w:val="TableParagraph"/>
              <w:spacing w:before="7"/>
              <w:rPr>
                <w:i/>
                <w:sz w:val="11"/>
              </w:rPr>
            </w:pPr>
          </w:p>
          <w:p>
            <w:pPr>
              <w:pStyle w:val="TableParagraph"/>
              <w:spacing w:before="1"/>
              <w:ind w:left="571"/>
              <w:rPr>
                <w:rFonts w:ascii="Calibri"/>
                <w:sz w:val="12"/>
              </w:rPr>
            </w:pPr>
            <w:r>
              <w:rPr>
                <w:rFonts w:ascii="Calibri"/>
                <w:sz w:val="12"/>
              </w:rPr>
              <w:t>6.7 mm</w:t>
            </w:r>
          </w:p>
        </w:tc>
        <w:tc>
          <w:tcPr>
            <w:tcW w:w="1241"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9"/>
              <w:rPr>
                <w:i/>
                <w:sz w:val="15"/>
              </w:rPr>
            </w:pPr>
          </w:p>
          <w:p>
            <w:pPr>
              <w:pStyle w:val="TableParagraph"/>
              <w:ind w:left="268"/>
              <w:rPr>
                <w:rFonts w:ascii="Calibri" w:hAnsi="Calibri"/>
                <w:sz w:val="12"/>
              </w:rPr>
            </w:pPr>
            <w:r>
              <w:rPr>
                <w:rFonts w:ascii="Calibri" w:hAnsi="Calibri"/>
                <w:sz w:val="12"/>
              </w:rPr>
              <w:t>10 µl</w:t>
            </w:r>
          </w:p>
          <w:p>
            <w:pPr>
              <w:pStyle w:val="TableParagraph"/>
              <w:spacing w:before="7"/>
              <w:rPr>
                <w:i/>
                <w:sz w:val="11"/>
              </w:rPr>
            </w:pPr>
          </w:p>
          <w:p>
            <w:pPr>
              <w:pStyle w:val="TableParagraph"/>
              <w:spacing w:before="1"/>
              <w:ind w:left="268" w:hanging="94"/>
              <w:rPr>
                <w:rFonts w:ascii="Calibri"/>
                <w:sz w:val="12"/>
              </w:rPr>
            </w:pPr>
            <w:r>
              <w:rPr>
                <w:rFonts w:ascii="Calibri"/>
                <w:sz w:val="12"/>
              </w:rPr>
              <w:t>5.4 mm</w:t>
            </w:r>
          </w:p>
          <w:p>
            <w:pPr>
              <w:pStyle w:val="TableParagraph"/>
              <w:rPr>
                <w:i/>
                <w:sz w:val="12"/>
              </w:rPr>
            </w:pPr>
          </w:p>
          <w:p>
            <w:pPr>
              <w:pStyle w:val="TableParagraph"/>
              <w:spacing w:before="9"/>
              <w:rPr>
                <w:i/>
                <w:sz w:val="11"/>
              </w:rPr>
            </w:pPr>
          </w:p>
          <w:p>
            <w:pPr>
              <w:pStyle w:val="TableParagraph"/>
              <w:ind w:left="268"/>
              <w:rPr>
                <w:rFonts w:ascii="Calibri" w:hAnsi="Calibri"/>
                <w:sz w:val="12"/>
              </w:rPr>
            </w:pPr>
            <w:r>
              <w:rPr>
                <w:rFonts w:ascii="Calibri" w:hAnsi="Calibri"/>
                <w:sz w:val="12"/>
              </w:rPr>
              <w:t>20 µl</w:t>
            </w:r>
          </w:p>
          <w:p>
            <w:pPr>
              <w:pStyle w:val="TableParagraph"/>
              <w:spacing w:before="10"/>
              <w:rPr>
                <w:i/>
                <w:sz w:val="11"/>
              </w:rPr>
            </w:pPr>
          </w:p>
          <w:p>
            <w:pPr>
              <w:pStyle w:val="TableParagraph"/>
              <w:ind w:left="223"/>
              <w:rPr>
                <w:rFonts w:ascii="Calibri"/>
                <w:sz w:val="12"/>
              </w:rPr>
            </w:pPr>
            <w:r>
              <w:rPr>
                <w:rFonts w:ascii="Calibri"/>
                <w:sz w:val="12"/>
              </w:rPr>
              <w:t>6.3 mm</w:t>
            </w:r>
          </w:p>
        </w:tc>
        <w:tc>
          <w:tcPr>
            <w:tcW w:w="1163" w:type="dxa"/>
            <w:tcBorders>
              <w:righ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6"/>
              <w:rPr>
                <w:i/>
                <w:sz w:val="15"/>
              </w:rPr>
            </w:pPr>
          </w:p>
          <w:p>
            <w:pPr>
              <w:pStyle w:val="TableParagraph"/>
              <w:ind w:left="612"/>
              <w:rPr>
                <w:rFonts w:ascii="Calibri" w:hAnsi="Calibri"/>
                <w:sz w:val="12"/>
              </w:rPr>
            </w:pPr>
            <w:r>
              <w:rPr>
                <w:rFonts w:ascii="Calibri" w:hAnsi="Calibri"/>
                <w:sz w:val="12"/>
              </w:rPr>
              <w:t>30 µl</w:t>
            </w:r>
          </w:p>
          <w:p>
            <w:pPr>
              <w:pStyle w:val="TableParagraph"/>
              <w:spacing w:before="7"/>
              <w:rPr>
                <w:i/>
                <w:sz w:val="11"/>
              </w:rPr>
            </w:pPr>
          </w:p>
          <w:p>
            <w:pPr>
              <w:pStyle w:val="TableParagraph"/>
              <w:spacing w:before="1"/>
              <w:ind w:left="537"/>
              <w:rPr>
                <w:rFonts w:ascii="Calibri"/>
                <w:sz w:val="12"/>
              </w:rPr>
            </w:pPr>
            <w:r>
              <w:rPr>
                <w:rFonts w:ascii="Calibri"/>
                <w:sz w:val="12"/>
              </w:rPr>
              <w:t>5.8 mm</w:t>
            </w:r>
          </w:p>
        </w:tc>
        <w:tc>
          <w:tcPr>
            <w:tcW w:w="1230" w:type="dxa"/>
            <w:tcBorders>
              <w:left w:val="nil"/>
            </w:tcBorders>
          </w:tcPr>
          <w:p>
            <w:pPr>
              <w:pStyle w:val="TableParagraph"/>
              <w:rPr>
                <w:i/>
                <w:sz w:val="12"/>
              </w:rPr>
            </w:pPr>
          </w:p>
          <w:p>
            <w:pPr>
              <w:pStyle w:val="TableParagraph"/>
              <w:rPr>
                <w:i/>
                <w:sz w:val="12"/>
              </w:rPr>
            </w:pPr>
          </w:p>
          <w:p>
            <w:pPr>
              <w:pStyle w:val="TableParagraph"/>
              <w:rPr>
                <w:i/>
                <w:sz w:val="12"/>
              </w:rPr>
            </w:pPr>
          </w:p>
          <w:p>
            <w:pPr>
              <w:pStyle w:val="TableParagraph"/>
              <w:rPr>
                <w:i/>
                <w:sz w:val="12"/>
              </w:rPr>
            </w:pPr>
          </w:p>
          <w:p>
            <w:pPr>
              <w:pStyle w:val="TableParagraph"/>
              <w:spacing w:before="6"/>
              <w:rPr>
                <w:i/>
                <w:sz w:val="15"/>
              </w:rPr>
            </w:pPr>
          </w:p>
          <w:p>
            <w:pPr>
              <w:pStyle w:val="TableParagraph"/>
              <w:ind w:left="224"/>
              <w:rPr>
                <w:rFonts w:ascii="Calibri" w:hAnsi="Calibri"/>
                <w:sz w:val="12"/>
              </w:rPr>
            </w:pPr>
            <w:r>
              <w:rPr>
                <w:rFonts w:ascii="Calibri" w:hAnsi="Calibri"/>
                <w:sz w:val="12"/>
              </w:rPr>
              <w:t>10 µl</w:t>
            </w:r>
          </w:p>
          <w:p>
            <w:pPr>
              <w:pStyle w:val="TableParagraph"/>
              <w:spacing w:before="7"/>
              <w:rPr>
                <w:i/>
                <w:sz w:val="11"/>
              </w:rPr>
            </w:pPr>
          </w:p>
          <w:p>
            <w:pPr>
              <w:pStyle w:val="TableParagraph"/>
              <w:spacing w:before="1"/>
              <w:ind w:left="133"/>
              <w:rPr>
                <w:rFonts w:ascii="Calibri"/>
                <w:sz w:val="12"/>
              </w:rPr>
            </w:pPr>
            <w:r>
              <w:rPr>
                <w:rFonts w:ascii="Calibri"/>
                <w:sz w:val="12"/>
              </w:rPr>
              <w:t>5.6 mm</w:t>
            </w:r>
          </w:p>
          <w:p>
            <w:pPr>
              <w:pStyle w:val="TableParagraph"/>
              <w:rPr>
                <w:i/>
                <w:sz w:val="12"/>
              </w:rPr>
            </w:pPr>
          </w:p>
          <w:p>
            <w:pPr>
              <w:pStyle w:val="TableParagraph"/>
              <w:spacing w:before="9"/>
              <w:rPr>
                <w:i/>
                <w:sz w:val="11"/>
              </w:rPr>
            </w:pPr>
          </w:p>
          <w:p>
            <w:pPr>
              <w:pStyle w:val="TableParagraph"/>
              <w:ind w:left="224"/>
              <w:rPr>
                <w:rFonts w:ascii="Calibri" w:hAnsi="Calibri"/>
                <w:sz w:val="12"/>
              </w:rPr>
            </w:pPr>
            <w:r>
              <w:rPr>
                <w:rFonts w:ascii="Calibri" w:hAnsi="Calibri"/>
                <w:sz w:val="12"/>
              </w:rPr>
              <w:t>20 µl</w:t>
            </w:r>
          </w:p>
          <w:p>
            <w:pPr>
              <w:pStyle w:val="TableParagraph"/>
              <w:spacing w:before="10"/>
              <w:rPr>
                <w:i/>
                <w:sz w:val="11"/>
              </w:rPr>
            </w:pPr>
          </w:p>
          <w:p>
            <w:pPr>
              <w:pStyle w:val="TableParagraph"/>
              <w:ind w:left="178"/>
              <w:rPr>
                <w:rFonts w:ascii="Calibri"/>
                <w:sz w:val="12"/>
              </w:rPr>
            </w:pPr>
            <w:r>
              <w:rPr>
                <w:rFonts w:ascii="Calibri"/>
                <w:sz w:val="12"/>
              </w:rPr>
              <w:t>5.2 mm</w:t>
            </w:r>
          </w:p>
        </w:tc>
      </w:tr>
    </w:tbl>
    <w:p>
      <w:pPr>
        <w:spacing w:after="0"/>
        <w:rPr>
          <w:rFonts w:ascii="Calibri"/>
          <w:sz w:val="12"/>
        </w:rPr>
        <w:sectPr>
          <w:pgSz w:w="12240" w:h="15840"/>
          <w:pgMar w:header="736" w:footer="1024" w:top="1180" w:bottom="1220" w:left="1220" w:right="1220"/>
        </w:sectPr>
      </w:pPr>
    </w:p>
    <w:p>
      <w:pPr>
        <w:pStyle w:val="BodyText"/>
        <w:spacing w:before="11"/>
        <w:rPr>
          <w:i/>
          <w:sz w:val="16"/>
        </w:rPr>
      </w:pPr>
    </w:p>
    <w:p>
      <w:pPr>
        <w:pStyle w:val="BodyText"/>
        <w:spacing w:line="360" w:lineRule="auto" w:before="69"/>
        <w:ind w:left="160" w:right="174"/>
        <w:jc w:val="both"/>
      </w:pPr>
      <w:r>
        <w:rPr>
          <w:b/>
        </w:rPr>
        <w:t>Figura 17</w:t>
      </w:r>
      <w:r>
        <w:rPr/>
        <w:t>. Halos inhibitorios de las tres soluciones sobre </w:t>
      </w:r>
      <w:r>
        <w:rPr>
          <w:i/>
        </w:rPr>
        <w:t>L. casei</w:t>
      </w:r>
      <w:r>
        <w:rPr/>
        <w:t>; Np-Ag reducidas por </w:t>
      </w:r>
      <w:r>
        <w:rPr>
          <w:i/>
        </w:rPr>
        <w:t>Camellia sinensis</w:t>
      </w:r>
      <w:r>
        <w:rPr/>
        <w:t>, Np-Ag reducidas por </w:t>
      </w:r>
      <w:r>
        <w:rPr>
          <w:i/>
        </w:rPr>
        <w:t>Heterotheca inuloides </w:t>
      </w:r>
      <w:r>
        <w:rPr/>
        <w:t>y Clorhexidina, así como un disco que no se encontraba impregnado con ninguna de las soluciones en estudio, el cual sirvió como grupo control. Se observa una media de 7.0, una desviación estándar de .26 con una valor mínimo de 6.8mm y un valor máximo de </w:t>
      </w:r>
      <w:r>
        <w:rPr>
          <w:spacing w:val="2"/>
        </w:rPr>
        <w:t>7.3mm </w:t>
      </w:r>
      <w:r>
        <w:rPr/>
        <w:t>a la  dosis de 20ml para </w:t>
      </w:r>
      <w:r>
        <w:rPr>
          <w:i/>
        </w:rPr>
        <w:t>Camellia sinensis, </w:t>
      </w:r>
      <w:r>
        <w:rPr/>
        <w:t>mientras que para </w:t>
      </w:r>
      <w:r>
        <w:rPr>
          <w:i/>
        </w:rPr>
        <w:t>Heterotheca inuloides </w:t>
      </w:r>
      <w:r>
        <w:rPr/>
        <w:t>una media de 6.9, desviación estándar de .23, un valor mínimo de 6.8mm y un máximo de 7.2mm. Finalmente una media de 5.8, desviación estándar de .56 y un valor mínimo de 5.2mm y un valor máximo de 6.3mm para</w:t>
      </w:r>
      <w:r>
        <w:rPr>
          <w:spacing w:val="-15"/>
        </w:rPr>
        <w:t> </w:t>
      </w:r>
      <w:r>
        <w:rPr/>
        <w:t>Clorhexidina</w:t>
      </w:r>
    </w:p>
    <w:p>
      <w:pPr>
        <w:pStyle w:val="BodyText"/>
      </w:pPr>
    </w:p>
    <w:p>
      <w:pPr>
        <w:pStyle w:val="BodyText"/>
      </w:pPr>
    </w:p>
    <w:p>
      <w:pPr>
        <w:pStyle w:val="BodyText"/>
        <w:spacing w:before="2"/>
        <w:rPr>
          <w:sz w:val="23"/>
        </w:rPr>
      </w:pPr>
    </w:p>
    <w:p>
      <w:pPr>
        <w:pStyle w:val="BodyText"/>
        <w:spacing w:line="360" w:lineRule="auto" w:before="1"/>
        <w:ind w:left="160" w:right="177"/>
        <w:jc w:val="both"/>
      </w:pPr>
      <w:r>
        <w:rPr/>
        <w:t>En las tablas 1, 2 y 3 se muestran los resultados de la realización de un análisis estadístico en donde se obtuvieron las medias aritméticas, desviación estándar e intervalos de la serie de los halos inhibitorios observados, para cada una de las partículas a prueba y CHX, a las distintas concentraciones y sobre el crecimiento de las dos especies bacterianas estudiadas.</w:t>
      </w:r>
    </w:p>
    <w:p>
      <w:pPr>
        <w:pStyle w:val="BodyText"/>
        <w:spacing w:before="202"/>
        <w:ind w:left="160"/>
        <w:jc w:val="both"/>
      </w:pPr>
      <w:r>
        <w:rPr/>
        <w:t>Para las pruebas estadísticas se fijó un nivel de confianza del 95 por ciento.</w:t>
      </w:r>
    </w:p>
    <w:p>
      <w:pPr>
        <w:pStyle w:val="BodyText"/>
        <w:spacing w:before="5"/>
        <w:rPr>
          <w:sz w:val="29"/>
        </w:rPr>
      </w:pPr>
    </w:p>
    <w:p>
      <w:pPr>
        <w:pStyle w:val="BodyText"/>
        <w:spacing w:line="355" w:lineRule="auto"/>
        <w:ind w:left="160" w:right="180"/>
        <w:jc w:val="both"/>
      </w:pPr>
      <w:r>
        <w:rPr/>
        <w:t>Bajo la hipótesis alterna µ</w:t>
      </w:r>
      <w:r>
        <w:rPr>
          <w:position w:val="-2"/>
          <w:sz w:val="16"/>
        </w:rPr>
        <w:t>1 </w:t>
      </w:r>
      <w:r>
        <w:rPr/>
        <w:t>&gt; µ</w:t>
      </w:r>
      <w:r>
        <w:rPr>
          <w:position w:val="-2"/>
          <w:sz w:val="16"/>
        </w:rPr>
        <w:t>2</w:t>
      </w:r>
      <w:r>
        <w:rPr/>
        <w:t>, se utilizó la prueba t de student para varianzas desconocidas, para establecer si la media de inhibición del crecimiento bacteriano entre el agente reductor </w:t>
      </w:r>
      <w:r>
        <w:rPr>
          <w:i/>
        </w:rPr>
        <w:t>Camellia sinensis </w:t>
      </w:r>
      <w:r>
        <w:rPr/>
        <w:t>fue mayor que CHX. Se procedió de manera similar para el reductor </w:t>
      </w:r>
      <w:r>
        <w:rPr>
          <w:i/>
        </w:rPr>
        <w:t>Heterotheca inuloides versus </w:t>
      </w:r>
      <w:r>
        <w:rPr/>
        <w:t>CHX</w:t>
      </w:r>
    </w:p>
    <w:p>
      <w:pPr>
        <w:pStyle w:val="BodyText"/>
        <w:spacing w:line="360" w:lineRule="auto" w:before="209"/>
        <w:ind w:left="160" w:right="184"/>
        <w:jc w:val="both"/>
      </w:pPr>
      <w:r>
        <w:rPr/>
        <w:t>Para evaluar si existió diferencia entre el efecto inhibitorio de crecimiento sobre las dos especies estudiadas, por cada agente y a cada una de las tres dosis, se empleó, nuevamente, la prueba t. (hipótesis alterna  µ</w:t>
      </w:r>
      <w:r>
        <w:rPr>
          <w:position w:val="-2"/>
          <w:sz w:val="16"/>
        </w:rPr>
        <w:t>1 </w:t>
      </w:r>
      <w:r>
        <w:rPr/>
        <w:t>≠  µ</w:t>
      </w:r>
      <w:r>
        <w:rPr>
          <w:position w:val="-2"/>
          <w:sz w:val="16"/>
        </w:rPr>
        <w:t>2</w:t>
      </w:r>
      <w:r>
        <w:rPr/>
        <w:t>).</w:t>
      </w:r>
    </w:p>
    <w:p>
      <w:pPr>
        <w:pStyle w:val="BodyText"/>
        <w:spacing w:line="360" w:lineRule="auto" w:before="183"/>
        <w:ind w:left="172" w:right="177"/>
        <w:jc w:val="both"/>
      </w:pPr>
      <w:r>
        <w:rPr/>
        <w:t>Se observó un efecto antibacteriano mayor de Np-Ag reducidas con </w:t>
      </w:r>
      <w:r>
        <w:rPr>
          <w:i/>
        </w:rPr>
        <w:t>Camellia sinensis </w:t>
      </w:r>
      <w:r>
        <w:rPr/>
        <w:t>y </w:t>
      </w:r>
      <w:r>
        <w:rPr>
          <w:i/>
        </w:rPr>
        <w:t>Heterotheca inuloides</w:t>
      </w:r>
      <w:r>
        <w:rPr/>
        <w:t>, en comparación con el de CHX, de manera particular a la dosis de 20 microlitros. El efecto sobre ambas bacterias fue similar. Los resultados fueron estadísticamente significativos a un nivel de confianza del 95%.</w:t>
      </w:r>
    </w:p>
    <w:p>
      <w:pPr>
        <w:spacing w:after="0" w:line="360" w:lineRule="auto"/>
        <w:jc w:val="both"/>
        <w:sectPr>
          <w:footerReference w:type="default" r:id="rId217"/>
          <w:pgSz w:w="12240" w:h="15840"/>
          <w:pgMar w:footer="1024" w:header="736" w:top="1180" w:bottom="1220" w:left="1280" w:right="1260"/>
        </w:sectPr>
      </w:pPr>
    </w:p>
    <w:p>
      <w:pPr>
        <w:pStyle w:val="BodyText"/>
        <w:spacing w:before="2"/>
        <w:rPr>
          <w:sz w:val="17"/>
        </w:rPr>
      </w:pPr>
    </w:p>
    <w:p>
      <w:pPr>
        <w:pStyle w:val="BodyText"/>
        <w:spacing w:line="360" w:lineRule="auto" w:before="69"/>
        <w:ind w:left="160" w:right="173"/>
        <w:jc w:val="both"/>
      </w:pPr>
      <w:r>
        <w:rPr/>
        <w:t>Con los diferentes agentes empleados y a las distintas concentraciones, el tamaño de los halos inhibitorios osciló de 5.0 a 7.4mm. Las mayores medias de inhibición del crecimiento se observaron a las dosis de 20 microlitros. La mayor variabilidad en  cuanto a las dimensiones de halos se observó con las Np-Ag reducidas con </w:t>
      </w:r>
      <w:r>
        <w:rPr>
          <w:i/>
        </w:rPr>
        <w:t>Heterotheca</w:t>
      </w:r>
      <w:r>
        <w:rPr>
          <w:i/>
          <w:spacing w:val="-6"/>
        </w:rPr>
        <w:t> </w:t>
      </w:r>
      <w:r>
        <w:rPr>
          <w:i/>
        </w:rPr>
        <w:t>inuloides</w:t>
      </w:r>
      <w:r>
        <w:rPr/>
        <w:t>.</w:t>
      </w:r>
    </w:p>
    <w:p>
      <w:pPr>
        <w:spacing w:line="360" w:lineRule="auto" w:before="206"/>
        <w:ind w:left="160" w:right="175" w:firstLine="0"/>
        <w:jc w:val="both"/>
        <w:rPr>
          <w:i/>
          <w:sz w:val="24"/>
        </w:rPr>
      </w:pPr>
      <w:r>
        <w:rPr>
          <w:sz w:val="24"/>
        </w:rPr>
        <w:t>Las pruebas de diferencias de medias de los halos de inhibición del crecimiento bacteriano, al comparar con CHX, fueron marginalmente significativas cuando se aplicaron Np-Ag reducidas con </w:t>
      </w:r>
      <w:r>
        <w:rPr>
          <w:i/>
          <w:sz w:val="24"/>
        </w:rPr>
        <w:t>Camellia sinensis</w:t>
      </w:r>
      <w:r>
        <w:rPr>
          <w:sz w:val="24"/>
        </w:rPr>
        <w:t>, a 10 microlitros, sobre </w:t>
      </w:r>
      <w:r>
        <w:rPr>
          <w:i/>
          <w:sz w:val="24"/>
        </w:rPr>
        <w:t>Lactobacillus </w:t>
      </w:r>
      <w:r>
        <w:rPr>
          <w:i/>
          <w:sz w:val="24"/>
        </w:rPr>
        <w:t>casei</w:t>
      </w:r>
      <w:r>
        <w:rPr>
          <w:sz w:val="24"/>
        </w:rPr>
        <w:t>; así como al aplicar las partículas reducidas con </w:t>
      </w:r>
      <w:r>
        <w:rPr>
          <w:i/>
          <w:sz w:val="24"/>
        </w:rPr>
        <w:t>Heterotheca inuloides</w:t>
      </w:r>
      <w:r>
        <w:rPr>
          <w:sz w:val="24"/>
        </w:rPr>
        <w:t>, a 30 microlitros, sobre </w:t>
      </w:r>
      <w:r>
        <w:rPr>
          <w:i/>
          <w:sz w:val="24"/>
        </w:rPr>
        <w:t>Streptococcus mutans.</w:t>
      </w:r>
    </w:p>
    <w:p>
      <w:pPr>
        <w:spacing w:line="360" w:lineRule="auto" w:before="204"/>
        <w:ind w:left="160" w:right="177" w:firstLine="0"/>
        <w:jc w:val="both"/>
        <w:rPr>
          <w:sz w:val="24"/>
        </w:rPr>
      </w:pPr>
      <w:r>
        <w:rPr>
          <w:sz w:val="24"/>
        </w:rPr>
        <w:t>Las Np-Ag reducidas con </w:t>
      </w:r>
      <w:r>
        <w:rPr>
          <w:i/>
          <w:sz w:val="24"/>
        </w:rPr>
        <w:t>Camellia sinensis </w:t>
      </w:r>
      <w:r>
        <w:rPr>
          <w:sz w:val="24"/>
        </w:rPr>
        <w:t>a 10 microlitros alcanzaron mayor  inhibición del crecimiento de </w:t>
      </w:r>
      <w:r>
        <w:rPr>
          <w:i/>
          <w:sz w:val="24"/>
        </w:rPr>
        <w:t>Streptococcus mutans </w:t>
      </w:r>
      <w:r>
        <w:rPr>
          <w:sz w:val="24"/>
        </w:rPr>
        <w:t>que CHX, en forma estadísticamente</w:t>
      </w:r>
      <w:r>
        <w:rPr>
          <w:spacing w:val="-12"/>
          <w:sz w:val="24"/>
        </w:rPr>
        <w:t> </w:t>
      </w:r>
      <w:r>
        <w:rPr>
          <w:sz w:val="24"/>
        </w:rPr>
        <w:t>significativa.</w:t>
      </w:r>
    </w:p>
    <w:p>
      <w:pPr>
        <w:pStyle w:val="BodyText"/>
        <w:spacing w:line="360" w:lineRule="auto" w:before="202"/>
        <w:ind w:left="160" w:right="174"/>
        <w:jc w:val="both"/>
      </w:pPr>
      <w:r>
        <w:rPr/>
        <w:t>Al aplicar a 20 microlitros, los dos agentes reductores a prueba tuvieron un efecto antibacteriano mayor que la Clorhedixina, y ello de manera estadísticamente significativa, a la luz de los datos.</w:t>
      </w:r>
    </w:p>
    <w:p>
      <w:pPr>
        <w:pStyle w:val="BodyText"/>
        <w:spacing w:line="360" w:lineRule="auto" w:before="204"/>
        <w:ind w:left="160" w:right="174"/>
        <w:jc w:val="both"/>
        <w:rPr>
          <w:i/>
        </w:rPr>
      </w:pPr>
      <w:r>
        <w:rPr/>
        <w:t>En ningún caso existió una diferencia de efecto de los agentes reductores de Np-Ag,  así como de CHX, sobre la inhibición del crecimiento bacteriano de </w:t>
      </w:r>
      <w:r>
        <w:rPr>
          <w:i/>
        </w:rPr>
        <w:t>Streptococcus </w:t>
      </w:r>
      <w:r>
        <w:rPr>
          <w:i/>
        </w:rPr>
        <w:t>mutans</w:t>
      </w:r>
      <w:r>
        <w:rPr/>
        <w:t>, comparada con la de </w:t>
      </w:r>
      <w:r>
        <w:rPr>
          <w:i/>
        </w:rPr>
        <w:t>Lactobacillus</w:t>
      </w:r>
      <w:r>
        <w:rPr>
          <w:i/>
          <w:spacing w:val="-16"/>
        </w:rPr>
        <w:t> </w:t>
      </w:r>
      <w:r>
        <w:rPr>
          <w:i/>
        </w:rPr>
        <w:t>casei.</w:t>
      </w:r>
    </w:p>
    <w:p>
      <w:pPr>
        <w:spacing w:after="0" w:line="360" w:lineRule="auto"/>
        <w:jc w:val="both"/>
        <w:sectPr>
          <w:footerReference w:type="default" r:id="rId218"/>
          <w:pgSz w:w="12240" w:h="15840"/>
          <w:pgMar w:footer="1024" w:header="736" w:top="1180" w:bottom="1220" w:left="1280" w:right="1260"/>
        </w:sectPr>
      </w:pPr>
    </w:p>
    <w:p>
      <w:pPr>
        <w:spacing w:before="58" w:after="19"/>
        <w:ind w:left="721" w:right="0" w:firstLine="0"/>
        <w:jc w:val="left"/>
        <w:rPr>
          <w:sz w:val="16"/>
        </w:rPr>
      </w:pPr>
      <w:r>
        <w:rPr>
          <w:sz w:val="16"/>
        </w:rPr>
        <w:t>EFECTO ANTIBACTERIANO DE LAS NANOPARTÍCULAS DE PLATA VERSUS CLORHEXIDINA SOBRE STREPTOCOCCUS MUTANS Y LACTOBACILLUS CASEI</w:t>
      </w:r>
    </w:p>
    <w:p>
      <w:pPr>
        <w:pStyle w:val="BodyText"/>
        <w:spacing w:line="89" w:lineRule="exact"/>
        <w:ind w:left="101"/>
        <w:rPr>
          <w:sz w:val="8"/>
        </w:rPr>
      </w:pPr>
      <w:r>
        <w:rPr>
          <w:position w:val="-1"/>
          <w:sz w:val="8"/>
        </w:rPr>
        <w:pict>
          <v:group style="width:654pt;height:4.5pt;mso-position-horizontal-relative:char;mso-position-vertical-relative:line" coordorigin="0,0" coordsize="13080,90">
            <v:line style="position:absolute" from="30,59" to="13050,59" stroked="true" strokeweight="3pt" strokecolor="#612322"/>
            <v:line style="position:absolute" from="30,8" to="13050,8" stroked="true" strokeweight=".72pt" strokecolor="#612322"/>
          </v:group>
        </w:pict>
      </w:r>
      <w:r>
        <w:rPr>
          <w:position w:val="-1"/>
          <w:sz w:val="8"/>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9"/>
        </w:rPr>
      </w:pPr>
    </w:p>
    <w:tbl>
      <w:tblPr>
        <w:tblW w:w="0" w:type="auto"/>
        <w:jc w:val="left"/>
        <w:tblInd w:w="38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12"/>
        <w:gridCol w:w="958"/>
        <w:gridCol w:w="910"/>
        <w:gridCol w:w="1183"/>
        <w:gridCol w:w="999"/>
        <w:gridCol w:w="1162"/>
        <w:gridCol w:w="910"/>
        <w:gridCol w:w="1024"/>
        <w:gridCol w:w="948"/>
      </w:tblGrid>
      <w:tr>
        <w:trPr>
          <w:trHeight w:val="334" w:hRule="exact"/>
        </w:trPr>
        <w:tc>
          <w:tcPr>
            <w:tcW w:w="12506" w:type="dxa"/>
            <w:gridSpan w:val="9"/>
            <w:tcBorders>
              <w:bottom w:val="single" w:sz="12" w:space="0" w:color="000000"/>
            </w:tcBorders>
          </w:tcPr>
          <w:p>
            <w:pPr>
              <w:pStyle w:val="TableParagraph"/>
              <w:spacing w:line="264" w:lineRule="exact"/>
              <w:ind w:left="108"/>
              <w:rPr>
                <w:sz w:val="14"/>
              </w:rPr>
            </w:pPr>
            <w:r>
              <w:rPr>
                <w:sz w:val="24"/>
              </w:rPr>
              <w:t>Tabla 1. Valores de los halos inhibitorios de los agentes </w:t>
            </w:r>
            <w:r>
              <w:rPr>
                <w:sz w:val="23"/>
              </w:rPr>
              <w:t>reductores de Np-Ag y Clorhexidina </w:t>
            </w:r>
            <w:r>
              <w:rPr>
                <w:position w:val="10"/>
                <w:sz w:val="14"/>
              </w:rPr>
              <w:t>ǂ</w:t>
            </w:r>
          </w:p>
        </w:tc>
      </w:tr>
      <w:tr>
        <w:trPr>
          <w:trHeight w:val="522" w:hRule="exact"/>
        </w:trPr>
        <w:tc>
          <w:tcPr>
            <w:tcW w:w="4412" w:type="dxa"/>
            <w:tcBorders>
              <w:top w:val="single" w:sz="12" w:space="0" w:color="000000"/>
            </w:tcBorders>
          </w:tcPr>
          <w:p>
            <w:pPr/>
          </w:p>
        </w:tc>
        <w:tc>
          <w:tcPr>
            <w:tcW w:w="3051" w:type="dxa"/>
            <w:gridSpan w:val="3"/>
            <w:tcBorders>
              <w:top w:val="single" w:sz="12" w:space="0" w:color="000000"/>
            </w:tcBorders>
          </w:tcPr>
          <w:p>
            <w:pPr>
              <w:pStyle w:val="TableParagraph"/>
              <w:spacing w:line="237" w:lineRule="exact" w:before="9"/>
              <w:ind w:left="754" w:right="-30"/>
              <w:rPr>
                <w:sz w:val="22"/>
              </w:rPr>
            </w:pPr>
            <w:r>
              <w:rPr>
                <w:sz w:val="22"/>
              </w:rPr>
              <w:t>Sobre el crecimiento</w:t>
            </w:r>
            <w:r>
              <w:rPr>
                <w:spacing w:val="-5"/>
                <w:sz w:val="22"/>
              </w:rPr>
              <w:t> </w:t>
            </w:r>
            <w:r>
              <w:rPr>
                <w:sz w:val="22"/>
              </w:rPr>
              <w:t>de</w:t>
            </w:r>
          </w:p>
          <w:p>
            <w:pPr>
              <w:pStyle w:val="TableParagraph"/>
              <w:spacing w:line="237" w:lineRule="exact"/>
              <w:ind w:left="823" w:right="-30"/>
              <w:rPr>
                <w:i/>
                <w:sz w:val="22"/>
              </w:rPr>
            </w:pPr>
            <w:r>
              <w:rPr>
                <w:i/>
                <w:sz w:val="22"/>
              </w:rPr>
              <w:t>Streptococcus mutans</w:t>
            </w:r>
          </w:p>
        </w:tc>
        <w:tc>
          <w:tcPr>
            <w:tcW w:w="999" w:type="dxa"/>
            <w:tcBorders>
              <w:top w:val="single" w:sz="12" w:space="0" w:color="000000"/>
            </w:tcBorders>
          </w:tcPr>
          <w:p>
            <w:pPr/>
          </w:p>
        </w:tc>
        <w:tc>
          <w:tcPr>
            <w:tcW w:w="4044" w:type="dxa"/>
            <w:gridSpan w:val="4"/>
            <w:tcBorders>
              <w:top w:val="single" w:sz="12" w:space="0" w:color="000000"/>
            </w:tcBorders>
          </w:tcPr>
          <w:p>
            <w:pPr>
              <w:pStyle w:val="TableParagraph"/>
              <w:spacing w:line="237" w:lineRule="exact" w:before="9"/>
              <w:ind w:left="937" w:right="754"/>
              <w:jc w:val="center"/>
              <w:rPr>
                <w:sz w:val="22"/>
              </w:rPr>
            </w:pPr>
            <w:r>
              <w:rPr>
                <w:sz w:val="22"/>
              </w:rPr>
              <w:t>Sobre el crecimiento de</w:t>
            </w:r>
          </w:p>
          <w:p>
            <w:pPr>
              <w:pStyle w:val="TableParagraph"/>
              <w:spacing w:line="237" w:lineRule="exact"/>
              <w:ind w:left="937" w:right="748"/>
              <w:jc w:val="center"/>
              <w:rPr>
                <w:i/>
                <w:sz w:val="22"/>
              </w:rPr>
            </w:pPr>
            <w:r>
              <w:rPr>
                <w:i/>
                <w:sz w:val="22"/>
              </w:rPr>
              <w:t>Lactobacillus casei</w:t>
            </w:r>
          </w:p>
        </w:tc>
      </w:tr>
      <w:tr>
        <w:trPr>
          <w:trHeight w:val="489" w:hRule="exact"/>
        </w:trPr>
        <w:tc>
          <w:tcPr>
            <w:tcW w:w="4412" w:type="dxa"/>
            <w:tcBorders>
              <w:bottom w:val="single" w:sz="12" w:space="0" w:color="000000"/>
            </w:tcBorders>
          </w:tcPr>
          <w:p>
            <w:pPr/>
          </w:p>
        </w:tc>
        <w:tc>
          <w:tcPr>
            <w:tcW w:w="958" w:type="dxa"/>
            <w:tcBorders>
              <w:bottom w:val="single" w:sz="12" w:space="0" w:color="000000"/>
            </w:tcBorders>
          </w:tcPr>
          <w:p>
            <w:pPr>
              <w:pStyle w:val="TableParagraph"/>
              <w:spacing w:before="111"/>
              <w:ind w:left="146" w:right="172"/>
              <w:jc w:val="center"/>
              <w:rPr>
                <w:sz w:val="22"/>
              </w:rPr>
            </w:pPr>
            <w:r>
              <w:rPr>
                <w:sz w:val="22"/>
              </w:rPr>
              <w:t>Media</w:t>
            </w:r>
          </w:p>
        </w:tc>
        <w:tc>
          <w:tcPr>
            <w:tcW w:w="910" w:type="dxa"/>
            <w:tcBorders>
              <w:bottom w:val="single" w:sz="12" w:space="0" w:color="000000"/>
            </w:tcBorders>
          </w:tcPr>
          <w:p>
            <w:pPr>
              <w:pStyle w:val="TableParagraph"/>
              <w:spacing w:before="111"/>
              <w:ind w:left="172" w:right="144"/>
              <w:jc w:val="center"/>
              <w:rPr>
                <w:sz w:val="22"/>
              </w:rPr>
            </w:pPr>
            <w:r>
              <w:rPr>
                <w:sz w:val="22"/>
              </w:rPr>
              <w:t>DE</w:t>
            </w:r>
          </w:p>
        </w:tc>
        <w:tc>
          <w:tcPr>
            <w:tcW w:w="1183" w:type="dxa"/>
            <w:tcBorders>
              <w:bottom w:val="single" w:sz="12" w:space="0" w:color="000000"/>
            </w:tcBorders>
          </w:tcPr>
          <w:p>
            <w:pPr>
              <w:pStyle w:val="TableParagraph"/>
              <w:spacing w:before="111"/>
              <w:ind w:left="143" w:right="277"/>
              <w:jc w:val="center"/>
              <w:rPr>
                <w:sz w:val="22"/>
              </w:rPr>
            </w:pPr>
            <w:r>
              <w:rPr>
                <w:sz w:val="22"/>
              </w:rPr>
              <w:t>Mínimo</w:t>
            </w:r>
          </w:p>
        </w:tc>
        <w:tc>
          <w:tcPr>
            <w:tcW w:w="999" w:type="dxa"/>
            <w:tcBorders>
              <w:bottom w:val="single" w:sz="12" w:space="0" w:color="000000"/>
            </w:tcBorders>
          </w:tcPr>
          <w:p>
            <w:pPr>
              <w:pStyle w:val="TableParagraph"/>
              <w:spacing w:line="220" w:lineRule="exact" w:before="31"/>
              <w:ind w:left="245" w:right="348" w:hanging="262"/>
              <w:rPr>
                <w:sz w:val="22"/>
              </w:rPr>
            </w:pPr>
            <w:r>
              <w:rPr>
                <w:sz w:val="22"/>
              </w:rPr>
              <w:t>Máxim o</w:t>
            </w:r>
          </w:p>
        </w:tc>
        <w:tc>
          <w:tcPr>
            <w:tcW w:w="1162" w:type="dxa"/>
            <w:tcBorders>
              <w:bottom w:val="single" w:sz="12" w:space="0" w:color="000000"/>
            </w:tcBorders>
          </w:tcPr>
          <w:p>
            <w:pPr>
              <w:pStyle w:val="TableParagraph"/>
              <w:spacing w:before="111"/>
              <w:ind w:left="348" w:right="175"/>
              <w:jc w:val="center"/>
              <w:rPr>
                <w:sz w:val="22"/>
              </w:rPr>
            </w:pPr>
            <w:r>
              <w:rPr>
                <w:sz w:val="22"/>
              </w:rPr>
              <w:t>Media</w:t>
            </w:r>
          </w:p>
        </w:tc>
        <w:tc>
          <w:tcPr>
            <w:tcW w:w="910" w:type="dxa"/>
            <w:tcBorders>
              <w:bottom w:val="single" w:sz="12" w:space="0" w:color="000000"/>
            </w:tcBorders>
          </w:tcPr>
          <w:p>
            <w:pPr>
              <w:pStyle w:val="TableParagraph"/>
              <w:spacing w:before="111"/>
              <w:ind w:left="173" w:right="143"/>
              <w:jc w:val="center"/>
              <w:rPr>
                <w:sz w:val="22"/>
              </w:rPr>
            </w:pPr>
            <w:r>
              <w:rPr>
                <w:sz w:val="22"/>
              </w:rPr>
              <w:t>DE</w:t>
            </w:r>
          </w:p>
        </w:tc>
        <w:tc>
          <w:tcPr>
            <w:tcW w:w="1024" w:type="dxa"/>
            <w:tcBorders>
              <w:bottom w:val="single" w:sz="12" w:space="0" w:color="000000"/>
            </w:tcBorders>
          </w:tcPr>
          <w:p>
            <w:pPr>
              <w:pStyle w:val="TableParagraph"/>
              <w:spacing w:before="111"/>
              <w:ind w:left="141" w:right="121"/>
              <w:jc w:val="center"/>
              <w:rPr>
                <w:sz w:val="22"/>
              </w:rPr>
            </w:pPr>
            <w:r>
              <w:rPr>
                <w:sz w:val="22"/>
              </w:rPr>
              <w:t>Mínimo</w:t>
            </w:r>
          </w:p>
        </w:tc>
        <w:tc>
          <w:tcPr>
            <w:tcW w:w="948" w:type="dxa"/>
            <w:tcBorders>
              <w:bottom w:val="single" w:sz="12" w:space="0" w:color="000000"/>
            </w:tcBorders>
          </w:tcPr>
          <w:p>
            <w:pPr>
              <w:pStyle w:val="TableParagraph"/>
              <w:spacing w:line="220" w:lineRule="exact" w:before="31"/>
              <w:ind w:left="403" w:right="139" w:hanging="262"/>
              <w:rPr>
                <w:sz w:val="22"/>
              </w:rPr>
            </w:pPr>
            <w:r>
              <w:rPr>
                <w:sz w:val="22"/>
              </w:rPr>
              <w:t>Máxim o</w:t>
            </w:r>
          </w:p>
        </w:tc>
      </w:tr>
      <w:tr>
        <w:trPr>
          <w:trHeight w:val="296" w:hRule="exact"/>
        </w:trPr>
        <w:tc>
          <w:tcPr>
            <w:tcW w:w="4412" w:type="dxa"/>
            <w:tcBorders>
              <w:top w:val="single" w:sz="12" w:space="0" w:color="000000"/>
            </w:tcBorders>
          </w:tcPr>
          <w:p>
            <w:pPr>
              <w:pStyle w:val="TableParagraph"/>
              <w:spacing w:before="10"/>
              <w:ind w:left="108"/>
              <w:rPr>
                <w:b/>
                <w:i/>
                <w:sz w:val="22"/>
              </w:rPr>
            </w:pPr>
            <w:r>
              <w:rPr>
                <w:b/>
                <w:i/>
                <w:sz w:val="22"/>
              </w:rPr>
              <w:t>A 10 microlitros</w:t>
            </w:r>
          </w:p>
        </w:tc>
        <w:tc>
          <w:tcPr>
            <w:tcW w:w="958" w:type="dxa"/>
            <w:tcBorders>
              <w:top w:val="single" w:sz="12" w:space="0" w:color="000000"/>
            </w:tcBorders>
          </w:tcPr>
          <w:p>
            <w:pPr/>
          </w:p>
        </w:tc>
        <w:tc>
          <w:tcPr>
            <w:tcW w:w="910" w:type="dxa"/>
            <w:tcBorders>
              <w:top w:val="single" w:sz="12" w:space="0" w:color="000000"/>
            </w:tcBorders>
          </w:tcPr>
          <w:p>
            <w:pPr/>
          </w:p>
        </w:tc>
        <w:tc>
          <w:tcPr>
            <w:tcW w:w="1183" w:type="dxa"/>
            <w:tcBorders>
              <w:top w:val="single" w:sz="12" w:space="0" w:color="000000"/>
            </w:tcBorders>
          </w:tcPr>
          <w:p>
            <w:pPr/>
          </w:p>
        </w:tc>
        <w:tc>
          <w:tcPr>
            <w:tcW w:w="999" w:type="dxa"/>
            <w:tcBorders>
              <w:top w:val="single" w:sz="12" w:space="0" w:color="000000"/>
            </w:tcBorders>
          </w:tcPr>
          <w:p>
            <w:pPr/>
          </w:p>
        </w:tc>
        <w:tc>
          <w:tcPr>
            <w:tcW w:w="1162" w:type="dxa"/>
            <w:tcBorders>
              <w:top w:val="single" w:sz="12" w:space="0" w:color="000000"/>
            </w:tcBorders>
          </w:tcPr>
          <w:p>
            <w:pPr/>
          </w:p>
        </w:tc>
        <w:tc>
          <w:tcPr>
            <w:tcW w:w="910" w:type="dxa"/>
            <w:tcBorders>
              <w:top w:val="single" w:sz="12" w:space="0" w:color="000000"/>
            </w:tcBorders>
          </w:tcPr>
          <w:p>
            <w:pPr/>
          </w:p>
        </w:tc>
        <w:tc>
          <w:tcPr>
            <w:tcW w:w="1024" w:type="dxa"/>
            <w:tcBorders>
              <w:top w:val="single" w:sz="12" w:space="0" w:color="000000"/>
            </w:tcBorders>
          </w:tcPr>
          <w:p>
            <w:pPr/>
          </w:p>
        </w:tc>
        <w:tc>
          <w:tcPr>
            <w:tcW w:w="948" w:type="dxa"/>
            <w:tcBorders>
              <w:top w:val="single" w:sz="12" w:space="0" w:color="000000"/>
            </w:tcBorders>
          </w:tcPr>
          <w:p>
            <w:pPr/>
          </w:p>
        </w:tc>
      </w:tr>
      <w:tr>
        <w:trPr>
          <w:trHeight w:val="265" w:hRule="exact"/>
        </w:trPr>
        <w:tc>
          <w:tcPr>
            <w:tcW w:w="4412" w:type="dxa"/>
          </w:tcPr>
          <w:p>
            <w:pPr>
              <w:pStyle w:val="TableParagraph"/>
              <w:spacing w:line="248" w:lineRule="exact"/>
              <w:ind w:right="250"/>
              <w:jc w:val="right"/>
              <w:rPr>
                <w:i/>
                <w:sz w:val="22"/>
              </w:rPr>
            </w:pPr>
            <w:r>
              <w:rPr>
                <w:sz w:val="22"/>
              </w:rPr>
              <w:t>Np_Ag reducidas con </w:t>
            </w:r>
            <w:r>
              <w:rPr>
                <w:i/>
                <w:sz w:val="22"/>
              </w:rPr>
              <w:t>Camellia sinensis</w:t>
            </w:r>
          </w:p>
        </w:tc>
        <w:tc>
          <w:tcPr>
            <w:tcW w:w="958" w:type="dxa"/>
          </w:tcPr>
          <w:p>
            <w:pPr>
              <w:pStyle w:val="TableParagraph"/>
              <w:spacing w:line="248" w:lineRule="exact"/>
              <w:ind w:left="146" w:right="167"/>
              <w:jc w:val="center"/>
              <w:rPr>
                <w:sz w:val="22"/>
              </w:rPr>
            </w:pPr>
            <w:r>
              <w:rPr>
                <w:sz w:val="22"/>
              </w:rPr>
              <w:t>6.20</w:t>
            </w:r>
          </w:p>
        </w:tc>
        <w:tc>
          <w:tcPr>
            <w:tcW w:w="910" w:type="dxa"/>
          </w:tcPr>
          <w:p>
            <w:pPr>
              <w:pStyle w:val="TableParagraph"/>
              <w:spacing w:line="248" w:lineRule="exact"/>
              <w:ind w:left="175" w:right="144"/>
              <w:jc w:val="center"/>
              <w:rPr>
                <w:sz w:val="22"/>
              </w:rPr>
            </w:pPr>
            <w:r>
              <w:rPr>
                <w:sz w:val="22"/>
              </w:rPr>
              <w:t>0.264</w:t>
            </w:r>
          </w:p>
        </w:tc>
        <w:tc>
          <w:tcPr>
            <w:tcW w:w="1183" w:type="dxa"/>
          </w:tcPr>
          <w:p>
            <w:pPr>
              <w:pStyle w:val="TableParagraph"/>
              <w:spacing w:line="248" w:lineRule="exact"/>
              <w:ind w:left="143" w:right="273"/>
              <w:jc w:val="center"/>
              <w:rPr>
                <w:sz w:val="22"/>
              </w:rPr>
            </w:pPr>
            <w:r>
              <w:rPr>
                <w:sz w:val="22"/>
              </w:rPr>
              <w:t>5.9</w:t>
            </w:r>
          </w:p>
        </w:tc>
        <w:tc>
          <w:tcPr>
            <w:tcW w:w="999" w:type="dxa"/>
          </w:tcPr>
          <w:p>
            <w:pPr>
              <w:pStyle w:val="TableParagraph"/>
              <w:spacing w:line="248" w:lineRule="exact"/>
              <w:ind w:left="153" w:right="348"/>
              <w:rPr>
                <w:sz w:val="22"/>
              </w:rPr>
            </w:pPr>
            <w:r>
              <w:rPr>
                <w:sz w:val="22"/>
              </w:rPr>
              <w:t>6.4</w:t>
            </w:r>
          </w:p>
        </w:tc>
        <w:tc>
          <w:tcPr>
            <w:tcW w:w="1162" w:type="dxa"/>
          </w:tcPr>
          <w:p>
            <w:pPr>
              <w:pStyle w:val="TableParagraph"/>
              <w:spacing w:line="248" w:lineRule="exact"/>
              <w:ind w:left="348" w:right="170"/>
              <w:jc w:val="center"/>
              <w:rPr>
                <w:sz w:val="22"/>
              </w:rPr>
            </w:pPr>
            <w:r>
              <w:rPr>
                <w:sz w:val="22"/>
              </w:rPr>
              <w:t>6.26</w:t>
            </w:r>
          </w:p>
        </w:tc>
        <w:tc>
          <w:tcPr>
            <w:tcW w:w="910" w:type="dxa"/>
          </w:tcPr>
          <w:p>
            <w:pPr>
              <w:pStyle w:val="TableParagraph"/>
              <w:spacing w:line="248" w:lineRule="exact"/>
              <w:ind w:left="176" w:right="143"/>
              <w:jc w:val="center"/>
              <w:rPr>
                <w:sz w:val="22"/>
              </w:rPr>
            </w:pPr>
            <w:r>
              <w:rPr>
                <w:sz w:val="22"/>
              </w:rPr>
              <w:t>0.404</w:t>
            </w:r>
          </w:p>
        </w:tc>
        <w:tc>
          <w:tcPr>
            <w:tcW w:w="1024" w:type="dxa"/>
          </w:tcPr>
          <w:p>
            <w:pPr>
              <w:pStyle w:val="TableParagraph"/>
              <w:spacing w:line="248" w:lineRule="exact"/>
              <w:ind w:left="141" w:right="117"/>
              <w:jc w:val="center"/>
              <w:rPr>
                <w:sz w:val="22"/>
              </w:rPr>
            </w:pPr>
            <w:r>
              <w:rPr>
                <w:sz w:val="22"/>
              </w:rPr>
              <w:t>5.8</w:t>
            </w:r>
          </w:p>
        </w:tc>
        <w:tc>
          <w:tcPr>
            <w:tcW w:w="948" w:type="dxa"/>
          </w:tcPr>
          <w:p>
            <w:pPr>
              <w:pStyle w:val="TableParagraph"/>
              <w:spacing w:line="248" w:lineRule="exact"/>
              <w:ind w:left="293" w:right="308"/>
              <w:jc w:val="center"/>
              <w:rPr>
                <w:sz w:val="22"/>
              </w:rPr>
            </w:pPr>
            <w:r>
              <w:rPr>
                <w:sz w:val="22"/>
              </w:rPr>
              <w:t>6.5</w:t>
            </w:r>
          </w:p>
        </w:tc>
      </w:tr>
      <w:tr>
        <w:trPr>
          <w:trHeight w:val="336" w:hRule="exact"/>
        </w:trPr>
        <w:tc>
          <w:tcPr>
            <w:tcW w:w="4412" w:type="dxa"/>
          </w:tcPr>
          <w:p>
            <w:pPr>
              <w:pStyle w:val="TableParagraph"/>
              <w:spacing w:line="247" w:lineRule="exact"/>
              <w:ind w:left="283"/>
              <w:rPr>
                <w:i/>
                <w:sz w:val="22"/>
              </w:rPr>
            </w:pPr>
            <w:r>
              <w:rPr>
                <w:sz w:val="22"/>
              </w:rPr>
              <w:t>Np_Ag reducidas con </w:t>
            </w:r>
            <w:r>
              <w:rPr>
                <w:i/>
                <w:sz w:val="22"/>
              </w:rPr>
              <w:t>Heterotheca</w:t>
            </w:r>
          </w:p>
        </w:tc>
        <w:tc>
          <w:tcPr>
            <w:tcW w:w="958" w:type="dxa"/>
          </w:tcPr>
          <w:p>
            <w:pPr>
              <w:pStyle w:val="TableParagraph"/>
              <w:spacing w:before="42"/>
              <w:ind w:left="146" w:right="167"/>
              <w:jc w:val="center"/>
              <w:rPr>
                <w:sz w:val="22"/>
              </w:rPr>
            </w:pPr>
            <w:r>
              <w:rPr>
                <w:sz w:val="22"/>
              </w:rPr>
              <w:t>5.43</w:t>
            </w:r>
          </w:p>
        </w:tc>
        <w:tc>
          <w:tcPr>
            <w:tcW w:w="910" w:type="dxa"/>
          </w:tcPr>
          <w:p>
            <w:pPr>
              <w:pStyle w:val="TableParagraph"/>
              <w:spacing w:before="42"/>
              <w:ind w:left="175" w:right="144"/>
              <w:jc w:val="center"/>
              <w:rPr>
                <w:sz w:val="22"/>
              </w:rPr>
            </w:pPr>
            <w:r>
              <w:rPr>
                <w:sz w:val="22"/>
              </w:rPr>
              <w:t>0.404</w:t>
            </w:r>
          </w:p>
        </w:tc>
        <w:tc>
          <w:tcPr>
            <w:tcW w:w="1183" w:type="dxa"/>
          </w:tcPr>
          <w:p>
            <w:pPr>
              <w:pStyle w:val="TableParagraph"/>
              <w:spacing w:before="42"/>
              <w:ind w:left="143" w:right="273"/>
              <w:jc w:val="center"/>
              <w:rPr>
                <w:sz w:val="22"/>
              </w:rPr>
            </w:pPr>
            <w:r>
              <w:rPr>
                <w:sz w:val="22"/>
              </w:rPr>
              <w:t>5.0</w:t>
            </w:r>
          </w:p>
        </w:tc>
        <w:tc>
          <w:tcPr>
            <w:tcW w:w="999" w:type="dxa"/>
          </w:tcPr>
          <w:p>
            <w:pPr>
              <w:pStyle w:val="TableParagraph"/>
              <w:spacing w:before="42"/>
              <w:ind w:left="153" w:right="348"/>
              <w:rPr>
                <w:sz w:val="22"/>
              </w:rPr>
            </w:pPr>
            <w:r>
              <w:rPr>
                <w:sz w:val="22"/>
              </w:rPr>
              <w:t>5.8</w:t>
            </w:r>
          </w:p>
        </w:tc>
        <w:tc>
          <w:tcPr>
            <w:tcW w:w="1162" w:type="dxa"/>
          </w:tcPr>
          <w:p>
            <w:pPr>
              <w:pStyle w:val="TableParagraph"/>
              <w:spacing w:before="42"/>
              <w:ind w:left="348" w:right="170"/>
              <w:jc w:val="center"/>
              <w:rPr>
                <w:sz w:val="22"/>
              </w:rPr>
            </w:pPr>
            <w:r>
              <w:rPr>
                <w:sz w:val="22"/>
              </w:rPr>
              <w:t>5.43</w:t>
            </w:r>
          </w:p>
        </w:tc>
        <w:tc>
          <w:tcPr>
            <w:tcW w:w="910" w:type="dxa"/>
          </w:tcPr>
          <w:p>
            <w:pPr>
              <w:pStyle w:val="TableParagraph"/>
              <w:spacing w:before="42"/>
              <w:ind w:left="176" w:right="143"/>
              <w:jc w:val="center"/>
              <w:rPr>
                <w:sz w:val="22"/>
              </w:rPr>
            </w:pPr>
            <w:r>
              <w:rPr>
                <w:sz w:val="22"/>
              </w:rPr>
              <w:t>0.153</w:t>
            </w:r>
          </w:p>
        </w:tc>
        <w:tc>
          <w:tcPr>
            <w:tcW w:w="1024" w:type="dxa"/>
          </w:tcPr>
          <w:p>
            <w:pPr>
              <w:pStyle w:val="TableParagraph"/>
              <w:spacing w:before="42"/>
              <w:ind w:left="141" w:right="117"/>
              <w:jc w:val="center"/>
              <w:rPr>
                <w:sz w:val="22"/>
              </w:rPr>
            </w:pPr>
            <w:r>
              <w:rPr>
                <w:sz w:val="22"/>
              </w:rPr>
              <w:t>5.3</w:t>
            </w:r>
          </w:p>
        </w:tc>
        <w:tc>
          <w:tcPr>
            <w:tcW w:w="948" w:type="dxa"/>
          </w:tcPr>
          <w:p>
            <w:pPr>
              <w:pStyle w:val="TableParagraph"/>
              <w:spacing w:before="42"/>
              <w:ind w:left="293" w:right="308"/>
              <w:jc w:val="center"/>
              <w:rPr>
                <w:sz w:val="22"/>
              </w:rPr>
            </w:pPr>
            <w:r>
              <w:rPr>
                <w:sz w:val="22"/>
              </w:rPr>
              <w:t>5.6</w:t>
            </w:r>
          </w:p>
        </w:tc>
      </w:tr>
      <w:tr>
        <w:trPr>
          <w:trHeight w:val="398" w:hRule="exact"/>
        </w:trPr>
        <w:tc>
          <w:tcPr>
            <w:tcW w:w="4412" w:type="dxa"/>
          </w:tcPr>
          <w:p>
            <w:pPr>
              <w:pStyle w:val="TableParagraph"/>
              <w:spacing w:before="18"/>
              <w:ind w:left="283"/>
              <w:rPr>
                <w:sz w:val="22"/>
              </w:rPr>
            </w:pPr>
            <w:r>
              <w:rPr>
                <w:sz w:val="22"/>
              </w:rPr>
              <w:t>Clorhexidina</w:t>
            </w:r>
          </w:p>
        </w:tc>
        <w:tc>
          <w:tcPr>
            <w:tcW w:w="958" w:type="dxa"/>
          </w:tcPr>
          <w:p>
            <w:pPr>
              <w:pStyle w:val="TableParagraph"/>
              <w:spacing w:before="18"/>
              <w:ind w:left="146" w:right="167"/>
              <w:jc w:val="center"/>
              <w:rPr>
                <w:sz w:val="22"/>
              </w:rPr>
            </w:pPr>
            <w:r>
              <w:rPr>
                <w:sz w:val="22"/>
              </w:rPr>
              <w:t>5.60</w:t>
            </w:r>
          </w:p>
        </w:tc>
        <w:tc>
          <w:tcPr>
            <w:tcW w:w="910" w:type="dxa"/>
          </w:tcPr>
          <w:p>
            <w:pPr>
              <w:pStyle w:val="TableParagraph"/>
              <w:spacing w:before="18"/>
              <w:ind w:left="175" w:right="144"/>
              <w:jc w:val="center"/>
              <w:rPr>
                <w:sz w:val="22"/>
              </w:rPr>
            </w:pPr>
            <w:r>
              <w:rPr>
                <w:sz w:val="22"/>
              </w:rPr>
              <w:t>0.264</w:t>
            </w:r>
          </w:p>
        </w:tc>
        <w:tc>
          <w:tcPr>
            <w:tcW w:w="1183" w:type="dxa"/>
          </w:tcPr>
          <w:p>
            <w:pPr>
              <w:pStyle w:val="TableParagraph"/>
              <w:spacing w:before="18"/>
              <w:ind w:left="143" w:right="273"/>
              <w:jc w:val="center"/>
              <w:rPr>
                <w:sz w:val="22"/>
              </w:rPr>
            </w:pPr>
            <w:r>
              <w:rPr>
                <w:sz w:val="22"/>
              </w:rPr>
              <w:t>5.3</w:t>
            </w:r>
          </w:p>
        </w:tc>
        <w:tc>
          <w:tcPr>
            <w:tcW w:w="999" w:type="dxa"/>
          </w:tcPr>
          <w:p>
            <w:pPr>
              <w:pStyle w:val="TableParagraph"/>
              <w:spacing w:before="18"/>
              <w:ind w:left="153" w:right="348"/>
              <w:rPr>
                <w:sz w:val="22"/>
              </w:rPr>
            </w:pPr>
            <w:r>
              <w:rPr>
                <w:sz w:val="22"/>
              </w:rPr>
              <w:t>5.8</w:t>
            </w:r>
          </w:p>
        </w:tc>
        <w:tc>
          <w:tcPr>
            <w:tcW w:w="1162" w:type="dxa"/>
          </w:tcPr>
          <w:p>
            <w:pPr>
              <w:pStyle w:val="TableParagraph"/>
              <w:spacing w:before="18"/>
              <w:ind w:left="348" w:right="170"/>
              <w:jc w:val="center"/>
              <w:rPr>
                <w:sz w:val="22"/>
              </w:rPr>
            </w:pPr>
            <w:r>
              <w:rPr>
                <w:sz w:val="22"/>
              </w:rPr>
              <w:t>5.56</w:t>
            </w:r>
          </w:p>
        </w:tc>
        <w:tc>
          <w:tcPr>
            <w:tcW w:w="910" w:type="dxa"/>
          </w:tcPr>
          <w:p>
            <w:pPr>
              <w:pStyle w:val="TableParagraph"/>
              <w:spacing w:before="18"/>
              <w:ind w:left="176" w:right="143"/>
              <w:jc w:val="center"/>
              <w:rPr>
                <w:sz w:val="22"/>
              </w:rPr>
            </w:pPr>
            <w:r>
              <w:rPr>
                <w:sz w:val="22"/>
              </w:rPr>
              <w:t>0.493</w:t>
            </w:r>
          </w:p>
        </w:tc>
        <w:tc>
          <w:tcPr>
            <w:tcW w:w="1024" w:type="dxa"/>
          </w:tcPr>
          <w:p>
            <w:pPr>
              <w:pStyle w:val="TableParagraph"/>
              <w:spacing w:before="18"/>
              <w:ind w:left="141" w:right="117"/>
              <w:jc w:val="center"/>
              <w:rPr>
                <w:sz w:val="22"/>
              </w:rPr>
            </w:pPr>
            <w:r>
              <w:rPr>
                <w:sz w:val="22"/>
              </w:rPr>
              <w:t>5.0</w:t>
            </w:r>
          </w:p>
        </w:tc>
        <w:tc>
          <w:tcPr>
            <w:tcW w:w="948" w:type="dxa"/>
          </w:tcPr>
          <w:p>
            <w:pPr>
              <w:pStyle w:val="TableParagraph"/>
              <w:spacing w:before="18"/>
              <w:ind w:left="293" w:right="308"/>
              <w:jc w:val="center"/>
              <w:rPr>
                <w:sz w:val="22"/>
              </w:rPr>
            </w:pPr>
            <w:r>
              <w:rPr>
                <w:sz w:val="22"/>
              </w:rPr>
              <w:t>5.9</w:t>
            </w:r>
          </w:p>
        </w:tc>
      </w:tr>
      <w:tr>
        <w:trPr>
          <w:trHeight w:val="376" w:hRule="exact"/>
        </w:trPr>
        <w:tc>
          <w:tcPr>
            <w:tcW w:w="4412" w:type="dxa"/>
          </w:tcPr>
          <w:p>
            <w:pPr>
              <w:pStyle w:val="TableParagraph"/>
              <w:spacing w:before="104"/>
              <w:ind w:left="108"/>
              <w:rPr>
                <w:b/>
                <w:i/>
                <w:sz w:val="22"/>
              </w:rPr>
            </w:pPr>
            <w:r>
              <w:rPr>
                <w:b/>
                <w:i/>
                <w:sz w:val="22"/>
              </w:rPr>
              <w:t>A 20 microlitros</w:t>
            </w:r>
          </w:p>
        </w:tc>
        <w:tc>
          <w:tcPr>
            <w:tcW w:w="958" w:type="dxa"/>
          </w:tcPr>
          <w:p>
            <w:pPr/>
          </w:p>
        </w:tc>
        <w:tc>
          <w:tcPr>
            <w:tcW w:w="910" w:type="dxa"/>
          </w:tcPr>
          <w:p>
            <w:pPr/>
          </w:p>
        </w:tc>
        <w:tc>
          <w:tcPr>
            <w:tcW w:w="1183" w:type="dxa"/>
          </w:tcPr>
          <w:p>
            <w:pPr/>
          </w:p>
        </w:tc>
        <w:tc>
          <w:tcPr>
            <w:tcW w:w="999" w:type="dxa"/>
          </w:tcPr>
          <w:p>
            <w:pPr/>
          </w:p>
        </w:tc>
        <w:tc>
          <w:tcPr>
            <w:tcW w:w="1162" w:type="dxa"/>
          </w:tcPr>
          <w:p>
            <w:pPr/>
          </w:p>
        </w:tc>
        <w:tc>
          <w:tcPr>
            <w:tcW w:w="910" w:type="dxa"/>
          </w:tcPr>
          <w:p>
            <w:pPr/>
          </w:p>
        </w:tc>
        <w:tc>
          <w:tcPr>
            <w:tcW w:w="1024" w:type="dxa"/>
          </w:tcPr>
          <w:p>
            <w:pPr/>
          </w:p>
        </w:tc>
        <w:tc>
          <w:tcPr>
            <w:tcW w:w="948" w:type="dxa"/>
          </w:tcPr>
          <w:p>
            <w:pPr/>
          </w:p>
        </w:tc>
      </w:tr>
      <w:tr>
        <w:trPr>
          <w:trHeight w:val="266" w:hRule="exact"/>
        </w:trPr>
        <w:tc>
          <w:tcPr>
            <w:tcW w:w="4412" w:type="dxa"/>
          </w:tcPr>
          <w:p>
            <w:pPr>
              <w:pStyle w:val="TableParagraph"/>
              <w:spacing w:line="248" w:lineRule="exact"/>
              <w:ind w:right="250"/>
              <w:jc w:val="right"/>
              <w:rPr>
                <w:i/>
                <w:sz w:val="22"/>
              </w:rPr>
            </w:pPr>
            <w:r>
              <w:rPr>
                <w:sz w:val="22"/>
              </w:rPr>
              <w:t>Np_Ag reducidas con </w:t>
            </w:r>
            <w:r>
              <w:rPr>
                <w:i/>
                <w:sz w:val="22"/>
              </w:rPr>
              <w:t>Camellia sinensis</w:t>
            </w:r>
          </w:p>
        </w:tc>
        <w:tc>
          <w:tcPr>
            <w:tcW w:w="958" w:type="dxa"/>
          </w:tcPr>
          <w:p>
            <w:pPr>
              <w:pStyle w:val="TableParagraph"/>
              <w:spacing w:line="248" w:lineRule="exact"/>
              <w:ind w:left="146" w:right="167"/>
              <w:jc w:val="center"/>
              <w:rPr>
                <w:sz w:val="22"/>
              </w:rPr>
            </w:pPr>
            <w:r>
              <w:rPr>
                <w:sz w:val="22"/>
              </w:rPr>
              <w:t>6.83</w:t>
            </w:r>
          </w:p>
        </w:tc>
        <w:tc>
          <w:tcPr>
            <w:tcW w:w="910" w:type="dxa"/>
          </w:tcPr>
          <w:p>
            <w:pPr>
              <w:pStyle w:val="TableParagraph"/>
              <w:spacing w:line="248" w:lineRule="exact"/>
              <w:ind w:left="175" w:right="144"/>
              <w:jc w:val="center"/>
              <w:rPr>
                <w:sz w:val="22"/>
              </w:rPr>
            </w:pPr>
            <w:r>
              <w:rPr>
                <w:sz w:val="22"/>
              </w:rPr>
              <w:t>0.252</w:t>
            </w:r>
          </w:p>
        </w:tc>
        <w:tc>
          <w:tcPr>
            <w:tcW w:w="1183" w:type="dxa"/>
          </w:tcPr>
          <w:p>
            <w:pPr>
              <w:pStyle w:val="TableParagraph"/>
              <w:spacing w:line="248" w:lineRule="exact"/>
              <w:ind w:left="143" w:right="273"/>
              <w:jc w:val="center"/>
              <w:rPr>
                <w:sz w:val="22"/>
              </w:rPr>
            </w:pPr>
            <w:r>
              <w:rPr>
                <w:sz w:val="22"/>
              </w:rPr>
              <w:t>6.6</w:t>
            </w:r>
          </w:p>
        </w:tc>
        <w:tc>
          <w:tcPr>
            <w:tcW w:w="999" w:type="dxa"/>
          </w:tcPr>
          <w:p>
            <w:pPr>
              <w:pStyle w:val="TableParagraph"/>
              <w:spacing w:line="248" w:lineRule="exact"/>
              <w:ind w:left="153" w:right="348"/>
              <w:rPr>
                <w:sz w:val="22"/>
              </w:rPr>
            </w:pPr>
            <w:r>
              <w:rPr>
                <w:sz w:val="22"/>
              </w:rPr>
              <w:t>7.1</w:t>
            </w:r>
          </w:p>
        </w:tc>
        <w:tc>
          <w:tcPr>
            <w:tcW w:w="1162" w:type="dxa"/>
          </w:tcPr>
          <w:p>
            <w:pPr>
              <w:pStyle w:val="TableParagraph"/>
              <w:spacing w:line="248" w:lineRule="exact"/>
              <w:ind w:left="348" w:right="170"/>
              <w:jc w:val="center"/>
              <w:rPr>
                <w:sz w:val="22"/>
              </w:rPr>
            </w:pPr>
            <w:r>
              <w:rPr>
                <w:sz w:val="22"/>
              </w:rPr>
              <w:t>7.00</w:t>
            </w:r>
          </w:p>
        </w:tc>
        <w:tc>
          <w:tcPr>
            <w:tcW w:w="910" w:type="dxa"/>
          </w:tcPr>
          <w:p>
            <w:pPr>
              <w:pStyle w:val="TableParagraph"/>
              <w:spacing w:line="248" w:lineRule="exact"/>
              <w:ind w:left="176" w:right="143"/>
              <w:jc w:val="center"/>
              <w:rPr>
                <w:sz w:val="22"/>
              </w:rPr>
            </w:pPr>
            <w:r>
              <w:rPr>
                <w:sz w:val="22"/>
              </w:rPr>
              <w:t>0.264</w:t>
            </w:r>
          </w:p>
        </w:tc>
        <w:tc>
          <w:tcPr>
            <w:tcW w:w="1024" w:type="dxa"/>
          </w:tcPr>
          <w:p>
            <w:pPr>
              <w:pStyle w:val="TableParagraph"/>
              <w:spacing w:line="248" w:lineRule="exact"/>
              <w:ind w:left="141" w:right="117"/>
              <w:jc w:val="center"/>
              <w:rPr>
                <w:sz w:val="22"/>
              </w:rPr>
            </w:pPr>
            <w:r>
              <w:rPr>
                <w:sz w:val="22"/>
              </w:rPr>
              <w:t>6.8</w:t>
            </w:r>
          </w:p>
        </w:tc>
        <w:tc>
          <w:tcPr>
            <w:tcW w:w="948" w:type="dxa"/>
          </w:tcPr>
          <w:p>
            <w:pPr>
              <w:pStyle w:val="TableParagraph"/>
              <w:spacing w:line="248" w:lineRule="exact"/>
              <w:ind w:left="293" w:right="308"/>
              <w:jc w:val="center"/>
              <w:rPr>
                <w:sz w:val="22"/>
              </w:rPr>
            </w:pPr>
            <w:r>
              <w:rPr>
                <w:sz w:val="22"/>
              </w:rPr>
              <w:t>7.3</w:t>
            </w:r>
          </w:p>
        </w:tc>
      </w:tr>
      <w:tr>
        <w:trPr>
          <w:trHeight w:val="335" w:hRule="exact"/>
        </w:trPr>
        <w:tc>
          <w:tcPr>
            <w:tcW w:w="4412" w:type="dxa"/>
          </w:tcPr>
          <w:p>
            <w:pPr>
              <w:pStyle w:val="TableParagraph"/>
              <w:spacing w:line="248" w:lineRule="exact"/>
              <w:ind w:left="283"/>
              <w:rPr>
                <w:i/>
                <w:sz w:val="22"/>
              </w:rPr>
            </w:pPr>
            <w:r>
              <w:rPr>
                <w:sz w:val="22"/>
              </w:rPr>
              <w:t>Np_Ag reducidas con </w:t>
            </w:r>
            <w:r>
              <w:rPr>
                <w:i/>
                <w:sz w:val="22"/>
              </w:rPr>
              <w:t>Heterotheca</w:t>
            </w:r>
          </w:p>
        </w:tc>
        <w:tc>
          <w:tcPr>
            <w:tcW w:w="958" w:type="dxa"/>
          </w:tcPr>
          <w:p>
            <w:pPr>
              <w:pStyle w:val="TableParagraph"/>
              <w:spacing w:before="41"/>
              <w:ind w:left="146" w:right="167"/>
              <w:jc w:val="center"/>
              <w:rPr>
                <w:sz w:val="22"/>
              </w:rPr>
            </w:pPr>
            <w:r>
              <w:rPr>
                <w:sz w:val="22"/>
              </w:rPr>
              <w:t>6.93</w:t>
            </w:r>
          </w:p>
        </w:tc>
        <w:tc>
          <w:tcPr>
            <w:tcW w:w="910" w:type="dxa"/>
          </w:tcPr>
          <w:p>
            <w:pPr>
              <w:pStyle w:val="TableParagraph"/>
              <w:spacing w:before="41"/>
              <w:ind w:left="175" w:right="144"/>
              <w:jc w:val="center"/>
              <w:rPr>
                <w:sz w:val="22"/>
              </w:rPr>
            </w:pPr>
            <w:r>
              <w:rPr>
                <w:sz w:val="22"/>
              </w:rPr>
              <w:t>0.416</w:t>
            </w:r>
          </w:p>
        </w:tc>
        <w:tc>
          <w:tcPr>
            <w:tcW w:w="1183" w:type="dxa"/>
          </w:tcPr>
          <w:p>
            <w:pPr>
              <w:pStyle w:val="TableParagraph"/>
              <w:spacing w:before="41"/>
              <w:ind w:left="143" w:right="273"/>
              <w:jc w:val="center"/>
              <w:rPr>
                <w:sz w:val="22"/>
              </w:rPr>
            </w:pPr>
            <w:r>
              <w:rPr>
                <w:sz w:val="22"/>
              </w:rPr>
              <w:t>6.6</w:t>
            </w:r>
          </w:p>
        </w:tc>
        <w:tc>
          <w:tcPr>
            <w:tcW w:w="999" w:type="dxa"/>
          </w:tcPr>
          <w:p>
            <w:pPr>
              <w:pStyle w:val="TableParagraph"/>
              <w:spacing w:before="41"/>
              <w:ind w:left="153" w:right="348"/>
              <w:rPr>
                <w:sz w:val="22"/>
              </w:rPr>
            </w:pPr>
            <w:r>
              <w:rPr>
                <w:sz w:val="22"/>
              </w:rPr>
              <w:t>7.4</w:t>
            </w:r>
          </w:p>
        </w:tc>
        <w:tc>
          <w:tcPr>
            <w:tcW w:w="1162" w:type="dxa"/>
          </w:tcPr>
          <w:p>
            <w:pPr>
              <w:pStyle w:val="TableParagraph"/>
              <w:spacing w:before="41"/>
              <w:ind w:left="348" w:right="170"/>
              <w:jc w:val="center"/>
              <w:rPr>
                <w:sz w:val="22"/>
              </w:rPr>
            </w:pPr>
            <w:r>
              <w:rPr>
                <w:sz w:val="22"/>
              </w:rPr>
              <w:t>6.93</w:t>
            </w:r>
          </w:p>
        </w:tc>
        <w:tc>
          <w:tcPr>
            <w:tcW w:w="910" w:type="dxa"/>
          </w:tcPr>
          <w:p>
            <w:pPr>
              <w:pStyle w:val="TableParagraph"/>
              <w:spacing w:before="41"/>
              <w:ind w:left="176" w:right="143"/>
              <w:jc w:val="center"/>
              <w:rPr>
                <w:sz w:val="22"/>
              </w:rPr>
            </w:pPr>
            <w:r>
              <w:rPr>
                <w:sz w:val="22"/>
              </w:rPr>
              <w:t>0.231</w:t>
            </w:r>
          </w:p>
        </w:tc>
        <w:tc>
          <w:tcPr>
            <w:tcW w:w="1024" w:type="dxa"/>
          </w:tcPr>
          <w:p>
            <w:pPr>
              <w:pStyle w:val="TableParagraph"/>
              <w:spacing w:before="41"/>
              <w:ind w:left="141" w:right="117"/>
              <w:jc w:val="center"/>
              <w:rPr>
                <w:sz w:val="22"/>
              </w:rPr>
            </w:pPr>
            <w:r>
              <w:rPr>
                <w:sz w:val="22"/>
              </w:rPr>
              <w:t>6.8</w:t>
            </w:r>
          </w:p>
        </w:tc>
        <w:tc>
          <w:tcPr>
            <w:tcW w:w="948" w:type="dxa"/>
          </w:tcPr>
          <w:p>
            <w:pPr>
              <w:pStyle w:val="TableParagraph"/>
              <w:spacing w:before="41"/>
              <w:ind w:left="293" w:right="308"/>
              <w:jc w:val="center"/>
              <w:rPr>
                <w:sz w:val="22"/>
              </w:rPr>
            </w:pPr>
            <w:r>
              <w:rPr>
                <w:sz w:val="22"/>
              </w:rPr>
              <w:t>7.2</w:t>
            </w:r>
          </w:p>
        </w:tc>
      </w:tr>
      <w:tr>
        <w:trPr>
          <w:trHeight w:val="399" w:hRule="exact"/>
        </w:trPr>
        <w:tc>
          <w:tcPr>
            <w:tcW w:w="4412" w:type="dxa"/>
          </w:tcPr>
          <w:p>
            <w:pPr>
              <w:pStyle w:val="TableParagraph"/>
              <w:spacing w:before="18"/>
              <w:ind w:left="283"/>
              <w:rPr>
                <w:sz w:val="22"/>
              </w:rPr>
            </w:pPr>
            <w:r>
              <w:rPr>
                <w:sz w:val="22"/>
              </w:rPr>
              <w:t>Clorhexidina</w:t>
            </w:r>
          </w:p>
        </w:tc>
        <w:tc>
          <w:tcPr>
            <w:tcW w:w="958" w:type="dxa"/>
          </w:tcPr>
          <w:p>
            <w:pPr>
              <w:pStyle w:val="TableParagraph"/>
              <w:spacing w:before="18"/>
              <w:ind w:left="146" w:right="167"/>
              <w:jc w:val="center"/>
              <w:rPr>
                <w:sz w:val="22"/>
              </w:rPr>
            </w:pPr>
            <w:r>
              <w:rPr>
                <w:sz w:val="22"/>
              </w:rPr>
              <w:t>6.06</w:t>
            </w:r>
          </w:p>
        </w:tc>
        <w:tc>
          <w:tcPr>
            <w:tcW w:w="910" w:type="dxa"/>
          </w:tcPr>
          <w:p>
            <w:pPr>
              <w:pStyle w:val="TableParagraph"/>
              <w:spacing w:before="18"/>
              <w:ind w:left="175" w:right="144"/>
              <w:jc w:val="center"/>
              <w:rPr>
                <w:sz w:val="22"/>
              </w:rPr>
            </w:pPr>
            <w:r>
              <w:rPr>
                <w:sz w:val="22"/>
              </w:rPr>
              <w:t>0.305</w:t>
            </w:r>
          </w:p>
        </w:tc>
        <w:tc>
          <w:tcPr>
            <w:tcW w:w="1183" w:type="dxa"/>
          </w:tcPr>
          <w:p>
            <w:pPr>
              <w:pStyle w:val="TableParagraph"/>
              <w:spacing w:before="18"/>
              <w:ind w:left="143" w:right="273"/>
              <w:jc w:val="center"/>
              <w:rPr>
                <w:sz w:val="22"/>
              </w:rPr>
            </w:pPr>
            <w:r>
              <w:rPr>
                <w:sz w:val="22"/>
              </w:rPr>
              <w:t>5.8</w:t>
            </w:r>
          </w:p>
        </w:tc>
        <w:tc>
          <w:tcPr>
            <w:tcW w:w="999" w:type="dxa"/>
          </w:tcPr>
          <w:p>
            <w:pPr>
              <w:pStyle w:val="TableParagraph"/>
              <w:spacing w:before="18"/>
              <w:ind w:left="153" w:right="348"/>
              <w:rPr>
                <w:sz w:val="22"/>
              </w:rPr>
            </w:pPr>
            <w:r>
              <w:rPr>
                <w:sz w:val="22"/>
              </w:rPr>
              <w:t>6.4</w:t>
            </w:r>
          </w:p>
        </w:tc>
        <w:tc>
          <w:tcPr>
            <w:tcW w:w="1162" w:type="dxa"/>
          </w:tcPr>
          <w:p>
            <w:pPr>
              <w:pStyle w:val="TableParagraph"/>
              <w:spacing w:before="18"/>
              <w:ind w:left="348" w:right="170"/>
              <w:jc w:val="center"/>
              <w:rPr>
                <w:sz w:val="22"/>
              </w:rPr>
            </w:pPr>
            <w:r>
              <w:rPr>
                <w:sz w:val="22"/>
              </w:rPr>
              <w:t>5.83</w:t>
            </w:r>
          </w:p>
        </w:tc>
        <w:tc>
          <w:tcPr>
            <w:tcW w:w="910" w:type="dxa"/>
          </w:tcPr>
          <w:p>
            <w:pPr>
              <w:pStyle w:val="TableParagraph"/>
              <w:spacing w:before="18"/>
              <w:ind w:left="176" w:right="143"/>
              <w:jc w:val="center"/>
              <w:rPr>
                <w:sz w:val="22"/>
              </w:rPr>
            </w:pPr>
            <w:r>
              <w:rPr>
                <w:sz w:val="22"/>
              </w:rPr>
              <w:t>0.568</w:t>
            </w:r>
          </w:p>
        </w:tc>
        <w:tc>
          <w:tcPr>
            <w:tcW w:w="1024" w:type="dxa"/>
          </w:tcPr>
          <w:p>
            <w:pPr>
              <w:pStyle w:val="TableParagraph"/>
              <w:spacing w:before="18"/>
              <w:ind w:left="141" w:right="117"/>
              <w:jc w:val="center"/>
              <w:rPr>
                <w:sz w:val="22"/>
              </w:rPr>
            </w:pPr>
            <w:r>
              <w:rPr>
                <w:sz w:val="22"/>
              </w:rPr>
              <w:t>5.2</w:t>
            </w:r>
          </w:p>
        </w:tc>
        <w:tc>
          <w:tcPr>
            <w:tcW w:w="948" w:type="dxa"/>
          </w:tcPr>
          <w:p>
            <w:pPr>
              <w:pStyle w:val="TableParagraph"/>
              <w:spacing w:before="18"/>
              <w:ind w:left="293" w:right="308"/>
              <w:jc w:val="center"/>
              <w:rPr>
                <w:sz w:val="22"/>
              </w:rPr>
            </w:pPr>
            <w:r>
              <w:rPr>
                <w:sz w:val="22"/>
              </w:rPr>
              <w:t>6.3</w:t>
            </w:r>
          </w:p>
        </w:tc>
      </w:tr>
      <w:tr>
        <w:trPr>
          <w:trHeight w:val="376" w:hRule="exact"/>
        </w:trPr>
        <w:tc>
          <w:tcPr>
            <w:tcW w:w="4412" w:type="dxa"/>
          </w:tcPr>
          <w:p>
            <w:pPr>
              <w:pStyle w:val="TableParagraph"/>
              <w:spacing w:before="104"/>
              <w:ind w:left="108"/>
              <w:rPr>
                <w:b/>
                <w:i/>
                <w:sz w:val="22"/>
              </w:rPr>
            </w:pPr>
            <w:r>
              <w:rPr>
                <w:b/>
                <w:i/>
                <w:sz w:val="22"/>
              </w:rPr>
              <w:t>A 30 microlitros</w:t>
            </w:r>
          </w:p>
        </w:tc>
        <w:tc>
          <w:tcPr>
            <w:tcW w:w="958" w:type="dxa"/>
          </w:tcPr>
          <w:p>
            <w:pPr/>
          </w:p>
        </w:tc>
        <w:tc>
          <w:tcPr>
            <w:tcW w:w="910" w:type="dxa"/>
          </w:tcPr>
          <w:p>
            <w:pPr/>
          </w:p>
        </w:tc>
        <w:tc>
          <w:tcPr>
            <w:tcW w:w="1183" w:type="dxa"/>
          </w:tcPr>
          <w:p>
            <w:pPr/>
          </w:p>
        </w:tc>
        <w:tc>
          <w:tcPr>
            <w:tcW w:w="999" w:type="dxa"/>
          </w:tcPr>
          <w:p>
            <w:pPr/>
          </w:p>
        </w:tc>
        <w:tc>
          <w:tcPr>
            <w:tcW w:w="1162" w:type="dxa"/>
          </w:tcPr>
          <w:p>
            <w:pPr/>
          </w:p>
        </w:tc>
        <w:tc>
          <w:tcPr>
            <w:tcW w:w="910" w:type="dxa"/>
          </w:tcPr>
          <w:p>
            <w:pPr/>
          </w:p>
        </w:tc>
        <w:tc>
          <w:tcPr>
            <w:tcW w:w="1024" w:type="dxa"/>
          </w:tcPr>
          <w:p>
            <w:pPr/>
          </w:p>
        </w:tc>
        <w:tc>
          <w:tcPr>
            <w:tcW w:w="948" w:type="dxa"/>
          </w:tcPr>
          <w:p>
            <w:pPr/>
          </w:p>
        </w:tc>
      </w:tr>
      <w:tr>
        <w:trPr>
          <w:trHeight w:val="266" w:hRule="exact"/>
        </w:trPr>
        <w:tc>
          <w:tcPr>
            <w:tcW w:w="4412" w:type="dxa"/>
          </w:tcPr>
          <w:p>
            <w:pPr>
              <w:pStyle w:val="TableParagraph"/>
              <w:spacing w:line="248" w:lineRule="exact"/>
              <w:ind w:right="250"/>
              <w:jc w:val="right"/>
              <w:rPr>
                <w:i/>
                <w:sz w:val="22"/>
              </w:rPr>
            </w:pPr>
            <w:r>
              <w:rPr>
                <w:sz w:val="22"/>
              </w:rPr>
              <w:t>Np_Ag reducidas con </w:t>
            </w:r>
            <w:r>
              <w:rPr>
                <w:i/>
                <w:sz w:val="22"/>
              </w:rPr>
              <w:t>Camellia sinensis</w:t>
            </w:r>
          </w:p>
        </w:tc>
        <w:tc>
          <w:tcPr>
            <w:tcW w:w="958" w:type="dxa"/>
          </w:tcPr>
          <w:p>
            <w:pPr>
              <w:pStyle w:val="TableParagraph"/>
              <w:spacing w:line="248" w:lineRule="exact"/>
              <w:ind w:left="146" w:right="167"/>
              <w:jc w:val="center"/>
              <w:rPr>
                <w:sz w:val="22"/>
              </w:rPr>
            </w:pPr>
            <w:r>
              <w:rPr>
                <w:sz w:val="22"/>
              </w:rPr>
              <w:t>6.03</w:t>
            </w:r>
          </w:p>
        </w:tc>
        <w:tc>
          <w:tcPr>
            <w:tcW w:w="910" w:type="dxa"/>
          </w:tcPr>
          <w:p>
            <w:pPr>
              <w:pStyle w:val="TableParagraph"/>
              <w:spacing w:line="248" w:lineRule="exact"/>
              <w:ind w:left="175" w:right="144"/>
              <w:jc w:val="center"/>
              <w:rPr>
                <w:sz w:val="22"/>
              </w:rPr>
            </w:pPr>
            <w:r>
              <w:rPr>
                <w:sz w:val="22"/>
              </w:rPr>
              <w:t>0.252</w:t>
            </w:r>
          </w:p>
        </w:tc>
        <w:tc>
          <w:tcPr>
            <w:tcW w:w="1183" w:type="dxa"/>
          </w:tcPr>
          <w:p>
            <w:pPr>
              <w:pStyle w:val="TableParagraph"/>
              <w:spacing w:line="248" w:lineRule="exact"/>
              <w:ind w:left="143" w:right="273"/>
              <w:jc w:val="center"/>
              <w:rPr>
                <w:sz w:val="22"/>
              </w:rPr>
            </w:pPr>
            <w:r>
              <w:rPr>
                <w:sz w:val="22"/>
              </w:rPr>
              <w:t>5.8</w:t>
            </w:r>
          </w:p>
        </w:tc>
        <w:tc>
          <w:tcPr>
            <w:tcW w:w="999" w:type="dxa"/>
          </w:tcPr>
          <w:p>
            <w:pPr>
              <w:pStyle w:val="TableParagraph"/>
              <w:spacing w:line="248" w:lineRule="exact"/>
              <w:ind w:left="153" w:right="348"/>
              <w:rPr>
                <w:sz w:val="22"/>
              </w:rPr>
            </w:pPr>
            <w:r>
              <w:rPr>
                <w:sz w:val="22"/>
              </w:rPr>
              <w:t>6.3</w:t>
            </w:r>
          </w:p>
        </w:tc>
        <w:tc>
          <w:tcPr>
            <w:tcW w:w="1162" w:type="dxa"/>
          </w:tcPr>
          <w:p>
            <w:pPr>
              <w:pStyle w:val="TableParagraph"/>
              <w:spacing w:line="248" w:lineRule="exact"/>
              <w:ind w:left="348" w:right="170"/>
              <w:jc w:val="center"/>
              <w:rPr>
                <w:sz w:val="22"/>
              </w:rPr>
            </w:pPr>
            <w:r>
              <w:rPr>
                <w:sz w:val="22"/>
              </w:rPr>
              <w:t>6.30</w:t>
            </w:r>
          </w:p>
        </w:tc>
        <w:tc>
          <w:tcPr>
            <w:tcW w:w="910" w:type="dxa"/>
          </w:tcPr>
          <w:p>
            <w:pPr>
              <w:pStyle w:val="TableParagraph"/>
              <w:spacing w:line="248" w:lineRule="exact"/>
              <w:ind w:left="176" w:right="143"/>
              <w:jc w:val="center"/>
              <w:rPr>
                <w:sz w:val="22"/>
              </w:rPr>
            </w:pPr>
            <w:r>
              <w:rPr>
                <w:sz w:val="22"/>
              </w:rPr>
              <w:t>0.458</w:t>
            </w:r>
          </w:p>
        </w:tc>
        <w:tc>
          <w:tcPr>
            <w:tcW w:w="1024" w:type="dxa"/>
          </w:tcPr>
          <w:p>
            <w:pPr>
              <w:pStyle w:val="TableParagraph"/>
              <w:spacing w:line="248" w:lineRule="exact"/>
              <w:ind w:left="141" w:right="117"/>
              <w:jc w:val="center"/>
              <w:rPr>
                <w:sz w:val="22"/>
              </w:rPr>
            </w:pPr>
            <w:r>
              <w:rPr>
                <w:sz w:val="22"/>
              </w:rPr>
              <w:t>5.8</w:t>
            </w:r>
          </w:p>
        </w:tc>
        <w:tc>
          <w:tcPr>
            <w:tcW w:w="948" w:type="dxa"/>
          </w:tcPr>
          <w:p>
            <w:pPr>
              <w:pStyle w:val="TableParagraph"/>
              <w:spacing w:line="248" w:lineRule="exact"/>
              <w:ind w:left="293" w:right="308"/>
              <w:jc w:val="center"/>
              <w:rPr>
                <w:sz w:val="22"/>
              </w:rPr>
            </w:pPr>
            <w:r>
              <w:rPr>
                <w:sz w:val="22"/>
              </w:rPr>
              <w:t>6.7</w:t>
            </w:r>
          </w:p>
        </w:tc>
      </w:tr>
      <w:tr>
        <w:trPr>
          <w:trHeight w:val="335" w:hRule="exact"/>
        </w:trPr>
        <w:tc>
          <w:tcPr>
            <w:tcW w:w="4412" w:type="dxa"/>
          </w:tcPr>
          <w:p>
            <w:pPr>
              <w:pStyle w:val="TableParagraph"/>
              <w:spacing w:line="248" w:lineRule="exact"/>
              <w:ind w:left="283"/>
              <w:rPr>
                <w:i/>
                <w:sz w:val="22"/>
              </w:rPr>
            </w:pPr>
            <w:r>
              <w:rPr>
                <w:sz w:val="22"/>
              </w:rPr>
              <w:t>Np_Ag reducidas con </w:t>
            </w:r>
            <w:r>
              <w:rPr>
                <w:i/>
                <w:sz w:val="22"/>
              </w:rPr>
              <w:t>Heterotheca</w:t>
            </w:r>
          </w:p>
        </w:tc>
        <w:tc>
          <w:tcPr>
            <w:tcW w:w="958" w:type="dxa"/>
          </w:tcPr>
          <w:p>
            <w:pPr>
              <w:pStyle w:val="TableParagraph"/>
              <w:spacing w:before="41"/>
              <w:ind w:left="146" w:right="167"/>
              <w:jc w:val="center"/>
              <w:rPr>
                <w:sz w:val="22"/>
              </w:rPr>
            </w:pPr>
            <w:r>
              <w:rPr>
                <w:sz w:val="22"/>
              </w:rPr>
              <w:t>6.56</w:t>
            </w:r>
          </w:p>
        </w:tc>
        <w:tc>
          <w:tcPr>
            <w:tcW w:w="910" w:type="dxa"/>
          </w:tcPr>
          <w:p>
            <w:pPr>
              <w:pStyle w:val="TableParagraph"/>
              <w:spacing w:before="41"/>
              <w:ind w:left="175" w:right="144"/>
              <w:jc w:val="center"/>
              <w:rPr>
                <w:sz w:val="22"/>
              </w:rPr>
            </w:pPr>
            <w:r>
              <w:rPr>
                <w:sz w:val="22"/>
              </w:rPr>
              <w:t>0.737</w:t>
            </w:r>
          </w:p>
        </w:tc>
        <w:tc>
          <w:tcPr>
            <w:tcW w:w="1183" w:type="dxa"/>
          </w:tcPr>
          <w:p>
            <w:pPr>
              <w:pStyle w:val="TableParagraph"/>
              <w:spacing w:before="41"/>
              <w:ind w:left="143" w:right="273"/>
              <w:jc w:val="center"/>
              <w:rPr>
                <w:sz w:val="22"/>
              </w:rPr>
            </w:pPr>
            <w:r>
              <w:rPr>
                <w:sz w:val="22"/>
              </w:rPr>
              <w:t>6.0</w:t>
            </w:r>
          </w:p>
        </w:tc>
        <w:tc>
          <w:tcPr>
            <w:tcW w:w="999" w:type="dxa"/>
          </w:tcPr>
          <w:p>
            <w:pPr>
              <w:pStyle w:val="TableParagraph"/>
              <w:spacing w:before="41"/>
              <w:ind w:left="153" w:right="348"/>
              <w:rPr>
                <w:sz w:val="22"/>
              </w:rPr>
            </w:pPr>
            <w:r>
              <w:rPr>
                <w:sz w:val="22"/>
              </w:rPr>
              <w:t>7.4</w:t>
            </w:r>
          </w:p>
        </w:tc>
        <w:tc>
          <w:tcPr>
            <w:tcW w:w="1162" w:type="dxa"/>
          </w:tcPr>
          <w:p>
            <w:pPr>
              <w:pStyle w:val="TableParagraph"/>
              <w:spacing w:before="41"/>
              <w:ind w:left="348" w:right="170"/>
              <w:jc w:val="center"/>
              <w:rPr>
                <w:sz w:val="22"/>
              </w:rPr>
            </w:pPr>
            <w:r>
              <w:rPr>
                <w:sz w:val="22"/>
              </w:rPr>
              <w:t>6.50</w:t>
            </w:r>
          </w:p>
        </w:tc>
        <w:tc>
          <w:tcPr>
            <w:tcW w:w="910" w:type="dxa"/>
          </w:tcPr>
          <w:p>
            <w:pPr>
              <w:pStyle w:val="TableParagraph"/>
              <w:spacing w:before="41"/>
              <w:ind w:left="176" w:right="143"/>
              <w:jc w:val="center"/>
              <w:rPr>
                <w:sz w:val="22"/>
              </w:rPr>
            </w:pPr>
            <w:r>
              <w:rPr>
                <w:sz w:val="22"/>
              </w:rPr>
              <w:t>0.781</w:t>
            </w:r>
          </w:p>
        </w:tc>
        <w:tc>
          <w:tcPr>
            <w:tcW w:w="1024" w:type="dxa"/>
          </w:tcPr>
          <w:p>
            <w:pPr>
              <w:pStyle w:val="TableParagraph"/>
              <w:spacing w:before="41"/>
              <w:ind w:left="141" w:right="117"/>
              <w:jc w:val="center"/>
              <w:rPr>
                <w:sz w:val="22"/>
              </w:rPr>
            </w:pPr>
            <w:r>
              <w:rPr>
                <w:sz w:val="22"/>
              </w:rPr>
              <w:t>6.0</w:t>
            </w:r>
          </w:p>
        </w:tc>
        <w:tc>
          <w:tcPr>
            <w:tcW w:w="948" w:type="dxa"/>
          </w:tcPr>
          <w:p>
            <w:pPr>
              <w:pStyle w:val="TableParagraph"/>
              <w:spacing w:before="41"/>
              <w:ind w:left="293" w:right="308"/>
              <w:jc w:val="center"/>
              <w:rPr>
                <w:sz w:val="22"/>
              </w:rPr>
            </w:pPr>
            <w:r>
              <w:rPr>
                <w:sz w:val="22"/>
              </w:rPr>
              <w:t>7.4</w:t>
            </w:r>
          </w:p>
        </w:tc>
      </w:tr>
      <w:tr>
        <w:trPr>
          <w:trHeight w:val="330" w:hRule="exact"/>
        </w:trPr>
        <w:tc>
          <w:tcPr>
            <w:tcW w:w="4412" w:type="dxa"/>
            <w:tcBorders>
              <w:bottom w:val="single" w:sz="12" w:space="0" w:color="000000"/>
            </w:tcBorders>
          </w:tcPr>
          <w:p>
            <w:pPr>
              <w:pStyle w:val="TableParagraph"/>
              <w:spacing w:before="18"/>
              <w:ind w:left="283"/>
              <w:rPr>
                <w:sz w:val="22"/>
              </w:rPr>
            </w:pPr>
            <w:r>
              <w:rPr>
                <w:sz w:val="22"/>
              </w:rPr>
              <w:t>Clorhexidina</w:t>
            </w:r>
          </w:p>
        </w:tc>
        <w:tc>
          <w:tcPr>
            <w:tcW w:w="958" w:type="dxa"/>
            <w:tcBorders>
              <w:bottom w:val="single" w:sz="12" w:space="0" w:color="000000"/>
            </w:tcBorders>
          </w:tcPr>
          <w:p>
            <w:pPr>
              <w:pStyle w:val="TableParagraph"/>
              <w:spacing w:before="18"/>
              <w:ind w:left="146" w:right="167"/>
              <w:jc w:val="center"/>
              <w:rPr>
                <w:sz w:val="22"/>
              </w:rPr>
            </w:pPr>
            <w:r>
              <w:rPr>
                <w:sz w:val="22"/>
              </w:rPr>
              <w:t>5.83</w:t>
            </w:r>
          </w:p>
        </w:tc>
        <w:tc>
          <w:tcPr>
            <w:tcW w:w="910" w:type="dxa"/>
            <w:tcBorders>
              <w:bottom w:val="single" w:sz="12" w:space="0" w:color="000000"/>
            </w:tcBorders>
          </w:tcPr>
          <w:p>
            <w:pPr>
              <w:pStyle w:val="TableParagraph"/>
              <w:spacing w:before="18"/>
              <w:ind w:left="175" w:right="144"/>
              <w:jc w:val="center"/>
              <w:rPr>
                <w:sz w:val="22"/>
              </w:rPr>
            </w:pPr>
            <w:r>
              <w:rPr>
                <w:sz w:val="22"/>
              </w:rPr>
              <w:t>0.252</w:t>
            </w:r>
          </w:p>
        </w:tc>
        <w:tc>
          <w:tcPr>
            <w:tcW w:w="1183" w:type="dxa"/>
            <w:tcBorders>
              <w:bottom w:val="single" w:sz="12" w:space="0" w:color="000000"/>
            </w:tcBorders>
          </w:tcPr>
          <w:p>
            <w:pPr>
              <w:pStyle w:val="TableParagraph"/>
              <w:spacing w:before="18"/>
              <w:ind w:left="143" w:right="273"/>
              <w:jc w:val="center"/>
              <w:rPr>
                <w:sz w:val="22"/>
              </w:rPr>
            </w:pPr>
            <w:r>
              <w:rPr>
                <w:sz w:val="22"/>
              </w:rPr>
              <w:t>5.6</w:t>
            </w:r>
          </w:p>
        </w:tc>
        <w:tc>
          <w:tcPr>
            <w:tcW w:w="999" w:type="dxa"/>
            <w:tcBorders>
              <w:bottom w:val="single" w:sz="12" w:space="0" w:color="000000"/>
            </w:tcBorders>
          </w:tcPr>
          <w:p>
            <w:pPr>
              <w:pStyle w:val="TableParagraph"/>
              <w:spacing w:before="18"/>
              <w:ind w:left="153" w:right="348"/>
              <w:rPr>
                <w:sz w:val="22"/>
              </w:rPr>
            </w:pPr>
            <w:r>
              <w:rPr>
                <w:sz w:val="22"/>
              </w:rPr>
              <w:t>6.1</w:t>
            </w:r>
          </w:p>
        </w:tc>
        <w:tc>
          <w:tcPr>
            <w:tcW w:w="1162" w:type="dxa"/>
            <w:tcBorders>
              <w:bottom w:val="single" w:sz="12" w:space="0" w:color="000000"/>
            </w:tcBorders>
          </w:tcPr>
          <w:p>
            <w:pPr>
              <w:pStyle w:val="TableParagraph"/>
              <w:spacing w:before="18"/>
              <w:ind w:left="348" w:right="170"/>
              <w:jc w:val="center"/>
              <w:rPr>
                <w:sz w:val="22"/>
              </w:rPr>
            </w:pPr>
            <w:r>
              <w:rPr>
                <w:sz w:val="22"/>
              </w:rPr>
              <w:t>5.70</w:t>
            </w:r>
          </w:p>
        </w:tc>
        <w:tc>
          <w:tcPr>
            <w:tcW w:w="910" w:type="dxa"/>
            <w:tcBorders>
              <w:bottom w:val="single" w:sz="12" w:space="0" w:color="000000"/>
            </w:tcBorders>
          </w:tcPr>
          <w:p>
            <w:pPr>
              <w:pStyle w:val="TableParagraph"/>
              <w:spacing w:before="18"/>
              <w:ind w:left="176" w:right="143"/>
              <w:jc w:val="center"/>
              <w:rPr>
                <w:sz w:val="22"/>
              </w:rPr>
            </w:pPr>
            <w:r>
              <w:rPr>
                <w:sz w:val="22"/>
              </w:rPr>
              <w:t>0.700</w:t>
            </w:r>
          </w:p>
        </w:tc>
        <w:tc>
          <w:tcPr>
            <w:tcW w:w="1024" w:type="dxa"/>
            <w:tcBorders>
              <w:bottom w:val="single" w:sz="12" w:space="0" w:color="000000"/>
            </w:tcBorders>
          </w:tcPr>
          <w:p>
            <w:pPr>
              <w:pStyle w:val="TableParagraph"/>
              <w:spacing w:before="18"/>
              <w:ind w:left="141" w:right="117"/>
              <w:jc w:val="center"/>
              <w:rPr>
                <w:sz w:val="22"/>
              </w:rPr>
            </w:pPr>
            <w:r>
              <w:rPr>
                <w:sz w:val="22"/>
              </w:rPr>
              <w:t>5.0</w:t>
            </w:r>
          </w:p>
        </w:tc>
        <w:tc>
          <w:tcPr>
            <w:tcW w:w="948" w:type="dxa"/>
            <w:tcBorders>
              <w:bottom w:val="single" w:sz="12" w:space="0" w:color="000000"/>
            </w:tcBorders>
          </w:tcPr>
          <w:p>
            <w:pPr>
              <w:pStyle w:val="TableParagraph"/>
              <w:spacing w:before="18"/>
              <w:ind w:left="293" w:right="308"/>
              <w:jc w:val="center"/>
              <w:rPr>
                <w:sz w:val="22"/>
              </w:rPr>
            </w:pPr>
            <w:r>
              <w:rPr>
                <w:sz w:val="22"/>
              </w:rPr>
              <w:t>6.4</w:t>
            </w:r>
          </w:p>
        </w:tc>
      </w:tr>
      <w:tr>
        <w:trPr>
          <w:trHeight w:val="286" w:hRule="exact"/>
        </w:trPr>
        <w:tc>
          <w:tcPr>
            <w:tcW w:w="4412" w:type="dxa"/>
            <w:tcBorders>
              <w:top w:val="single" w:sz="12" w:space="0" w:color="000000"/>
            </w:tcBorders>
          </w:tcPr>
          <w:p>
            <w:pPr>
              <w:pStyle w:val="TableParagraph"/>
              <w:spacing w:line="257" w:lineRule="exact"/>
              <w:ind w:left="108"/>
              <w:rPr>
                <w:sz w:val="18"/>
              </w:rPr>
            </w:pPr>
            <w:r>
              <w:rPr>
                <w:position w:val="10"/>
                <w:sz w:val="13"/>
              </w:rPr>
              <w:t>ǂ </w:t>
            </w:r>
            <w:r>
              <w:rPr>
                <w:sz w:val="18"/>
              </w:rPr>
              <w:t>en mm</w:t>
            </w:r>
          </w:p>
        </w:tc>
        <w:tc>
          <w:tcPr>
            <w:tcW w:w="958" w:type="dxa"/>
            <w:tcBorders>
              <w:top w:val="single" w:sz="12" w:space="0" w:color="000000"/>
            </w:tcBorders>
          </w:tcPr>
          <w:p>
            <w:pPr/>
          </w:p>
        </w:tc>
        <w:tc>
          <w:tcPr>
            <w:tcW w:w="910" w:type="dxa"/>
            <w:tcBorders>
              <w:top w:val="single" w:sz="12" w:space="0" w:color="000000"/>
            </w:tcBorders>
          </w:tcPr>
          <w:p>
            <w:pPr/>
          </w:p>
        </w:tc>
        <w:tc>
          <w:tcPr>
            <w:tcW w:w="1183" w:type="dxa"/>
            <w:tcBorders>
              <w:top w:val="single" w:sz="12" w:space="0" w:color="000000"/>
            </w:tcBorders>
          </w:tcPr>
          <w:p>
            <w:pPr/>
          </w:p>
        </w:tc>
        <w:tc>
          <w:tcPr>
            <w:tcW w:w="999" w:type="dxa"/>
            <w:tcBorders>
              <w:top w:val="single" w:sz="12" w:space="0" w:color="000000"/>
            </w:tcBorders>
          </w:tcPr>
          <w:p>
            <w:pPr/>
          </w:p>
        </w:tc>
        <w:tc>
          <w:tcPr>
            <w:tcW w:w="1162" w:type="dxa"/>
            <w:tcBorders>
              <w:top w:val="single" w:sz="12" w:space="0" w:color="000000"/>
            </w:tcBorders>
          </w:tcPr>
          <w:p>
            <w:pPr/>
          </w:p>
        </w:tc>
        <w:tc>
          <w:tcPr>
            <w:tcW w:w="910" w:type="dxa"/>
            <w:tcBorders>
              <w:top w:val="single" w:sz="12" w:space="0" w:color="000000"/>
            </w:tcBorders>
          </w:tcPr>
          <w:p>
            <w:pPr/>
          </w:p>
        </w:tc>
        <w:tc>
          <w:tcPr>
            <w:tcW w:w="1024" w:type="dxa"/>
            <w:tcBorders>
              <w:top w:val="single" w:sz="12" w:space="0" w:color="000000"/>
            </w:tcBorders>
          </w:tcPr>
          <w:p>
            <w:pPr/>
          </w:p>
        </w:tc>
        <w:tc>
          <w:tcPr>
            <w:tcW w:w="948" w:type="dxa"/>
            <w:tcBorders>
              <w:top w:val="single" w:sz="12" w:space="0" w:color="000000"/>
            </w:tcBorders>
          </w:tcPr>
          <w:p>
            <w:pPr/>
          </w:p>
        </w:tc>
      </w:tr>
      <w:tr>
        <w:trPr>
          <w:trHeight w:val="199" w:hRule="exact"/>
        </w:trPr>
        <w:tc>
          <w:tcPr>
            <w:tcW w:w="4412" w:type="dxa"/>
          </w:tcPr>
          <w:p>
            <w:pPr>
              <w:pStyle w:val="TableParagraph"/>
              <w:spacing w:line="203" w:lineRule="exact"/>
              <w:ind w:left="108"/>
              <w:rPr>
                <w:sz w:val="18"/>
              </w:rPr>
            </w:pPr>
            <w:r>
              <w:rPr>
                <w:sz w:val="18"/>
              </w:rPr>
              <w:t>DE: desviación estándar</w:t>
            </w:r>
          </w:p>
        </w:tc>
        <w:tc>
          <w:tcPr>
            <w:tcW w:w="958" w:type="dxa"/>
          </w:tcPr>
          <w:p>
            <w:pPr/>
          </w:p>
        </w:tc>
        <w:tc>
          <w:tcPr>
            <w:tcW w:w="910" w:type="dxa"/>
          </w:tcPr>
          <w:p>
            <w:pPr/>
          </w:p>
        </w:tc>
        <w:tc>
          <w:tcPr>
            <w:tcW w:w="1183" w:type="dxa"/>
          </w:tcPr>
          <w:p>
            <w:pPr/>
          </w:p>
        </w:tc>
        <w:tc>
          <w:tcPr>
            <w:tcW w:w="999" w:type="dxa"/>
          </w:tcPr>
          <w:p>
            <w:pPr/>
          </w:p>
        </w:tc>
        <w:tc>
          <w:tcPr>
            <w:tcW w:w="1162" w:type="dxa"/>
          </w:tcPr>
          <w:p>
            <w:pPr/>
          </w:p>
        </w:tc>
        <w:tc>
          <w:tcPr>
            <w:tcW w:w="910" w:type="dxa"/>
          </w:tcPr>
          <w:p>
            <w:pPr/>
          </w:p>
        </w:tc>
        <w:tc>
          <w:tcPr>
            <w:tcW w:w="1024" w:type="dxa"/>
          </w:tcPr>
          <w:p>
            <w:pPr/>
          </w:p>
        </w:tc>
        <w:tc>
          <w:tcPr>
            <w:tcW w:w="948" w:type="dxa"/>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r>
        <w:rPr/>
        <w:pict>
          <v:group style="position:absolute;margin-left:69.059998pt;margin-top:17.608599pt;width:654pt;height:4.5pt;mso-position-horizontal-relative:page;mso-position-vertical-relative:paragraph;z-index:5944;mso-wrap-distance-left:0;mso-wrap-distance-right:0" coordorigin="1381,352" coordsize="13080,90">
            <v:line style="position:absolute" from="1411,382" to="14431,382" stroked="true" strokeweight="3.0pt" strokecolor="#612322"/>
            <v:line style="position:absolute" from="1411,434" to="14431,434" stroked="true" strokeweight=".71997pt" strokecolor="#612322"/>
            <w10:wrap type="topAndBottom"/>
          </v:group>
        </w:pict>
      </w:r>
    </w:p>
    <w:p>
      <w:pPr>
        <w:spacing w:after="0"/>
        <w:rPr>
          <w:sz w:val="27"/>
        </w:rPr>
        <w:sectPr>
          <w:headerReference w:type="default" r:id="rId219"/>
          <w:footerReference w:type="default" r:id="rId220"/>
          <w:pgSz w:w="15840" w:h="12240" w:orient="landscape"/>
          <w:pgMar w:header="0" w:footer="956" w:top="660" w:bottom="1140" w:left="1280" w:right="1260"/>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2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22"/>
        <w:gridCol w:w="2140"/>
        <w:gridCol w:w="2602"/>
      </w:tblGrid>
      <w:tr>
        <w:trPr>
          <w:trHeight w:val="465" w:hRule="exact"/>
        </w:trPr>
        <w:tc>
          <w:tcPr>
            <w:tcW w:w="9465" w:type="dxa"/>
            <w:gridSpan w:val="3"/>
            <w:tcBorders>
              <w:bottom w:val="single" w:sz="12" w:space="0" w:color="000000"/>
            </w:tcBorders>
          </w:tcPr>
          <w:p>
            <w:pPr>
              <w:pStyle w:val="TableParagraph"/>
              <w:spacing w:line="168" w:lineRule="auto" w:before="35"/>
              <w:ind w:left="4015" w:right="426" w:hanging="3575"/>
              <w:rPr>
                <w:sz w:val="15"/>
              </w:rPr>
            </w:pPr>
            <w:r>
              <w:rPr>
                <w:sz w:val="23"/>
              </w:rPr>
              <w:t>Tabla 2. Diferencias de medias de los halos inhibitorios entre reductores de Np-Ag y Clorhexidina </w:t>
            </w:r>
            <w:r>
              <w:rPr>
                <w:position w:val="11"/>
                <w:sz w:val="15"/>
              </w:rPr>
              <w:t>ǂ</w:t>
            </w:r>
          </w:p>
        </w:tc>
      </w:tr>
      <w:tr>
        <w:trPr>
          <w:trHeight w:val="648" w:hRule="exact"/>
        </w:trPr>
        <w:tc>
          <w:tcPr>
            <w:tcW w:w="6862" w:type="dxa"/>
            <w:gridSpan w:val="2"/>
            <w:tcBorders>
              <w:top w:val="single" w:sz="12" w:space="0" w:color="000000"/>
            </w:tcBorders>
          </w:tcPr>
          <w:p>
            <w:pPr>
              <w:pStyle w:val="TableParagraph"/>
              <w:spacing w:line="208" w:lineRule="auto"/>
              <w:ind w:left="4558" w:right="293"/>
              <w:jc w:val="center"/>
              <w:rPr>
                <w:i/>
                <w:sz w:val="22"/>
              </w:rPr>
            </w:pPr>
            <w:r>
              <w:rPr>
                <w:sz w:val="22"/>
              </w:rPr>
              <w:t>Sobre el crecimiento de </w:t>
            </w:r>
            <w:r>
              <w:rPr>
                <w:i/>
                <w:sz w:val="22"/>
              </w:rPr>
              <w:t>Streptococcus </w:t>
            </w:r>
            <w:r>
              <w:rPr>
                <w:i/>
                <w:sz w:val="22"/>
              </w:rPr>
              <w:t>mutans</w:t>
            </w:r>
          </w:p>
        </w:tc>
        <w:tc>
          <w:tcPr>
            <w:tcW w:w="2602" w:type="dxa"/>
            <w:tcBorders>
              <w:top w:val="single" w:sz="12" w:space="0" w:color="000000"/>
            </w:tcBorders>
          </w:tcPr>
          <w:p>
            <w:pPr>
              <w:pStyle w:val="TableParagraph"/>
              <w:spacing w:line="220" w:lineRule="exact" w:before="78"/>
              <w:ind w:left="295" w:right="135" w:firstLine="74"/>
              <w:rPr>
                <w:i/>
                <w:sz w:val="22"/>
              </w:rPr>
            </w:pPr>
            <w:r>
              <w:rPr>
                <w:sz w:val="22"/>
              </w:rPr>
              <w:t>Sobre el crecimiento de </w:t>
            </w:r>
            <w:r>
              <w:rPr>
                <w:i/>
                <w:sz w:val="22"/>
              </w:rPr>
              <w:t>Lactobacillus casei</w:t>
            </w:r>
          </w:p>
        </w:tc>
      </w:tr>
      <w:tr>
        <w:trPr>
          <w:trHeight w:val="244" w:hRule="exact"/>
        </w:trPr>
        <w:tc>
          <w:tcPr>
            <w:tcW w:w="4722" w:type="dxa"/>
          </w:tcPr>
          <w:p>
            <w:pPr/>
          </w:p>
        </w:tc>
        <w:tc>
          <w:tcPr>
            <w:tcW w:w="2140" w:type="dxa"/>
          </w:tcPr>
          <w:p>
            <w:pPr>
              <w:pStyle w:val="TableParagraph"/>
              <w:spacing w:line="217" w:lineRule="exact"/>
              <w:ind w:left="320" w:right="776"/>
              <w:jc w:val="center"/>
              <w:rPr>
                <w:i/>
                <w:sz w:val="22"/>
              </w:rPr>
            </w:pPr>
            <w:r>
              <w:rPr>
                <w:sz w:val="22"/>
              </w:rPr>
              <w:t>Valor de </w:t>
            </w:r>
            <w:r>
              <w:rPr>
                <w:i/>
                <w:sz w:val="22"/>
              </w:rPr>
              <w:t>p</w:t>
            </w:r>
          </w:p>
        </w:tc>
        <w:tc>
          <w:tcPr>
            <w:tcW w:w="2602" w:type="dxa"/>
          </w:tcPr>
          <w:p>
            <w:pPr>
              <w:pStyle w:val="TableParagraph"/>
              <w:spacing w:line="217" w:lineRule="exact"/>
              <w:ind w:left="853" w:right="706"/>
              <w:jc w:val="center"/>
              <w:rPr>
                <w:i/>
                <w:sz w:val="22"/>
              </w:rPr>
            </w:pPr>
            <w:r>
              <w:rPr>
                <w:sz w:val="22"/>
              </w:rPr>
              <w:t>Valor de </w:t>
            </w:r>
            <w:r>
              <w:rPr>
                <w:i/>
                <w:sz w:val="22"/>
              </w:rPr>
              <w:t>p</w:t>
            </w:r>
          </w:p>
        </w:tc>
      </w:tr>
      <w:tr>
        <w:trPr>
          <w:trHeight w:val="286" w:hRule="exact"/>
        </w:trPr>
        <w:tc>
          <w:tcPr>
            <w:tcW w:w="4722" w:type="dxa"/>
          </w:tcPr>
          <w:p>
            <w:pPr>
              <w:pStyle w:val="TableParagraph"/>
              <w:spacing w:before="3"/>
              <w:ind w:left="146" w:right="542"/>
              <w:rPr>
                <w:b/>
                <w:i/>
                <w:sz w:val="22"/>
              </w:rPr>
            </w:pPr>
            <w:r>
              <w:rPr>
                <w:b/>
                <w:i/>
                <w:sz w:val="22"/>
              </w:rPr>
              <w:t>A 10 microlitros</w:t>
            </w:r>
          </w:p>
        </w:tc>
        <w:tc>
          <w:tcPr>
            <w:tcW w:w="2140" w:type="dxa"/>
          </w:tcPr>
          <w:p>
            <w:pPr/>
          </w:p>
        </w:tc>
        <w:tc>
          <w:tcPr>
            <w:tcW w:w="2602" w:type="dxa"/>
          </w:tcPr>
          <w:p>
            <w:pPr/>
          </w:p>
        </w:tc>
      </w:tr>
      <w:tr>
        <w:trPr>
          <w:trHeight w:val="508" w:hRule="exact"/>
        </w:trPr>
        <w:tc>
          <w:tcPr>
            <w:tcW w:w="4722" w:type="dxa"/>
          </w:tcPr>
          <w:p>
            <w:pPr>
              <w:pStyle w:val="TableParagraph"/>
              <w:spacing w:line="218" w:lineRule="exact" w:before="38"/>
              <w:ind w:left="283" w:right="542"/>
              <w:rPr>
                <w:i/>
                <w:sz w:val="22"/>
              </w:rPr>
            </w:pPr>
            <w:r>
              <w:rPr>
                <w:sz w:val="22"/>
              </w:rPr>
              <w:t>Np_Ag reducidas con </w:t>
            </w:r>
            <w:r>
              <w:rPr>
                <w:i/>
                <w:sz w:val="22"/>
              </w:rPr>
              <w:t>Camellia sinensis </w:t>
            </w:r>
            <w:r>
              <w:rPr>
                <w:i/>
                <w:sz w:val="22"/>
              </w:rPr>
              <w:t>vs. Clorhexidina</w:t>
            </w:r>
          </w:p>
        </w:tc>
        <w:tc>
          <w:tcPr>
            <w:tcW w:w="2140" w:type="dxa"/>
          </w:tcPr>
          <w:p>
            <w:pPr>
              <w:pStyle w:val="TableParagraph"/>
              <w:spacing w:before="114"/>
              <w:ind w:left="318" w:right="776"/>
              <w:jc w:val="center"/>
              <w:rPr>
                <w:sz w:val="22"/>
              </w:rPr>
            </w:pPr>
            <w:r>
              <w:rPr>
                <w:sz w:val="22"/>
              </w:rPr>
              <w:t>0.025</w:t>
            </w:r>
          </w:p>
        </w:tc>
        <w:tc>
          <w:tcPr>
            <w:tcW w:w="2602" w:type="dxa"/>
          </w:tcPr>
          <w:p>
            <w:pPr>
              <w:pStyle w:val="TableParagraph"/>
              <w:spacing w:before="114"/>
              <w:ind w:left="851" w:right="706"/>
              <w:jc w:val="center"/>
              <w:rPr>
                <w:sz w:val="22"/>
              </w:rPr>
            </w:pPr>
            <w:r>
              <w:rPr>
                <w:sz w:val="22"/>
              </w:rPr>
              <w:t>0.065</w:t>
            </w:r>
          </w:p>
        </w:tc>
      </w:tr>
      <w:tr>
        <w:trPr>
          <w:trHeight w:val="604" w:hRule="exact"/>
        </w:trPr>
        <w:tc>
          <w:tcPr>
            <w:tcW w:w="4722" w:type="dxa"/>
          </w:tcPr>
          <w:p>
            <w:pPr>
              <w:pStyle w:val="TableParagraph"/>
              <w:spacing w:line="220" w:lineRule="exact" w:before="37"/>
              <w:ind w:left="283" w:right="1056"/>
              <w:rPr>
                <w:i/>
                <w:sz w:val="22"/>
              </w:rPr>
            </w:pPr>
            <w:r>
              <w:rPr>
                <w:sz w:val="22"/>
              </w:rPr>
              <w:t>Np_Ag reducidas con </w:t>
            </w:r>
            <w:r>
              <w:rPr>
                <w:i/>
                <w:sz w:val="22"/>
              </w:rPr>
              <w:t>Heterotheca </w:t>
            </w:r>
            <w:r>
              <w:rPr>
                <w:i/>
                <w:sz w:val="22"/>
              </w:rPr>
              <w:t>inuloides vs. Clorhexidina</w:t>
            </w:r>
          </w:p>
        </w:tc>
        <w:tc>
          <w:tcPr>
            <w:tcW w:w="2140" w:type="dxa"/>
          </w:tcPr>
          <w:p>
            <w:pPr>
              <w:pStyle w:val="TableParagraph"/>
              <w:spacing w:before="117"/>
              <w:ind w:left="318" w:right="776"/>
              <w:jc w:val="center"/>
              <w:rPr>
                <w:sz w:val="22"/>
              </w:rPr>
            </w:pPr>
            <w:r>
              <w:rPr>
                <w:sz w:val="22"/>
              </w:rPr>
              <w:t>0.713</w:t>
            </w:r>
          </w:p>
        </w:tc>
        <w:tc>
          <w:tcPr>
            <w:tcW w:w="2602" w:type="dxa"/>
          </w:tcPr>
          <w:p>
            <w:pPr>
              <w:pStyle w:val="TableParagraph"/>
              <w:spacing w:before="117"/>
              <w:ind w:left="851" w:right="706"/>
              <w:jc w:val="center"/>
              <w:rPr>
                <w:sz w:val="22"/>
              </w:rPr>
            </w:pPr>
            <w:r>
              <w:rPr>
                <w:sz w:val="22"/>
              </w:rPr>
              <w:t>0.657</w:t>
            </w:r>
          </w:p>
        </w:tc>
      </w:tr>
      <w:tr>
        <w:trPr>
          <w:trHeight w:val="365" w:hRule="exact"/>
        </w:trPr>
        <w:tc>
          <w:tcPr>
            <w:tcW w:w="4722" w:type="dxa"/>
          </w:tcPr>
          <w:p>
            <w:pPr>
              <w:pStyle w:val="TableParagraph"/>
              <w:spacing w:before="99"/>
              <w:ind w:left="107" w:right="542"/>
              <w:rPr>
                <w:b/>
                <w:i/>
                <w:sz w:val="22"/>
              </w:rPr>
            </w:pPr>
            <w:r>
              <w:rPr>
                <w:b/>
                <w:i/>
                <w:sz w:val="22"/>
              </w:rPr>
              <w:t>A 20 microlitros</w:t>
            </w:r>
          </w:p>
        </w:tc>
        <w:tc>
          <w:tcPr>
            <w:tcW w:w="2140" w:type="dxa"/>
          </w:tcPr>
          <w:p>
            <w:pPr/>
          </w:p>
        </w:tc>
        <w:tc>
          <w:tcPr>
            <w:tcW w:w="2602" w:type="dxa"/>
          </w:tcPr>
          <w:p>
            <w:pPr/>
          </w:p>
        </w:tc>
      </w:tr>
      <w:tr>
        <w:trPr>
          <w:trHeight w:val="492" w:hRule="exact"/>
        </w:trPr>
        <w:tc>
          <w:tcPr>
            <w:tcW w:w="4722" w:type="dxa"/>
          </w:tcPr>
          <w:p>
            <w:pPr>
              <w:pStyle w:val="TableParagraph"/>
              <w:spacing w:line="220" w:lineRule="exact" w:before="20"/>
              <w:ind w:left="283" w:right="542"/>
              <w:rPr>
                <w:i/>
                <w:sz w:val="22"/>
              </w:rPr>
            </w:pPr>
            <w:r>
              <w:rPr>
                <w:sz w:val="22"/>
              </w:rPr>
              <w:t>Np_Ag reducidas con </w:t>
            </w:r>
            <w:r>
              <w:rPr>
                <w:i/>
                <w:sz w:val="22"/>
              </w:rPr>
              <w:t>Camellia sinensis </w:t>
            </w:r>
            <w:r>
              <w:rPr>
                <w:i/>
                <w:sz w:val="22"/>
              </w:rPr>
              <w:t>vs. Clorhexidina</w:t>
            </w:r>
          </w:p>
        </w:tc>
        <w:tc>
          <w:tcPr>
            <w:tcW w:w="2140" w:type="dxa"/>
          </w:tcPr>
          <w:p>
            <w:pPr>
              <w:pStyle w:val="TableParagraph"/>
              <w:spacing w:before="100"/>
              <w:ind w:left="318" w:right="776"/>
              <w:jc w:val="center"/>
              <w:rPr>
                <w:sz w:val="22"/>
              </w:rPr>
            </w:pPr>
            <w:r>
              <w:rPr>
                <w:sz w:val="22"/>
              </w:rPr>
              <w:t>0.014</w:t>
            </w:r>
          </w:p>
        </w:tc>
        <w:tc>
          <w:tcPr>
            <w:tcW w:w="2602" w:type="dxa"/>
          </w:tcPr>
          <w:p>
            <w:pPr>
              <w:pStyle w:val="TableParagraph"/>
              <w:spacing w:before="100"/>
              <w:ind w:left="851" w:right="706"/>
              <w:jc w:val="center"/>
              <w:rPr>
                <w:sz w:val="22"/>
              </w:rPr>
            </w:pPr>
            <w:r>
              <w:rPr>
                <w:sz w:val="22"/>
              </w:rPr>
              <w:t>0.016</w:t>
            </w:r>
          </w:p>
        </w:tc>
      </w:tr>
      <w:tr>
        <w:trPr>
          <w:trHeight w:val="602" w:hRule="exact"/>
        </w:trPr>
        <w:tc>
          <w:tcPr>
            <w:tcW w:w="4722" w:type="dxa"/>
          </w:tcPr>
          <w:p>
            <w:pPr>
              <w:pStyle w:val="TableParagraph"/>
              <w:spacing w:line="220" w:lineRule="exact" w:before="36"/>
              <w:ind w:left="283" w:right="1056"/>
              <w:rPr>
                <w:i/>
                <w:sz w:val="22"/>
              </w:rPr>
            </w:pPr>
            <w:r>
              <w:rPr>
                <w:sz w:val="22"/>
              </w:rPr>
              <w:t>Np_Ag reducidas con </w:t>
            </w:r>
            <w:r>
              <w:rPr>
                <w:i/>
                <w:sz w:val="22"/>
              </w:rPr>
              <w:t>Heterotheca </w:t>
            </w:r>
            <w:r>
              <w:rPr>
                <w:i/>
                <w:sz w:val="22"/>
              </w:rPr>
              <w:t>inuloides vs. Clorhexidina</w:t>
            </w:r>
          </w:p>
        </w:tc>
        <w:tc>
          <w:tcPr>
            <w:tcW w:w="2140" w:type="dxa"/>
          </w:tcPr>
          <w:p>
            <w:pPr>
              <w:pStyle w:val="TableParagraph"/>
              <w:spacing w:before="116"/>
              <w:ind w:left="318" w:right="776"/>
              <w:jc w:val="center"/>
              <w:rPr>
                <w:sz w:val="22"/>
              </w:rPr>
            </w:pPr>
            <w:r>
              <w:rPr>
                <w:sz w:val="22"/>
              </w:rPr>
              <w:t>0.022</w:t>
            </w:r>
          </w:p>
        </w:tc>
        <w:tc>
          <w:tcPr>
            <w:tcW w:w="2602" w:type="dxa"/>
          </w:tcPr>
          <w:p>
            <w:pPr>
              <w:pStyle w:val="TableParagraph"/>
              <w:spacing w:before="116"/>
              <w:ind w:left="851" w:right="706"/>
              <w:jc w:val="center"/>
              <w:rPr>
                <w:sz w:val="22"/>
              </w:rPr>
            </w:pPr>
            <w:r>
              <w:rPr>
                <w:sz w:val="22"/>
              </w:rPr>
              <w:t>0.018</w:t>
            </w:r>
          </w:p>
        </w:tc>
      </w:tr>
      <w:tr>
        <w:trPr>
          <w:trHeight w:val="365" w:hRule="exact"/>
        </w:trPr>
        <w:tc>
          <w:tcPr>
            <w:tcW w:w="4722" w:type="dxa"/>
          </w:tcPr>
          <w:p>
            <w:pPr>
              <w:pStyle w:val="TableParagraph"/>
              <w:spacing w:before="99"/>
              <w:ind w:left="107" w:right="542"/>
              <w:rPr>
                <w:b/>
                <w:i/>
                <w:sz w:val="22"/>
              </w:rPr>
            </w:pPr>
            <w:r>
              <w:rPr>
                <w:b/>
                <w:i/>
                <w:sz w:val="22"/>
              </w:rPr>
              <w:t>A 30 microlitros</w:t>
            </w:r>
          </w:p>
        </w:tc>
        <w:tc>
          <w:tcPr>
            <w:tcW w:w="2140" w:type="dxa"/>
          </w:tcPr>
          <w:p>
            <w:pPr/>
          </w:p>
        </w:tc>
        <w:tc>
          <w:tcPr>
            <w:tcW w:w="2602" w:type="dxa"/>
          </w:tcPr>
          <w:p>
            <w:pPr/>
          </w:p>
        </w:tc>
      </w:tr>
      <w:tr>
        <w:trPr>
          <w:trHeight w:val="493" w:hRule="exact"/>
        </w:trPr>
        <w:tc>
          <w:tcPr>
            <w:tcW w:w="4722" w:type="dxa"/>
          </w:tcPr>
          <w:p>
            <w:pPr>
              <w:pStyle w:val="TableParagraph"/>
              <w:spacing w:line="220" w:lineRule="exact" w:before="19"/>
              <w:ind w:left="287" w:right="543" w:hanging="5"/>
              <w:rPr>
                <w:i/>
                <w:sz w:val="22"/>
              </w:rPr>
            </w:pPr>
            <w:r>
              <w:rPr>
                <w:sz w:val="22"/>
              </w:rPr>
              <w:t>Np_Ag reducidas con </w:t>
            </w:r>
            <w:r>
              <w:rPr>
                <w:i/>
                <w:sz w:val="22"/>
              </w:rPr>
              <w:t>Camellia sinensis </w:t>
            </w:r>
            <w:r>
              <w:rPr>
                <w:i/>
                <w:sz w:val="22"/>
              </w:rPr>
              <w:t>vs. Clorhexidina</w:t>
            </w:r>
          </w:p>
        </w:tc>
        <w:tc>
          <w:tcPr>
            <w:tcW w:w="2140" w:type="dxa"/>
          </w:tcPr>
          <w:p>
            <w:pPr>
              <w:pStyle w:val="TableParagraph"/>
              <w:spacing w:before="99"/>
              <w:ind w:left="318" w:right="776"/>
              <w:jc w:val="center"/>
              <w:rPr>
                <w:sz w:val="22"/>
              </w:rPr>
            </w:pPr>
            <w:r>
              <w:rPr>
                <w:sz w:val="22"/>
              </w:rPr>
              <w:t>0.193</w:t>
            </w:r>
          </w:p>
        </w:tc>
        <w:tc>
          <w:tcPr>
            <w:tcW w:w="2602" w:type="dxa"/>
          </w:tcPr>
          <w:p>
            <w:pPr>
              <w:pStyle w:val="TableParagraph"/>
              <w:spacing w:before="99"/>
              <w:ind w:left="851" w:right="706"/>
              <w:jc w:val="center"/>
              <w:rPr>
                <w:sz w:val="22"/>
              </w:rPr>
            </w:pPr>
            <w:r>
              <w:rPr>
                <w:sz w:val="22"/>
              </w:rPr>
              <w:t>0.141</w:t>
            </w:r>
          </w:p>
        </w:tc>
      </w:tr>
      <w:tr>
        <w:trPr>
          <w:trHeight w:val="528" w:hRule="exact"/>
        </w:trPr>
        <w:tc>
          <w:tcPr>
            <w:tcW w:w="4722" w:type="dxa"/>
            <w:tcBorders>
              <w:bottom w:val="single" w:sz="12" w:space="0" w:color="000000"/>
            </w:tcBorders>
          </w:tcPr>
          <w:p>
            <w:pPr>
              <w:pStyle w:val="TableParagraph"/>
              <w:spacing w:line="218" w:lineRule="exact" w:before="39"/>
              <w:ind w:left="287" w:right="1057" w:hanging="5"/>
              <w:rPr>
                <w:i/>
                <w:sz w:val="22"/>
              </w:rPr>
            </w:pPr>
            <w:r>
              <w:rPr>
                <w:sz w:val="22"/>
              </w:rPr>
              <w:t>Np_Ag reducidas con </w:t>
            </w:r>
            <w:r>
              <w:rPr>
                <w:i/>
                <w:sz w:val="22"/>
              </w:rPr>
              <w:t>Heterotheca </w:t>
            </w:r>
            <w:r>
              <w:rPr>
                <w:i/>
                <w:sz w:val="22"/>
              </w:rPr>
              <w:t>inuloides vs. Clorhexidina</w:t>
            </w:r>
          </w:p>
        </w:tc>
        <w:tc>
          <w:tcPr>
            <w:tcW w:w="2140" w:type="dxa"/>
            <w:tcBorders>
              <w:bottom w:val="single" w:sz="12" w:space="0" w:color="000000"/>
            </w:tcBorders>
          </w:tcPr>
          <w:p>
            <w:pPr>
              <w:pStyle w:val="TableParagraph"/>
              <w:spacing w:before="117"/>
              <w:ind w:left="318" w:right="776"/>
              <w:jc w:val="center"/>
              <w:rPr>
                <w:sz w:val="22"/>
              </w:rPr>
            </w:pPr>
            <w:r>
              <w:rPr>
                <w:sz w:val="22"/>
              </w:rPr>
              <w:t>0.090</w:t>
            </w:r>
          </w:p>
        </w:tc>
        <w:tc>
          <w:tcPr>
            <w:tcW w:w="2602" w:type="dxa"/>
            <w:tcBorders>
              <w:bottom w:val="single" w:sz="12" w:space="0" w:color="000000"/>
            </w:tcBorders>
          </w:tcPr>
          <w:p>
            <w:pPr>
              <w:pStyle w:val="TableParagraph"/>
              <w:spacing w:before="117"/>
              <w:ind w:left="851" w:right="706"/>
              <w:jc w:val="center"/>
              <w:rPr>
                <w:sz w:val="22"/>
              </w:rPr>
            </w:pPr>
            <w:r>
              <w:rPr>
                <w:sz w:val="22"/>
              </w:rPr>
              <w:t>0.128</w:t>
            </w:r>
          </w:p>
        </w:tc>
      </w:tr>
      <w:tr>
        <w:trPr>
          <w:trHeight w:val="265" w:hRule="exact"/>
        </w:trPr>
        <w:tc>
          <w:tcPr>
            <w:tcW w:w="4722" w:type="dxa"/>
            <w:tcBorders>
              <w:top w:val="single" w:sz="12" w:space="0" w:color="000000"/>
            </w:tcBorders>
          </w:tcPr>
          <w:p>
            <w:pPr>
              <w:pStyle w:val="TableParagraph"/>
              <w:spacing w:line="254" w:lineRule="exact"/>
              <w:ind w:left="107" w:right="542"/>
              <w:rPr>
                <w:sz w:val="18"/>
              </w:rPr>
            </w:pPr>
            <w:r>
              <w:rPr>
                <w:position w:val="10"/>
                <w:sz w:val="13"/>
              </w:rPr>
              <w:t>ǂ </w:t>
            </w:r>
            <w:r>
              <w:rPr>
                <w:sz w:val="18"/>
              </w:rPr>
              <w:t>Nivel de confianza: 95 por ciento</w:t>
            </w:r>
          </w:p>
        </w:tc>
        <w:tc>
          <w:tcPr>
            <w:tcW w:w="2140" w:type="dxa"/>
            <w:tcBorders>
              <w:top w:val="single" w:sz="12" w:space="0" w:color="000000"/>
            </w:tcBorders>
          </w:tcPr>
          <w:p>
            <w:pPr/>
          </w:p>
        </w:tc>
        <w:tc>
          <w:tcPr>
            <w:tcW w:w="2602" w:type="dxa"/>
            <w:tcBorders>
              <w:top w:val="single" w:sz="12" w:space="0" w:color="000000"/>
            </w:tcBorders>
          </w:tcPr>
          <w:p>
            <w:pPr/>
          </w:p>
        </w:tc>
      </w:tr>
    </w:tbl>
    <w:p>
      <w:pPr>
        <w:pStyle w:val="BodyText"/>
        <w:rPr>
          <w:rFonts w:ascii="Times New Roman"/>
          <w:sz w:val="20"/>
        </w:rPr>
      </w:pPr>
    </w:p>
    <w:p>
      <w:pPr>
        <w:pStyle w:val="BodyText"/>
        <w:spacing w:before="6"/>
        <w:rPr>
          <w:rFonts w:ascii="Times New Roman"/>
          <w:sz w:val="18"/>
        </w:rPr>
      </w:pPr>
    </w:p>
    <w:tbl>
      <w:tblPr>
        <w:tblW w:w="0" w:type="auto"/>
        <w:jc w:val="left"/>
        <w:tblInd w:w="13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96"/>
        <w:gridCol w:w="2259"/>
      </w:tblGrid>
      <w:tr>
        <w:trPr>
          <w:trHeight w:val="553" w:hRule="exact"/>
        </w:trPr>
        <w:tc>
          <w:tcPr>
            <w:tcW w:w="7055" w:type="dxa"/>
            <w:gridSpan w:val="2"/>
          </w:tcPr>
          <w:p>
            <w:pPr>
              <w:pStyle w:val="TableParagraph"/>
              <w:spacing w:line="223" w:lineRule="auto"/>
              <w:ind w:left="189" w:hanging="60"/>
              <w:rPr>
                <w:sz w:val="14"/>
              </w:rPr>
            </w:pPr>
            <w:r>
              <w:rPr>
                <w:sz w:val="24"/>
              </w:rPr>
              <w:t>Tabla 3. Diferencias de medias de los halos inhibitorios sobre el crecimiento de </w:t>
            </w:r>
            <w:r>
              <w:rPr>
                <w:i/>
                <w:sz w:val="24"/>
              </w:rPr>
              <w:t>Streptococcus mutans vs.  Lactobacillus casei </w:t>
            </w:r>
            <w:r>
              <w:rPr>
                <w:position w:val="10"/>
                <w:sz w:val="14"/>
              </w:rPr>
              <w:t>ǂ</w:t>
            </w:r>
          </w:p>
        </w:tc>
      </w:tr>
      <w:tr>
        <w:trPr>
          <w:trHeight w:val="304" w:hRule="exact"/>
        </w:trPr>
        <w:tc>
          <w:tcPr>
            <w:tcW w:w="4796" w:type="dxa"/>
          </w:tcPr>
          <w:p>
            <w:pPr/>
          </w:p>
        </w:tc>
        <w:tc>
          <w:tcPr>
            <w:tcW w:w="2259" w:type="dxa"/>
          </w:tcPr>
          <w:p>
            <w:pPr>
              <w:pStyle w:val="TableParagraph"/>
              <w:spacing w:before="23"/>
              <w:ind w:left="391" w:right="825"/>
              <w:jc w:val="center"/>
              <w:rPr>
                <w:i/>
                <w:sz w:val="22"/>
              </w:rPr>
            </w:pPr>
            <w:r>
              <w:rPr>
                <w:sz w:val="22"/>
              </w:rPr>
              <w:t>Valor de </w:t>
            </w:r>
            <w:r>
              <w:rPr>
                <w:i/>
                <w:sz w:val="22"/>
              </w:rPr>
              <w:t>p</w:t>
            </w:r>
          </w:p>
        </w:tc>
      </w:tr>
      <w:tr>
        <w:trPr>
          <w:trHeight w:val="299" w:hRule="exact"/>
        </w:trPr>
        <w:tc>
          <w:tcPr>
            <w:tcW w:w="4796" w:type="dxa"/>
          </w:tcPr>
          <w:p>
            <w:pPr>
              <w:pStyle w:val="TableParagraph"/>
              <w:spacing w:before="5"/>
              <w:ind w:left="146"/>
              <w:rPr>
                <w:b/>
                <w:i/>
                <w:sz w:val="22"/>
              </w:rPr>
            </w:pPr>
            <w:r>
              <w:rPr>
                <w:b/>
                <w:i/>
                <w:sz w:val="22"/>
              </w:rPr>
              <w:t>A 10 microlitros</w:t>
            </w:r>
          </w:p>
        </w:tc>
        <w:tc>
          <w:tcPr>
            <w:tcW w:w="2259" w:type="dxa"/>
          </w:tcPr>
          <w:p>
            <w:pPr/>
          </w:p>
        </w:tc>
      </w:tr>
      <w:tr>
        <w:trPr>
          <w:trHeight w:val="289" w:hRule="exact"/>
        </w:trPr>
        <w:tc>
          <w:tcPr>
            <w:tcW w:w="4796" w:type="dxa"/>
          </w:tcPr>
          <w:p>
            <w:pPr>
              <w:pStyle w:val="TableParagraph"/>
              <w:spacing w:before="18"/>
              <w:ind w:right="634"/>
              <w:jc w:val="right"/>
              <w:rPr>
                <w:i/>
                <w:sz w:val="22"/>
              </w:rPr>
            </w:pPr>
            <w:r>
              <w:rPr>
                <w:sz w:val="22"/>
              </w:rPr>
              <w:t>Np_Ag reducidas con </w:t>
            </w:r>
            <w:r>
              <w:rPr>
                <w:i/>
                <w:sz w:val="22"/>
              </w:rPr>
              <w:t>Camellia sinensis</w:t>
            </w:r>
          </w:p>
        </w:tc>
        <w:tc>
          <w:tcPr>
            <w:tcW w:w="2259" w:type="dxa"/>
          </w:tcPr>
          <w:p>
            <w:pPr>
              <w:pStyle w:val="TableParagraph"/>
              <w:spacing w:before="18"/>
              <w:ind w:left="391" w:right="822"/>
              <w:jc w:val="center"/>
              <w:rPr>
                <w:sz w:val="22"/>
              </w:rPr>
            </w:pPr>
            <w:r>
              <w:rPr>
                <w:sz w:val="22"/>
              </w:rPr>
              <w:t>0.840</w:t>
            </w:r>
          </w:p>
        </w:tc>
      </w:tr>
      <w:tr>
        <w:trPr>
          <w:trHeight w:val="335" w:hRule="exact"/>
        </w:trPr>
        <w:tc>
          <w:tcPr>
            <w:tcW w:w="4796" w:type="dxa"/>
          </w:tcPr>
          <w:p>
            <w:pPr>
              <w:pStyle w:val="TableParagraph"/>
              <w:spacing w:line="248" w:lineRule="exact"/>
              <w:ind w:left="283"/>
              <w:rPr>
                <w:i/>
                <w:sz w:val="22"/>
              </w:rPr>
            </w:pPr>
            <w:r>
              <w:rPr>
                <w:sz w:val="22"/>
              </w:rPr>
              <w:t>Np_Ag reducidas con </w:t>
            </w:r>
            <w:r>
              <w:rPr>
                <w:i/>
                <w:sz w:val="22"/>
              </w:rPr>
              <w:t>Heterotheca</w:t>
            </w:r>
          </w:p>
        </w:tc>
        <w:tc>
          <w:tcPr>
            <w:tcW w:w="2259" w:type="dxa"/>
          </w:tcPr>
          <w:p>
            <w:pPr>
              <w:pStyle w:val="TableParagraph"/>
              <w:spacing w:before="41"/>
              <w:ind w:left="391" w:right="822"/>
              <w:jc w:val="center"/>
              <w:rPr>
                <w:sz w:val="22"/>
              </w:rPr>
            </w:pPr>
            <w:r>
              <w:rPr>
                <w:sz w:val="22"/>
              </w:rPr>
              <w:t>1.000</w:t>
            </w:r>
          </w:p>
        </w:tc>
      </w:tr>
      <w:tr>
        <w:trPr>
          <w:trHeight w:val="468" w:hRule="exact"/>
        </w:trPr>
        <w:tc>
          <w:tcPr>
            <w:tcW w:w="4796" w:type="dxa"/>
          </w:tcPr>
          <w:p>
            <w:pPr>
              <w:pStyle w:val="TableParagraph"/>
              <w:spacing w:before="18"/>
              <w:ind w:left="283"/>
              <w:rPr>
                <w:sz w:val="22"/>
              </w:rPr>
            </w:pPr>
            <w:r>
              <w:rPr>
                <w:sz w:val="22"/>
              </w:rPr>
              <w:t>Clorhexidina</w:t>
            </w:r>
          </w:p>
        </w:tc>
        <w:tc>
          <w:tcPr>
            <w:tcW w:w="2259" w:type="dxa"/>
          </w:tcPr>
          <w:p>
            <w:pPr>
              <w:pStyle w:val="TableParagraph"/>
              <w:spacing w:before="18"/>
              <w:ind w:left="391" w:right="822"/>
              <w:jc w:val="center"/>
              <w:rPr>
                <w:sz w:val="22"/>
              </w:rPr>
            </w:pPr>
            <w:r>
              <w:rPr>
                <w:sz w:val="22"/>
              </w:rPr>
              <w:t>0.907</w:t>
            </w:r>
          </w:p>
        </w:tc>
      </w:tr>
      <w:tr>
        <w:trPr>
          <w:trHeight w:val="468" w:hRule="exact"/>
        </w:trPr>
        <w:tc>
          <w:tcPr>
            <w:tcW w:w="4796" w:type="dxa"/>
          </w:tcPr>
          <w:p>
            <w:pPr>
              <w:pStyle w:val="TableParagraph"/>
              <w:spacing w:before="174"/>
              <w:ind w:left="283"/>
              <w:rPr>
                <w:b/>
                <w:i/>
                <w:sz w:val="22"/>
              </w:rPr>
            </w:pPr>
            <w:r>
              <w:rPr>
                <w:b/>
                <w:i/>
                <w:sz w:val="22"/>
              </w:rPr>
              <w:t>A 20 microlitros</w:t>
            </w:r>
          </w:p>
        </w:tc>
        <w:tc>
          <w:tcPr>
            <w:tcW w:w="2259" w:type="dxa"/>
          </w:tcPr>
          <w:p>
            <w:pPr/>
          </w:p>
        </w:tc>
      </w:tr>
      <w:tr>
        <w:trPr>
          <w:trHeight w:val="289" w:hRule="exact"/>
        </w:trPr>
        <w:tc>
          <w:tcPr>
            <w:tcW w:w="4796" w:type="dxa"/>
          </w:tcPr>
          <w:p>
            <w:pPr>
              <w:pStyle w:val="TableParagraph"/>
              <w:spacing w:before="18"/>
              <w:ind w:right="634"/>
              <w:jc w:val="right"/>
              <w:rPr>
                <w:i/>
                <w:sz w:val="22"/>
              </w:rPr>
            </w:pPr>
            <w:r>
              <w:rPr>
                <w:sz w:val="22"/>
              </w:rPr>
              <w:t>Np_Ag reducidas con </w:t>
            </w:r>
            <w:r>
              <w:rPr>
                <w:i/>
                <w:sz w:val="22"/>
              </w:rPr>
              <w:t>Camellia sinensis</w:t>
            </w:r>
          </w:p>
        </w:tc>
        <w:tc>
          <w:tcPr>
            <w:tcW w:w="2259" w:type="dxa"/>
          </w:tcPr>
          <w:p>
            <w:pPr>
              <w:pStyle w:val="TableParagraph"/>
              <w:spacing w:before="18"/>
              <w:ind w:left="391" w:right="822"/>
              <w:jc w:val="center"/>
              <w:rPr>
                <w:sz w:val="22"/>
              </w:rPr>
            </w:pPr>
            <w:r>
              <w:rPr>
                <w:sz w:val="22"/>
              </w:rPr>
              <w:t>0.465</w:t>
            </w:r>
          </w:p>
        </w:tc>
      </w:tr>
      <w:tr>
        <w:trPr>
          <w:trHeight w:val="335" w:hRule="exact"/>
        </w:trPr>
        <w:tc>
          <w:tcPr>
            <w:tcW w:w="4796" w:type="dxa"/>
          </w:tcPr>
          <w:p>
            <w:pPr>
              <w:pStyle w:val="TableParagraph"/>
              <w:spacing w:line="248" w:lineRule="exact"/>
              <w:ind w:left="283"/>
              <w:rPr>
                <w:i/>
                <w:sz w:val="22"/>
              </w:rPr>
            </w:pPr>
            <w:r>
              <w:rPr>
                <w:sz w:val="22"/>
              </w:rPr>
              <w:t>Np_Ag reducidas con </w:t>
            </w:r>
            <w:r>
              <w:rPr>
                <w:i/>
                <w:sz w:val="22"/>
              </w:rPr>
              <w:t>Heterotheca</w:t>
            </w:r>
          </w:p>
        </w:tc>
        <w:tc>
          <w:tcPr>
            <w:tcW w:w="2259" w:type="dxa"/>
          </w:tcPr>
          <w:p>
            <w:pPr>
              <w:pStyle w:val="TableParagraph"/>
              <w:spacing w:before="41"/>
              <w:ind w:left="391" w:right="822"/>
              <w:jc w:val="center"/>
              <w:rPr>
                <w:sz w:val="22"/>
              </w:rPr>
            </w:pPr>
            <w:r>
              <w:rPr>
                <w:sz w:val="22"/>
              </w:rPr>
              <w:t>1.000</w:t>
            </w:r>
          </w:p>
        </w:tc>
      </w:tr>
      <w:tr>
        <w:trPr>
          <w:trHeight w:val="468" w:hRule="exact"/>
        </w:trPr>
        <w:tc>
          <w:tcPr>
            <w:tcW w:w="4796" w:type="dxa"/>
          </w:tcPr>
          <w:p>
            <w:pPr>
              <w:pStyle w:val="TableParagraph"/>
              <w:spacing w:before="18"/>
              <w:ind w:left="283"/>
              <w:rPr>
                <w:sz w:val="22"/>
              </w:rPr>
            </w:pPr>
            <w:r>
              <w:rPr>
                <w:sz w:val="22"/>
              </w:rPr>
              <w:t>Clorhexidina</w:t>
            </w:r>
          </w:p>
        </w:tc>
        <w:tc>
          <w:tcPr>
            <w:tcW w:w="2259" w:type="dxa"/>
          </w:tcPr>
          <w:p>
            <w:pPr>
              <w:pStyle w:val="TableParagraph"/>
              <w:spacing w:before="18"/>
              <w:ind w:left="391" w:right="822"/>
              <w:jc w:val="center"/>
              <w:rPr>
                <w:sz w:val="22"/>
              </w:rPr>
            </w:pPr>
            <w:r>
              <w:rPr>
                <w:sz w:val="22"/>
              </w:rPr>
              <w:t>0.570</w:t>
            </w:r>
          </w:p>
        </w:tc>
      </w:tr>
      <w:tr>
        <w:trPr>
          <w:trHeight w:val="468" w:hRule="exact"/>
        </w:trPr>
        <w:tc>
          <w:tcPr>
            <w:tcW w:w="4796" w:type="dxa"/>
          </w:tcPr>
          <w:p>
            <w:pPr>
              <w:pStyle w:val="TableParagraph"/>
              <w:spacing w:before="174"/>
              <w:ind w:left="283"/>
              <w:rPr>
                <w:b/>
                <w:i/>
                <w:sz w:val="22"/>
              </w:rPr>
            </w:pPr>
            <w:r>
              <w:rPr>
                <w:b/>
                <w:i/>
                <w:sz w:val="22"/>
              </w:rPr>
              <w:t>A 30 microlitros</w:t>
            </w:r>
          </w:p>
        </w:tc>
        <w:tc>
          <w:tcPr>
            <w:tcW w:w="2259" w:type="dxa"/>
          </w:tcPr>
          <w:p>
            <w:pPr/>
          </w:p>
        </w:tc>
      </w:tr>
      <w:tr>
        <w:trPr>
          <w:trHeight w:val="289" w:hRule="exact"/>
        </w:trPr>
        <w:tc>
          <w:tcPr>
            <w:tcW w:w="4796" w:type="dxa"/>
          </w:tcPr>
          <w:p>
            <w:pPr>
              <w:pStyle w:val="TableParagraph"/>
              <w:spacing w:before="18"/>
              <w:ind w:right="634"/>
              <w:jc w:val="right"/>
              <w:rPr>
                <w:i/>
                <w:sz w:val="22"/>
              </w:rPr>
            </w:pPr>
            <w:r>
              <w:rPr>
                <w:sz w:val="22"/>
              </w:rPr>
              <w:t>Np_Ag reducidas con </w:t>
            </w:r>
            <w:r>
              <w:rPr>
                <w:i/>
                <w:sz w:val="22"/>
              </w:rPr>
              <w:t>Camellia sinensis</w:t>
            </w:r>
          </w:p>
        </w:tc>
        <w:tc>
          <w:tcPr>
            <w:tcW w:w="2259" w:type="dxa"/>
          </w:tcPr>
          <w:p>
            <w:pPr>
              <w:pStyle w:val="TableParagraph"/>
              <w:spacing w:before="18"/>
              <w:ind w:left="391" w:right="822"/>
              <w:jc w:val="center"/>
              <w:rPr>
                <w:sz w:val="22"/>
              </w:rPr>
            </w:pPr>
            <w:r>
              <w:rPr>
                <w:sz w:val="22"/>
              </w:rPr>
              <w:t>0.422</w:t>
            </w:r>
          </w:p>
        </w:tc>
      </w:tr>
      <w:tr>
        <w:trPr>
          <w:trHeight w:val="335" w:hRule="exact"/>
        </w:trPr>
        <w:tc>
          <w:tcPr>
            <w:tcW w:w="4796" w:type="dxa"/>
          </w:tcPr>
          <w:p>
            <w:pPr>
              <w:pStyle w:val="TableParagraph"/>
              <w:spacing w:line="248" w:lineRule="exact"/>
              <w:ind w:left="283"/>
              <w:rPr>
                <w:i/>
                <w:sz w:val="22"/>
              </w:rPr>
            </w:pPr>
            <w:r>
              <w:rPr>
                <w:sz w:val="22"/>
              </w:rPr>
              <w:t>Np_Ag reducidas con </w:t>
            </w:r>
            <w:r>
              <w:rPr>
                <w:i/>
                <w:sz w:val="22"/>
              </w:rPr>
              <w:t>Heterotheca</w:t>
            </w:r>
          </w:p>
        </w:tc>
        <w:tc>
          <w:tcPr>
            <w:tcW w:w="2259" w:type="dxa"/>
          </w:tcPr>
          <w:p>
            <w:pPr>
              <w:pStyle w:val="TableParagraph"/>
              <w:spacing w:before="41"/>
              <w:ind w:left="391" w:right="822"/>
              <w:jc w:val="center"/>
              <w:rPr>
                <w:sz w:val="22"/>
              </w:rPr>
            </w:pPr>
            <w:r>
              <w:rPr>
                <w:sz w:val="22"/>
              </w:rPr>
              <w:t>0.928</w:t>
            </w:r>
          </w:p>
        </w:tc>
      </w:tr>
      <w:tr>
        <w:trPr>
          <w:trHeight w:val="330" w:hRule="exact"/>
        </w:trPr>
        <w:tc>
          <w:tcPr>
            <w:tcW w:w="4796" w:type="dxa"/>
            <w:tcBorders>
              <w:bottom w:val="single" w:sz="12" w:space="0" w:color="000000"/>
            </w:tcBorders>
          </w:tcPr>
          <w:p>
            <w:pPr>
              <w:pStyle w:val="TableParagraph"/>
              <w:spacing w:before="18"/>
              <w:ind w:left="283"/>
              <w:rPr>
                <w:sz w:val="22"/>
              </w:rPr>
            </w:pPr>
            <w:r>
              <w:rPr>
                <w:sz w:val="22"/>
              </w:rPr>
              <w:t>Clorhexidina</w:t>
            </w:r>
          </w:p>
        </w:tc>
        <w:tc>
          <w:tcPr>
            <w:tcW w:w="2259" w:type="dxa"/>
            <w:tcBorders>
              <w:bottom w:val="single" w:sz="12" w:space="0" w:color="000000"/>
            </w:tcBorders>
          </w:tcPr>
          <w:p>
            <w:pPr>
              <w:pStyle w:val="TableParagraph"/>
              <w:spacing w:before="18"/>
              <w:ind w:left="391" w:right="822"/>
              <w:jc w:val="center"/>
              <w:rPr>
                <w:sz w:val="22"/>
              </w:rPr>
            </w:pPr>
            <w:r>
              <w:rPr>
                <w:sz w:val="22"/>
              </w:rPr>
              <w:t>0.777</w:t>
            </w:r>
          </w:p>
        </w:tc>
      </w:tr>
      <w:tr>
        <w:trPr>
          <w:trHeight w:val="277" w:hRule="exact"/>
        </w:trPr>
        <w:tc>
          <w:tcPr>
            <w:tcW w:w="4796" w:type="dxa"/>
            <w:tcBorders>
              <w:top w:val="single" w:sz="12" w:space="0" w:color="000000"/>
            </w:tcBorders>
          </w:tcPr>
          <w:p>
            <w:pPr>
              <w:pStyle w:val="TableParagraph"/>
              <w:spacing w:before="6"/>
              <w:ind w:left="108"/>
              <w:rPr>
                <w:sz w:val="18"/>
              </w:rPr>
            </w:pPr>
            <w:r>
              <w:rPr>
                <w:position w:val="10"/>
                <w:sz w:val="13"/>
              </w:rPr>
              <w:t>ǂ </w:t>
            </w:r>
            <w:r>
              <w:rPr>
                <w:sz w:val="18"/>
              </w:rPr>
              <w:t>Nivel de confianza: 95 por ciento</w:t>
            </w:r>
          </w:p>
        </w:tc>
        <w:tc>
          <w:tcPr>
            <w:tcW w:w="2259" w:type="dxa"/>
            <w:tcBorders>
              <w:top w:val="single" w:sz="12" w:space="0" w:color="000000"/>
            </w:tcBorders>
          </w:tcPr>
          <w:p>
            <w:pPr/>
          </w:p>
        </w:tc>
      </w:tr>
    </w:tbl>
    <w:p>
      <w:pPr>
        <w:spacing w:after="0"/>
        <w:sectPr>
          <w:headerReference w:type="default" r:id="rId221"/>
          <w:footerReference w:type="default" r:id="rId222"/>
          <w:pgSz w:w="12240" w:h="15840"/>
          <w:pgMar w:header="736" w:footer="1024" w:top="1180" w:bottom="1220" w:left="1280" w:right="1260"/>
          <w:pgNumType w:start="113"/>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1"/>
        </w:rPr>
      </w:pPr>
    </w:p>
    <w:p>
      <w:pPr>
        <w:pStyle w:val="Heading1"/>
        <w:numPr>
          <w:ilvl w:val="0"/>
          <w:numId w:val="20"/>
        </w:numPr>
        <w:tabs>
          <w:tab w:pos="4058" w:val="left" w:leader="none"/>
          <w:tab w:pos="4059" w:val="left" w:leader="none"/>
        </w:tabs>
        <w:spacing w:line="921" w:lineRule="exact" w:before="0" w:after="0"/>
        <w:ind w:left="4058" w:right="0" w:hanging="1440"/>
        <w:jc w:val="left"/>
      </w:pPr>
      <w:bookmarkStart w:name="_TOC_250003" w:id="13"/>
      <w:bookmarkEnd w:id="13"/>
      <w:r>
        <w:rPr/>
        <w:t>DISCUSIÓN</w:t>
      </w:r>
    </w:p>
    <w:p>
      <w:pPr>
        <w:spacing w:after="0" w:line="921" w:lineRule="exact"/>
        <w:jc w:val="left"/>
        <w:sectPr>
          <w:pgSz w:w="12240" w:h="15840"/>
          <w:pgMar w:header="736" w:footer="1024" w:top="1180" w:bottom="1220" w:left="1280" w:right="1260"/>
        </w:sectPr>
      </w:pPr>
    </w:p>
    <w:p>
      <w:pPr>
        <w:pStyle w:val="BodyText"/>
        <w:spacing w:before="2"/>
        <w:rPr>
          <w:b/>
          <w:sz w:val="17"/>
        </w:rPr>
      </w:pPr>
    </w:p>
    <w:p>
      <w:pPr>
        <w:pStyle w:val="Heading2"/>
        <w:ind w:right="16"/>
        <w:jc w:val="center"/>
      </w:pPr>
      <w:r>
        <w:rPr/>
        <w:t>DISCUSIÓN</w:t>
      </w:r>
    </w:p>
    <w:p>
      <w:pPr>
        <w:pStyle w:val="BodyText"/>
        <w:spacing w:before="5"/>
        <w:rPr>
          <w:b/>
          <w:sz w:val="23"/>
        </w:rPr>
      </w:pPr>
    </w:p>
    <w:p>
      <w:pPr>
        <w:pStyle w:val="BodyText"/>
        <w:spacing w:before="69"/>
        <w:ind w:left="160"/>
        <w:jc w:val="both"/>
      </w:pPr>
      <w:r>
        <w:rPr/>
        <w:t>Etapa 1.</w:t>
      </w:r>
    </w:p>
    <w:p>
      <w:pPr>
        <w:pStyle w:val="BodyText"/>
        <w:spacing w:before="4"/>
        <w:rPr>
          <w:sz w:val="29"/>
        </w:rPr>
      </w:pPr>
    </w:p>
    <w:p>
      <w:pPr>
        <w:pStyle w:val="BodyText"/>
        <w:spacing w:line="360" w:lineRule="auto" w:before="1"/>
        <w:ind w:left="160" w:right="175"/>
        <w:jc w:val="both"/>
      </w:pPr>
      <w:r>
        <w:rPr/>
        <w:t>Cuando se utilizan bioreductores, el mecanismo de la reducción no se ha podido elucidar completamente, se desconoce hasta la fecha y es muy complejo. En la figura 18 se presentan las principales moléculas químicas que integran los principios activos de </w:t>
      </w:r>
      <w:r>
        <w:rPr>
          <w:i/>
        </w:rPr>
        <w:t>Heterotheca inuloides</w:t>
      </w:r>
      <w:r>
        <w:rPr/>
        <w:t>, cualquiera o todas podrían proporcionar el electrón al ion plata para llevar a cabo el proceso de reducción y obtener plata metálica. Otra de las funciones del bioreductor es limitar el crecimiento de las nanopartículas y esto es característico de cada bioreductor.</w:t>
      </w:r>
    </w:p>
    <w:p>
      <w:pPr>
        <w:pStyle w:val="BodyText"/>
        <w:rPr>
          <w:sz w:val="20"/>
        </w:rPr>
      </w:pPr>
    </w:p>
    <w:p>
      <w:pPr>
        <w:pStyle w:val="BodyText"/>
        <w:rPr>
          <w:sz w:val="20"/>
        </w:rPr>
      </w:pPr>
    </w:p>
    <w:p>
      <w:pPr>
        <w:pStyle w:val="BodyText"/>
        <w:spacing w:before="8"/>
        <w:rPr>
          <w:sz w:val="27"/>
        </w:rPr>
      </w:pPr>
      <w:r>
        <w:rPr/>
        <w:pict>
          <v:group style="position:absolute;margin-left:162.75pt;margin-top:17.895876pt;width:287.1pt;height:276.45pt;mso-position-horizontal-relative:page;mso-position-vertical-relative:paragraph;z-index:5968;mso-wrap-distance-left:0;mso-wrap-distance-right:0" coordorigin="3255,358" coordsize="5742,5529">
            <v:shape style="position:absolute;left:3315;top:418;width:5622;height:5409" type="#_x0000_t75" stroked="false">
              <v:imagedata r:id="rId223" o:title=""/>
            </v:shape>
            <v:rect style="position:absolute;left:3285;top:388;width:5682;height:5469" filled="false" stroked="true" strokeweight="3.0pt" strokecolor="#4f81bc"/>
            <w10:wrap type="topAndBottom"/>
          </v:group>
        </w:pict>
      </w:r>
    </w:p>
    <w:p>
      <w:pPr>
        <w:pStyle w:val="BodyText"/>
        <w:rPr>
          <w:sz w:val="26"/>
        </w:rPr>
      </w:pPr>
    </w:p>
    <w:p>
      <w:pPr>
        <w:pStyle w:val="BodyText"/>
        <w:spacing w:line="345" w:lineRule="auto" w:before="1"/>
        <w:ind w:left="160" w:right="175"/>
        <w:jc w:val="both"/>
        <w:rPr>
          <w:sz w:val="16"/>
        </w:rPr>
      </w:pPr>
      <w:r>
        <w:rPr>
          <w:b/>
        </w:rPr>
        <w:t>Figura 18. </w:t>
      </w:r>
      <w:r>
        <w:rPr/>
        <w:t>Principales moléculas químicas que conforman los principios activos de </w:t>
      </w:r>
      <w:r>
        <w:rPr>
          <w:i/>
        </w:rPr>
        <w:t>Heterotheca inuloides </w:t>
      </w:r>
      <w:r>
        <w:rPr/>
        <w:t>(árnica mexicana) caracterizados por Resonancia Magnética Nuclear (RMN). </w:t>
      </w:r>
      <w:r>
        <w:rPr>
          <w:position w:val="11"/>
          <w:sz w:val="16"/>
        </w:rPr>
        <w:t>95</w:t>
      </w:r>
    </w:p>
    <w:p>
      <w:pPr>
        <w:spacing w:after="0" w:line="345" w:lineRule="auto"/>
        <w:jc w:val="both"/>
        <w:rPr>
          <w:sz w:val="16"/>
        </w:rPr>
        <w:sectPr>
          <w:pgSz w:w="12240" w:h="15840"/>
          <w:pgMar w:header="736" w:footer="1024" w:top="1180" w:bottom="1220" w:left="1280" w:right="1260"/>
        </w:sectPr>
      </w:pPr>
    </w:p>
    <w:p>
      <w:pPr>
        <w:pStyle w:val="BodyText"/>
        <w:spacing w:before="11"/>
        <w:rPr>
          <w:sz w:val="16"/>
        </w:rPr>
      </w:pPr>
    </w:p>
    <w:p>
      <w:pPr>
        <w:pStyle w:val="BodyText"/>
        <w:spacing w:line="352" w:lineRule="auto" w:before="69"/>
        <w:ind w:left="160" w:right="175"/>
        <w:jc w:val="both"/>
        <w:rPr>
          <w:sz w:val="16"/>
        </w:rPr>
      </w:pPr>
      <w:r>
        <w:rPr/>
        <w:t>En nuestro país, Delgado </w:t>
      </w:r>
      <w:r>
        <w:rPr>
          <w:i/>
        </w:rPr>
        <w:t>et al </w:t>
      </w:r>
      <w:r>
        <w:rPr/>
        <w:t>en el año 2001 reportaron que </w:t>
      </w:r>
      <w:r>
        <w:rPr>
          <w:i/>
        </w:rPr>
        <w:t>Heterotheca inuloides </w:t>
      </w:r>
      <w:r>
        <w:rPr/>
        <w:t>mostró actividad antimicrobiana e inhibitoria, así como propiedades citotóxicas y antioxidantes, encontraron que un extracto cetónico de árnica mostró propiedades antinflamatorias </w:t>
      </w:r>
      <w:r>
        <w:rPr>
          <w:i/>
        </w:rPr>
        <w:t>in vivo </w:t>
      </w:r>
      <w:r>
        <w:rPr/>
        <w:t>cuando se evalúo en edemas inducidos en ratones. Aún se siguen estudiando sus efectos antinflamatorios y analgésicos. </w:t>
      </w:r>
      <w:r>
        <w:rPr>
          <w:position w:val="11"/>
          <w:sz w:val="16"/>
        </w:rPr>
        <w:t>95</w:t>
      </w:r>
    </w:p>
    <w:p>
      <w:pPr>
        <w:pStyle w:val="BodyText"/>
        <w:spacing w:before="3"/>
        <w:rPr>
          <w:sz w:val="35"/>
        </w:rPr>
      </w:pPr>
    </w:p>
    <w:p>
      <w:pPr>
        <w:pStyle w:val="BodyText"/>
        <w:spacing w:line="360" w:lineRule="auto"/>
        <w:ind w:left="160" w:right="179"/>
        <w:jc w:val="both"/>
      </w:pPr>
      <w:r>
        <w:rPr/>
        <w:t>Por otro lado cuando se utiliza </w:t>
      </w:r>
      <w:r>
        <w:rPr>
          <w:i/>
        </w:rPr>
        <w:t>Camelia sinensis </w:t>
      </w:r>
      <w:r>
        <w:rPr/>
        <w:t>el proceso de reducción es atribuido a los polifenoles, compuestos presentes de manera abundante en este bioreductor.</w:t>
      </w:r>
    </w:p>
    <w:p>
      <w:pPr>
        <w:pStyle w:val="BodyText"/>
        <w:spacing w:line="357" w:lineRule="auto" w:before="202"/>
        <w:ind w:left="160" w:right="175"/>
        <w:jc w:val="both"/>
      </w:pPr>
      <w:r>
        <w:rPr/>
        <w:t>En 2011, en Japón, China, Irán e India se demostró que C</w:t>
      </w:r>
      <w:r>
        <w:rPr>
          <w:i/>
        </w:rPr>
        <w:t>amellia sinensis</w:t>
      </w:r>
      <w:r>
        <w:rPr/>
        <w:t>, tiene un efecto inhibitorio sobre </w:t>
      </w:r>
      <w:r>
        <w:rPr>
          <w:i/>
        </w:rPr>
        <w:t>Streptococcus mutans. </w:t>
      </w:r>
      <w:r>
        <w:rPr/>
        <w:t>En este estudio </w:t>
      </w:r>
      <w:r>
        <w:rPr>
          <w:position w:val="-2"/>
          <w:sz w:val="16"/>
        </w:rPr>
        <w:t>15 </w:t>
      </w:r>
      <w:r>
        <w:rPr/>
        <w:t>se reportó que el consumo de estas plantas en infusión, provee un efecto anticariogénico. Se ha  sugerido que los componentes volátiles de la infusión semi-fermentada son la causa del mayor efecto anticaries comparado con el tipo no fermentado. Aunado   </w:t>
      </w:r>
      <w:r>
        <w:rPr>
          <w:spacing w:val="18"/>
        </w:rPr>
        <w:t> </w:t>
      </w:r>
      <w:r>
        <w:rPr/>
        <w:t>a esto; Jalayer</w:t>
      </w:r>
    </w:p>
    <w:p>
      <w:pPr>
        <w:spacing w:line="328" w:lineRule="auto" w:before="5"/>
        <w:ind w:left="160" w:right="184" w:firstLine="0"/>
        <w:jc w:val="both"/>
        <w:rPr>
          <w:sz w:val="16"/>
        </w:rPr>
      </w:pPr>
      <w:r>
        <w:rPr>
          <w:i/>
          <w:sz w:val="24"/>
        </w:rPr>
        <w:t>et al, </w:t>
      </w:r>
      <w:r>
        <w:rPr>
          <w:sz w:val="24"/>
        </w:rPr>
        <w:t>reportaron que los componentes bioactivos de las infusiones son capaces de inhibir el crecimiento de los grupos </w:t>
      </w:r>
      <w:r>
        <w:rPr>
          <w:i/>
          <w:sz w:val="24"/>
        </w:rPr>
        <w:t>Streptococci </w:t>
      </w:r>
      <w:r>
        <w:rPr>
          <w:sz w:val="24"/>
        </w:rPr>
        <w:t>y </w:t>
      </w:r>
      <w:r>
        <w:rPr>
          <w:i/>
          <w:sz w:val="24"/>
        </w:rPr>
        <w:t>Lactobacilli. </w:t>
      </w:r>
      <w:r>
        <w:rPr>
          <w:position w:val="11"/>
          <w:sz w:val="16"/>
        </w:rPr>
        <w:t>15</w:t>
      </w:r>
    </w:p>
    <w:p>
      <w:pPr>
        <w:pStyle w:val="BodyText"/>
        <w:spacing w:before="1"/>
        <w:rPr>
          <w:sz w:val="38"/>
        </w:rPr>
      </w:pPr>
    </w:p>
    <w:p>
      <w:pPr>
        <w:pStyle w:val="BodyText"/>
        <w:spacing w:line="355" w:lineRule="auto" w:before="1"/>
        <w:ind w:left="160" w:right="178"/>
        <w:jc w:val="both"/>
        <w:rPr>
          <w:sz w:val="16"/>
        </w:rPr>
      </w:pPr>
      <w:r>
        <w:rPr/>
        <w:t>Haffajee </w:t>
      </w:r>
      <w:r>
        <w:rPr>
          <w:i/>
        </w:rPr>
        <w:t>et al </w:t>
      </w:r>
      <w:r>
        <w:rPr/>
        <w:t>reportaron en 2008 que los consumidores están teniendo un mayor acercamiento a la tendencia de incorporar sustancias naturales para el cuidado de su salud; en respuesta a esto, los productores farmacéuticos están implementando el uso de productos a base de sustancias naturales en lugar de químicas. En Estados Unidos, las casas comerciales de productos dentales están utilizando extractos naturales, especialmente de plantas con propiedades antibacterianas y antioxidantes. </w:t>
      </w:r>
      <w:r>
        <w:rPr>
          <w:position w:val="11"/>
          <w:sz w:val="16"/>
        </w:rPr>
        <w:t>107</w:t>
      </w:r>
    </w:p>
    <w:p>
      <w:pPr>
        <w:pStyle w:val="BodyText"/>
        <w:spacing w:line="345" w:lineRule="auto" w:before="187"/>
        <w:ind w:left="160" w:right="181"/>
        <w:jc w:val="both"/>
        <w:rPr>
          <w:sz w:val="16"/>
        </w:rPr>
      </w:pPr>
      <w:r>
        <w:rPr/>
        <w:t>Por su parte, Ferrazzano </w:t>
      </w:r>
      <w:r>
        <w:rPr>
          <w:i/>
        </w:rPr>
        <w:t>et al </w:t>
      </w:r>
      <w:r>
        <w:rPr/>
        <w:t>en 2011 reportan que las plantas poseen actividad anticariogénica, debido especialmente a los compuestos polifenólicos que han mostrado inhibición de la membrana celular de bacterias como </w:t>
      </w:r>
      <w:r>
        <w:rPr>
          <w:i/>
        </w:rPr>
        <w:t>S. mutans.</w:t>
      </w:r>
      <w:r>
        <w:rPr>
          <w:i/>
          <w:spacing w:val="-16"/>
        </w:rPr>
        <w:t> </w:t>
      </w:r>
      <w:r>
        <w:rPr>
          <w:position w:val="11"/>
          <w:sz w:val="16"/>
        </w:rPr>
        <w:t>34</w:t>
      </w:r>
    </w:p>
    <w:p>
      <w:pPr>
        <w:pStyle w:val="BodyText"/>
        <w:spacing w:line="352" w:lineRule="auto" w:before="207"/>
        <w:ind w:left="160" w:right="176"/>
        <w:jc w:val="both"/>
      </w:pPr>
      <w:r>
        <w:rPr/>
        <w:t>Respecto a la reducción de Np-Ag en condiciones temperatura, en donde encontramos que los métodos con incorporación de calor permitieron la mejor extracción de los principios activos de los agentes ecoamigables, podemos hacer referencia a lo observado por este estudio </w:t>
      </w:r>
      <w:r>
        <w:rPr>
          <w:position w:val="11"/>
          <w:sz w:val="16"/>
        </w:rPr>
        <w:t>15</w:t>
      </w:r>
      <w:r>
        <w:rPr/>
        <w:t>, en donde bajo condiciones de calor, se reduce el  número</w:t>
      </w:r>
      <w:r>
        <w:rPr>
          <w:spacing w:val="42"/>
        </w:rPr>
        <w:t> </w:t>
      </w:r>
      <w:r>
        <w:rPr/>
        <w:t>de</w:t>
      </w:r>
      <w:r>
        <w:rPr>
          <w:spacing w:val="42"/>
        </w:rPr>
        <w:t> </w:t>
      </w:r>
      <w:r>
        <w:rPr/>
        <w:t>bacterias</w:t>
      </w:r>
      <w:r>
        <w:rPr>
          <w:spacing w:val="39"/>
        </w:rPr>
        <w:t> </w:t>
      </w:r>
      <w:r>
        <w:rPr/>
        <w:t>debido</w:t>
      </w:r>
      <w:r>
        <w:rPr>
          <w:spacing w:val="42"/>
        </w:rPr>
        <w:t> </w:t>
      </w:r>
      <w:r>
        <w:rPr/>
        <w:t>a</w:t>
      </w:r>
      <w:r>
        <w:rPr>
          <w:spacing w:val="42"/>
        </w:rPr>
        <w:t> </w:t>
      </w:r>
      <w:r>
        <w:rPr/>
        <w:t>que</w:t>
      </w:r>
      <w:r>
        <w:rPr>
          <w:spacing w:val="42"/>
        </w:rPr>
        <w:t> </w:t>
      </w:r>
      <w:r>
        <w:rPr/>
        <w:t>la</w:t>
      </w:r>
      <w:r>
        <w:rPr>
          <w:spacing w:val="48"/>
        </w:rPr>
        <w:t> </w:t>
      </w:r>
      <w:r>
        <w:rPr/>
        <w:t>temperatura</w:t>
      </w:r>
      <w:r>
        <w:rPr>
          <w:spacing w:val="42"/>
        </w:rPr>
        <w:t> </w:t>
      </w:r>
      <w:r>
        <w:rPr/>
        <w:t>puede</w:t>
      </w:r>
      <w:r>
        <w:rPr>
          <w:spacing w:val="42"/>
        </w:rPr>
        <w:t> </w:t>
      </w:r>
      <w:r>
        <w:rPr/>
        <w:t>afectar</w:t>
      </w:r>
      <w:r>
        <w:rPr>
          <w:spacing w:val="41"/>
        </w:rPr>
        <w:t> </w:t>
      </w:r>
      <w:r>
        <w:rPr/>
        <w:t>el</w:t>
      </w:r>
      <w:r>
        <w:rPr>
          <w:spacing w:val="41"/>
        </w:rPr>
        <w:t> </w:t>
      </w:r>
      <w:r>
        <w:rPr/>
        <w:t>crecimiento</w:t>
      </w:r>
      <w:r>
        <w:rPr>
          <w:spacing w:val="43"/>
        </w:rPr>
        <w:t> </w:t>
      </w:r>
      <w:r>
        <w:rPr/>
        <w:t>y</w:t>
      </w:r>
      <w:r>
        <w:rPr>
          <w:spacing w:val="39"/>
        </w:rPr>
        <w:t> </w:t>
      </w:r>
      <w:r>
        <w:rPr/>
        <w:t>la</w:t>
      </w:r>
    </w:p>
    <w:p>
      <w:pPr>
        <w:spacing w:after="0" w:line="352" w:lineRule="auto"/>
        <w:jc w:val="both"/>
        <w:sectPr>
          <w:pgSz w:w="12240" w:h="15840"/>
          <w:pgMar w:header="736" w:footer="1024" w:top="1180" w:bottom="1220" w:left="1280" w:right="1260"/>
        </w:sectPr>
      </w:pPr>
    </w:p>
    <w:p>
      <w:pPr>
        <w:pStyle w:val="BodyText"/>
        <w:spacing w:before="11"/>
        <w:rPr>
          <w:sz w:val="16"/>
        </w:rPr>
      </w:pPr>
    </w:p>
    <w:p>
      <w:pPr>
        <w:pStyle w:val="BodyText"/>
        <w:spacing w:line="345" w:lineRule="auto" w:before="69"/>
        <w:ind w:left="160" w:right="173"/>
        <w:jc w:val="both"/>
        <w:rPr>
          <w:sz w:val="16"/>
        </w:rPr>
      </w:pPr>
      <w:r>
        <w:rPr/>
        <w:t>multiplicación de los microorganismos orales. Shukla </w:t>
      </w:r>
      <w:r>
        <w:rPr>
          <w:i/>
        </w:rPr>
        <w:t>et al </w:t>
      </w:r>
      <w:r>
        <w:rPr/>
        <w:t>en 2012, mencionan que el proceso de ebullición permite una mejor reducción de los iones plata. A mayor temperatura, menor el tiempo requerido para la formación de Np-Ag</w:t>
      </w:r>
      <w:r>
        <w:rPr>
          <w:position w:val="11"/>
          <w:sz w:val="16"/>
        </w:rPr>
        <w:t>108</w:t>
      </w:r>
    </w:p>
    <w:p>
      <w:pPr>
        <w:pStyle w:val="BodyText"/>
        <w:spacing w:before="3"/>
        <w:rPr>
          <w:sz w:val="36"/>
        </w:rPr>
      </w:pPr>
    </w:p>
    <w:p>
      <w:pPr>
        <w:pStyle w:val="BodyText"/>
        <w:spacing w:line="350" w:lineRule="auto"/>
        <w:ind w:left="160" w:right="178"/>
        <w:jc w:val="both"/>
        <w:rPr>
          <w:sz w:val="16"/>
        </w:rPr>
      </w:pPr>
      <w:r>
        <w:rPr/>
        <w:t>En cuanto al mayor éxito de la reducción en solución acuosa podemos mencionar que, en 2004, Giamperi </w:t>
      </w:r>
      <w:r>
        <w:rPr>
          <w:i/>
        </w:rPr>
        <w:t>et al </w:t>
      </w:r>
      <w:r>
        <w:rPr/>
        <w:t>reportaron que algunos componentes naturales observan mejores propiedades antioxidantes cuando son disueltas en soluciones acuosas, que cuando se disuelven en soluciones alcohólicas. </w:t>
      </w:r>
      <w:r>
        <w:rPr>
          <w:position w:val="11"/>
          <w:sz w:val="16"/>
        </w:rPr>
        <w:t>109</w:t>
      </w:r>
    </w:p>
    <w:p>
      <w:pPr>
        <w:pStyle w:val="BodyText"/>
        <w:rPr>
          <w:sz w:val="28"/>
        </w:rPr>
      </w:pPr>
    </w:p>
    <w:p>
      <w:pPr>
        <w:pStyle w:val="BodyText"/>
        <w:rPr>
          <w:sz w:val="28"/>
        </w:rPr>
      </w:pPr>
    </w:p>
    <w:p>
      <w:pPr>
        <w:pStyle w:val="BodyText"/>
        <w:spacing w:line="360" w:lineRule="auto" w:before="169"/>
        <w:ind w:left="160" w:right="175"/>
        <w:jc w:val="both"/>
      </w:pPr>
      <w:r>
        <w:rPr/>
        <w:t>Finalmente, cuando se utiliza un compuesto químico como el Borohidruro de sodio,  éste posee uno de los potenciales más altos de reducción, pudiendo reducir casi cualquier metal; el mecanismo de acción es muy diferente, aquí los iones hidruro están muy disponibles y de manera abundante, el ion hidruro es inestable por lo que para alcanzar mayor estabilidad se desase del electrón que posee de más y que le confiere el signo negativo, al ceder este electrón a la plata, se lleva a cabo el proceso de reducción, dando lugar a la formación de nanopartículas y la formación de hidrógeno en forma de gas que se desprende de la reacción. Como el proceso es riguroso e instantáneo, se forman centros de nucleación, presentándose una competencia para </w:t>
      </w:r>
      <w:r>
        <w:rPr>
          <w:spacing w:val="1"/>
        </w:rPr>
        <w:t> </w:t>
      </w:r>
      <w:r>
        <w:rPr/>
        <w:t>la</w:t>
      </w:r>
    </w:p>
    <w:p>
      <w:pPr>
        <w:pStyle w:val="BodyText"/>
        <w:spacing w:line="345" w:lineRule="auto" w:before="2"/>
        <w:ind w:left="160" w:right="182"/>
        <w:jc w:val="both"/>
      </w:pPr>
      <w:r>
        <w:rPr/>
        <w:t>formación de nanopartículas evitando así el crecimiento y dando lugar a la formación  de nanopartículas de tamaño pequeño. </w:t>
      </w:r>
      <w:r>
        <w:rPr>
          <w:position w:val="11"/>
          <w:sz w:val="16"/>
        </w:rPr>
        <w:t>88  </w:t>
      </w:r>
      <w:r>
        <w:rPr/>
        <w:t>La reacción química que se lleva a cabo es  la</w:t>
      </w:r>
      <w:r>
        <w:rPr>
          <w:spacing w:val="-1"/>
        </w:rPr>
        <w:t> </w:t>
      </w:r>
      <w:r>
        <w:rPr/>
        <w:t>siguiente:</w:t>
      </w:r>
    </w:p>
    <w:p>
      <w:pPr>
        <w:tabs>
          <w:tab w:pos="4579" w:val="left" w:leader="none"/>
        </w:tabs>
        <w:spacing w:before="185"/>
        <w:ind w:left="160" w:right="0" w:firstLine="0"/>
        <w:jc w:val="both"/>
        <w:rPr>
          <w:sz w:val="24"/>
        </w:rPr>
      </w:pPr>
      <w:r>
        <w:rPr/>
        <w:pict>
          <v:shape style="position:absolute;margin-left:225.289993pt;margin-top:14.153904pt;width:48.25pt;height:9pt;mso-position-horizontal-relative:page;mso-position-vertical-relative:paragraph;z-index:-188728" coordorigin="4506,283" coordsize="965,180" path="m5370,391l5297,432,5294,443,5299,452,5304,460,5315,463,5323,458,5440,392,5435,392,5370,391xm5401,374l5370,391,5435,392,5435,390,5426,390,5401,374xm5317,283l5306,286,5301,294,5296,302,5299,313,5307,318,5371,356,5436,357,5435,392,5440,392,5470,375,5317,283xm4506,344l4506,379,5370,391,5401,374,5371,356,4506,344xm5427,359l5401,374,5426,390,5427,359xm5436,359l5427,359,5426,390,5435,390,5436,359xm5371,356l5401,374,5427,359,5436,359,5436,357,5371,356xe" filled="true" fillcolor="#000000" stroked="false">
            <v:path arrowok="t"/>
            <v:fill type="solid"/>
            <w10:wrap type="none"/>
          </v:shape>
        </w:pict>
      </w:r>
      <w:r>
        <w:rPr/>
        <w:pict>
          <v:shape style="position:absolute;margin-left:150.740005pt;margin-top:10.218974pt;width:296.350pt;height:8.0500pt;mso-position-horizontal-relative:page;mso-position-vertical-relative:paragraph;z-index:-188704" type="#_x0000_t202" filled="false" stroked="false">
            <v:textbox inset="0,0,0,0">
              <w:txbxContent>
                <w:p>
                  <w:pPr>
                    <w:tabs>
                      <w:tab w:pos="3137" w:val="left" w:leader="none"/>
                      <w:tab w:pos="4733" w:val="left" w:leader="none"/>
                      <w:tab w:pos="5832" w:val="left" w:leader="none"/>
                    </w:tabs>
                    <w:spacing w:line="161" w:lineRule="exact" w:before="0"/>
                    <w:ind w:left="0" w:right="0" w:firstLine="0"/>
                    <w:jc w:val="left"/>
                    <w:rPr>
                      <w:sz w:val="16"/>
                    </w:rPr>
                  </w:pPr>
                  <w:r>
                    <w:rPr>
                      <w:sz w:val="16"/>
                    </w:rPr>
                    <w:t>-</w:t>
                    <w:tab/>
                    <w:t>0</w:t>
                    <w:tab/>
                    <w:t>-</w:t>
                    <w:tab/>
                    <w:t>+</w:t>
                  </w:r>
                </w:p>
              </w:txbxContent>
            </v:textbox>
            <w10:wrap type="none"/>
          </v:shape>
        </w:pict>
      </w:r>
      <w:r>
        <w:rPr>
          <w:sz w:val="24"/>
        </w:rPr>
        <w:t>Ag</w:t>
      </w:r>
      <w:r>
        <w:rPr>
          <w:position w:val="11"/>
          <w:sz w:val="16"/>
        </w:rPr>
        <w:t>+1      </w:t>
      </w:r>
      <w:r>
        <w:rPr>
          <w:sz w:val="24"/>
        </w:rPr>
        <w:t>+    BH</w:t>
      </w:r>
      <w:r>
        <w:rPr>
          <w:position w:val="-2"/>
          <w:sz w:val="16"/>
        </w:rPr>
        <w:t>4    </w:t>
      </w:r>
      <w:r>
        <w:rPr>
          <w:spacing w:val="29"/>
          <w:position w:val="-2"/>
          <w:sz w:val="16"/>
        </w:rPr>
        <w:t> </w:t>
      </w:r>
      <w:r>
        <w:rPr>
          <w:sz w:val="24"/>
        </w:rPr>
        <w:t>+  </w:t>
      </w:r>
      <w:r>
        <w:rPr>
          <w:spacing w:val="63"/>
          <w:sz w:val="24"/>
        </w:rPr>
        <w:t> </w:t>
      </w:r>
      <w:r>
        <w:rPr>
          <w:sz w:val="24"/>
        </w:rPr>
        <w:t>4H</w:t>
      </w:r>
      <w:r>
        <w:rPr>
          <w:position w:val="-2"/>
          <w:sz w:val="16"/>
        </w:rPr>
        <w:t>2</w:t>
      </w:r>
      <w:r>
        <w:rPr>
          <w:sz w:val="24"/>
        </w:rPr>
        <w:t>O</w:t>
        <w:tab/>
        <w:t>Ag     +     B(OH)</w:t>
      </w:r>
      <w:r>
        <w:rPr>
          <w:position w:val="-2"/>
          <w:sz w:val="16"/>
        </w:rPr>
        <w:t>4         </w:t>
      </w:r>
      <w:r>
        <w:rPr>
          <w:sz w:val="24"/>
        </w:rPr>
        <w:t>+   </w:t>
      </w:r>
      <w:r>
        <w:rPr>
          <w:spacing w:val="1"/>
          <w:sz w:val="24"/>
        </w:rPr>
        <w:t> </w:t>
      </w:r>
      <w:r>
        <w:rPr>
          <w:sz w:val="24"/>
        </w:rPr>
        <w:t>8H</w:t>
      </w:r>
    </w:p>
    <w:p>
      <w:pPr>
        <w:pStyle w:val="BodyText"/>
        <w:spacing w:before="3"/>
        <w:rPr>
          <w:sz w:val="22"/>
        </w:rPr>
      </w:pPr>
    </w:p>
    <w:p>
      <w:pPr>
        <w:pStyle w:val="BodyText"/>
        <w:spacing w:before="69"/>
        <w:ind w:left="160"/>
        <w:jc w:val="both"/>
      </w:pPr>
      <w:r>
        <w:rPr/>
        <w:t>Etapa 2.</w:t>
      </w:r>
    </w:p>
    <w:p>
      <w:pPr>
        <w:pStyle w:val="BodyText"/>
        <w:spacing w:before="5"/>
        <w:rPr>
          <w:sz w:val="29"/>
        </w:rPr>
      </w:pPr>
    </w:p>
    <w:p>
      <w:pPr>
        <w:pStyle w:val="BodyText"/>
        <w:spacing w:line="360" w:lineRule="auto"/>
        <w:ind w:left="160" w:right="173"/>
        <w:jc w:val="both"/>
      </w:pPr>
      <w:r>
        <w:rPr/>
        <w:t>Como sabemos, el tamaño de las bacterias está en el orden de las micras, tres órdenes de magnitud mayor que las nanopartículas obtenidas por cualquiera de los tres métodos, por lo tanto la probabilidad de que entren en contacto las nanopartículas con las bacterias es mayor cuando el tamaño de las Np-Ag es menor, por lo que </w:t>
      </w:r>
      <w:r>
        <w:rPr>
          <w:i/>
        </w:rPr>
        <w:t>Heterotheca inuloides </w:t>
      </w:r>
      <w:r>
        <w:rPr/>
        <w:t>representa ser un reductor superior a </w:t>
      </w:r>
      <w:r>
        <w:rPr>
          <w:i/>
        </w:rPr>
        <w:t>Camellia sinensis. </w:t>
      </w:r>
      <w:r>
        <w:rPr/>
        <w:t>Borohidruro de sodio mostró Np-Ag de menor tamaño y con menor polidispersión,    por</w:t>
      </w:r>
    </w:p>
    <w:p>
      <w:pPr>
        <w:spacing w:after="0" w:line="360" w:lineRule="auto"/>
        <w:jc w:val="both"/>
        <w:sectPr>
          <w:pgSz w:w="12240" w:h="15840"/>
          <w:pgMar w:header="736" w:footer="1024" w:top="1180" w:bottom="1220" w:left="1280" w:right="1260"/>
        </w:sectPr>
      </w:pPr>
    </w:p>
    <w:p>
      <w:pPr>
        <w:pStyle w:val="BodyText"/>
        <w:spacing w:before="2"/>
        <w:rPr>
          <w:sz w:val="17"/>
        </w:rPr>
      </w:pPr>
    </w:p>
    <w:p>
      <w:pPr>
        <w:pStyle w:val="BodyText"/>
        <w:spacing w:line="362" w:lineRule="auto" w:before="69"/>
        <w:ind w:left="160" w:right="188"/>
        <w:jc w:val="both"/>
      </w:pPr>
      <w:r>
        <w:rPr/>
        <w:t>lo que podemos concluir que su probabilidad de contacto bacteriano será aún mayor, debido a que es un agente químico más drástico y actúa rápidamente.</w:t>
      </w:r>
    </w:p>
    <w:p>
      <w:pPr>
        <w:pStyle w:val="BodyText"/>
      </w:pPr>
    </w:p>
    <w:p>
      <w:pPr>
        <w:pStyle w:val="BodyText"/>
        <w:spacing w:line="360" w:lineRule="auto" w:before="139"/>
        <w:ind w:left="160" w:right="174"/>
        <w:jc w:val="both"/>
      </w:pPr>
      <w:r>
        <w:rPr/>
        <w:t>Como se puede observar en las micrografías de MET, por los tres métodos de reducción, las nanopartículas tienden a la esfericidad, siendo ésta la forma geométrica más estable termodinámicamente, esta técnica nos permite obtener la distribución de tamaño de las nanopartículas y observar que la polidispersión es estrecha.</w:t>
      </w:r>
    </w:p>
    <w:p>
      <w:pPr>
        <w:pStyle w:val="BodyText"/>
        <w:spacing w:line="360" w:lineRule="auto" w:before="204"/>
        <w:ind w:left="160" w:right="173"/>
        <w:jc w:val="both"/>
      </w:pPr>
      <w:r>
        <w:rPr/>
        <w:t>Aunque por limitaciones de la técnica, no es posible observar las nanopartículas por MEB, al realizar el mapeo químico se puede identificar la distribución de los diferentes elementos químicos presentes, los constituyentes propios del órgano dentario y la presencia del agente antibacteriano como lo son las nanopartículas de plata.</w:t>
      </w:r>
    </w:p>
    <w:p>
      <w:pPr>
        <w:pStyle w:val="BodyText"/>
        <w:spacing w:before="204"/>
        <w:ind w:left="160"/>
        <w:jc w:val="both"/>
      </w:pPr>
      <w:r>
        <w:rPr/>
        <w:t>Etapa 3.</w:t>
      </w:r>
    </w:p>
    <w:p>
      <w:pPr>
        <w:pStyle w:val="BodyText"/>
        <w:spacing w:before="4"/>
        <w:rPr>
          <w:sz w:val="29"/>
        </w:rPr>
      </w:pPr>
    </w:p>
    <w:p>
      <w:pPr>
        <w:pStyle w:val="BodyText"/>
        <w:spacing w:line="360" w:lineRule="auto" w:before="1"/>
        <w:ind w:left="160" w:right="174"/>
        <w:jc w:val="both"/>
      </w:pPr>
      <w:r>
        <w:rPr/>
        <w:t>El mayor efecto inhibitorio sobre ambas cepas fue obtenido a 20 microlitros de Np-Ag. Debe subrayarse que uno de los resultados más importantes de este trabajo fue el hallazgo de que los mayores efectos inhibitorios del crecimiento bacteriano se encontraron a 20 microlitros, y que, al superar dicha concentración, el efecto disminuyó de manera ostensible, para todos los antisépticos estudiados.</w:t>
      </w:r>
    </w:p>
    <w:p>
      <w:pPr>
        <w:pStyle w:val="BodyText"/>
        <w:spacing w:line="350" w:lineRule="auto" w:before="202"/>
        <w:ind w:left="160" w:right="177"/>
        <w:jc w:val="both"/>
        <w:rPr>
          <w:sz w:val="16"/>
        </w:rPr>
      </w:pPr>
      <w:r>
        <w:rPr/>
        <w:t>Singh </w:t>
      </w:r>
      <w:r>
        <w:rPr>
          <w:i/>
        </w:rPr>
        <w:t>et al </w:t>
      </w:r>
      <w:r>
        <w:rPr/>
        <w:t>en su estudio utilizaron 10ml de 0.2% de CHX reportando que al exceder esta dosis se provoca una sobresaturación del sensi disco y no provee mayor ventaja clínica al evaluar el uso de CHX y su retención con la dentina, no así su efecto antibacterial. </w:t>
      </w:r>
      <w:r>
        <w:rPr>
          <w:position w:val="11"/>
          <w:sz w:val="16"/>
        </w:rPr>
        <w:t>49</w:t>
      </w:r>
    </w:p>
    <w:p>
      <w:pPr>
        <w:pStyle w:val="BodyText"/>
        <w:spacing w:line="350" w:lineRule="auto" w:before="160"/>
        <w:ind w:left="160" w:right="174"/>
        <w:jc w:val="both"/>
        <w:rPr>
          <w:sz w:val="16"/>
        </w:rPr>
      </w:pPr>
      <w:r>
        <w:rPr/>
        <w:t>De acuerdo a algunos estudios sobre Clorhexidina</w:t>
      </w:r>
      <w:r>
        <w:rPr>
          <w:position w:val="11"/>
          <w:sz w:val="16"/>
        </w:rPr>
        <w:t>47</w:t>
      </w:r>
      <w:r>
        <w:rPr/>
        <w:t>, Mathur </w:t>
      </w:r>
      <w:r>
        <w:rPr>
          <w:i/>
        </w:rPr>
        <w:t>et al</w:t>
      </w:r>
      <w:r>
        <w:rPr/>
        <w:t>, reportan que en  10ml de colutorio de CHX al 0.2%; se tiene una equivalencia a una dosis de 20mg de gluconato de Clorhexidina. Existen otras presentaciones comerciales para CHX, especialmente como colutorio; Komorowski </w:t>
      </w:r>
      <w:r>
        <w:rPr>
          <w:i/>
        </w:rPr>
        <w:t>et al </w:t>
      </w:r>
      <w:r>
        <w:rPr/>
        <w:t>utilizan Clorhexidina al 0.12%.</w:t>
      </w:r>
      <w:r>
        <w:rPr>
          <w:spacing w:val="-20"/>
        </w:rPr>
        <w:t> </w:t>
      </w:r>
      <w:r>
        <w:rPr>
          <w:position w:val="11"/>
          <w:sz w:val="16"/>
        </w:rPr>
        <w:t>7</w:t>
      </w:r>
    </w:p>
    <w:p>
      <w:pPr>
        <w:pStyle w:val="BodyText"/>
        <w:spacing w:line="328" w:lineRule="auto" w:before="200"/>
        <w:ind w:left="160" w:right="175"/>
        <w:jc w:val="both"/>
        <w:rPr>
          <w:sz w:val="16"/>
        </w:rPr>
      </w:pPr>
      <w:r>
        <w:rPr/>
        <w:t>Respecto al gel de gluconato de CHX, se encuentran presentaciones comerciales con concentraciones que van desde 0.2%, 1% Y 2%. </w:t>
      </w:r>
      <w:r>
        <w:rPr>
          <w:position w:val="11"/>
          <w:sz w:val="16"/>
        </w:rPr>
        <w:t>5, 48, 49, 50, 51, 53 </w:t>
      </w:r>
      <w:r>
        <w:rPr/>
        <w:t>Mientras que Shaeken  </w:t>
      </w:r>
      <w:r>
        <w:rPr>
          <w:i/>
        </w:rPr>
        <w:t>et al </w:t>
      </w:r>
      <w:r>
        <w:rPr/>
        <w:t>en 1991llegaron a utilizar gel de CHX al 40%.</w:t>
      </w:r>
      <w:r>
        <w:rPr>
          <w:spacing w:val="-14"/>
        </w:rPr>
        <w:t> </w:t>
      </w:r>
      <w:r>
        <w:rPr>
          <w:position w:val="11"/>
          <w:sz w:val="16"/>
        </w:rPr>
        <w:t>45</w:t>
      </w:r>
    </w:p>
    <w:p>
      <w:pPr>
        <w:spacing w:after="0" w:line="328" w:lineRule="auto"/>
        <w:jc w:val="both"/>
        <w:rPr>
          <w:sz w:val="16"/>
        </w:rPr>
        <w:sectPr>
          <w:pgSz w:w="12240" w:h="15840"/>
          <w:pgMar w:header="736" w:footer="1024" w:top="1180" w:bottom="1220" w:left="1280" w:right="1260"/>
        </w:sectPr>
      </w:pPr>
    </w:p>
    <w:p>
      <w:pPr>
        <w:pStyle w:val="BodyText"/>
        <w:spacing w:before="11"/>
        <w:rPr>
          <w:sz w:val="16"/>
        </w:rPr>
      </w:pPr>
    </w:p>
    <w:p>
      <w:pPr>
        <w:pStyle w:val="BodyText"/>
        <w:spacing w:line="333" w:lineRule="auto" w:before="69"/>
        <w:ind w:left="160" w:right="181"/>
        <w:jc w:val="both"/>
        <w:rPr>
          <w:sz w:val="16"/>
        </w:rPr>
      </w:pPr>
      <w:r>
        <w:rPr/>
        <w:t>Saliba </w:t>
      </w:r>
      <w:r>
        <w:rPr>
          <w:i/>
        </w:rPr>
        <w:t>et al </w:t>
      </w:r>
      <w:r>
        <w:rPr/>
        <w:t>en 2003, Mc Coy </w:t>
      </w:r>
      <w:r>
        <w:rPr>
          <w:i/>
        </w:rPr>
        <w:t>et al </w:t>
      </w:r>
      <w:r>
        <w:rPr/>
        <w:t>en 2008 y Zanatta et al en 2007 utilizaron 0.12% de enjuague de CHX como coadyuvante a la eliminación de placa dental. </w:t>
      </w:r>
      <w:r>
        <w:rPr>
          <w:position w:val="11"/>
          <w:sz w:val="16"/>
        </w:rPr>
        <w:t>6, 48, 50</w:t>
      </w:r>
    </w:p>
    <w:p>
      <w:pPr>
        <w:pStyle w:val="BodyText"/>
        <w:spacing w:line="360" w:lineRule="auto" w:before="216"/>
        <w:ind w:left="160" w:right="178"/>
        <w:jc w:val="both"/>
      </w:pPr>
      <w:r>
        <w:rPr/>
        <w:t>A pesar de que resulta sencillo adquirir la Clorhexidina en el mercado y tomando en cuenta el periodo de substantividad de dicha sustancia y los efectos secundarios adversos que representa, es oportuno siempre indicar al paciente que los tiempos de uso para este antiséptico bucal deben ser limitados y monitoreados, y que no debe excederse la dosis prescrita.</w:t>
      </w:r>
    </w:p>
    <w:p>
      <w:pPr>
        <w:pStyle w:val="BodyText"/>
      </w:pPr>
    </w:p>
    <w:p>
      <w:pPr>
        <w:pStyle w:val="BodyText"/>
        <w:spacing w:line="360" w:lineRule="auto" w:before="142"/>
        <w:ind w:left="160" w:right="180"/>
        <w:jc w:val="both"/>
      </w:pPr>
      <w:r>
        <w:rPr/>
        <w:t>Respecto a la solución de Np-Ag en estudio, nosotros consideramos de suma importancia hacer notar que la concentración utilizada es mínima, en comparación con las diversas concentraciones que se muestran en distintas presentaciones de CHX.</w:t>
      </w:r>
    </w:p>
    <w:p>
      <w:pPr>
        <w:pStyle w:val="BodyText"/>
        <w:spacing w:before="3"/>
        <w:rPr>
          <w:sz w:val="33"/>
        </w:rPr>
      </w:pPr>
    </w:p>
    <w:p>
      <w:pPr>
        <w:pStyle w:val="BodyText"/>
        <w:spacing w:line="352" w:lineRule="auto"/>
        <w:ind w:left="160" w:right="176"/>
        <w:jc w:val="both"/>
        <w:rPr>
          <w:sz w:val="16"/>
        </w:rPr>
      </w:pPr>
      <w:r>
        <w:rPr/>
        <w:t>Al haber trabajado a partir de una concentración de 1x10</w:t>
      </w:r>
      <w:r>
        <w:rPr>
          <w:position w:val="11"/>
          <w:sz w:val="16"/>
        </w:rPr>
        <w:t>-3</w:t>
      </w:r>
      <w:r>
        <w:rPr/>
        <w:t>, (.001M) estamos ciertos de que nos encontramos muy por debajo de las concentraciones en las soluciones de  CHX utilizadas como antiséptico bucal, de manera tradicional en el área odontológica. De acuerdo a lo reportado por Khaydarov et al en 2009 para las Np-Ag versus algunos antibióticos.</w:t>
      </w:r>
      <w:r>
        <w:rPr>
          <w:spacing w:val="-3"/>
        </w:rPr>
        <w:t> </w:t>
      </w:r>
      <w:r>
        <w:rPr>
          <w:position w:val="11"/>
          <w:sz w:val="16"/>
        </w:rPr>
        <w:t>78</w:t>
      </w:r>
    </w:p>
    <w:p>
      <w:pPr>
        <w:pStyle w:val="BodyText"/>
        <w:spacing w:before="5"/>
        <w:rPr>
          <w:sz w:val="32"/>
        </w:rPr>
      </w:pPr>
    </w:p>
    <w:p>
      <w:pPr>
        <w:pStyle w:val="BodyText"/>
        <w:spacing w:line="360" w:lineRule="auto" w:before="1"/>
        <w:ind w:left="160" w:right="175"/>
        <w:jc w:val="both"/>
      </w:pPr>
      <w:r>
        <w:rPr/>
        <w:t>Una dosis de 1x10</w:t>
      </w:r>
      <w:r>
        <w:rPr>
          <w:position w:val="11"/>
          <w:sz w:val="16"/>
        </w:rPr>
        <w:t>-3 </w:t>
      </w:r>
      <w:r>
        <w:rPr/>
        <w:t>de nanopartículas de plata, contiene 10 mg de plata. Comparando la presentación de Clorhexidina al 2%, la cual contiene 20mg de gluconato de Clorhexidina, podemos concluir que nuestra solución de Np-Ag posee un efecto antibacteriano de tres órdenes de magnitud mayor que dicha sustancia.</w:t>
      </w:r>
    </w:p>
    <w:p>
      <w:pPr>
        <w:spacing w:after="0" w:line="360" w:lineRule="auto"/>
        <w:jc w:val="both"/>
        <w:sectPr>
          <w:pgSz w:w="12240" w:h="15840"/>
          <w:pgMar w:header="736" w:footer="1024" w:top="1180" w:bottom="1220" w:left="128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0"/>
          <w:numId w:val="20"/>
        </w:numPr>
        <w:tabs>
          <w:tab w:pos="3040" w:val="left" w:leader="none"/>
          <w:tab w:pos="3041" w:val="left" w:leader="none"/>
        </w:tabs>
        <w:spacing w:line="240" w:lineRule="auto" w:before="148" w:after="0"/>
        <w:ind w:left="3041" w:right="0" w:hanging="1441"/>
        <w:jc w:val="left"/>
      </w:pPr>
      <w:bookmarkStart w:name="_TOC_250002" w:id="14"/>
      <w:bookmarkEnd w:id="14"/>
      <w:r>
        <w:rPr/>
        <w:t>CONCLUSIONES</w:t>
      </w:r>
    </w:p>
    <w:p>
      <w:pPr>
        <w:spacing w:after="0" w:line="240" w:lineRule="auto"/>
        <w:jc w:val="left"/>
        <w:sectPr>
          <w:footerReference w:type="default" r:id="rId224"/>
          <w:pgSz w:w="12240" w:h="15840"/>
          <w:pgMar w:footer="1024" w:header="736" w:top="1180" w:bottom="1220" w:left="1280" w:right="1260"/>
        </w:sectPr>
      </w:pPr>
    </w:p>
    <w:p>
      <w:pPr>
        <w:pStyle w:val="BodyText"/>
        <w:spacing w:before="2"/>
        <w:rPr>
          <w:b/>
          <w:sz w:val="17"/>
        </w:rPr>
      </w:pPr>
    </w:p>
    <w:p>
      <w:pPr>
        <w:pStyle w:val="Heading2"/>
        <w:ind w:right="17"/>
        <w:jc w:val="center"/>
      </w:pPr>
      <w:r>
        <w:rPr/>
        <w:t>CONCLUSIONES</w:t>
      </w:r>
    </w:p>
    <w:p>
      <w:pPr>
        <w:pStyle w:val="BodyText"/>
        <w:spacing w:before="5"/>
        <w:rPr>
          <w:b/>
          <w:sz w:val="29"/>
        </w:rPr>
      </w:pPr>
    </w:p>
    <w:p>
      <w:pPr>
        <w:pStyle w:val="BodyText"/>
        <w:spacing w:line="360" w:lineRule="auto"/>
        <w:ind w:left="160" w:right="173"/>
        <w:jc w:val="both"/>
      </w:pPr>
      <w:r>
        <w:rPr/>
        <w:t>La interpretación de los espectros de Uv-Vis y de las imágenes de microscopía electrónica de transmisión obtenidos mediante los bioreductores </w:t>
      </w:r>
      <w:r>
        <w:rPr>
          <w:i/>
        </w:rPr>
        <w:t>Heterotheca inuloides </w:t>
      </w:r>
      <w:r>
        <w:rPr>
          <w:i/>
        </w:rPr>
        <w:t>y Camellia sinensis</w:t>
      </w:r>
      <w:r>
        <w:rPr/>
        <w:t>, mostraron que la formación de nanopartículas de plata es más efectiva cuando se extraen los principios activos de los bioreductores, cuando éstos se someten a ebullición, lo que indica que la polaridad de los principios activos es similar a la del agua, y que la temperatura juega un papel importante aumentando la solubilidad de estos y de esta manera se logra una mejor extracción de los agentes</w:t>
      </w:r>
      <w:r>
        <w:rPr>
          <w:spacing w:val="-21"/>
        </w:rPr>
        <w:t> </w:t>
      </w:r>
      <w:r>
        <w:rPr/>
        <w:t>reductores.</w:t>
      </w:r>
    </w:p>
    <w:p>
      <w:pPr>
        <w:pStyle w:val="BodyText"/>
        <w:spacing w:line="360" w:lineRule="auto" w:before="205"/>
        <w:ind w:left="160" w:right="177"/>
        <w:jc w:val="both"/>
      </w:pPr>
      <w:r>
        <w:rPr/>
        <w:t>Se concluye que es mejor utilizar sólo agua para la síntesis, ya que cuando se realizaron mezclas de agua etanol la cantidad de nanopartículas formadas fue menor y en los casos en que se intentó hacer la extracción 100% alcohólica no hubo la formación de nanopartículas, un factor importante es la polaridad del alcohol que no es muy similar a los principios de los bioreductores.</w:t>
      </w:r>
    </w:p>
    <w:p>
      <w:pPr>
        <w:pStyle w:val="BodyText"/>
        <w:spacing w:line="360" w:lineRule="auto" w:before="202"/>
        <w:ind w:left="160" w:right="173"/>
        <w:jc w:val="both"/>
      </w:pPr>
      <w:r>
        <w:rPr/>
        <w:t>Debido al tipo de enlace presente en el precursor, éste presenta una elevada  solubilidad en agua, siendo éste el medio propicio para la solvatación de los iones  plata, no así el etanol, ya que éste presenta un momento dipolar mucho menor que </w:t>
      </w:r>
      <w:r>
        <w:rPr>
          <w:spacing w:val="4"/>
        </w:rPr>
        <w:t>el </w:t>
      </w:r>
      <w:r>
        <w:rPr/>
        <w:t>del agua, siendo difícil de disolver el nitrato de plata en etanol, además de muchas otras implicaciones que no se discutirán en este</w:t>
      </w:r>
      <w:r>
        <w:rPr>
          <w:spacing w:val="-18"/>
        </w:rPr>
        <w:t> </w:t>
      </w:r>
      <w:r>
        <w:rPr/>
        <w:t>trabajo.</w:t>
      </w:r>
    </w:p>
    <w:p>
      <w:pPr>
        <w:pStyle w:val="BodyText"/>
        <w:spacing w:line="343" w:lineRule="auto" w:before="204"/>
        <w:ind w:left="160" w:right="175"/>
        <w:jc w:val="both"/>
        <w:rPr>
          <w:sz w:val="16"/>
        </w:rPr>
      </w:pPr>
      <w:r>
        <w:rPr/>
        <w:t>Con la utilización de los bioreductores y las Np-Ag se logra hacer una sinergia ya que en reportes recientes se ha demostrado que tanto </w:t>
      </w:r>
      <w:r>
        <w:rPr>
          <w:i/>
        </w:rPr>
        <w:t>Heterotheca inuloides </w:t>
      </w:r>
      <w:r>
        <w:rPr/>
        <w:t>(árnica) como </w:t>
      </w:r>
      <w:r>
        <w:rPr>
          <w:i/>
        </w:rPr>
        <w:t>Camelia sinensis </w:t>
      </w:r>
      <w:r>
        <w:rPr/>
        <w:t>(té verde) presentan propiedades antibacterianas importantes. </w:t>
      </w:r>
      <w:r>
        <w:rPr>
          <w:position w:val="11"/>
          <w:sz w:val="16"/>
        </w:rPr>
        <w:t>95</w:t>
      </w:r>
    </w:p>
    <w:p>
      <w:pPr>
        <w:pStyle w:val="BodyText"/>
        <w:spacing w:line="360" w:lineRule="auto" w:before="209"/>
        <w:ind w:left="160" w:right="175"/>
        <w:jc w:val="both"/>
      </w:pPr>
      <w:r>
        <w:rPr/>
        <w:t>Se concluye que, de acuerdo a la interpretación de los resultados obtenidos por espectrofotometría Uv-Vis y mediante el bioreductor H</w:t>
      </w:r>
      <w:r>
        <w:rPr>
          <w:i/>
        </w:rPr>
        <w:t>eterotheca inuloides </w:t>
      </w:r>
      <w:r>
        <w:rPr/>
        <w:t>se obtienen nanopartículas de muy buen tamaño (17.5nm) en cantidad suficiente y con una distribución de tamaño de partícula estrecho; lo cual se puede comprobar con microscopia electrónica de transmisión.</w:t>
      </w:r>
    </w:p>
    <w:p>
      <w:pPr>
        <w:spacing w:before="202"/>
        <w:ind w:left="160" w:right="0" w:firstLine="0"/>
        <w:jc w:val="both"/>
        <w:rPr>
          <w:sz w:val="24"/>
        </w:rPr>
      </w:pPr>
      <w:r>
        <w:rPr>
          <w:sz w:val="24"/>
        </w:rPr>
        <w:t>Los métodos de síntesis con </w:t>
      </w:r>
      <w:r>
        <w:rPr>
          <w:i/>
          <w:sz w:val="24"/>
        </w:rPr>
        <w:t>Heterotheca inuloides </w:t>
      </w:r>
      <w:r>
        <w:rPr>
          <w:sz w:val="24"/>
        </w:rPr>
        <w:t>mostraron plasmones superiores   a</w:t>
      </w:r>
    </w:p>
    <w:p>
      <w:pPr>
        <w:spacing w:before="136"/>
        <w:ind w:left="160" w:right="0" w:firstLine="0"/>
        <w:jc w:val="both"/>
        <w:rPr>
          <w:i/>
          <w:sz w:val="24"/>
        </w:rPr>
      </w:pPr>
      <w:r>
        <w:rPr>
          <w:i/>
          <w:sz w:val="24"/>
        </w:rPr>
        <w:t>Camellia   sinensis.   </w:t>
      </w:r>
      <w:r>
        <w:rPr>
          <w:sz w:val="24"/>
        </w:rPr>
        <w:t>Las   nanopartículas   sintetizadas   con   </w:t>
      </w:r>
      <w:r>
        <w:rPr>
          <w:i/>
          <w:sz w:val="24"/>
        </w:rPr>
        <w:t>Heterotheca      inuloides</w:t>
      </w:r>
    </w:p>
    <w:p>
      <w:pPr>
        <w:spacing w:after="0"/>
        <w:jc w:val="both"/>
        <w:rPr>
          <w:sz w:val="24"/>
        </w:rPr>
        <w:sectPr>
          <w:footerReference w:type="default" r:id="rId225"/>
          <w:pgSz w:w="12240" w:h="15840"/>
          <w:pgMar w:footer="1024" w:header="736" w:top="1180" w:bottom="1220" w:left="1280" w:right="1260"/>
          <w:pgNumType w:start="121"/>
        </w:sectPr>
      </w:pPr>
    </w:p>
    <w:p>
      <w:pPr>
        <w:pStyle w:val="BodyText"/>
        <w:spacing w:before="2"/>
        <w:rPr>
          <w:i/>
          <w:sz w:val="17"/>
        </w:rPr>
      </w:pPr>
    </w:p>
    <w:p>
      <w:pPr>
        <w:pStyle w:val="BodyText"/>
        <w:spacing w:line="360" w:lineRule="auto" w:before="69"/>
        <w:ind w:left="160" w:right="185"/>
        <w:jc w:val="both"/>
      </w:pPr>
      <w:r>
        <w:rPr/>
        <w:t>produjeron plasmones entre los 440nm y 456nm, lo que indica que las nanopartículas de plata con este agente reductor son pequeñas, estables, de cantidad satisfactoria, de adecuada polidispersión y de una forma esférica.</w:t>
      </w:r>
    </w:p>
    <w:p>
      <w:pPr>
        <w:pStyle w:val="BodyText"/>
        <w:spacing w:line="360" w:lineRule="auto" w:before="202"/>
        <w:ind w:left="160" w:right="177"/>
        <w:jc w:val="both"/>
        <w:rPr>
          <w:i/>
        </w:rPr>
      </w:pPr>
      <w:r>
        <w:rPr/>
        <w:t>El reductor </w:t>
      </w:r>
      <w:r>
        <w:rPr>
          <w:i/>
        </w:rPr>
        <w:t>Camellia sinensis </w:t>
      </w:r>
      <w:r>
        <w:rPr/>
        <w:t>produjo plasmones entre 354nm y 451nm, indicando que las nanopartículas de plata obtenidas son estables, de cantidad satisfactoria, de adecuada polidispersión, de forma esférica, con buenas probabilidades de contacto con un gran número de bacterias y con adecuada efecto antibacteriano pero con un tamaño menor a </w:t>
      </w:r>
      <w:r>
        <w:rPr>
          <w:i/>
        </w:rPr>
        <w:t>Heterotheca inuloides</w:t>
      </w:r>
    </w:p>
    <w:p>
      <w:pPr>
        <w:pStyle w:val="BodyText"/>
        <w:spacing w:before="207"/>
        <w:ind w:left="160"/>
        <w:jc w:val="both"/>
      </w:pPr>
      <w:r>
        <w:rPr/>
        <w:t>Etapa 2.</w:t>
      </w:r>
    </w:p>
    <w:p>
      <w:pPr>
        <w:pStyle w:val="BodyText"/>
        <w:spacing w:before="2"/>
        <w:rPr>
          <w:sz w:val="29"/>
        </w:rPr>
      </w:pPr>
    </w:p>
    <w:p>
      <w:pPr>
        <w:pStyle w:val="BodyText"/>
        <w:spacing w:line="360" w:lineRule="auto"/>
        <w:ind w:left="160" w:right="175"/>
        <w:jc w:val="both"/>
      </w:pPr>
      <w:r>
        <w:rPr/>
        <w:t>Mediante la técnica EDS del microscopio electrónico de barrido se observó la absorción de Np-Ag en el diente, aunque físicamente no se pueden observar las Np-Ag, concluimos que la solución fue compatible con los tejidos que conforman al órgano dentario, la solución fue absorbida por el esmalte y la dentina.</w:t>
      </w:r>
    </w:p>
    <w:p>
      <w:pPr>
        <w:pStyle w:val="BodyText"/>
        <w:spacing w:line="360" w:lineRule="auto" w:before="204"/>
        <w:ind w:left="160" w:right="185"/>
        <w:jc w:val="both"/>
      </w:pPr>
      <w:r>
        <w:rPr/>
        <w:t>Al realizar el mapeo químico se puede identificar la distribución de los diferentes elementos químicos presentes, los constituyentes propios del órgano dentario y la presencia de agente antibacteriano como lo son las nanopartículas de plata.</w:t>
      </w:r>
    </w:p>
    <w:p>
      <w:pPr>
        <w:pStyle w:val="BodyText"/>
        <w:spacing w:line="360" w:lineRule="auto" w:before="202"/>
        <w:ind w:left="160" w:right="173"/>
        <w:jc w:val="both"/>
      </w:pPr>
      <w:r>
        <w:rPr/>
        <w:t>En las micrografías de MET, por los tres métodos reductores, las Np-Ag son esféricas, por lo que se espera que sean estables termodinámicamente. Además, con respecto a la distribución de tamaño de las nanopartículas se observa que la polidispersión es estrecha.</w:t>
      </w:r>
    </w:p>
    <w:p>
      <w:pPr>
        <w:pStyle w:val="BodyText"/>
        <w:spacing w:line="360" w:lineRule="auto" w:before="204"/>
        <w:ind w:left="160" w:right="175"/>
        <w:jc w:val="both"/>
      </w:pPr>
      <w:r>
        <w:rPr/>
        <w:t>Hasta ahora no se han encontrado reportes en los que Np-Ag ecoamigables se hayan depositado en órganos dentarios, por lo que uno de los mayores aportes del presente trabajo de investigación ha sido el poder concluir que la substancia sintetizada es compatible con esmalte y dentina y que la plata en forma de nanopartícula tiene una óptima absorción en estos tejidos duros.</w:t>
      </w:r>
    </w:p>
    <w:p>
      <w:pPr>
        <w:spacing w:after="0" w:line="360" w:lineRule="auto"/>
        <w:jc w:val="both"/>
        <w:sectPr>
          <w:pgSz w:w="12240" w:h="15840"/>
          <w:pgMar w:header="736" w:footer="1024" w:top="1180" w:bottom="1220" w:left="1280" w:right="1260"/>
        </w:sectPr>
      </w:pPr>
    </w:p>
    <w:p>
      <w:pPr>
        <w:pStyle w:val="BodyText"/>
        <w:spacing w:before="2"/>
        <w:rPr>
          <w:sz w:val="17"/>
        </w:rPr>
      </w:pPr>
    </w:p>
    <w:p>
      <w:pPr>
        <w:pStyle w:val="BodyText"/>
        <w:spacing w:before="69"/>
        <w:ind w:left="160"/>
        <w:jc w:val="both"/>
      </w:pPr>
      <w:r>
        <w:rPr/>
        <w:t>Etapa 3</w:t>
      </w:r>
    </w:p>
    <w:p>
      <w:pPr>
        <w:pStyle w:val="BodyText"/>
        <w:spacing w:before="5"/>
        <w:rPr>
          <w:sz w:val="29"/>
        </w:rPr>
      </w:pPr>
    </w:p>
    <w:p>
      <w:pPr>
        <w:pStyle w:val="BodyText"/>
        <w:spacing w:line="360" w:lineRule="auto"/>
        <w:ind w:left="160" w:right="174"/>
        <w:jc w:val="both"/>
        <w:rPr>
          <w:i/>
        </w:rPr>
      </w:pPr>
      <w:r>
        <w:rPr/>
        <w:t>A la luz de los datos estudiados, los resultados en cuanto a la inhibición del crecimiento bacteriano sugieren que las nanopartículas de plata presentaron un efecto antibacteriano importante y determinante sobre ambos agentes causantes de la caries dental como lo son </w:t>
      </w:r>
      <w:r>
        <w:rPr>
          <w:i/>
        </w:rPr>
        <w:t>Streptococcus mutans y Lactobacillus casei.</w:t>
      </w:r>
    </w:p>
    <w:p>
      <w:pPr>
        <w:pStyle w:val="BodyText"/>
        <w:spacing w:line="360" w:lineRule="auto" w:before="171"/>
        <w:ind w:left="160" w:right="174"/>
        <w:jc w:val="both"/>
      </w:pPr>
      <w:r>
        <w:rPr/>
        <w:t>La substancia sintetizada contiene 10mg de plata en una concentración de 1x10</w:t>
      </w:r>
      <w:r>
        <w:rPr>
          <w:position w:val="11"/>
          <w:sz w:val="16"/>
        </w:rPr>
        <w:t>-3 </w:t>
      </w:r>
      <w:r>
        <w:rPr/>
        <w:t>mientras que en 2% de CHX se encuentran contenidos 20mg de gluconato de clorhexidina, por lo que, mediante la evaluación de los halos inhibitorios se concluye que la solución de Np-Ag presentó un efecto inhibitorio mayor que Clorhexidina a una dosis</w:t>
      </w:r>
      <w:r>
        <w:rPr>
          <w:spacing w:val="-4"/>
        </w:rPr>
        <w:t> </w:t>
      </w:r>
      <w:r>
        <w:rPr/>
        <w:t>mínima.</w:t>
      </w:r>
    </w:p>
    <w:p>
      <w:pPr>
        <w:pStyle w:val="BodyText"/>
        <w:spacing w:line="360" w:lineRule="auto" w:before="204"/>
        <w:ind w:left="160" w:right="184"/>
        <w:jc w:val="both"/>
      </w:pPr>
      <w:r>
        <w:rPr/>
        <w:t>La odontología actual tiene el compromiso de poner a disposición de los pacientes, agentes antibacterianos no sólo eficaces sino inocuos para la salud humana y el medio ambiente, por lo que la nanotecnología y la química ecoamigable, podrían ser un factor clave en el desarrollo de nuevas y mejoradas substancias que representen menores costos de producción y mayores beneficios para la población.</w:t>
      </w:r>
    </w:p>
    <w:p>
      <w:pPr>
        <w:pStyle w:val="BodyText"/>
        <w:spacing w:line="360" w:lineRule="auto" w:before="204"/>
        <w:ind w:left="160" w:right="174"/>
        <w:jc w:val="both"/>
      </w:pPr>
      <w:r>
        <w:rPr/>
        <w:t>Los estudios reportan una evaluación del efecto antibacteriano de Np-Ag contra el </w:t>
      </w:r>
      <w:r>
        <w:rPr>
          <w:i/>
        </w:rPr>
        <w:t>Streptococcus aureus</w:t>
      </w:r>
      <w:r>
        <w:rPr/>
        <w:t>, </w:t>
      </w:r>
      <w:r>
        <w:rPr>
          <w:i/>
        </w:rPr>
        <w:t>Salmonella, Escherichia coli </w:t>
      </w:r>
      <w:r>
        <w:rPr/>
        <w:t>y Candida albicans en el área de medicina, pero aún no han sido utilizadas en la odontología contra microorganismos causantes de caries.</w:t>
      </w:r>
    </w:p>
    <w:p>
      <w:pPr>
        <w:pStyle w:val="BodyText"/>
        <w:spacing w:line="360" w:lineRule="auto" w:before="204"/>
        <w:ind w:left="160" w:right="179"/>
        <w:jc w:val="both"/>
      </w:pPr>
      <w:r>
        <w:rPr/>
        <w:t>Al no haber encontrado hasta hoy día, estudios en los que se evalúe el efecto antibacteriano que poseen las Np-Ag sobre microorganismos cariogénicos, concluimos que este trabajo experimental abrirá nuevos caminos en los senderos de la investigación.</w:t>
      </w:r>
    </w:p>
    <w:p>
      <w:pPr>
        <w:spacing w:after="0" w:line="360" w:lineRule="auto"/>
        <w:jc w:val="both"/>
        <w:sectPr>
          <w:pgSz w:w="12240" w:h="15840"/>
          <w:pgMar w:header="736" w:footer="1024" w:top="1180" w:bottom="1220" w:left="128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0"/>
          <w:numId w:val="20"/>
        </w:numPr>
        <w:tabs>
          <w:tab w:pos="3040" w:val="left" w:leader="none"/>
          <w:tab w:pos="3041" w:val="left" w:leader="none"/>
        </w:tabs>
        <w:spacing w:line="240" w:lineRule="auto" w:before="148" w:after="0"/>
        <w:ind w:left="3041" w:right="0" w:hanging="1441"/>
        <w:jc w:val="left"/>
      </w:pPr>
      <w:bookmarkStart w:name="_TOC_250001" w:id="15"/>
      <w:bookmarkEnd w:id="15"/>
      <w:r>
        <w:rPr/>
        <w:t>SUGERENCIAS</w:t>
      </w:r>
    </w:p>
    <w:p>
      <w:pPr>
        <w:spacing w:after="0" w:line="240" w:lineRule="auto"/>
        <w:jc w:val="left"/>
        <w:sectPr>
          <w:pgSz w:w="12240" w:h="15840"/>
          <w:pgMar w:header="736" w:footer="1024" w:top="1180" w:bottom="1220" w:left="1280" w:right="1260"/>
        </w:sectPr>
      </w:pPr>
    </w:p>
    <w:p>
      <w:pPr>
        <w:pStyle w:val="BodyText"/>
        <w:spacing w:before="2"/>
        <w:rPr>
          <w:b/>
          <w:sz w:val="17"/>
        </w:rPr>
      </w:pPr>
    </w:p>
    <w:p>
      <w:pPr>
        <w:pStyle w:val="Heading2"/>
        <w:ind w:right="19"/>
        <w:jc w:val="center"/>
      </w:pPr>
      <w:r>
        <w:rPr/>
        <w:t>SUGERENCIAS</w:t>
      </w:r>
    </w:p>
    <w:p>
      <w:pPr>
        <w:pStyle w:val="BodyText"/>
        <w:spacing w:before="5"/>
        <w:rPr>
          <w:b/>
          <w:sz w:val="29"/>
        </w:rPr>
      </w:pPr>
    </w:p>
    <w:p>
      <w:pPr>
        <w:pStyle w:val="BodyText"/>
        <w:spacing w:line="360" w:lineRule="auto"/>
        <w:ind w:left="160" w:right="174"/>
        <w:jc w:val="both"/>
      </w:pPr>
      <w:r>
        <w:rPr/>
        <w:t>Dado que los efectos estadísticamente significativos, en cuanto a la superioridad como agente inhibidor del crecimiento de </w:t>
      </w:r>
      <w:r>
        <w:rPr>
          <w:i/>
        </w:rPr>
        <w:t>Streptococcus mutans </w:t>
      </w:r>
      <w:r>
        <w:rPr/>
        <w:t>de las Np-Ag reducidas con </w:t>
      </w:r>
      <w:r>
        <w:rPr>
          <w:i/>
        </w:rPr>
        <w:t>Camellia sinensis </w:t>
      </w:r>
      <w:r>
        <w:rPr/>
        <w:t>sobre la Clorhexidina, se mostraron entre la dosis de 10 microlitros y, principalmente a la dosis de 20 microlitros, se estima conveniente investigar dosis para este agente reductor que oscilen entre los 10, 15, 20 y 25 microlitros. Es muy probable que la dosis idónea se encuentre entre 15 y 20 microlitros.</w:t>
      </w:r>
    </w:p>
    <w:p>
      <w:pPr>
        <w:pStyle w:val="BodyText"/>
        <w:spacing w:line="360" w:lineRule="auto" w:before="204"/>
        <w:ind w:left="160" w:right="175"/>
        <w:jc w:val="both"/>
      </w:pPr>
      <w:r>
        <w:rPr/>
        <w:t>Es posible que el sensi-disco tenga cierto grado de absorción y puede ser que llegue a un punto en el que no absorbe más solución o no sabemos si dependa del tiempo que en unos días sea mayor su inhibición, se considerará la variable tiempo si se realiza un estudio posterior en dientes.</w:t>
      </w:r>
    </w:p>
    <w:p>
      <w:pPr>
        <w:pStyle w:val="BodyText"/>
        <w:spacing w:line="352" w:lineRule="auto" w:before="202"/>
        <w:ind w:left="160" w:right="173"/>
        <w:jc w:val="both"/>
        <w:rPr>
          <w:sz w:val="16"/>
        </w:rPr>
      </w:pPr>
      <w:r>
        <w:rPr/>
        <w:t>Se sugiere evaluar el efecto antibacteriano de Np-Ag contra diversos microorganismos que colonizan la cavidad bucal y que contribuyen a la progresión de la lesión cariosa. Existen hoy día estudios contra microorganismos Gram+ como </w:t>
      </w:r>
      <w:r>
        <w:rPr>
          <w:i/>
        </w:rPr>
        <w:t>Escherichia coli</w:t>
      </w:r>
      <w:r>
        <w:rPr/>
        <w:t>, con buenos resultados, sin embargo microorganismos Gram- como </w:t>
      </w:r>
      <w:r>
        <w:rPr>
          <w:i/>
        </w:rPr>
        <w:t>Stapyhlococcus aureus </w:t>
      </w:r>
      <w:r>
        <w:rPr/>
        <w:t>han mostrado cierta resistencia, no así en forma de nanoparticula. </w:t>
      </w:r>
      <w:r>
        <w:rPr>
          <w:position w:val="11"/>
          <w:sz w:val="16"/>
        </w:rPr>
        <w:t>10</w:t>
      </w:r>
    </w:p>
    <w:p>
      <w:pPr>
        <w:pStyle w:val="BodyText"/>
        <w:spacing w:before="6"/>
        <w:rPr>
          <w:sz w:val="35"/>
        </w:rPr>
      </w:pPr>
    </w:p>
    <w:p>
      <w:pPr>
        <w:pStyle w:val="BodyText"/>
        <w:spacing w:line="360" w:lineRule="auto"/>
        <w:ind w:left="160" w:right="174"/>
        <w:jc w:val="both"/>
      </w:pPr>
      <w:r>
        <w:rPr/>
        <w:t>Sería pertinente, la evaluación del efecto inhibitorio sobre cepas ATCC para comparar el comportamiento del agente antibacteriano de acuerdo a las condiciones microbiológicas de una cepa caracterizada y de cepas crecidas a partir de una población</w:t>
      </w:r>
      <w:r>
        <w:rPr>
          <w:spacing w:val="-4"/>
        </w:rPr>
        <w:t> </w:t>
      </w:r>
      <w:r>
        <w:rPr/>
        <w:t>infantil.</w:t>
      </w:r>
    </w:p>
    <w:p>
      <w:pPr>
        <w:pStyle w:val="BodyText"/>
        <w:spacing w:line="360" w:lineRule="auto" w:before="204"/>
        <w:ind w:left="160" w:right="174"/>
        <w:jc w:val="both"/>
      </w:pPr>
      <w:r>
        <w:rPr/>
        <w:t>Los bioreductores utilizados en el presente estudio en sinergia con las sales de plata, mostraron un efecto antibacteriano mayor que el sólo empleo de la Clorhexidina. Se sugiere un mayor estudio acerca de los efectos antibacterianos de Np-Ag sintetizadas a partir de reductores ecoamigables a diferentes dosis.</w:t>
      </w:r>
    </w:p>
    <w:p>
      <w:pPr>
        <w:pStyle w:val="BodyText"/>
        <w:spacing w:line="360" w:lineRule="auto" w:before="204"/>
        <w:ind w:left="160" w:right="174"/>
        <w:jc w:val="both"/>
      </w:pPr>
      <w:r>
        <w:rPr/>
        <w:t>La propuesta y el compromiso que han surgido a raíz del presente estudio experimental, es continuar con análisis anticariogénicos </w:t>
      </w:r>
      <w:r>
        <w:rPr>
          <w:i/>
        </w:rPr>
        <w:t>in vitro, </w:t>
      </w:r>
      <w:r>
        <w:rPr/>
        <w:t>para poder posteriormente realizar evaluaciones del comportamiento de nuestra substancia en  </w:t>
      </w:r>
      <w:r>
        <w:rPr>
          <w:spacing w:val="11"/>
        </w:rPr>
        <w:t> </w:t>
      </w:r>
      <w:r>
        <w:rPr/>
        <w:t>un</w:t>
      </w:r>
    </w:p>
    <w:p>
      <w:pPr>
        <w:spacing w:after="0" w:line="360" w:lineRule="auto"/>
        <w:jc w:val="both"/>
        <w:sectPr>
          <w:pgSz w:w="12240" w:h="15840"/>
          <w:pgMar w:header="736" w:footer="1024" w:top="1180" w:bottom="1220" w:left="1280" w:right="1260"/>
        </w:sectPr>
      </w:pPr>
    </w:p>
    <w:p>
      <w:pPr>
        <w:pStyle w:val="BodyText"/>
        <w:spacing w:before="2"/>
        <w:rPr>
          <w:sz w:val="17"/>
        </w:rPr>
      </w:pPr>
    </w:p>
    <w:p>
      <w:pPr>
        <w:pStyle w:val="BodyText"/>
        <w:spacing w:line="362" w:lineRule="auto" w:before="69"/>
        <w:ind w:left="160" w:right="270"/>
      </w:pPr>
      <w:r>
        <w:rPr/>
        <w:t>mayor número de órganos dentarios y en un futuro poder beneficiar a la población en general,  logrando así tener alternativas de uso además de la Clorhexidina.</w:t>
      </w:r>
    </w:p>
    <w:p>
      <w:pPr>
        <w:spacing w:after="0" w:line="362" w:lineRule="auto"/>
        <w:sectPr>
          <w:pgSz w:w="12240" w:h="15840"/>
          <w:pgMar w:header="736" w:footer="1024" w:top="1180" w:bottom="1220" w:left="128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pStyle w:val="Heading1"/>
        <w:numPr>
          <w:ilvl w:val="0"/>
          <w:numId w:val="20"/>
        </w:numPr>
        <w:tabs>
          <w:tab w:pos="3412" w:val="left" w:leader="none"/>
          <w:tab w:pos="3413" w:val="left" w:leader="none"/>
        </w:tabs>
        <w:spacing w:line="921" w:lineRule="exact" w:before="0" w:after="0"/>
        <w:ind w:left="3413" w:right="0" w:hanging="1441"/>
        <w:jc w:val="left"/>
      </w:pPr>
      <w:bookmarkStart w:name="_TOC_250000" w:id="16"/>
      <w:bookmarkEnd w:id="16"/>
      <w:r>
        <w:rPr/>
        <w:t>REFERENCIAS</w:t>
      </w:r>
    </w:p>
    <w:p>
      <w:pPr>
        <w:spacing w:after="0" w:line="921" w:lineRule="exact"/>
        <w:jc w:val="left"/>
        <w:sectPr>
          <w:pgSz w:w="12240" w:h="15840"/>
          <w:pgMar w:header="736" w:footer="1024" w:top="1180" w:bottom="1220" w:left="1280" w:right="1260"/>
        </w:sectPr>
      </w:pPr>
    </w:p>
    <w:p>
      <w:pPr>
        <w:pStyle w:val="BodyText"/>
        <w:spacing w:before="2"/>
        <w:rPr>
          <w:b/>
          <w:sz w:val="17"/>
        </w:rPr>
      </w:pPr>
    </w:p>
    <w:p>
      <w:pPr>
        <w:pStyle w:val="Heading2"/>
        <w:ind w:left="680"/>
      </w:pPr>
      <w:r>
        <w:rPr/>
        <w:t>REFERENCIAS BIBLIOGRÁFICAS Y OTRAS CONSULTAS</w:t>
      </w:r>
    </w:p>
    <w:p>
      <w:pPr>
        <w:pStyle w:val="BodyText"/>
        <w:rPr>
          <w:b/>
        </w:rPr>
      </w:pPr>
    </w:p>
    <w:p>
      <w:pPr>
        <w:pStyle w:val="BodyText"/>
        <w:rPr>
          <w:b/>
        </w:rPr>
      </w:pPr>
    </w:p>
    <w:p>
      <w:pPr>
        <w:pStyle w:val="ListParagraph"/>
        <w:numPr>
          <w:ilvl w:val="0"/>
          <w:numId w:val="21"/>
        </w:numPr>
        <w:tabs>
          <w:tab w:pos="465" w:val="left" w:leader="none"/>
        </w:tabs>
        <w:spacing w:line="360" w:lineRule="auto" w:before="199" w:after="0"/>
        <w:ind w:left="464" w:right="178" w:hanging="360"/>
        <w:jc w:val="both"/>
        <w:rPr>
          <w:sz w:val="24"/>
        </w:rPr>
      </w:pPr>
      <w:r>
        <w:rPr>
          <w:sz w:val="24"/>
        </w:rPr>
        <w:t>Programa de acción específico 2007-2012 Salud bucal </w:t>
      </w:r>
      <w:hyperlink r:id="rId226">
        <w:r>
          <w:rPr>
            <w:sz w:val="24"/>
            <w:u w:val="single"/>
          </w:rPr>
          <w:t>http://www.cenave.gob.mx/progaccion/saludbucal.pdf</w:t>
        </w:r>
      </w:hyperlink>
    </w:p>
    <w:p>
      <w:pPr>
        <w:pStyle w:val="ListParagraph"/>
        <w:numPr>
          <w:ilvl w:val="0"/>
          <w:numId w:val="21"/>
        </w:numPr>
        <w:tabs>
          <w:tab w:pos="465" w:val="left" w:leader="none"/>
          <w:tab w:pos="2213" w:val="left" w:leader="none"/>
          <w:tab w:pos="3785" w:val="left" w:leader="none"/>
          <w:tab w:pos="5598" w:val="left" w:leader="none"/>
          <w:tab w:pos="7439" w:val="left" w:leader="none"/>
          <w:tab w:pos="9087" w:val="left" w:leader="none"/>
        </w:tabs>
        <w:spacing w:line="360" w:lineRule="auto" w:before="2" w:after="0"/>
        <w:ind w:left="464" w:right="178" w:hanging="360"/>
        <w:jc w:val="both"/>
        <w:rPr>
          <w:sz w:val="24"/>
        </w:rPr>
      </w:pPr>
      <w:r>
        <w:rPr>
          <w:sz w:val="24"/>
        </w:rPr>
        <w:t>World</w:t>
        <w:tab/>
        <w:t>Oral</w:t>
        <w:tab/>
        <w:t>Health</w:t>
        <w:tab/>
        <w:t>Report</w:t>
        <w:tab/>
        <w:t>2003</w:t>
        <w:tab/>
        <w:t>WHO </w:t>
      </w:r>
      <w:hyperlink r:id="rId227">
        <w:r>
          <w:rPr>
            <w:sz w:val="24"/>
          </w:rPr>
          <w:t>http://www.who.int/oral_health/media/en/orh_report03_en.pdf</w:t>
        </w:r>
      </w:hyperlink>
    </w:p>
    <w:p>
      <w:pPr>
        <w:pStyle w:val="ListParagraph"/>
        <w:numPr>
          <w:ilvl w:val="0"/>
          <w:numId w:val="21"/>
        </w:numPr>
        <w:tabs>
          <w:tab w:pos="465" w:val="left" w:leader="none"/>
        </w:tabs>
        <w:spacing w:line="360" w:lineRule="auto" w:before="2" w:after="0"/>
        <w:ind w:left="464" w:right="183" w:hanging="360"/>
        <w:jc w:val="both"/>
        <w:rPr>
          <w:sz w:val="24"/>
        </w:rPr>
      </w:pPr>
      <w:r>
        <w:rPr>
          <w:sz w:val="24"/>
        </w:rPr>
        <w:t>Vargas C, Ronzio C. Disparities in Early Childhood Caries. BMC Oral Health 2006, 6 (Suppl I) :</w:t>
      </w:r>
      <w:r>
        <w:rPr>
          <w:spacing w:val="-3"/>
          <w:sz w:val="24"/>
        </w:rPr>
        <w:t> </w:t>
      </w:r>
      <w:r>
        <w:rPr>
          <w:sz w:val="24"/>
        </w:rPr>
        <w:t>S3</w:t>
      </w:r>
    </w:p>
    <w:p>
      <w:pPr>
        <w:pStyle w:val="ListParagraph"/>
        <w:numPr>
          <w:ilvl w:val="0"/>
          <w:numId w:val="21"/>
        </w:numPr>
        <w:tabs>
          <w:tab w:pos="465" w:val="left" w:leader="none"/>
        </w:tabs>
        <w:spacing w:line="360" w:lineRule="auto" w:before="3" w:after="0"/>
        <w:ind w:left="464" w:right="180" w:hanging="360"/>
        <w:jc w:val="both"/>
        <w:rPr>
          <w:sz w:val="24"/>
        </w:rPr>
      </w:pPr>
      <w:r>
        <w:rPr>
          <w:sz w:val="24"/>
        </w:rPr>
        <w:t>Frencken JE, Imazato S, Toi C, Mulder J, Mickenautsch S, Takahashi Y, Ebisu S, Antibacterial effect of Clorhexidine-containing glass ionomer cement: in vivo, a pilot study. Caries Res 2007;</w:t>
      </w:r>
      <w:r>
        <w:rPr>
          <w:spacing w:val="-8"/>
          <w:sz w:val="24"/>
        </w:rPr>
        <w:t> </w:t>
      </w:r>
      <w:r>
        <w:rPr>
          <w:sz w:val="24"/>
        </w:rPr>
        <w:t>41:102-7</w:t>
      </w:r>
    </w:p>
    <w:p>
      <w:pPr>
        <w:pStyle w:val="ListParagraph"/>
        <w:numPr>
          <w:ilvl w:val="0"/>
          <w:numId w:val="21"/>
        </w:numPr>
        <w:tabs>
          <w:tab w:pos="465" w:val="left" w:leader="none"/>
        </w:tabs>
        <w:spacing w:line="360" w:lineRule="auto" w:before="5" w:after="0"/>
        <w:ind w:left="464" w:right="174" w:hanging="360"/>
        <w:jc w:val="both"/>
        <w:rPr>
          <w:sz w:val="24"/>
        </w:rPr>
      </w:pPr>
      <w:r>
        <w:rPr>
          <w:sz w:val="24"/>
        </w:rPr>
        <w:t>Souza-Filho FJ, Soares AJ, Viana ME, Zaia AA, Ferraz CC, Gomes BP. Antimicrobial Effect and Ph OF Clorhexidine Gel and Calcium Hydroxide alone and associated with other materials. Braz. Dent J. 2008; 19 (1): p</w:t>
      </w:r>
      <w:r>
        <w:rPr>
          <w:spacing w:val="-15"/>
          <w:sz w:val="24"/>
        </w:rPr>
        <w:t> </w:t>
      </w:r>
      <w:r>
        <w:rPr>
          <w:sz w:val="24"/>
        </w:rPr>
        <w:t>28-33</w:t>
      </w:r>
    </w:p>
    <w:p>
      <w:pPr>
        <w:pStyle w:val="ListParagraph"/>
        <w:numPr>
          <w:ilvl w:val="0"/>
          <w:numId w:val="21"/>
        </w:numPr>
        <w:tabs>
          <w:tab w:pos="465" w:val="left" w:leader="none"/>
        </w:tabs>
        <w:spacing w:line="360" w:lineRule="auto" w:before="2" w:after="0"/>
        <w:ind w:left="464" w:right="177" w:hanging="360"/>
        <w:jc w:val="both"/>
        <w:rPr>
          <w:sz w:val="24"/>
        </w:rPr>
      </w:pPr>
      <w:r>
        <w:rPr>
          <w:sz w:val="24"/>
        </w:rPr>
        <w:t>Saliba CF, Oliveira HF, Breder J, Dario R, Córtes ME. Evaluation of the substantivity  of clorhexidine in association with sodium fluoride </w:t>
      </w:r>
      <w:r>
        <w:rPr>
          <w:i/>
          <w:sz w:val="24"/>
        </w:rPr>
        <w:t>in vitro. </w:t>
      </w:r>
      <w:r>
        <w:rPr>
          <w:sz w:val="24"/>
        </w:rPr>
        <w:t>Pesqui Odontol Bras 2003; 17 (1):</w:t>
      </w:r>
      <w:r>
        <w:rPr>
          <w:spacing w:val="-3"/>
          <w:sz w:val="24"/>
        </w:rPr>
        <w:t> </w:t>
      </w:r>
      <w:r>
        <w:rPr>
          <w:sz w:val="24"/>
        </w:rPr>
        <w:t>78-81</w:t>
      </w:r>
    </w:p>
    <w:p>
      <w:pPr>
        <w:pStyle w:val="ListParagraph"/>
        <w:numPr>
          <w:ilvl w:val="0"/>
          <w:numId w:val="21"/>
        </w:numPr>
        <w:tabs>
          <w:tab w:pos="465" w:val="left" w:leader="none"/>
        </w:tabs>
        <w:spacing w:line="360" w:lineRule="auto" w:before="5" w:after="0"/>
        <w:ind w:left="464" w:right="176" w:hanging="360"/>
        <w:jc w:val="both"/>
        <w:rPr>
          <w:sz w:val="24"/>
        </w:rPr>
      </w:pPr>
      <w:hyperlink r:id="rId154">
        <w:r>
          <w:rPr>
            <w:sz w:val="24"/>
          </w:rPr>
          <w:t>Komorowski</w:t>
        </w:r>
      </w:hyperlink>
      <w:r>
        <w:rPr>
          <w:sz w:val="24"/>
        </w:rPr>
        <w:t> R, </w:t>
      </w:r>
      <w:hyperlink r:id="rId154">
        <w:r>
          <w:rPr>
            <w:sz w:val="24"/>
          </w:rPr>
          <w:t>Grad</w:t>
        </w:r>
      </w:hyperlink>
      <w:r>
        <w:rPr>
          <w:sz w:val="24"/>
        </w:rPr>
        <w:t> H, </w:t>
      </w:r>
      <w:hyperlink r:id="rId154">
        <w:r>
          <w:rPr>
            <w:sz w:val="24"/>
          </w:rPr>
          <w:t>Yu </w:t>
        </w:r>
        <w:r>
          <w:rPr>
            <w:spacing w:val="3"/>
            <w:sz w:val="24"/>
          </w:rPr>
          <w:t>Wu</w:t>
        </w:r>
      </w:hyperlink>
      <w:r>
        <w:rPr>
          <w:spacing w:val="3"/>
          <w:sz w:val="24"/>
        </w:rPr>
        <w:t> </w:t>
      </w:r>
      <w:r>
        <w:rPr>
          <w:sz w:val="24"/>
        </w:rPr>
        <w:t>X, </w:t>
      </w:r>
      <w:hyperlink r:id="rId154">
        <w:r>
          <w:rPr>
            <w:sz w:val="24"/>
          </w:rPr>
          <w:t>Friedman</w:t>
        </w:r>
      </w:hyperlink>
      <w:r>
        <w:rPr>
          <w:sz w:val="24"/>
        </w:rPr>
        <w:t> S. Antimicrobial Substantivity of Chlorhexidine-Treated Bovine Root Dentin. Journal of Endodontics. </w:t>
      </w:r>
      <w:hyperlink r:id="rId155">
        <w:r>
          <w:rPr>
            <w:sz w:val="24"/>
          </w:rPr>
          <w:t>Volume 26, Issue</w:t>
        </w:r>
      </w:hyperlink>
      <w:r>
        <w:rPr>
          <w:sz w:val="24"/>
        </w:rPr>
        <w:t> </w:t>
      </w:r>
      <w:hyperlink r:id="rId155">
        <w:r>
          <w:rPr>
            <w:sz w:val="24"/>
          </w:rPr>
          <w:t>6</w:t>
        </w:r>
      </w:hyperlink>
      <w:r>
        <w:rPr>
          <w:sz w:val="24"/>
        </w:rPr>
        <w:t> , Pages 315-317, June</w:t>
      </w:r>
      <w:r>
        <w:rPr>
          <w:spacing w:val="-10"/>
          <w:sz w:val="24"/>
        </w:rPr>
        <w:t> </w:t>
      </w:r>
      <w:r>
        <w:rPr>
          <w:sz w:val="24"/>
        </w:rPr>
        <w:t>2000</w:t>
      </w:r>
    </w:p>
    <w:p>
      <w:pPr>
        <w:pStyle w:val="ListParagraph"/>
        <w:numPr>
          <w:ilvl w:val="0"/>
          <w:numId w:val="21"/>
        </w:numPr>
        <w:tabs>
          <w:tab w:pos="465" w:val="left" w:leader="none"/>
        </w:tabs>
        <w:spacing w:line="360" w:lineRule="auto" w:before="2" w:after="0"/>
        <w:ind w:left="464" w:right="181" w:hanging="360"/>
        <w:jc w:val="both"/>
        <w:rPr>
          <w:sz w:val="24"/>
        </w:rPr>
      </w:pPr>
      <w:r>
        <w:rPr>
          <w:sz w:val="24"/>
        </w:rPr>
        <w:t>Emilson C. Potential efficacy of Chlorhexidine against Mutans Strepctocci and Human dental caries. J Dent Res 199; 73 (4):</w:t>
      </w:r>
      <w:r>
        <w:rPr>
          <w:spacing w:val="-16"/>
          <w:sz w:val="24"/>
        </w:rPr>
        <w:t> </w:t>
      </w:r>
      <w:r>
        <w:rPr>
          <w:sz w:val="24"/>
        </w:rPr>
        <w:t>682-691</w:t>
      </w:r>
    </w:p>
    <w:p>
      <w:pPr>
        <w:pStyle w:val="ListParagraph"/>
        <w:numPr>
          <w:ilvl w:val="0"/>
          <w:numId w:val="21"/>
        </w:numPr>
        <w:tabs>
          <w:tab w:pos="465" w:val="left" w:leader="none"/>
        </w:tabs>
        <w:spacing w:line="345" w:lineRule="auto" w:before="2" w:after="0"/>
        <w:ind w:left="464" w:right="173" w:hanging="360"/>
        <w:jc w:val="both"/>
        <w:rPr>
          <w:sz w:val="24"/>
        </w:rPr>
      </w:pPr>
      <w:hyperlink r:id="rId228">
        <w:r>
          <w:rPr>
            <w:sz w:val="24"/>
          </w:rPr>
          <w:t>Geoffrey A. Ozin</w:t>
        </w:r>
      </w:hyperlink>
      <w:r>
        <w:rPr>
          <w:sz w:val="24"/>
        </w:rPr>
        <w:t>, </w:t>
      </w:r>
      <w:hyperlink r:id="rId229">
        <w:r>
          <w:rPr>
            <w:sz w:val="24"/>
          </w:rPr>
          <w:t>André C. Arsenault</w:t>
        </w:r>
      </w:hyperlink>
      <w:r>
        <w:rPr>
          <w:sz w:val="24"/>
        </w:rPr>
        <w:t>, </w:t>
      </w:r>
      <w:hyperlink r:id="rId230">
        <w:r>
          <w:rPr>
            <w:sz w:val="24"/>
          </w:rPr>
          <w:t>Ludovico Cademartiri</w:t>
        </w:r>
      </w:hyperlink>
      <w:r>
        <w:rPr>
          <w:sz w:val="24"/>
        </w:rPr>
        <w:t>. </w:t>
      </w:r>
      <w:r>
        <w:rPr>
          <w:b/>
          <w:sz w:val="24"/>
        </w:rPr>
        <w:t>Nanochemistry: </w:t>
      </w:r>
      <w:r>
        <w:rPr>
          <w:sz w:val="24"/>
        </w:rPr>
        <w:t>A Chemical Approach to Nanomaterials. Royal Society of Chemistry, 2009 </w:t>
      </w:r>
      <w:r>
        <w:rPr>
          <w:spacing w:val="2"/>
          <w:sz w:val="24"/>
        </w:rPr>
        <w:t>2</w:t>
      </w:r>
      <w:r>
        <w:rPr>
          <w:spacing w:val="2"/>
          <w:position w:val="11"/>
          <w:sz w:val="16"/>
        </w:rPr>
        <w:t>ND </w:t>
      </w:r>
      <w:r>
        <w:rPr>
          <w:sz w:val="24"/>
        </w:rPr>
        <w:t>EDITION 820</w:t>
      </w:r>
      <w:r>
        <w:rPr>
          <w:spacing w:val="-5"/>
          <w:sz w:val="24"/>
        </w:rPr>
        <w:t> </w:t>
      </w:r>
      <w:r>
        <w:rPr>
          <w:sz w:val="24"/>
        </w:rPr>
        <w:t>pages</w:t>
      </w:r>
    </w:p>
    <w:p>
      <w:pPr>
        <w:pStyle w:val="ListParagraph"/>
        <w:numPr>
          <w:ilvl w:val="0"/>
          <w:numId w:val="21"/>
        </w:numPr>
        <w:tabs>
          <w:tab w:pos="465" w:val="left" w:leader="none"/>
        </w:tabs>
        <w:spacing w:line="360" w:lineRule="auto" w:before="22" w:after="0"/>
        <w:ind w:left="464" w:right="185" w:hanging="360"/>
        <w:jc w:val="both"/>
        <w:rPr>
          <w:sz w:val="24"/>
        </w:rPr>
      </w:pPr>
      <w:r>
        <w:rPr>
          <w:sz w:val="24"/>
        </w:rPr>
        <w:t>Siddhartha S, Tanmay B, Arnab R, Gajendra S, Ramachandrarao P, Debabrata D, Characterization of enhanced antibacterial effects of novel silver nanoparticles. IOP Nanotechnology 2007; 18 (22):</w:t>
      </w:r>
      <w:r>
        <w:rPr>
          <w:spacing w:val="-7"/>
          <w:sz w:val="24"/>
        </w:rPr>
        <w:t> </w:t>
      </w:r>
      <w:r>
        <w:rPr>
          <w:sz w:val="24"/>
        </w:rPr>
        <w:t>1-9</w:t>
      </w:r>
    </w:p>
    <w:p>
      <w:pPr>
        <w:pStyle w:val="ListParagraph"/>
        <w:numPr>
          <w:ilvl w:val="0"/>
          <w:numId w:val="21"/>
        </w:numPr>
        <w:tabs>
          <w:tab w:pos="465" w:val="left" w:leader="none"/>
        </w:tabs>
        <w:spacing w:line="360" w:lineRule="auto" w:before="5" w:after="0"/>
        <w:ind w:left="464" w:right="176" w:hanging="360"/>
        <w:jc w:val="both"/>
        <w:rPr>
          <w:sz w:val="24"/>
        </w:rPr>
      </w:pPr>
      <w:r>
        <w:rPr>
          <w:sz w:val="24"/>
        </w:rPr>
        <w:t>Anastas P., Autor J. Green Chemistry: Theory and Practice. Oxford University Press, 2000 pp. 1- 135 Lenander M., Loimaranta V. Saliva and dental caries. Adv Dent Res 2000; 14:</w:t>
      </w:r>
      <w:r>
        <w:rPr>
          <w:spacing w:val="-8"/>
          <w:sz w:val="24"/>
        </w:rPr>
        <w:t> </w:t>
      </w:r>
      <w:r>
        <w:rPr>
          <w:sz w:val="24"/>
        </w:rPr>
        <w:t>40-47.</w:t>
      </w:r>
    </w:p>
    <w:p>
      <w:pPr>
        <w:spacing w:after="0" w:line="360" w:lineRule="auto"/>
        <w:jc w:val="both"/>
        <w:rPr>
          <w:sz w:val="24"/>
        </w:rPr>
        <w:sectPr>
          <w:pgSz w:w="12240" w:h="15840"/>
          <w:pgMar w:header="736" w:footer="1024" w:top="1180" w:bottom="1220" w:left="1120" w:right="1260"/>
        </w:sectPr>
      </w:pPr>
    </w:p>
    <w:p>
      <w:pPr>
        <w:pStyle w:val="BodyText"/>
        <w:spacing w:before="2"/>
        <w:rPr>
          <w:sz w:val="17"/>
        </w:rPr>
      </w:pPr>
    </w:p>
    <w:p>
      <w:pPr>
        <w:pStyle w:val="ListParagraph"/>
        <w:numPr>
          <w:ilvl w:val="0"/>
          <w:numId w:val="21"/>
        </w:numPr>
        <w:tabs>
          <w:tab w:pos="465" w:val="left" w:leader="none"/>
        </w:tabs>
        <w:spacing w:line="362" w:lineRule="auto" w:before="69" w:after="0"/>
        <w:ind w:left="464" w:right="184" w:hanging="360"/>
        <w:jc w:val="both"/>
        <w:rPr>
          <w:sz w:val="24"/>
        </w:rPr>
      </w:pPr>
      <w:r>
        <w:rPr>
          <w:sz w:val="24"/>
        </w:rPr>
        <w:t>Fejerskov O. Changing paradigms on dental caries: consequences for oral health  care. Caries Res 2004; 38:</w:t>
      </w:r>
      <w:r>
        <w:rPr>
          <w:spacing w:val="-10"/>
          <w:sz w:val="24"/>
        </w:rPr>
        <w:t> </w:t>
      </w:r>
      <w:r>
        <w:rPr>
          <w:sz w:val="24"/>
        </w:rPr>
        <w:t>182-191.</w:t>
      </w:r>
    </w:p>
    <w:p>
      <w:pPr>
        <w:pStyle w:val="ListParagraph"/>
        <w:numPr>
          <w:ilvl w:val="0"/>
          <w:numId w:val="21"/>
        </w:numPr>
        <w:tabs>
          <w:tab w:pos="465" w:val="left" w:leader="none"/>
        </w:tabs>
        <w:spacing w:line="360" w:lineRule="auto" w:before="0" w:after="0"/>
        <w:ind w:left="464" w:right="183" w:hanging="360"/>
        <w:jc w:val="both"/>
        <w:rPr>
          <w:sz w:val="24"/>
        </w:rPr>
      </w:pPr>
      <w:r>
        <w:rPr>
          <w:sz w:val="24"/>
        </w:rPr>
        <w:t>Maripandi A., Kumar A., Salaman A. Prevalence of dental caries bacterial pathogens and evaluation of inhibitory concentration effect on different tooth pastes against Streptococcus spp. J. Microbiol Res 2011; 5 (14)</w:t>
      </w:r>
      <w:r>
        <w:rPr>
          <w:spacing w:val="-15"/>
          <w:sz w:val="24"/>
        </w:rPr>
        <w:t> </w:t>
      </w:r>
      <w:r>
        <w:rPr>
          <w:sz w:val="24"/>
        </w:rPr>
        <w:t>1778-1783.</w:t>
      </w:r>
    </w:p>
    <w:p>
      <w:pPr>
        <w:pStyle w:val="ListParagraph"/>
        <w:numPr>
          <w:ilvl w:val="0"/>
          <w:numId w:val="21"/>
        </w:numPr>
        <w:tabs>
          <w:tab w:pos="465" w:val="left" w:leader="none"/>
        </w:tabs>
        <w:spacing w:line="360" w:lineRule="auto" w:before="2" w:after="0"/>
        <w:ind w:left="464" w:right="181" w:hanging="360"/>
        <w:jc w:val="both"/>
        <w:rPr>
          <w:sz w:val="24"/>
        </w:rPr>
      </w:pPr>
      <w:r>
        <w:rPr>
          <w:sz w:val="24"/>
        </w:rPr>
        <w:t>Jalayer N., Niakan M., Kharazi F., Zardi S. Antibacterial activity of Iranian green and black tea on Streptococcus mutans: an in vitro study. Journal of Dentistry 2011; 8(2): 55-59</w:t>
      </w:r>
    </w:p>
    <w:p>
      <w:pPr>
        <w:pStyle w:val="ListParagraph"/>
        <w:numPr>
          <w:ilvl w:val="0"/>
          <w:numId w:val="21"/>
        </w:numPr>
        <w:tabs>
          <w:tab w:pos="465" w:val="left" w:leader="none"/>
        </w:tabs>
        <w:spacing w:line="360" w:lineRule="auto" w:before="5" w:after="0"/>
        <w:ind w:left="464" w:right="174" w:hanging="360"/>
        <w:jc w:val="both"/>
        <w:rPr>
          <w:sz w:val="24"/>
        </w:rPr>
      </w:pPr>
      <w:r>
        <w:rPr>
          <w:sz w:val="24"/>
        </w:rPr>
        <w:t>Allah A., Ibrahium M., Al-atrouny A. Effect of black tea on some cariogenic bacteria. Worl Appl. Sci. j. 2011; 12 (4):</w:t>
      </w:r>
      <w:r>
        <w:rPr>
          <w:spacing w:val="-9"/>
          <w:sz w:val="24"/>
        </w:rPr>
        <w:t> </w:t>
      </w:r>
      <w:r>
        <w:rPr>
          <w:sz w:val="24"/>
        </w:rPr>
        <w:t>552-558</w:t>
      </w:r>
    </w:p>
    <w:p>
      <w:pPr>
        <w:pStyle w:val="ListParagraph"/>
        <w:numPr>
          <w:ilvl w:val="0"/>
          <w:numId w:val="21"/>
        </w:numPr>
        <w:tabs>
          <w:tab w:pos="465" w:val="left" w:leader="none"/>
        </w:tabs>
        <w:spacing w:line="360" w:lineRule="auto" w:before="5" w:after="0"/>
        <w:ind w:left="464" w:right="178" w:hanging="360"/>
        <w:jc w:val="both"/>
        <w:rPr>
          <w:sz w:val="24"/>
        </w:rPr>
      </w:pPr>
      <w:r>
        <w:rPr>
          <w:sz w:val="24"/>
        </w:rPr>
        <w:t>Klein I., Florio F., Pereira A., Hofling J., Goncalves R. Longitudinal study of transmission, diversity and stability of Streptococcus mutans and Streptococcus sobrinus genotypes in Brazilian nursery children. J clinical Microbiol. 2004; 42 (10): 4620-4626</w:t>
      </w:r>
    </w:p>
    <w:p>
      <w:pPr>
        <w:pStyle w:val="ListParagraph"/>
        <w:numPr>
          <w:ilvl w:val="0"/>
          <w:numId w:val="21"/>
        </w:numPr>
        <w:tabs>
          <w:tab w:pos="465" w:val="left" w:leader="none"/>
        </w:tabs>
        <w:spacing w:line="360" w:lineRule="auto" w:before="5" w:after="0"/>
        <w:ind w:left="464" w:right="174" w:hanging="360"/>
        <w:jc w:val="both"/>
        <w:rPr>
          <w:sz w:val="24"/>
        </w:rPr>
      </w:pPr>
      <w:r>
        <w:rPr>
          <w:sz w:val="24"/>
        </w:rPr>
        <w:t>Loesche </w:t>
      </w:r>
      <w:r>
        <w:rPr>
          <w:spacing w:val="4"/>
          <w:sz w:val="24"/>
        </w:rPr>
        <w:t>W. </w:t>
      </w:r>
      <w:r>
        <w:rPr>
          <w:sz w:val="24"/>
        </w:rPr>
        <w:t>Role of Streptococcus mutans in Human dental decay Microbiol  Rev 1986; 50: 4</w:t>
      </w:r>
      <w:r>
        <w:rPr>
          <w:spacing w:val="-9"/>
          <w:sz w:val="24"/>
        </w:rPr>
        <w:t> </w:t>
      </w:r>
      <w:r>
        <w:rPr>
          <w:sz w:val="24"/>
        </w:rPr>
        <w:t>353-380.</w:t>
      </w:r>
    </w:p>
    <w:p>
      <w:pPr>
        <w:pStyle w:val="ListParagraph"/>
        <w:numPr>
          <w:ilvl w:val="0"/>
          <w:numId w:val="21"/>
        </w:numPr>
        <w:tabs>
          <w:tab w:pos="465" w:val="left" w:leader="none"/>
        </w:tabs>
        <w:spacing w:line="360" w:lineRule="auto" w:before="5" w:after="0"/>
        <w:ind w:left="464" w:right="173" w:hanging="360"/>
        <w:jc w:val="both"/>
        <w:rPr>
          <w:sz w:val="24"/>
        </w:rPr>
      </w:pPr>
      <w:r>
        <w:rPr>
          <w:sz w:val="24"/>
        </w:rPr>
        <w:t>Jordan H., Laraway R., Snirch R., Marmel M. A simplified diagnostic system  for cultural and enumeration of Streptococcus mutans. J Dent Res 1987; 66 (1):</w:t>
      </w:r>
      <w:r>
        <w:rPr>
          <w:spacing w:val="-22"/>
          <w:sz w:val="24"/>
        </w:rPr>
        <w:t> </w:t>
      </w:r>
      <w:r>
        <w:rPr>
          <w:sz w:val="24"/>
        </w:rPr>
        <w:t>57-61</w:t>
      </w:r>
    </w:p>
    <w:p>
      <w:pPr>
        <w:pStyle w:val="ListParagraph"/>
        <w:numPr>
          <w:ilvl w:val="0"/>
          <w:numId w:val="21"/>
        </w:numPr>
        <w:tabs>
          <w:tab w:pos="465" w:val="left" w:leader="none"/>
        </w:tabs>
        <w:spacing w:line="360" w:lineRule="auto" w:before="5" w:after="0"/>
        <w:ind w:left="464" w:right="179" w:hanging="360"/>
        <w:jc w:val="both"/>
        <w:rPr>
          <w:sz w:val="24"/>
        </w:rPr>
      </w:pPr>
      <w:r>
        <w:rPr>
          <w:sz w:val="24"/>
        </w:rPr>
        <w:t>Tanzer J., Livingston J., Thompson A. The microbiology of primary dental caries in humans. Journal of Dental education 1995; 65 (10)</w:t>
      </w:r>
      <w:r>
        <w:rPr>
          <w:spacing w:val="-23"/>
          <w:sz w:val="24"/>
        </w:rPr>
        <w:t> </w:t>
      </w:r>
      <w:r>
        <w:rPr>
          <w:sz w:val="24"/>
        </w:rPr>
        <w:t>1028-1037</w:t>
      </w:r>
    </w:p>
    <w:p>
      <w:pPr>
        <w:pStyle w:val="ListParagraph"/>
        <w:numPr>
          <w:ilvl w:val="0"/>
          <w:numId w:val="21"/>
        </w:numPr>
        <w:tabs>
          <w:tab w:pos="465" w:val="left" w:leader="none"/>
        </w:tabs>
        <w:spacing w:line="360" w:lineRule="auto" w:before="5" w:after="0"/>
        <w:ind w:left="464" w:right="184" w:hanging="360"/>
        <w:jc w:val="both"/>
        <w:rPr>
          <w:sz w:val="24"/>
        </w:rPr>
      </w:pPr>
      <w:r>
        <w:rPr>
          <w:sz w:val="24"/>
        </w:rPr>
        <w:t>Vahabi S., Fekrazad R., Ayremlu S., Taheri S., Zangeneh N. The effect  of antimicrobial photodynamic therapy with radachlorin and toluidine blue on Streptococcus mutans: an in vitro study Journal of Dentistry 2011; 8 (2)</w:t>
      </w:r>
      <w:r>
        <w:rPr>
          <w:spacing w:val="-19"/>
          <w:sz w:val="24"/>
        </w:rPr>
        <w:t> </w:t>
      </w:r>
      <w:r>
        <w:rPr>
          <w:sz w:val="24"/>
        </w:rPr>
        <w:t>48-54.</w:t>
      </w:r>
    </w:p>
    <w:p>
      <w:pPr>
        <w:pStyle w:val="ListParagraph"/>
        <w:numPr>
          <w:ilvl w:val="0"/>
          <w:numId w:val="21"/>
        </w:numPr>
        <w:tabs>
          <w:tab w:pos="465" w:val="left" w:leader="none"/>
        </w:tabs>
        <w:spacing w:line="360" w:lineRule="auto" w:before="2" w:after="0"/>
        <w:ind w:left="464" w:right="178" w:hanging="360"/>
        <w:jc w:val="both"/>
        <w:rPr>
          <w:sz w:val="24"/>
        </w:rPr>
      </w:pPr>
      <w:r>
        <w:rPr>
          <w:sz w:val="24"/>
        </w:rPr>
        <w:t>Nascimento E., Mayer M., Pontes P., Pignatari A. Caries prevalence, level of mutans Streptococci, and gingival and plaque indices in 3.0 to 5.0 year-old mouth breathing children. Caries Res 2004; 38:</w:t>
      </w:r>
      <w:r>
        <w:rPr>
          <w:spacing w:val="-12"/>
          <w:sz w:val="24"/>
        </w:rPr>
        <w:t> </w:t>
      </w:r>
      <w:r>
        <w:rPr>
          <w:sz w:val="24"/>
        </w:rPr>
        <w:t>572-575</w:t>
      </w:r>
    </w:p>
    <w:p>
      <w:pPr>
        <w:pStyle w:val="ListParagraph"/>
        <w:numPr>
          <w:ilvl w:val="0"/>
          <w:numId w:val="21"/>
        </w:numPr>
        <w:tabs>
          <w:tab w:pos="465" w:val="left" w:leader="none"/>
        </w:tabs>
        <w:spacing w:line="360" w:lineRule="auto" w:before="5" w:after="0"/>
        <w:ind w:left="464" w:right="184" w:hanging="360"/>
        <w:jc w:val="both"/>
        <w:rPr>
          <w:sz w:val="24"/>
        </w:rPr>
      </w:pPr>
      <w:r>
        <w:rPr>
          <w:sz w:val="24"/>
        </w:rPr>
        <w:t>Schaeken M., Van Der Hoven J., Franken H. Comparative recovery of Streptococcus mutans on five isolation media, including a new sample selective medium. J. Dent Res1986; 65 (6):</w:t>
      </w:r>
      <w:r>
        <w:rPr>
          <w:spacing w:val="-8"/>
          <w:sz w:val="24"/>
        </w:rPr>
        <w:t> </w:t>
      </w:r>
      <w:r>
        <w:rPr>
          <w:sz w:val="24"/>
        </w:rPr>
        <w:t>906-908</w:t>
      </w:r>
    </w:p>
    <w:p>
      <w:pPr>
        <w:pStyle w:val="ListParagraph"/>
        <w:numPr>
          <w:ilvl w:val="0"/>
          <w:numId w:val="21"/>
        </w:numPr>
        <w:tabs>
          <w:tab w:pos="465" w:val="left" w:leader="none"/>
        </w:tabs>
        <w:spacing w:line="360" w:lineRule="auto" w:before="2" w:after="0"/>
        <w:ind w:left="464" w:right="177" w:hanging="360"/>
        <w:jc w:val="both"/>
        <w:rPr>
          <w:sz w:val="24"/>
        </w:rPr>
      </w:pPr>
      <w:r>
        <w:rPr>
          <w:sz w:val="24"/>
        </w:rPr>
        <w:t>Salonen L., Allander L., Bratthall D., Hellden L. Mutans Streptococci, oral hygiene and caries in an adult Swedish population. J Dent Res 1990; 69 (8):</w:t>
      </w:r>
      <w:r>
        <w:rPr>
          <w:spacing w:val="-24"/>
          <w:sz w:val="24"/>
        </w:rPr>
        <w:t> </w:t>
      </w:r>
      <w:r>
        <w:rPr>
          <w:sz w:val="24"/>
        </w:rPr>
        <w:t>1469-1475</w:t>
      </w:r>
    </w:p>
    <w:p>
      <w:pPr>
        <w:spacing w:after="0" w:line="360" w:lineRule="auto"/>
        <w:jc w:val="both"/>
        <w:rPr>
          <w:sz w:val="24"/>
        </w:rPr>
        <w:sectPr>
          <w:pgSz w:w="12240" w:h="15840"/>
          <w:pgMar w:header="736" w:footer="1024" w:top="1180" w:bottom="1220" w:left="1120" w:right="1260"/>
        </w:sectPr>
      </w:pPr>
    </w:p>
    <w:p>
      <w:pPr>
        <w:pStyle w:val="BodyText"/>
        <w:spacing w:before="2"/>
        <w:rPr>
          <w:sz w:val="17"/>
        </w:rPr>
      </w:pPr>
    </w:p>
    <w:p>
      <w:pPr>
        <w:pStyle w:val="ListParagraph"/>
        <w:numPr>
          <w:ilvl w:val="0"/>
          <w:numId w:val="21"/>
        </w:numPr>
        <w:tabs>
          <w:tab w:pos="465" w:val="left" w:leader="none"/>
        </w:tabs>
        <w:spacing w:line="360" w:lineRule="auto" w:before="69" w:after="0"/>
        <w:ind w:left="464" w:right="174" w:hanging="360"/>
        <w:jc w:val="both"/>
        <w:rPr>
          <w:sz w:val="24"/>
        </w:rPr>
      </w:pPr>
      <w:r>
        <w:rPr>
          <w:spacing w:val="3"/>
          <w:sz w:val="24"/>
        </w:rPr>
        <w:t>Wu </w:t>
      </w:r>
      <w:r>
        <w:rPr>
          <w:sz w:val="24"/>
        </w:rPr>
        <w:t>H., Fan M., Zhou X., Mo A., Bian Z. Detection of Streptococcus mutans and Streptococcus sobrinus on the permanent first molar of the Mosuo people in China Caries Res 2003; 203</w:t>
      </w:r>
      <w:r>
        <w:rPr>
          <w:spacing w:val="-6"/>
          <w:sz w:val="24"/>
        </w:rPr>
        <w:t> </w:t>
      </w:r>
      <w:r>
        <w:rPr>
          <w:sz w:val="24"/>
        </w:rPr>
        <w:t>1-6</w:t>
      </w:r>
    </w:p>
    <w:p>
      <w:pPr>
        <w:pStyle w:val="ListParagraph"/>
        <w:numPr>
          <w:ilvl w:val="0"/>
          <w:numId w:val="21"/>
        </w:numPr>
        <w:tabs>
          <w:tab w:pos="465" w:val="left" w:leader="none"/>
        </w:tabs>
        <w:spacing w:line="240" w:lineRule="auto" w:before="5" w:after="0"/>
        <w:ind w:left="464" w:right="0" w:hanging="360"/>
        <w:jc w:val="left"/>
        <w:rPr>
          <w:sz w:val="24"/>
        </w:rPr>
      </w:pPr>
      <w:r>
        <w:rPr>
          <w:sz w:val="24"/>
        </w:rPr>
        <w:t>Pieralisi F., Rodrigues M., Segura V., Maciel S., Ferreira F. García J.,   </w:t>
      </w:r>
      <w:r>
        <w:rPr>
          <w:spacing w:val="7"/>
          <w:sz w:val="24"/>
        </w:rPr>
        <w:t> </w:t>
      </w:r>
      <w:r>
        <w:rPr>
          <w:sz w:val="24"/>
        </w:rPr>
        <w:t>Poli- Frederico</w:t>
      </w:r>
    </w:p>
    <w:p>
      <w:pPr>
        <w:pStyle w:val="BodyText"/>
        <w:spacing w:line="360" w:lineRule="auto" w:before="137"/>
        <w:ind w:left="464"/>
      </w:pPr>
      <w:r>
        <w:rPr/>
        <w:t>R. Genotypic diversity of Strepctococcus mutans in caries- free and caries-active preschool children. International J. of Dentistry. 2009; 1-5</w:t>
      </w:r>
    </w:p>
    <w:p>
      <w:pPr>
        <w:pStyle w:val="ListParagraph"/>
        <w:numPr>
          <w:ilvl w:val="0"/>
          <w:numId w:val="21"/>
        </w:numPr>
        <w:tabs>
          <w:tab w:pos="465" w:val="left" w:leader="none"/>
        </w:tabs>
        <w:spacing w:line="360" w:lineRule="auto" w:before="5" w:after="0"/>
        <w:ind w:left="464" w:right="172" w:hanging="360"/>
        <w:jc w:val="both"/>
        <w:rPr>
          <w:sz w:val="24"/>
        </w:rPr>
      </w:pPr>
      <w:r>
        <w:rPr>
          <w:sz w:val="24"/>
        </w:rPr>
        <w:t>Li M., Lai G., Wang J. The prevalence of virulent clonal strains of mutans streptococci in vivo and co-culture sucession of the strains in vitro. J. of Stomatology 2011; 1: </w:t>
      </w:r>
      <w:r>
        <w:rPr>
          <w:spacing w:val="3"/>
          <w:sz w:val="24"/>
        </w:rPr>
        <w:t>18- </w:t>
      </w:r>
      <w:r>
        <w:rPr>
          <w:sz w:val="24"/>
        </w:rPr>
        <w:t>24</w:t>
      </w:r>
    </w:p>
    <w:p>
      <w:pPr>
        <w:pStyle w:val="ListParagraph"/>
        <w:numPr>
          <w:ilvl w:val="0"/>
          <w:numId w:val="21"/>
        </w:numPr>
        <w:tabs>
          <w:tab w:pos="465" w:val="left" w:leader="none"/>
        </w:tabs>
        <w:spacing w:line="360" w:lineRule="auto" w:before="3" w:after="0"/>
        <w:ind w:left="464" w:right="175" w:hanging="360"/>
        <w:jc w:val="both"/>
        <w:rPr>
          <w:sz w:val="24"/>
        </w:rPr>
      </w:pPr>
      <w:r>
        <w:rPr>
          <w:sz w:val="24"/>
        </w:rPr>
        <w:t>Straetemans M., ,Loveren C., Soet J., Graaff J., ten Cate J. Colonization with mutans Streptococci and Lactobacilli and the caries experience of  children after the age of  five. J. Dent Res. 1998; 77 (10):</w:t>
      </w:r>
      <w:r>
        <w:rPr>
          <w:spacing w:val="-15"/>
          <w:sz w:val="24"/>
        </w:rPr>
        <w:t> </w:t>
      </w:r>
      <w:r>
        <w:rPr>
          <w:sz w:val="24"/>
        </w:rPr>
        <w:t>1851-1855.</w:t>
      </w:r>
    </w:p>
    <w:p>
      <w:pPr>
        <w:pStyle w:val="ListParagraph"/>
        <w:numPr>
          <w:ilvl w:val="0"/>
          <w:numId w:val="21"/>
        </w:numPr>
        <w:tabs>
          <w:tab w:pos="465" w:val="left" w:leader="none"/>
        </w:tabs>
        <w:spacing w:line="360" w:lineRule="auto" w:before="5" w:after="0"/>
        <w:ind w:left="464" w:right="179" w:hanging="360"/>
        <w:jc w:val="both"/>
        <w:rPr>
          <w:sz w:val="24"/>
        </w:rPr>
      </w:pPr>
      <w:r>
        <w:rPr>
          <w:sz w:val="24"/>
        </w:rPr>
        <w:t>Wan A., Seow </w:t>
      </w:r>
      <w:r>
        <w:rPr>
          <w:spacing w:val="2"/>
          <w:sz w:val="24"/>
        </w:rPr>
        <w:t>W., </w:t>
      </w:r>
      <w:r>
        <w:rPr>
          <w:sz w:val="24"/>
        </w:rPr>
        <w:t>Purdie M., Bird P., Walsh L., Tudehope D. Alongitudinal study of Streptococcus mutans colonization in infants after tooth eruption. J Dent Res 2003; 82: 504-508.</w:t>
      </w:r>
      <w:r>
        <w:rPr>
          <w:spacing w:val="-8"/>
          <w:sz w:val="24"/>
        </w:rPr>
        <w:t> </w:t>
      </w:r>
      <w:r>
        <w:rPr>
          <w:sz w:val="24"/>
        </w:rPr>
        <w:t>2003</w:t>
      </w:r>
    </w:p>
    <w:p>
      <w:pPr>
        <w:pStyle w:val="ListParagraph"/>
        <w:numPr>
          <w:ilvl w:val="0"/>
          <w:numId w:val="21"/>
        </w:numPr>
        <w:tabs>
          <w:tab w:pos="465" w:val="left" w:leader="none"/>
        </w:tabs>
        <w:spacing w:line="360" w:lineRule="auto" w:before="2" w:after="0"/>
        <w:ind w:left="464" w:right="182" w:hanging="360"/>
        <w:jc w:val="both"/>
        <w:rPr>
          <w:sz w:val="24"/>
        </w:rPr>
      </w:pPr>
      <w:r>
        <w:rPr>
          <w:sz w:val="24"/>
        </w:rPr>
        <w:t>Strickland M., Markowitz K. Breaking the chain of early childhood caries transmission. Dental hypotheses  2011; 2 (2)</w:t>
      </w:r>
      <w:r>
        <w:rPr>
          <w:spacing w:val="-11"/>
          <w:sz w:val="24"/>
        </w:rPr>
        <w:t> </w:t>
      </w:r>
      <w:r>
        <w:rPr>
          <w:sz w:val="24"/>
        </w:rPr>
        <w:t>87-92.</w:t>
      </w:r>
    </w:p>
    <w:p>
      <w:pPr>
        <w:pStyle w:val="ListParagraph"/>
        <w:numPr>
          <w:ilvl w:val="0"/>
          <w:numId w:val="21"/>
        </w:numPr>
        <w:tabs>
          <w:tab w:pos="465" w:val="left" w:leader="none"/>
        </w:tabs>
        <w:spacing w:line="360" w:lineRule="auto" w:before="3" w:after="0"/>
        <w:ind w:left="464" w:right="176" w:hanging="360"/>
        <w:jc w:val="both"/>
        <w:rPr>
          <w:sz w:val="24"/>
        </w:rPr>
      </w:pPr>
      <w:r>
        <w:rPr>
          <w:sz w:val="24"/>
        </w:rPr>
        <w:t>Berkowitz R., Causes, tratmente and prevention of early childhood caries: a microbiologic prespective J Can Dent Assoc 2003; 69 (5)</w:t>
      </w:r>
      <w:r>
        <w:rPr>
          <w:spacing w:val="-19"/>
          <w:sz w:val="24"/>
        </w:rPr>
        <w:t> </w:t>
      </w:r>
      <w:r>
        <w:rPr>
          <w:sz w:val="24"/>
        </w:rPr>
        <w:t>304-307</w:t>
      </w:r>
    </w:p>
    <w:p>
      <w:pPr>
        <w:pStyle w:val="ListParagraph"/>
        <w:numPr>
          <w:ilvl w:val="0"/>
          <w:numId w:val="21"/>
        </w:numPr>
        <w:tabs>
          <w:tab w:pos="465" w:val="left" w:leader="none"/>
        </w:tabs>
        <w:spacing w:line="360" w:lineRule="auto" w:before="2" w:after="0"/>
        <w:ind w:left="464" w:right="187" w:hanging="360"/>
        <w:jc w:val="both"/>
        <w:rPr>
          <w:sz w:val="24"/>
        </w:rPr>
      </w:pPr>
      <w:r>
        <w:rPr>
          <w:sz w:val="24"/>
        </w:rPr>
        <w:t>Loesche </w:t>
      </w:r>
      <w:r>
        <w:rPr>
          <w:spacing w:val="2"/>
          <w:sz w:val="24"/>
        </w:rPr>
        <w:t>W., </w:t>
      </w:r>
      <w:r>
        <w:rPr>
          <w:sz w:val="24"/>
        </w:rPr>
        <w:t>Rowan J., Straffon L., Loos P. Association of Streptococcus mutans with Human Dental Decay. Infect Immun 1975; 11 (6) 1252 -</w:t>
      </w:r>
      <w:r>
        <w:rPr>
          <w:spacing w:val="-17"/>
          <w:sz w:val="24"/>
        </w:rPr>
        <w:t> </w:t>
      </w:r>
      <w:r>
        <w:rPr>
          <w:sz w:val="24"/>
        </w:rPr>
        <w:t>1260</w:t>
      </w:r>
    </w:p>
    <w:p>
      <w:pPr>
        <w:pStyle w:val="ListParagraph"/>
        <w:numPr>
          <w:ilvl w:val="0"/>
          <w:numId w:val="21"/>
        </w:numPr>
        <w:tabs>
          <w:tab w:pos="465" w:val="left" w:leader="none"/>
        </w:tabs>
        <w:spacing w:line="360" w:lineRule="auto" w:before="2" w:after="0"/>
        <w:ind w:left="464" w:right="181" w:hanging="360"/>
        <w:jc w:val="both"/>
        <w:rPr>
          <w:sz w:val="24"/>
        </w:rPr>
      </w:pPr>
      <w:r>
        <w:rPr>
          <w:sz w:val="24"/>
        </w:rPr>
        <w:t>Ge Y., Caufield P., Fisch G., Li Y. Streptococcus mutans and Streptoccus sanguis Colonization Correlated with Caries Experience in Children. Caries Res 2008; 42: </w:t>
      </w:r>
      <w:r>
        <w:rPr>
          <w:spacing w:val="19"/>
          <w:sz w:val="24"/>
        </w:rPr>
        <w:t> </w:t>
      </w:r>
      <w:r>
        <w:rPr>
          <w:sz w:val="24"/>
        </w:rPr>
        <w:t>444</w:t>
      </w:r>
    </w:p>
    <w:p>
      <w:pPr>
        <w:pStyle w:val="BodyText"/>
        <w:spacing w:before="2"/>
        <w:ind w:left="464"/>
      </w:pPr>
      <w:r>
        <w:rPr/>
        <w:t>- 448</w:t>
      </w:r>
    </w:p>
    <w:p>
      <w:pPr>
        <w:pStyle w:val="ListParagraph"/>
        <w:numPr>
          <w:ilvl w:val="0"/>
          <w:numId w:val="21"/>
        </w:numPr>
        <w:tabs>
          <w:tab w:pos="465" w:val="left" w:leader="none"/>
        </w:tabs>
        <w:spacing w:line="360" w:lineRule="auto" w:before="139" w:after="0"/>
        <w:ind w:left="464" w:right="180" w:hanging="360"/>
        <w:jc w:val="both"/>
        <w:rPr>
          <w:sz w:val="24"/>
        </w:rPr>
      </w:pPr>
      <w:r>
        <w:rPr>
          <w:sz w:val="24"/>
        </w:rPr>
        <w:t>Ferrazzano G., Amato I., Ingenito A., Zarrelli A., Pinto G., Pollio A. Plant polyphemols and their anti-cariogenic activity properties: a review. Journal Molecules. 2011; 16: 1486-1507</w:t>
      </w:r>
    </w:p>
    <w:p>
      <w:pPr>
        <w:pStyle w:val="ListParagraph"/>
        <w:numPr>
          <w:ilvl w:val="0"/>
          <w:numId w:val="21"/>
        </w:numPr>
        <w:tabs>
          <w:tab w:pos="465" w:val="left" w:leader="none"/>
        </w:tabs>
        <w:spacing w:line="360" w:lineRule="auto" w:before="2" w:after="0"/>
        <w:ind w:left="464" w:right="175" w:hanging="360"/>
        <w:jc w:val="both"/>
        <w:rPr>
          <w:sz w:val="24"/>
        </w:rPr>
      </w:pPr>
      <w:r>
        <w:rPr>
          <w:sz w:val="24"/>
        </w:rPr>
        <w:t>Jeon J., Pandit s., Xiao J., Gregpire S., Falsetta M., Klein M., Koo H. Influences of trans farnesol, a membrane-targeting sesquiterpenoid, on Streptococcus mutans physiology and survival within mixed-species oral biofilms. Int J Oral Sci 2011; 3: 96- 106</w:t>
      </w:r>
    </w:p>
    <w:p>
      <w:pPr>
        <w:spacing w:after="0" w:line="360" w:lineRule="auto"/>
        <w:jc w:val="both"/>
        <w:rPr>
          <w:sz w:val="24"/>
        </w:rPr>
        <w:sectPr>
          <w:footerReference w:type="default" r:id="rId231"/>
          <w:pgSz w:w="12240" w:h="15840"/>
          <w:pgMar w:footer="1024" w:header="736" w:top="1180" w:bottom="1220" w:left="1120" w:right="1260"/>
        </w:sectPr>
      </w:pPr>
    </w:p>
    <w:p>
      <w:pPr>
        <w:pStyle w:val="BodyText"/>
        <w:spacing w:before="2"/>
        <w:rPr>
          <w:sz w:val="17"/>
        </w:rPr>
      </w:pPr>
    </w:p>
    <w:p>
      <w:pPr>
        <w:pStyle w:val="ListParagraph"/>
        <w:numPr>
          <w:ilvl w:val="0"/>
          <w:numId w:val="21"/>
        </w:numPr>
        <w:tabs>
          <w:tab w:pos="465" w:val="left" w:leader="none"/>
        </w:tabs>
        <w:spacing w:line="362" w:lineRule="auto" w:before="69" w:after="0"/>
        <w:ind w:left="464" w:right="183" w:hanging="360"/>
        <w:jc w:val="both"/>
        <w:rPr>
          <w:sz w:val="24"/>
        </w:rPr>
      </w:pPr>
      <w:r>
        <w:rPr>
          <w:sz w:val="24"/>
        </w:rPr>
        <w:t>Bader J., Shugars D., Bonito A. Systematic Reviews of Selecte Dental Caries Diagnostic and Managmente Methods. Journal of Dental Education 2001; 65 (10):</w:t>
      </w:r>
      <w:r>
        <w:rPr>
          <w:spacing w:val="20"/>
          <w:sz w:val="24"/>
        </w:rPr>
        <w:t> </w:t>
      </w:r>
      <w:r>
        <w:rPr>
          <w:sz w:val="24"/>
        </w:rPr>
        <w:t>960</w:t>
      </w:r>
    </w:p>
    <w:p>
      <w:pPr>
        <w:pStyle w:val="BodyText"/>
        <w:ind w:left="464"/>
      </w:pPr>
      <w:r>
        <w:rPr/>
        <w:t>- 968</w:t>
      </w:r>
    </w:p>
    <w:p>
      <w:pPr>
        <w:pStyle w:val="ListParagraph"/>
        <w:numPr>
          <w:ilvl w:val="0"/>
          <w:numId w:val="21"/>
        </w:numPr>
        <w:tabs>
          <w:tab w:pos="465" w:val="left" w:leader="none"/>
        </w:tabs>
        <w:spacing w:line="360" w:lineRule="auto" w:before="139" w:after="0"/>
        <w:ind w:left="464" w:right="175" w:hanging="360"/>
        <w:jc w:val="both"/>
        <w:rPr>
          <w:sz w:val="24"/>
        </w:rPr>
      </w:pPr>
      <w:r>
        <w:rPr>
          <w:sz w:val="24"/>
        </w:rPr>
        <w:t>Gibbons R., Fitzgerald J. Dextran-induced agglutination of Strepctococcus mutans,  and its potential role in the formation of microbial dental plaques. J Bacteriol 1969; 98 (2):</w:t>
      </w:r>
      <w:r>
        <w:rPr>
          <w:spacing w:val="-2"/>
          <w:sz w:val="24"/>
        </w:rPr>
        <w:t> </w:t>
      </w:r>
      <w:r>
        <w:rPr>
          <w:sz w:val="24"/>
        </w:rPr>
        <w:t>343-346.</w:t>
      </w:r>
    </w:p>
    <w:p>
      <w:pPr>
        <w:pStyle w:val="ListParagraph"/>
        <w:numPr>
          <w:ilvl w:val="0"/>
          <w:numId w:val="21"/>
        </w:numPr>
        <w:tabs>
          <w:tab w:pos="465" w:val="left" w:leader="none"/>
        </w:tabs>
        <w:spacing w:line="360" w:lineRule="auto" w:before="5" w:after="0"/>
        <w:ind w:left="464" w:right="184" w:hanging="360"/>
        <w:jc w:val="both"/>
        <w:rPr>
          <w:sz w:val="24"/>
        </w:rPr>
      </w:pPr>
      <w:r>
        <w:rPr>
          <w:sz w:val="24"/>
        </w:rPr>
        <w:t>Ajdi'c D., McShan </w:t>
      </w:r>
      <w:r>
        <w:rPr>
          <w:spacing w:val="2"/>
          <w:sz w:val="24"/>
        </w:rPr>
        <w:t>W., </w:t>
      </w:r>
      <w:r>
        <w:rPr>
          <w:sz w:val="24"/>
        </w:rPr>
        <w:t>McLaughlin R., Savic G., Chang J., Carson M., Primeaux C., Runying T. et al Genome sequence of Streptococcus mutans UA159 a cariogenic dental pathogen. PNAS 2002; 99 (22): 14434 -</w:t>
      </w:r>
      <w:r>
        <w:rPr>
          <w:spacing w:val="-20"/>
          <w:sz w:val="24"/>
        </w:rPr>
        <w:t> </w:t>
      </w:r>
      <w:r>
        <w:rPr>
          <w:sz w:val="24"/>
        </w:rPr>
        <w:t>14439</w:t>
      </w:r>
    </w:p>
    <w:p>
      <w:pPr>
        <w:pStyle w:val="ListParagraph"/>
        <w:numPr>
          <w:ilvl w:val="0"/>
          <w:numId w:val="21"/>
        </w:numPr>
        <w:tabs>
          <w:tab w:pos="465" w:val="left" w:leader="none"/>
        </w:tabs>
        <w:spacing w:line="360" w:lineRule="auto" w:before="3" w:after="0"/>
        <w:ind w:left="464" w:right="174" w:hanging="360"/>
        <w:jc w:val="both"/>
        <w:rPr>
          <w:sz w:val="24"/>
        </w:rPr>
      </w:pPr>
      <w:r>
        <w:rPr>
          <w:sz w:val="24"/>
        </w:rPr>
        <w:t>Russell M., Bergmeier L., Zanders E., Lehner T. Protein antigens of Strepctococcus mutans: purification and properties of a double antigen and its protease-resistant component. Infect Immun 1980; 28 (2)</w:t>
      </w:r>
      <w:r>
        <w:rPr>
          <w:spacing w:val="-15"/>
          <w:sz w:val="24"/>
        </w:rPr>
        <w:t> </w:t>
      </w:r>
      <w:r>
        <w:rPr>
          <w:sz w:val="24"/>
        </w:rPr>
        <w:t>486-493.</w:t>
      </w:r>
    </w:p>
    <w:p>
      <w:pPr>
        <w:pStyle w:val="ListParagraph"/>
        <w:numPr>
          <w:ilvl w:val="0"/>
          <w:numId w:val="21"/>
        </w:numPr>
        <w:tabs>
          <w:tab w:pos="465" w:val="left" w:leader="none"/>
        </w:tabs>
        <w:spacing w:line="360" w:lineRule="auto" w:before="5" w:after="0"/>
        <w:ind w:left="464" w:right="183" w:hanging="360"/>
        <w:jc w:val="both"/>
        <w:rPr>
          <w:sz w:val="24"/>
        </w:rPr>
      </w:pPr>
      <w:r>
        <w:rPr>
          <w:sz w:val="24"/>
        </w:rPr>
        <w:t>Aoki H., Shiroza T., Hayawaka M., Sato S., Kuramitsu K. Cloning of a Strepctococcus mutans Glucosyltransferasa Gene Coding for Insoluble Glucan Synthesis. Infect Immun 1986; 53 (3): 587 -</w:t>
      </w:r>
      <w:r>
        <w:rPr>
          <w:spacing w:val="-9"/>
          <w:sz w:val="24"/>
        </w:rPr>
        <w:t> </w:t>
      </w:r>
      <w:r>
        <w:rPr>
          <w:sz w:val="24"/>
        </w:rPr>
        <w:t>594</w:t>
      </w:r>
    </w:p>
    <w:p>
      <w:pPr>
        <w:pStyle w:val="ListParagraph"/>
        <w:numPr>
          <w:ilvl w:val="0"/>
          <w:numId w:val="21"/>
        </w:numPr>
        <w:tabs>
          <w:tab w:pos="465" w:val="left" w:leader="none"/>
        </w:tabs>
        <w:spacing w:line="360" w:lineRule="auto" w:before="2" w:after="0"/>
        <w:ind w:left="464" w:right="183" w:hanging="360"/>
        <w:jc w:val="both"/>
        <w:rPr>
          <w:sz w:val="24"/>
        </w:rPr>
      </w:pPr>
      <w:r>
        <w:rPr>
          <w:sz w:val="24"/>
        </w:rPr>
        <w:t>Napimoga M., Hofling J., Klein M., Umeko R., Bruno R. Transmission, diversity and virulence factors of Streptococcus mutans genotypes. J Oral Sci 2005; 47: 59 -</w:t>
      </w:r>
      <w:r>
        <w:rPr>
          <w:spacing w:val="-22"/>
          <w:sz w:val="24"/>
        </w:rPr>
        <w:t> </w:t>
      </w:r>
      <w:r>
        <w:rPr>
          <w:sz w:val="24"/>
        </w:rPr>
        <w:t>64</w:t>
      </w:r>
    </w:p>
    <w:p>
      <w:pPr>
        <w:pStyle w:val="ListParagraph"/>
        <w:numPr>
          <w:ilvl w:val="0"/>
          <w:numId w:val="21"/>
        </w:numPr>
        <w:tabs>
          <w:tab w:pos="465" w:val="left" w:leader="none"/>
          <w:tab w:pos="2168" w:val="left" w:leader="none"/>
          <w:tab w:pos="3047" w:val="left" w:leader="none"/>
          <w:tab w:pos="4607" w:val="left" w:leader="none"/>
          <w:tab w:pos="6099" w:val="left" w:leader="none"/>
          <w:tab w:pos="7667" w:val="left" w:leader="none"/>
          <w:tab w:pos="9411" w:val="left" w:leader="none"/>
        </w:tabs>
        <w:spacing w:line="360" w:lineRule="auto" w:before="3" w:after="0"/>
        <w:ind w:left="464" w:right="176" w:hanging="360"/>
        <w:jc w:val="both"/>
        <w:rPr>
          <w:sz w:val="24"/>
        </w:rPr>
      </w:pPr>
      <w:r>
        <w:rPr>
          <w:sz w:val="24"/>
        </w:rPr>
        <w:t>Garrity, George M.; Brenner, Don J.; Krieg, Noel R.; Staley, James R. (2005). Bergey's Manual of Systematic Bacteriology, Volume Two: The Proteobacteria, Parts A - C.. Springer</w:t>
        <w:tab/>
        <w:t>-</w:t>
        <w:tab/>
        <w:t>Verlag.</w:t>
        <w:tab/>
        <w:t>Online</w:t>
        <w:tab/>
        <w:t>version</w:t>
        <w:tab/>
        <w:t>available</w:t>
        <w:tab/>
        <w:t>at: </w:t>
      </w:r>
      <w:hyperlink r:id="rId233">
        <w:r>
          <w:rPr>
            <w:sz w:val="24"/>
            <w:u w:val="single"/>
          </w:rPr>
          <w:t>http://www.knovel.com/web/portal/browse/display?_EXT_KNOVEL_DISPLAY_bookid= </w:t>
        </w:r>
      </w:hyperlink>
      <w:hyperlink r:id="rId233">
        <w:r>
          <w:rPr>
            <w:sz w:val="24"/>
            <w:u w:val="single"/>
          </w:rPr>
          <w:t>1703&amp;VerticalID=0</w:t>
        </w:r>
      </w:hyperlink>
    </w:p>
    <w:p>
      <w:pPr>
        <w:pStyle w:val="ListParagraph"/>
        <w:numPr>
          <w:ilvl w:val="0"/>
          <w:numId w:val="21"/>
        </w:numPr>
        <w:tabs>
          <w:tab w:pos="465" w:val="left" w:leader="none"/>
        </w:tabs>
        <w:spacing w:line="360" w:lineRule="auto" w:before="5" w:after="0"/>
        <w:ind w:left="464" w:right="173" w:hanging="360"/>
        <w:jc w:val="both"/>
        <w:rPr>
          <w:sz w:val="24"/>
        </w:rPr>
      </w:pPr>
      <w:r>
        <w:rPr>
          <w:sz w:val="24"/>
        </w:rPr>
        <w:t>Koroluk L., Hoover J., Komiyama K. The sensitivity and specificity of a coloritemric microbiological caries activity test (Cariostat) in preeschool children. Ped Dent 1994; 16 (4):</w:t>
      </w:r>
      <w:r>
        <w:rPr>
          <w:spacing w:val="-5"/>
          <w:sz w:val="24"/>
        </w:rPr>
        <w:t> </w:t>
      </w:r>
      <w:r>
        <w:rPr>
          <w:sz w:val="24"/>
        </w:rPr>
        <w:t>276-281</w:t>
      </w:r>
    </w:p>
    <w:p>
      <w:pPr>
        <w:pStyle w:val="ListParagraph"/>
        <w:numPr>
          <w:ilvl w:val="0"/>
          <w:numId w:val="21"/>
        </w:numPr>
        <w:tabs>
          <w:tab w:pos="465" w:val="left" w:leader="none"/>
        </w:tabs>
        <w:spacing w:line="362" w:lineRule="auto" w:before="2" w:after="0"/>
        <w:ind w:left="464" w:right="183" w:hanging="360"/>
        <w:jc w:val="both"/>
        <w:rPr>
          <w:sz w:val="24"/>
        </w:rPr>
      </w:pPr>
      <w:r>
        <w:rPr>
          <w:sz w:val="24"/>
        </w:rPr>
        <w:t>Davis G. The Classification of Lactobacilli from the Human Mouth. J Gen Microbiol 1955; 13: 481 -</w:t>
      </w:r>
      <w:r>
        <w:rPr>
          <w:spacing w:val="-9"/>
          <w:sz w:val="24"/>
        </w:rPr>
        <w:t> </w:t>
      </w:r>
      <w:r>
        <w:rPr>
          <w:sz w:val="24"/>
        </w:rPr>
        <w:t>493</w:t>
      </w:r>
    </w:p>
    <w:p>
      <w:pPr>
        <w:pStyle w:val="ListParagraph"/>
        <w:numPr>
          <w:ilvl w:val="0"/>
          <w:numId w:val="21"/>
        </w:numPr>
        <w:tabs>
          <w:tab w:pos="465" w:val="left" w:leader="none"/>
        </w:tabs>
        <w:spacing w:line="360" w:lineRule="auto" w:before="0" w:after="0"/>
        <w:ind w:left="464" w:right="172" w:hanging="360"/>
        <w:jc w:val="both"/>
        <w:rPr>
          <w:sz w:val="24"/>
        </w:rPr>
      </w:pPr>
      <w:r>
        <w:rPr>
          <w:sz w:val="24"/>
        </w:rPr>
        <w:t>Scaeken M., van der Hoeven J., Hendricks J. Effects of varnishes containing Chlorhexidine on the Human dental plaque flora. J Dent Res 1989; 68 (12): 1786 - 1789</w:t>
      </w:r>
    </w:p>
    <w:p>
      <w:pPr>
        <w:spacing w:after="0" w:line="360" w:lineRule="auto"/>
        <w:jc w:val="both"/>
        <w:rPr>
          <w:sz w:val="24"/>
        </w:rPr>
        <w:sectPr>
          <w:footerReference w:type="default" r:id="rId232"/>
          <w:pgSz w:w="12240" w:h="15840"/>
          <w:pgMar w:footer="1024" w:header="736" w:top="1180" w:bottom="1220" w:left="1120" w:right="1260"/>
          <w:pgNumType w:start="131"/>
        </w:sectPr>
      </w:pPr>
    </w:p>
    <w:p>
      <w:pPr>
        <w:pStyle w:val="BodyText"/>
        <w:spacing w:before="2"/>
        <w:rPr>
          <w:sz w:val="17"/>
        </w:rPr>
      </w:pPr>
    </w:p>
    <w:p>
      <w:pPr>
        <w:pStyle w:val="ListParagraph"/>
        <w:numPr>
          <w:ilvl w:val="0"/>
          <w:numId w:val="21"/>
        </w:numPr>
        <w:tabs>
          <w:tab w:pos="465" w:val="left" w:leader="none"/>
        </w:tabs>
        <w:spacing w:line="362" w:lineRule="auto" w:before="69" w:after="0"/>
        <w:ind w:left="464" w:right="183" w:hanging="360"/>
        <w:jc w:val="both"/>
        <w:rPr>
          <w:sz w:val="24"/>
        </w:rPr>
      </w:pPr>
      <w:r>
        <w:rPr>
          <w:sz w:val="24"/>
        </w:rPr>
        <w:t>Grover R., Frank M. Regional specificity of Chlorhexidine effects on taste perception Chem. Senses 2008; 33:</w:t>
      </w:r>
      <w:r>
        <w:rPr>
          <w:spacing w:val="-12"/>
          <w:sz w:val="24"/>
        </w:rPr>
        <w:t> </w:t>
      </w:r>
      <w:r>
        <w:rPr>
          <w:sz w:val="24"/>
        </w:rPr>
        <w:t>311-318</w:t>
      </w:r>
    </w:p>
    <w:p>
      <w:pPr>
        <w:pStyle w:val="ListParagraph"/>
        <w:numPr>
          <w:ilvl w:val="0"/>
          <w:numId w:val="21"/>
        </w:numPr>
        <w:tabs>
          <w:tab w:pos="465" w:val="left" w:leader="none"/>
        </w:tabs>
        <w:spacing w:line="360" w:lineRule="auto" w:before="0" w:after="0"/>
        <w:ind w:left="464" w:right="183" w:hanging="360"/>
        <w:jc w:val="both"/>
        <w:rPr>
          <w:sz w:val="24"/>
        </w:rPr>
      </w:pPr>
      <w:r>
        <w:rPr>
          <w:sz w:val="24"/>
        </w:rPr>
        <w:t>Mathur S., Mathur T., Srivasta R., Khatri R. Chlorhexidine: The gold standard in chemical plaque control. National Journal of Phisiolgy, Pharmacy and Pharmacology 2011; 1 (2):</w:t>
      </w:r>
      <w:r>
        <w:rPr>
          <w:spacing w:val="-6"/>
          <w:sz w:val="24"/>
        </w:rPr>
        <w:t> </w:t>
      </w:r>
      <w:r>
        <w:rPr>
          <w:sz w:val="24"/>
        </w:rPr>
        <w:t>45-50</w:t>
      </w:r>
    </w:p>
    <w:p>
      <w:pPr>
        <w:pStyle w:val="ListParagraph"/>
        <w:numPr>
          <w:ilvl w:val="0"/>
          <w:numId w:val="21"/>
        </w:numPr>
        <w:tabs>
          <w:tab w:pos="465" w:val="left" w:leader="none"/>
        </w:tabs>
        <w:spacing w:line="360" w:lineRule="auto" w:before="2" w:after="0"/>
        <w:ind w:left="464" w:right="183" w:hanging="360"/>
        <w:jc w:val="both"/>
        <w:rPr>
          <w:sz w:val="24"/>
        </w:rPr>
      </w:pPr>
      <w:r>
        <w:rPr>
          <w:sz w:val="24"/>
        </w:rPr>
        <w:t>Mc. Coy L., Wehler C., Rich S., García R., Miller D., Jones J. Adverse events associated with chlorhexidine use: Results from the Department of Veterans Affairs Dental Diabetes study. JADA 2008; 139 (2):</w:t>
      </w:r>
      <w:r>
        <w:rPr>
          <w:spacing w:val="-16"/>
          <w:sz w:val="24"/>
        </w:rPr>
        <w:t> </w:t>
      </w:r>
      <w:r>
        <w:rPr>
          <w:sz w:val="24"/>
        </w:rPr>
        <w:t>178-183</w:t>
      </w:r>
    </w:p>
    <w:p>
      <w:pPr>
        <w:pStyle w:val="ListParagraph"/>
        <w:numPr>
          <w:ilvl w:val="0"/>
          <w:numId w:val="21"/>
        </w:numPr>
        <w:tabs>
          <w:tab w:pos="465" w:val="left" w:leader="none"/>
        </w:tabs>
        <w:spacing w:line="360" w:lineRule="auto" w:before="5" w:after="0"/>
        <w:ind w:left="464" w:right="177" w:hanging="360"/>
        <w:jc w:val="both"/>
        <w:rPr>
          <w:sz w:val="24"/>
        </w:rPr>
      </w:pPr>
      <w:r>
        <w:rPr>
          <w:sz w:val="24"/>
        </w:rPr>
        <w:t>Singh H., Kapoor P., Meshram G., Warhadpande M. Evaluation os substantivity of chlorhexidine to human dentin and its application in adhesive dentistry-an in vitro analysis. Indian Journal of Dentistry 2011; (2):</w:t>
      </w:r>
      <w:r>
        <w:rPr>
          <w:spacing w:val="-12"/>
          <w:sz w:val="24"/>
        </w:rPr>
        <w:t> </w:t>
      </w:r>
      <w:r>
        <w:rPr>
          <w:sz w:val="24"/>
        </w:rPr>
        <w:t>8-10</w:t>
      </w:r>
    </w:p>
    <w:p>
      <w:pPr>
        <w:pStyle w:val="ListParagraph"/>
        <w:numPr>
          <w:ilvl w:val="0"/>
          <w:numId w:val="21"/>
        </w:numPr>
        <w:tabs>
          <w:tab w:pos="465" w:val="left" w:leader="none"/>
        </w:tabs>
        <w:spacing w:line="360" w:lineRule="auto" w:before="2" w:after="0"/>
        <w:ind w:left="464" w:right="177" w:hanging="360"/>
        <w:jc w:val="both"/>
        <w:rPr>
          <w:sz w:val="24"/>
        </w:rPr>
      </w:pPr>
      <w:r>
        <w:rPr>
          <w:sz w:val="24"/>
        </w:rPr>
        <w:t>Zanatta F., Antoniazzi R., Rosing C. The effect of 0.12% Chlorhexidine gluconate rinsing on previously plaque-free and plaque-covered surfaces: a randomized, controlled clinical trial. J Perodontol 2007; 78 (11):</w:t>
      </w:r>
      <w:r>
        <w:rPr>
          <w:spacing w:val="-18"/>
          <w:sz w:val="24"/>
        </w:rPr>
        <w:t> </w:t>
      </w:r>
      <w:r>
        <w:rPr>
          <w:sz w:val="24"/>
        </w:rPr>
        <w:t>2127-2134</w:t>
      </w:r>
    </w:p>
    <w:p>
      <w:pPr>
        <w:pStyle w:val="ListParagraph"/>
        <w:numPr>
          <w:ilvl w:val="0"/>
          <w:numId w:val="21"/>
        </w:numPr>
        <w:tabs>
          <w:tab w:pos="532" w:val="left" w:leader="none"/>
        </w:tabs>
        <w:spacing w:line="360" w:lineRule="auto" w:before="5" w:after="0"/>
        <w:ind w:left="464" w:right="180" w:hanging="360"/>
        <w:jc w:val="both"/>
        <w:rPr>
          <w:sz w:val="24"/>
        </w:rPr>
      </w:pPr>
      <w:r>
        <w:rPr>
          <w:sz w:val="24"/>
        </w:rPr>
        <w:t>Ullfoss B., Ogaard B., Arends J., Ruben J., Rolla G., Afseth J. Effect of a combined chlorhexidine and NaF mouthrinse: an in vivo human caries model study Scand Dent Res 1994; 102 (2):</w:t>
      </w:r>
      <w:r>
        <w:rPr>
          <w:spacing w:val="-9"/>
          <w:sz w:val="24"/>
        </w:rPr>
        <w:t> </w:t>
      </w:r>
      <w:r>
        <w:rPr>
          <w:sz w:val="24"/>
        </w:rPr>
        <w:t>109-112</w:t>
      </w:r>
    </w:p>
    <w:p>
      <w:pPr>
        <w:pStyle w:val="ListParagraph"/>
        <w:numPr>
          <w:ilvl w:val="0"/>
          <w:numId w:val="21"/>
        </w:numPr>
        <w:tabs>
          <w:tab w:pos="465" w:val="left" w:leader="none"/>
        </w:tabs>
        <w:spacing w:line="240" w:lineRule="auto" w:before="3" w:after="0"/>
        <w:ind w:left="464" w:right="0" w:hanging="360"/>
        <w:jc w:val="left"/>
        <w:rPr>
          <w:sz w:val="24"/>
        </w:rPr>
      </w:pPr>
      <w:r>
        <w:rPr>
          <w:sz w:val="24"/>
        </w:rPr>
        <w:t>Jones C. Chlorhexidine: is it still the gold standard? Periodontol 2000 1997; 15:</w:t>
      </w:r>
      <w:r>
        <w:rPr>
          <w:spacing w:val="-27"/>
          <w:sz w:val="24"/>
        </w:rPr>
        <w:t> </w:t>
      </w:r>
      <w:r>
        <w:rPr>
          <w:sz w:val="24"/>
        </w:rPr>
        <w:t>55-62</w:t>
      </w:r>
    </w:p>
    <w:p>
      <w:pPr>
        <w:pStyle w:val="ListParagraph"/>
        <w:numPr>
          <w:ilvl w:val="0"/>
          <w:numId w:val="21"/>
        </w:numPr>
        <w:tabs>
          <w:tab w:pos="465" w:val="left" w:leader="none"/>
        </w:tabs>
        <w:spacing w:line="360" w:lineRule="auto" w:before="139" w:after="0"/>
        <w:ind w:left="464" w:right="183" w:hanging="360"/>
        <w:jc w:val="both"/>
        <w:rPr>
          <w:sz w:val="24"/>
        </w:rPr>
      </w:pPr>
      <w:r>
        <w:rPr>
          <w:sz w:val="24"/>
        </w:rPr>
        <w:t>Carrilho M., Gerardeli S., Tay F., de Goes M., Carvalho R., Tjaderhane L., Reis A. et al. In vivo Preservation of the Hybrid Layer by Chlorhexidine. J DENT RES 2007; 86 (6): 529 -</w:t>
      </w:r>
      <w:r>
        <w:rPr>
          <w:spacing w:val="-4"/>
          <w:sz w:val="24"/>
        </w:rPr>
        <w:t> </w:t>
      </w:r>
      <w:r>
        <w:rPr>
          <w:sz w:val="24"/>
        </w:rPr>
        <w:t>533</w:t>
      </w:r>
    </w:p>
    <w:p>
      <w:pPr>
        <w:pStyle w:val="ListParagraph"/>
        <w:numPr>
          <w:ilvl w:val="0"/>
          <w:numId w:val="21"/>
        </w:numPr>
        <w:tabs>
          <w:tab w:pos="465" w:val="left" w:leader="none"/>
        </w:tabs>
        <w:spacing w:line="360" w:lineRule="auto" w:before="2" w:after="0"/>
        <w:ind w:left="464" w:right="184" w:hanging="360"/>
        <w:jc w:val="both"/>
        <w:rPr>
          <w:sz w:val="24"/>
        </w:rPr>
      </w:pPr>
      <w:r>
        <w:rPr>
          <w:sz w:val="24"/>
        </w:rPr>
        <w:t>Petti S., Hausen H. Caries Preventive Effect of Chlorhexidine Gel Applications among High-Risk Children. Caries Res 2006; 40: 514 -</w:t>
      </w:r>
      <w:r>
        <w:rPr>
          <w:spacing w:val="-13"/>
          <w:sz w:val="24"/>
        </w:rPr>
        <w:t> </w:t>
      </w:r>
      <w:r>
        <w:rPr>
          <w:sz w:val="24"/>
        </w:rPr>
        <w:t>521</w:t>
      </w:r>
    </w:p>
    <w:p>
      <w:pPr>
        <w:pStyle w:val="ListParagraph"/>
        <w:numPr>
          <w:ilvl w:val="0"/>
          <w:numId w:val="21"/>
        </w:numPr>
        <w:tabs>
          <w:tab w:pos="465" w:val="left" w:leader="none"/>
        </w:tabs>
        <w:spacing w:line="360" w:lineRule="auto" w:before="2" w:after="0"/>
        <w:ind w:left="464" w:right="178" w:hanging="360"/>
        <w:jc w:val="both"/>
        <w:rPr>
          <w:sz w:val="24"/>
        </w:rPr>
      </w:pPr>
      <w:r>
        <w:rPr>
          <w:sz w:val="24"/>
        </w:rPr>
        <w:t>Ferraz C., Gomes B., Zaia A., Teixeira F., Souza-Filho F. Comparative study of the antimicrobial efficacy of Chlorhexidine gel, Chlorhexidine solution and Sodium hypochlorite as endodontic irrigants. Braz Dent J 2007; 18 (4):</w:t>
      </w:r>
      <w:r>
        <w:rPr>
          <w:spacing w:val="-19"/>
          <w:sz w:val="24"/>
        </w:rPr>
        <w:t> </w:t>
      </w:r>
      <w:r>
        <w:rPr>
          <w:sz w:val="24"/>
        </w:rPr>
        <w:t>294-298</w:t>
      </w:r>
    </w:p>
    <w:p>
      <w:pPr>
        <w:pStyle w:val="ListParagraph"/>
        <w:numPr>
          <w:ilvl w:val="0"/>
          <w:numId w:val="21"/>
        </w:numPr>
        <w:tabs>
          <w:tab w:pos="465" w:val="left" w:leader="none"/>
        </w:tabs>
        <w:spacing w:line="360" w:lineRule="auto" w:before="5" w:after="0"/>
        <w:ind w:left="464" w:right="174" w:hanging="360"/>
        <w:jc w:val="both"/>
        <w:rPr>
          <w:sz w:val="24"/>
        </w:rPr>
      </w:pPr>
      <w:r>
        <w:rPr>
          <w:sz w:val="24"/>
        </w:rPr>
        <w:t>Heredia J., Bonetti S., Rodriguez S. Uso de la Chlorhexidina en Endodoncia RAO 2008; 93 (3): 245 -</w:t>
      </w:r>
      <w:r>
        <w:rPr>
          <w:spacing w:val="-9"/>
          <w:sz w:val="24"/>
        </w:rPr>
        <w:t> </w:t>
      </w:r>
      <w:r>
        <w:rPr>
          <w:sz w:val="24"/>
        </w:rPr>
        <w:t>248</w:t>
      </w:r>
    </w:p>
    <w:p>
      <w:pPr>
        <w:pStyle w:val="ListParagraph"/>
        <w:numPr>
          <w:ilvl w:val="0"/>
          <w:numId w:val="21"/>
        </w:numPr>
        <w:tabs>
          <w:tab w:pos="465" w:val="left" w:leader="none"/>
        </w:tabs>
        <w:spacing w:line="360" w:lineRule="auto" w:before="5" w:after="0"/>
        <w:ind w:left="464" w:right="175" w:hanging="360"/>
        <w:jc w:val="both"/>
        <w:rPr>
          <w:sz w:val="24"/>
        </w:rPr>
      </w:pPr>
      <w:r>
        <w:rPr>
          <w:sz w:val="24"/>
        </w:rPr>
        <w:t>Koralasi D., Ziraman F., Ozyurt P., Burcak S. Microleakage of Self-atch primer / adhesives in endodontically treated teeth. JADA 2007; 138 (5): 634 -</w:t>
      </w:r>
      <w:r>
        <w:rPr>
          <w:spacing w:val="-25"/>
          <w:sz w:val="24"/>
        </w:rPr>
        <w:t> </w:t>
      </w:r>
      <w:r>
        <w:rPr>
          <w:sz w:val="24"/>
        </w:rPr>
        <w:t>640</w:t>
      </w:r>
    </w:p>
    <w:p>
      <w:pPr>
        <w:pStyle w:val="ListParagraph"/>
        <w:numPr>
          <w:ilvl w:val="0"/>
          <w:numId w:val="21"/>
        </w:numPr>
        <w:tabs>
          <w:tab w:pos="465" w:val="left" w:leader="none"/>
        </w:tabs>
        <w:spacing w:line="240" w:lineRule="auto" w:before="5" w:after="0"/>
        <w:ind w:left="464" w:right="0" w:hanging="360"/>
        <w:jc w:val="left"/>
        <w:rPr>
          <w:sz w:val="24"/>
        </w:rPr>
      </w:pPr>
      <w:r>
        <w:rPr>
          <w:sz w:val="24"/>
        </w:rPr>
        <w:t>Poole C, Owens F. Introduction to Nanotechnology. Wiley Ed. 2003 USA pp.</w:t>
      </w:r>
      <w:r>
        <w:rPr>
          <w:spacing w:val="-24"/>
          <w:sz w:val="24"/>
        </w:rPr>
        <w:t> </w:t>
      </w:r>
      <w:r>
        <w:rPr>
          <w:sz w:val="24"/>
        </w:rPr>
        <w:t>1-387</w:t>
      </w:r>
    </w:p>
    <w:p>
      <w:pPr>
        <w:spacing w:after="0" w:line="240" w:lineRule="auto"/>
        <w:jc w:val="left"/>
        <w:rPr>
          <w:sz w:val="24"/>
        </w:rPr>
        <w:sectPr>
          <w:pgSz w:w="12240" w:h="15840"/>
          <w:pgMar w:header="736" w:footer="1024" w:top="1180" w:bottom="1220" w:left="1120" w:right="1260"/>
        </w:sectPr>
      </w:pPr>
    </w:p>
    <w:p>
      <w:pPr>
        <w:pStyle w:val="BodyText"/>
        <w:spacing w:before="2"/>
        <w:rPr>
          <w:sz w:val="17"/>
        </w:rPr>
      </w:pPr>
    </w:p>
    <w:p>
      <w:pPr>
        <w:pStyle w:val="ListParagraph"/>
        <w:numPr>
          <w:ilvl w:val="0"/>
          <w:numId w:val="21"/>
        </w:numPr>
        <w:tabs>
          <w:tab w:pos="465" w:val="left" w:leader="none"/>
        </w:tabs>
        <w:spacing w:line="362" w:lineRule="auto" w:before="69" w:after="0"/>
        <w:ind w:left="464" w:right="187" w:hanging="360"/>
        <w:jc w:val="both"/>
        <w:rPr>
          <w:sz w:val="24"/>
        </w:rPr>
      </w:pPr>
      <w:r>
        <w:rPr>
          <w:sz w:val="24"/>
        </w:rPr>
        <w:t>Sahoo S., Parveen S., Panda J. The present and future of nanotechnology. Nanomedicine: Nanotechnology, biology and medicine 2007; 3:</w:t>
      </w:r>
      <w:r>
        <w:rPr>
          <w:spacing w:val="-26"/>
          <w:sz w:val="24"/>
        </w:rPr>
        <w:t> </w:t>
      </w:r>
      <w:r>
        <w:rPr>
          <w:sz w:val="24"/>
        </w:rPr>
        <w:t>20-31</w:t>
      </w:r>
    </w:p>
    <w:p>
      <w:pPr>
        <w:pStyle w:val="ListParagraph"/>
        <w:numPr>
          <w:ilvl w:val="0"/>
          <w:numId w:val="21"/>
        </w:numPr>
        <w:tabs>
          <w:tab w:pos="465" w:val="left" w:leader="none"/>
        </w:tabs>
        <w:spacing w:line="360" w:lineRule="auto" w:before="0" w:after="0"/>
        <w:ind w:left="464" w:right="180" w:hanging="360"/>
        <w:jc w:val="both"/>
        <w:rPr>
          <w:sz w:val="24"/>
        </w:rPr>
      </w:pPr>
      <w:r>
        <w:rPr>
          <w:sz w:val="24"/>
        </w:rPr>
        <w:t>Cobo L., Akyildiz I. Bacteria-based communication in nanonetworks. Nanocomunication Network 2010; 1:</w:t>
      </w:r>
      <w:r>
        <w:rPr>
          <w:spacing w:val="-12"/>
          <w:sz w:val="24"/>
        </w:rPr>
        <w:t> </w:t>
      </w:r>
      <w:r>
        <w:rPr>
          <w:sz w:val="24"/>
        </w:rPr>
        <w:t>244-256.</w:t>
      </w:r>
    </w:p>
    <w:p>
      <w:pPr>
        <w:pStyle w:val="ListParagraph"/>
        <w:numPr>
          <w:ilvl w:val="0"/>
          <w:numId w:val="21"/>
        </w:numPr>
        <w:tabs>
          <w:tab w:pos="465" w:val="left" w:leader="none"/>
        </w:tabs>
        <w:spacing w:line="360" w:lineRule="auto" w:before="2" w:after="0"/>
        <w:ind w:left="464" w:right="180" w:hanging="360"/>
        <w:jc w:val="both"/>
        <w:rPr>
          <w:sz w:val="24"/>
        </w:rPr>
      </w:pPr>
      <w:r>
        <w:rPr>
          <w:sz w:val="24"/>
        </w:rPr>
        <w:t>Braun T., Schubert A., Zsindely. Nanoscience and Nanotechnology on the balance. Scientometrics 1997; 38 (2):</w:t>
      </w:r>
      <w:r>
        <w:rPr>
          <w:spacing w:val="-10"/>
          <w:sz w:val="24"/>
        </w:rPr>
        <w:t> </w:t>
      </w:r>
      <w:r>
        <w:rPr>
          <w:sz w:val="24"/>
        </w:rPr>
        <w:t>321-325</w:t>
      </w:r>
    </w:p>
    <w:p>
      <w:pPr>
        <w:pStyle w:val="ListParagraph"/>
        <w:numPr>
          <w:ilvl w:val="0"/>
          <w:numId w:val="21"/>
        </w:numPr>
        <w:tabs>
          <w:tab w:pos="465" w:val="left" w:leader="none"/>
        </w:tabs>
        <w:spacing w:line="360" w:lineRule="auto" w:before="5" w:after="0"/>
        <w:ind w:left="464" w:right="172" w:hanging="360"/>
        <w:jc w:val="both"/>
        <w:rPr>
          <w:sz w:val="24"/>
        </w:rPr>
      </w:pPr>
      <w:r>
        <w:rPr>
          <w:sz w:val="24"/>
        </w:rPr>
        <w:t>García-Contreras R., Argueta-Figueroa L., Mejía-Rubalcava C., Jiménez- Martínez R., Cuevas-Guajardo S., Sánchez-Reyna P., Mendieta- Zerón H. Perspectives for the use of silver nanoparticles in dental practice. International Dental Journal 2011; 61: 297- 301.</w:t>
      </w:r>
    </w:p>
    <w:p>
      <w:pPr>
        <w:pStyle w:val="ListParagraph"/>
        <w:numPr>
          <w:ilvl w:val="0"/>
          <w:numId w:val="21"/>
        </w:numPr>
        <w:tabs>
          <w:tab w:pos="465" w:val="left" w:leader="none"/>
        </w:tabs>
        <w:spacing w:line="360" w:lineRule="auto" w:before="5" w:after="0"/>
        <w:ind w:left="464" w:right="185" w:hanging="360"/>
        <w:jc w:val="both"/>
        <w:rPr>
          <w:sz w:val="24"/>
        </w:rPr>
      </w:pPr>
      <w:r>
        <w:rPr>
          <w:sz w:val="24"/>
        </w:rPr>
        <w:t>Fabrega J., Luoma S., Tyler C., Galloway T., Lead J. Silver nanoparticles: behaviour and effects in the aquatic environment. Environment International 2001; 37:</w:t>
      </w:r>
      <w:r>
        <w:rPr>
          <w:spacing w:val="-35"/>
          <w:sz w:val="24"/>
        </w:rPr>
        <w:t> </w:t>
      </w:r>
      <w:r>
        <w:rPr>
          <w:sz w:val="24"/>
        </w:rPr>
        <w:t>517-531.</w:t>
      </w:r>
    </w:p>
    <w:p>
      <w:pPr>
        <w:pStyle w:val="ListParagraph"/>
        <w:numPr>
          <w:ilvl w:val="0"/>
          <w:numId w:val="21"/>
        </w:numPr>
        <w:tabs>
          <w:tab w:pos="465" w:val="left" w:leader="none"/>
        </w:tabs>
        <w:spacing w:line="360" w:lineRule="auto" w:before="5" w:after="0"/>
        <w:ind w:left="464" w:right="184" w:hanging="360"/>
        <w:jc w:val="both"/>
        <w:rPr>
          <w:sz w:val="24"/>
        </w:rPr>
      </w:pPr>
      <w:r>
        <w:rPr>
          <w:sz w:val="24"/>
        </w:rPr>
        <w:t>Beer C., Foldbjerg R., Hayashi Y., Sutherland D., Autrup H. Toxocity of silver nanoparticles-nanoparticle or silver ion? Toxocology letters 2012; 208:</w:t>
      </w:r>
      <w:r>
        <w:rPr>
          <w:spacing w:val="-27"/>
          <w:sz w:val="24"/>
        </w:rPr>
        <w:t> </w:t>
      </w:r>
      <w:r>
        <w:rPr>
          <w:sz w:val="24"/>
        </w:rPr>
        <w:t>286-292.</w:t>
      </w:r>
    </w:p>
    <w:p>
      <w:pPr>
        <w:pStyle w:val="ListParagraph"/>
        <w:numPr>
          <w:ilvl w:val="0"/>
          <w:numId w:val="21"/>
        </w:numPr>
        <w:tabs>
          <w:tab w:pos="465" w:val="left" w:leader="none"/>
        </w:tabs>
        <w:spacing w:line="360" w:lineRule="auto" w:before="5" w:after="0"/>
        <w:ind w:left="464" w:right="184" w:hanging="360"/>
        <w:jc w:val="both"/>
        <w:rPr>
          <w:sz w:val="24"/>
        </w:rPr>
      </w:pPr>
      <w:r>
        <w:rPr>
          <w:sz w:val="24"/>
        </w:rPr>
        <w:t>Horenstein M. Electrostatics and nanoparticles: what´s the same, what´s different? Journal of electrostatics. 2009; 67:</w:t>
      </w:r>
      <w:r>
        <w:rPr>
          <w:spacing w:val="-13"/>
          <w:sz w:val="24"/>
        </w:rPr>
        <w:t> </w:t>
      </w:r>
      <w:r>
        <w:rPr>
          <w:sz w:val="24"/>
        </w:rPr>
        <w:t>384-393.</w:t>
      </w:r>
    </w:p>
    <w:p>
      <w:pPr>
        <w:pStyle w:val="ListParagraph"/>
        <w:numPr>
          <w:ilvl w:val="0"/>
          <w:numId w:val="21"/>
        </w:numPr>
        <w:tabs>
          <w:tab w:pos="465" w:val="left" w:leader="none"/>
        </w:tabs>
        <w:spacing w:line="240" w:lineRule="auto" w:before="5" w:after="0"/>
        <w:ind w:left="464" w:right="0" w:hanging="360"/>
        <w:jc w:val="left"/>
        <w:rPr>
          <w:sz w:val="24"/>
        </w:rPr>
      </w:pPr>
      <w:r>
        <w:rPr>
          <w:sz w:val="24"/>
        </w:rPr>
        <w:t>Burns G. Solid State Physics, Academic Press , San Diego,</w:t>
      </w:r>
      <w:r>
        <w:rPr>
          <w:spacing w:val="-21"/>
          <w:sz w:val="24"/>
        </w:rPr>
        <w:t> </w:t>
      </w:r>
      <w:r>
        <w:rPr>
          <w:sz w:val="24"/>
        </w:rPr>
        <w:t>1985</w:t>
      </w:r>
    </w:p>
    <w:p>
      <w:pPr>
        <w:pStyle w:val="ListParagraph"/>
        <w:numPr>
          <w:ilvl w:val="0"/>
          <w:numId w:val="21"/>
        </w:numPr>
        <w:tabs>
          <w:tab w:pos="465" w:val="left" w:leader="none"/>
        </w:tabs>
        <w:spacing w:line="360" w:lineRule="auto" w:before="137" w:after="0"/>
        <w:ind w:left="464" w:right="182" w:hanging="360"/>
        <w:jc w:val="both"/>
        <w:rPr>
          <w:sz w:val="24"/>
        </w:rPr>
      </w:pPr>
      <w:r>
        <w:rPr>
          <w:sz w:val="24"/>
        </w:rPr>
        <w:t>Kittel Ganguly AK. Silver nanoparticles: large scale solvothermal synthesis and optical properties. Material Research bulletin 2010; 45:</w:t>
      </w:r>
      <w:r>
        <w:rPr>
          <w:spacing w:val="-21"/>
          <w:sz w:val="24"/>
        </w:rPr>
        <w:t> </w:t>
      </w:r>
      <w:r>
        <w:rPr>
          <w:sz w:val="24"/>
        </w:rPr>
        <w:t>1033-1038.</w:t>
      </w:r>
    </w:p>
    <w:p>
      <w:pPr>
        <w:pStyle w:val="ListParagraph"/>
        <w:numPr>
          <w:ilvl w:val="0"/>
          <w:numId w:val="21"/>
        </w:numPr>
        <w:tabs>
          <w:tab w:pos="465" w:val="left" w:leader="none"/>
        </w:tabs>
        <w:spacing w:line="279" w:lineRule="exact" w:before="0" w:after="0"/>
        <w:ind w:left="464" w:right="0" w:hanging="360"/>
        <w:jc w:val="left"/>
        <w:rPr>
          <w:sz w:val="24"/>
        </w:rPr>
      </w:pPr>
      <w:r>
        <w:rPr>
          <w:sz w:val="24"/>
        </w:rPr>
        <w:t>Yu Y., Cardona M. Fundaments of Semiconductors 3</w:t>
      </w:r>
      <w:r>
        <w:rPr>
          <w:position w:val="11"/>
          <w:sz w:val="16"/>
        </w:rPr>
        <w:t>rd  </w:t>
      </w:r>
      <w:r>
        <w:rPr>
          <w:sz w:val="24"/>
        </w:rPr>
        <w:t>Edition Springer-Verlag  </w:t>
      </w:r>
      <w:r>
        <w:rPr>
          <w:spacing w:val="33"/>
          <w:sz w:val="24"/>
        </w:rPr>
        <w:t> </w:t>
      </w:r>
      <w:r>
        <w:rPr>
          <w:sz w:val="24"/>
        </w:rPr>
        <w:t>Berlin</w:t>
      </w:r>
    </w:p>
    <w:p>
      <w:pPr>
        <w:pStyle w:val="BodyText"/>
        <w:spacing w:before="139"/>
        <w:ind w:left="464"/>
      </w:pPr>
      <w:r>
        <w:rPr/>
        <w:t>2001</w:t>
      </w:r>
    </w:p>
    <w:p>
      <w:pPr>
        <w:pStyle w:val="ListParagraph"/>
        <w:numPr>
          <w:ilvl w:val="0"/>
          <w:numId w:val="21"/>
        </w:numPr>
        <w:tabs>
          <w:tab w:pos="465" w:val="left" w:leader="none"/>
        </w:tabs>
        <w:spacing w:line="360" w:lineRule="auto" w:before="137" w:after="0"/>
        <w:ind w:left="464" w:right="183" w:hanging="360"/>
        <w:jc w:val="both"/>
        <w:rPr>
          <w:sz w:val="24"/>
        </w:rPr>
      </w:pPr>
      <w:r>
        <w:rPr>
          <w:sz w:val="24"/>
        </w:rPr>
        <w:t>Farokhzad O., Lnger R. Nanomedicine: developing smarter therapeutic and diagnostic modalities. Advanced Drug Delivery Reviews 2006; 58:</w:t>
      </w:r>
      <w:r>
        <w:rPr>
          <w:spacing w:val="-25"/>
          <w:sz w:val="24"/>
        </w:rPr>
        <w:t> </w:t>
      </w:r>
      <w:r>
        <w:rPr>
          <w:sz w:val="24"/>
        </w:rPr>
        <w:t>1456-1459.</w:t>
      </w:r>
    </w:p>
    <w:p>
      <w:pPr>
        <w:pStyle w:val="ListParagraph"/>
        <w:numPr>
          <w:ilvl w:val="0"/>
          <w:numId w:val="21"/>
        </w:numPr>
        <w:tabs>
          <w:tab w:pos="465" w:val="left" w:leader="none"/>
        </w:tabs>
        <w:spacing w:line="360" w:lineRule="auto" w:before="2" w:after="0"/>
        <w:ind w:left="464" w:right="179" w:hanging="360"/>
        <w:jc w:val="both"/>
        <w:rPr>
          <w:sz w:val="24"/>
        </w:rPr>
      </w:pPr>
      <w:r>
        <w:rPr>
          <w:sz w:val="24"/>
        </w:rPr>
        <w:t>Editorial. Potential hazard of nanoparticles: from properties to biological and environmental effects. Toxicology 2010; 269:</w:t>
      </w:r>
      <w:r>
        <w:rPr>
          <w:spacing w:val="-19"/>
          <w:sz w:val="24"/>
        </w:rPr>
        <w:t> </w:t>
      </w:r>
      <w:r>
        <w:rPr>
          <w:sz w:val="24"/>
        </w:rPr>
        <w:t>89-91.</w:t>
      </w:r>
    </w:p>
    <w:p>
      <w:pPr>
        <w:pStyle w:val="ListParagraph"/>
        <w:numPr>
          <w:ilvl w:val="0"/>
          <w:numId w:val="21"/>
        </w:numPr>
        <w:tabs>
          <w:tab w:pos="465" w:val="left" w:leader="none"/>
        </w:tabs>
        <w:spacing w:line="360" w:lineRule="auto" w:before="2" w:after="0"/>
        <w:ind w:left="464" w:right="175" w:hanging="360"/>
        <w:jc w:val="both"/>
        <w:rPr>
          <w:sz w:val="24"/>
        </w:rPr>
      </w:pPr>
      <w:r>
        <w:rPr>
          <w:sz w:val="24"/>
        </w:rPr>
        <w:t>Wani I., Khatoon S., Ganguly A., Ahmed J., Ganguli A., Ahmad T. Silver nanoparticles: Large scale solvothermal and optical properties. Materialas Research Bulletin 2010; 45: 1033 -</w:t>
      </w:r>
      <w:r>
        <w:rPr>
          <w:spacing w:val="-6"/>
          <w:sz w:val="24"/>
        </w:rPr>
        <w:t> </w:t>
      </w:r>
      <w:r>
        <w:rPr>
          <w:sz w:val="24"/>
        </w:rPr>
        <w:t>1038</w:t>
      </w:r>
    </w:p>
    <w:p>
      <w:pPr>
        <w:pStyle w:val="ListParagraph"/>
        <w:numPr>
          <w:ilvl w:val="0"/>
          <w:numId w:val="21"/>
        </w:numPr>
        <w:tabs>
          <w:tab w:pos="465" w:val="left" w:leader="none"/>
        </w:tabs>
        <w:spacing w:line="360" w:lineRule="auto" w:before="5" w:after="0"/>
        <w:ind w:left="464" w:right="185" w:hanging="360"/>
        <w:jc w:val="both"/>
        <w:rPr>
          <w:sz w:val="24"/>
        </w:rPr>
      </w:pPr>
      <w:r>
        <w:rPr>
          <w:sz w:val="24"/>
        </w:rPr>
        <w:t>Kahru A., Dubourguier H. From ecotoxicology to nanoecotoxocology. Toxocology 2010; 269:</w:t>
      </w:r>
      <w:r>
        <w:rPr>
          <w:spacing w:val="-9"/>
          <w:sz w:val="24"/>
        </w:rPr>
        <w:t> </w:t>
      </w:r>
      <w:r>
        <w:rPr>
          <w:sz w:val="24"/>
        </w:rPr>
        <w:t>105-119.</w:t>
      </w:r>
    </w:p>
    <w:p>
      <w:pPr>
        <w:spacing w:after="0" w:line="360" w:lineRule="auto"/>
        <w:jc w:val="both"/>
        <w:rPr>
          <w:sz w:val="24"/>
        </w:rPr>
        <w:sectPr>
          <w:pgSz w:w="12240" w:h="15840"/>
          <w:pgMar w:header="736" w:footer="1024" w:top="1180" w:bottom="1220" w:left="1120" w:right="1260"/>
        </w:sectPr>
      </w:pPr>
    </w:p>
    <w:p>
      <w:pPr>
        <w:pStyle w:val="BodyText"/>
        <w:spacing w:before="2"/>
        <w:rPr>
          <w:sz w:val="17"/>
        </w:rPr>
      </w:pPr>
    </w:p>
    <w:p>
      <w:pPr>
        <w:pStyle w:val="ListParagraph"/>
        <w:numPr>
          <w:ilvl w:val="0"/>
          <w:numId w:val="21"/>
        </w:numPr>
        <w:tabs>
          <w:tab w:pos="465" w:val="left" w:leader="none"/>
        </w:tabs>
        <w:spacing w:line="362" w:lineRule="auto" w:before="69" w:after="0"/>
        <w:ind w:left="464" w:right="183" w:hanging="360"/>
        <w:jc w:val="both"/>
        <w:rPr>
          <w:sz w:val="24"/>
        </w:rPr>
      </w:pPr>
      <w:r>
        <w:rPr>
          <w:sz w:val="24"/>
        </w:rPr>
        <w:t>Bawarski </w:t>
      </w:r>
      <w:r>
        <w:rPr>
          <w:spacing w:val="2"/>
          <w:sz w:val="24"/>
        </w:rPr>
        <w:t>W., </w:t>
      </w:r>
      <w:r>
        <w:rPr>
          <w:sz w:val="24"/>
        </w:rPr>
        <w:t>Chidlowsky E., Bharali J., Mousa S. Emerging nanopharmaceuticals. Nanomedicine: nanotechnology, biology and medicine 2008; 4:</w:t>
      </w:r>
      <w:r>
        <w:rPr>
          <w:spacing w:val="-25"/>
          <w:sz w:val="24"/>
        </w:rPr>
        <w:t> </w:t>
      </w:r>
      <w:r>
        <w:rPr>
          <w:sz w:val="24"/>
        </w:rPr>
        <w:t>273-282.</w:t>
      </w:r>
    </w:p>
    <w:p>
      <w:pPr>
        <w:pStyle w:val="ListParagraph"/>
        <w:numPr>
          <w:ilvl w:val="0"/>
          <w:numId w:val="21"/>
        </w:numPr>
        <w:tabs>
          <w:tab w:pos="465" w:val="left" w:leader="none"/>
        </w:tabs>
        <w:spacing w:line="360" w:lineRule="auto" w:before="0" w:after="0"/>
        <w:ind w:left="464" w:right="183" w:hanging="360"/>
        <w:jc w:val="both"/>
        <w:rPr>
          <w:sz w:val="24"/>
        </w:rPr>
      </w:pPr>
      <w:r>
        <w:rPr>
          <w:sz w:val="24"/>
        </w:rPr>
        <w:t>Robbens J., Vanparys C., Nobels I., Blust R., Hoecke K., Janssen C., De Schamphelaere K., et al Toxocology 2010; 269:</w:t>
      </w:r>
      <w:r>
        <w:rPr>
          <w:spacing w:val="-18"/>
          <w:sz w:val="24"/>
        </w:rPr>
        <w:t> </w:t>
      </w:r>
      <w:r>
        <w:rPr>
          <w:sz w:val="24"/>
        </w:rPr>
        <w:t>170-181.</w:t>
      </w:r>
    </w:p>
    <w:p>
      <w:pPr>
        <w:pStyle w:val="ListParagraph"/>
        <w:numPr>
          <w:ilvl w:val="0"/>
          <w:numId w:val="21"/>
        </w:numPr>
        <w:tabs>
          <w:tab w:pos="465" w:val="left" w:leader="none"/>
        </w:tabs>
        <w:spacing w:line="360" w:lineRule="auto" w:before="2" w:after="0"/>
        <w:ind w:left="464" w:right="179" w:hanging="360"/>
        <w:jc w:val="both"/>
        <w:rPr>
          <w:sz w:val="24"/>
        </w:rPr>
      </w:pPr>
      <w:r>
        <w:rPr>
          <w:sz w:val="24"/>
        </w:rPr>
        <w:t>Gu F., Karnik R., Wang A., Alexis F., Levy- Nissenbaum E., Langer R. Targeted nanoparticles for cancer therapy. Nanotoday 2007; 2 (3):</w:t>
      </w:r>
      <w:r>
        <w:rPr>
          <w:spacing w:val="-23"/>
          <w:sz w:val="24"/>
        </w:rPr>
        <w:t> </w:t>
      </w:r>
      <w:r>
        <w:rPr>
          <w:sz w:val="24"/>
        </w:rPr>
        <w:t>14-20.</w:t>
      </w:r>
    </w:p>
    <w:p>
      <w:pPr>
        <w:pStyle w:val="ListParagraph"/>
        <w:numPr>
          <w:ilvl w:val="0"/>
          <w:numId w:val="21"/>
        </w:numPr>
        <w:tabs>
          <w:tab w:pos="465" w:val="left" w:leader="none"/>
        </w:tabs>
        <w:spacing w:line="360" w:lineRule="auto" w:before="5" w:after="0"/>
        <w:ind w:left="464" w:right="175" w:hanging="360"/>
        <w:jc w:val="both"/>
        <w:rPr>
          <w:sz w:val="24"/>
        </w:rPr>
      </w:pPr>
      <w:r>
        <w:rPr>
          <w:spacing w:val="3"/>
          <w:sz w:val="24"/>
        </w:rPr>
        <w:t>Wu </w:t>
      </w:r>
      <w:r>
        <w:rPr>
          <w:sz w:val="24"/>
        </w:rPr>
        <w:t>Q., Cao H., Luan Q., Zhang J., Wang Z., Warner J. Biomolecule-Assisted Synyhesis of Water Soluble Silver Nanoparticles and their Biomedical Applications. Inprg Chem 2008; 47: 5882 -</w:t>
      </w:r>
      <w:r>
        <w:rPr>
          <w:spacing w:val="-11"/>
          <w:sz w:val="24"/>
        </w:rPr>
        <w:t> </w:t>
      </w:r>
      <w:r>
        <w:rPr>
          <w:sz w:val="24"/>
        </w:rPr>
        <w:t>5888</w:t>
      </w:r>
    </w:p>
    <w:p>
      <w:pPr>
        <w:pStyle w:val="ListParagraph"/>
        <w:numPr>
          <w:ilvl w:val="0"/>
          <w:numId w:val="21"/>
        </w:numPr>
        <w:tabs>
          <w:tab w:pos="465" w:val="left" w:leader="none"/>
        </w:tabs>
        <w:spacing w:line="360" w:lineRule="auto" w:before="3" w:after="0"/>
        <w:ind w:left="464" w:right="174" w:hanging="360"/>
        <w:jc w:val="both"/>
        <w:rPr>
          <w:sz w:val="24"/>
        </w:rPr>
      </w:pPr>
      <w:r>
        <w:rPr>
          <w:sz w:val="24"/>
        </w:rPr>
        <w:t>Sung J., Kuk E., Yu K., Kim J., Park A., Lee H., Kim S., Park Y., Hwang C., Kim Y., Lee Y., Jeong D.,Cho M. Antimicrobial effects of silver nanoparticles. Nanomedicine: nanotechnology, biology and medicine 2007; 3:</w:t>
      </w:r>
      <w:r>
        <w:rPr>
          <w:spacing w:val="-20"/>
          <w:sz w:val="24"/>
        </w:rPr>
        <w:t> </w:t>
      </w:r>
      <w:r>
        <w:rPr>
          <w:sz w:val="24"/>
        </w:rPr>
        <w:t>95-101.</w:t>
      </w:r>
    </w:p>
    <w:p>
      <w:pPr>
        <w:pStyle w:val="ListParagraph"/>
        <w:numPr>
          <w:ilvl w:val="0"/>
          <w:numId w:val="21"/>
        </w:numPr>
        <w:tabs>
          <w:tab w:pos="465" w:val="left" w:leader="none"/>
        </w:tabs>
        <w:spacing w:line="360" w:lineRule="auto" w:before="5" w:after="0"/>
        <w:ind w:left="464" w:right="185" w:hanging="360"/>
        <w:jc w:val="both"/>
        <w:rPr>
          <w:sz w:val="24"/>
        </w:rPr>
      </w:pPr>
      <w:r>
        <w:rPr>
          <w:sz w:val="24"/>
        </w:rPr>
        <w:t>Khaydarov R., Estrin Y., Evgrafova S., Endres T., Cho S. Silver nanoparticles. Nanomaterials 2009;</w:t>
      </w:r>
      <w:r>
        <w:rPr>
          <w:spacing w:val="-11"/>
          <w:sz w:val="24"/>
        </w:rPr>
        <w:t> </w:t>
      </w:r>
      <w:r>
        <w:rPr>
          <w:sz w:val="24"/>
        </w:rPr>
        <w:t>287-297.</w:t>
      </w:r>
    </w:p>
    <w:p>
      <w:pPr>
        <w:pStyle w:val="ListParagraph"/>
        <w:numPr>
          <w:ilvl w:val="0"/>
          <w:numId w:val="21"/>
        </w:numPr>
        <w:tabs>
          <w:tab w:pos="465" w:val="left" w:leader="none"/>
        </w:tabs>
        <w:spacing w:line="360" w:lineRule="auto" w:before="5" w:after="0"/>
        <w:ind w:left="464" w:right="184" w:hanging="360"/>
        <w:jc w:val="both"/>
        <w:rPr>
          <w:sz w:val="24"/>
        </w:rPr>
      </w:pPr>
      <w:r>
        <w:rPr>
          <w:sz w:val="24"/>
        </w:rPr>
        <w:t>Goracci G, Mori G. Micromorphological aspects of dentin. Minerva Stomatol 1995; 44: 377-87</w:t>
      </w:r>
      <w:r>
        <w:rPr>
          <w:spacing w:val="-5"/>
          <w:sz w:val="24"/>
        </w:rPr>
        <w:t> </w:t>
      </w:r>
      <w:r>
        <w:rPr>
          <w:sz w:val="24"/>
        </w:rPr>
        <w:t>124</w:t>
      </w:r>
    </w:p>
    <w:p>
      <w:pPr>
        <w:pStyle w:val="ListParagraph"/>
        <w:numPr>
          <w:ilvl w:val="0"/>
          <w:numId w:val="21"/>
        </w:numPr>
        <w:tabs>
          <w:tab w:pos="465" w:val="left" w:leader="none"/>
        </w:tabs>
        <w:spacing w:line="360" w:lineRule="auto" w:before="5" w:after="0"/>
        <w:ind w:left="464" w:right="173" w:hanging="360"/>
        <w:jc w:val="both"/>
        <w:rPr>
          <w:sz w:val="24"/>
        </w:rPr>
      </w:pPr>
      <w:r>
        <w:rPr>
          <w:sz w:val="24"/>
        </w:rPr>
        <w:t>Dourda AO, Moule AJ, Young </w:t>
      </w:r>
      <w:r>
        <w:rPr>
          <w:spacing w:val="2"/>
          <w:sz w:val="24"/>
        </w:rPr>
        <w:t>WG. </w:t>
      </w:r>
      <w:r>
        <w:rPr>
          <w:sz w:val="24"/>
        </w:rPr>
        <w:t>A morphotemric analysis of the cross-sectional area of dentin occupied by dentinal tubules in human third molar teeth. Int Endond J 1994; 27: 184-9.</w:t>
      </w:r>
      <w:r>
        <w:rPr>
          <w:spacing w:val="-12"/>
          <w:sz w:val="24"/>
        </w:rPr>
        <w:t> </w:t>
      </w:r>
      <w:r>
        <w:rPr>
          <w:sz w:val="24"/>
        </w:rPr>
        <w:t>sahoo</w:t>
      </w:r>
    </w:p>
    <w:p>
      <w:pPr>
        <w:pStyle w:val="ListParagraph"/>
        <w:numPr>
          <w:ilvl w:val="0"/>
          <w:numId w:val="21"/>
        </w:numPr>
        <w:tabs>
          <w:tab w:pos="465" w:val="left" w:leader="none"/>
        </w:tabs>
        <w:spacing w:line="240" w:lineRule="auto" w:before="2" w:after="0"/>
        <w:ind w:left="464" w:right="0" w:hanging="360"/>
        <w:jc w:val="left"/>
        <w:rPr>
          <w:sz w:val="24"/>
        </w:rPr>
      </w:pPr>
      <w:r>
        <w:rPr>
          <w:sz w:val="24"/>
        </w:rPr>
        <w:t>Freitas Jr RA Nanodentistry. J Am Dent Assoc 2000; 131:</w:t>
      </w:r>
      <w:r>
        <w:rPr>
          <w:spacing w:val="-20"/>
          <w:sz w:val="24"/>
        </w:rPr>
        <w:t> </w:t>
      </w:r>
      <w:r>
        <w:rPr>
          <w:sz w:val="24"/>
        </w:rPr>
        <w:t>1559-65</w:t>
      </w:r>
    </w:p>
    <w:p>
      <w:pPr>
        <w:pStyle w:val="ListParagraph"/>
        <w:numPr>
          <w:ilvl w:val="0"/>
          <w:numId w:val="21"/>
        </w:numPr>
        <w:tabs>
          <w:tab w:pos="465" w:val="left" w:leader="none"/>
        </w:tabs>
        <w:spacing w:line="360" w:lineRule="auto" w:before="139" w:after="0"/>
        <w:ind w:left="464" w:right="172" w:hanging="360"/>
        <w:jc w:val="both"/>
        <w:rPr>
          <w:sz w:val="24"/>
        </w:rPr>
      </w:pPr>
      <w:r>
        <w:rPr>
          <w:sz w:val="24"/>
        </w:rPr>
        <w:t>Fartash B., Tangerud T., Silness J., Arvidson K. Rehabilitation of mandibular edentulism by single crystal sapphire implants and overdentures: 3-12 year results in 86 patiens. A dual Center International Study. Clin Oral Implants Res 1996; 7: 220 - 229</w:t>
      </w:r>
    </w:p>
    <w:p>
      <w:pPr>
        <w:pStyle w:val="ListParagraph"/>
        <w:numPr>
          <w:ilvl w:val="0"/>
          <w:numId w:val="21"/>
        </w:numPr>
        <w:tabs>
          <w:tab w:pos="465" w:val="left" w:leader="none"/>
        </w:tabs>
        <w:spacing w:line="360" w:lineRule="auto" w:before="5" w:after="0"/>
        <w:ind w:left="464" w:right="178" w:hanging="360"/>
        <w:jc w:val="both"/>
        <w:rPr>
          <w:sz w:val="24"/>
        </w:rPr>
      </w:pPr>
      <w:r>
        <w:rPr>
          <w:sz w:val="24"/>
        </w:rPr>
        <w:t>Guzmán M., Dille J., Godet S. Synthesis and antibacterial activity of silver nanoparticles against Gram-positive and Gram-negative bacteria. Nanomedicine: nanotechnology, biology and medicine 2012; 8:</w:t>
      </w:r>
      <w:r>
        <w:rPr>
          <w:spacing w:val="-17"/>
          <w:sz w:val="24"/>
        </w:rPr>
        <w:t> </w:t>
      </w:r>
      <w:r>
        <w:rPr>
          <w:sz w:val="24"/>
        </w:rPr>
        <w:t>37-45.</w:t>
      </w:r>
    </w:p>
    <w:p>
      <w:pPr>
        <w:pStyle w:val="ListParagraph"/>
        <w:numPr>
          <w:ilvl w:val="0"/>
          <w:numId w:val="21"/>
        </w:numPr>
        <w:tabs>
          <w:tab w:pos="465" w:val="left" w:leader="none"/>
        </w:tabs>
        <w:spacing w:line="360" w:lineRule="auto" w:before="2" w:after="0"/>
        <w:ind w:left="464" w:right="184" w:hanging="360"/>
        <w:jc w:val="both"/>
        <w:rPr>
          <w:sz w:val="24"/>
        </w:rPr>
      </w:pPr>
      <w:r>
        <w:rPr>
          <w:sz w:val="24"/>
        </w:rPr>
        <w:t>Lankveld D., Oomen A., Krystek P., Troost A., Noorlander C., Eijkeren J et al The kinetics of the tissue distribution of silver nanoparticles of different sizes. Biomaterials 2010; 31:</w:t>
      </w:r>
      <w:r>
        <w:rPr>
          <w:spacing w:val="-10"/>
          <w:sz w:val="24"/>
        </w:rPr>
        <w:t> </w:t>
      </w:r>
      <w:r>
        <w:rPr>
          <w:sz w:val="24"/>
        </w:rPr>
        <w:t>8350-8361.</w:t>
      </w:r>
    </w:p>
    <w:p>
      <w:pPr>
        <w:spacing w:after="0" w:line="360" w:lineRule="auto"/>
        <w:jc w:val="both"/>
        <w:rPr>
          <w:sz w:val="24"/>
        </w:rPr>
        <w:sectPr>
          <w:pgSz w:w="12240" w:h="15840"/>
          <w:pgMar w:header="736" w:footer="1024" w:top="1180" w:bottom="1220" w:left="1120" w:right="1260"/>
        </w:sectPr>
      </w:pPr>
    </w:p>
    <w:p>
      <w:pPr>
        <w:pStyle w:val="BodyText"/>
        <w:spacing w:before="2"/>
        <w:rPr>
          <w:sz w:val="17"/>
        </w:rPr>
      </w:pPr>
    </w:p>
    <w:p>
      <w:pPr>
        <w:pStyle w:val="ListParagraph"/>
        <w:numPr>
          <w:ilvl w:val="0"/>
          <w:numId w:val="21"/>
        </w:numPr>
        <w:tabs>
          <w:tab w:pos="465" w:val="left" w:leader="none"/>
        </w:tabs>
        <w:spacing w:line="360" w:lineRule="auto" w:before="69" w:after="0"/>
        <w:ind w:left="464" w:right="172" w:hanging="360"/>
        <w:jc w:val="both"/>
        <w:rPr>
          <w:sz w:val="24"/>
        </w:rPr>
      </w:pPr>
      <w:r>
        <w:rPr>
          <w:sz w:val="24"/>
        </w:rPr>
        <w:t>Barani H., Montazer M., Samadi N., Toliyat T. In situ synthesis of nano silver/ lecithin on wool: enhancing nanoparticles. Colloids and surfaces </w:t>
      </w:r>
      <w:r>
        <w:rPr>
          <w:spacing w:val="3"/>
          <w:sz w:val="24"/>
        </w:rPr>
        <w:t>B: </w:t>
      </w:r>
      <w:r>
        <w:rPr>
          <w:sz w:val="24"/>
        </w:rPr>
        <w:t>Biointerfaces 2012; 92: </w:t>
      </w:r>
      <w:r>
        <w:rPr>
          <w:spacing w:val="2"/>
          <w:sz w:val="24"/>
        </w:rPr>
        <w:t>9- </w:t>
      </w:r>
      <w:r>
        <w:rPr>
          <w:sz w:val="24"/>
        </w:rPr>
        <w:t>15.</w:t>
      </w:r>
    </w:p>
    <w:p>
      <w:pPr>
        <w:pStyle w:val="ListParagraph"/>
        <w:numPr>
          <w:ilvl w:val="0"/>
          <w:numId w:val="21"/>
        </w:numPr>
        <w:tabs>
          <w:tab w:pos="465" w:val="left" w:leader="none"/>
        </w:tabs>
        <w:spacing w:line="360" w:lineRule="auto" w:before="5" w:after="0"/>
        <w:ind w:left="464" w:right="185" w:hanging="360"/>
        <w:jc w:val="both"/>
        <w:rPr>
          <w:sz w:val="24"/>
        </w:rPr>
      </w:pPr>
      <w:r>
        <w:rPr>
          <w:sz w:val="24"/>
        </w:rPr>
        <w:t>Park M., Neigh A., Vermeulen J., de la Fonteyne L.M Verharen H., Briede J et al The Effect of particle size on the cytotocicity, inflammation, developmental toxicity and genocicity of Silver nanopartciles. Biomaterials 2011; 32: 9810 -</w:t>
      </w:r>
      <w:r>
        <w:rPr>
          <w:spacing w:val="-23"/>
          <w:sz w:val="24"/>
        </w:rPr>
        <w:t> </w:t>
      </w:r>
      <w:r>
        <w:rPr>
          <w:sz w:val="24"/>
        </w:rPr>
        <w:t>9817</w:t>
      </w:r>
    </w:p>
    <w:p>
      <w:pPr>
        <w:pStyle w:val="ListParagraph"/>
        <w:numPr>
          <w:ilvl w:val="0"/>
          <w:numId w:val="21"/>
        </w:numPr>
        <w:tabs>
          <w:tab w:pos="465" w:val="left" w:leader="none"/>
        </w:tabs>
        <w:spacing w:line="360" w:lineRule="auto" w:before="5" w:after="0"/>
        <w:ind w:left="464" w:right="185" w:hanging="360"/>
        <w:jc w:val="both"/>
        <w:rPr>
          <w:sz w:val="24"/>
        </w:rPr>
      </w:pPr>
      <w:r>
        <w:rPr>
          <w:sz w:val="24"/>
        </w:rPr>
        <w:t>Cao H., Liu X., Meng F. Chu P. Biological actions of silver nanoparticles embedded in titanium controlled by micro-galvanic effects. Biomaterials 2011; 32: 693 -</w:t>
      </w:r>
      <w:r>
        <w:rPr>
          <w:spacing w:val="-19"/>
          <w:sz w:val="24"/>
        </w:rPr>
        <w:t> </w:t>
      </w:r>
      <w:r>
        <w:rPr>
          <w:sz w:val="24"/>
        </w:rPr>
        <w:t>705</w:t>
      </w:r>
    </w:p>
    <w:p>
      <w:pPr>
        <w:pStyle w:val="ListParagraph"/>
        <w:numPr>
          <w:ilvl w:val="0"/>
          <w:numId w:val="21"/>
        </w:numPr>
        <w:tabs>
          <w:tab w:pos="465" w:val="left" w:leader="none"/>
        </w:tabs>
        <w:spacing w:line="360" w:lineRule="auto" w:before="5" w:after="0"/>
        <w:ind w:left="464" w:right="175" w:hanging="360"/>
        <w:jc w:val="both"/>
        <w:rPr>
          <w:sz w:val="24"/>
        </w:rPr>
      </w:pPr>
      <w:r>
        <w:rPr>
          <w:sz w:val="24"/>
        </w:rPr>
        <w:t>Klabunde, K.J. Nanoescale materials in chemistry. Ed. Wilwy Interscince. USA 2001  pp 1-4, 6, 8, 10-11, 17-18, 20, 23-25, 29, 31-32, 37, 41, 270-271, 276,</w:t>
      </w:r>
      <w:r>
        <w:rPr>
          <w:spacing w:val="-34"/>
          <w:sz w:val="24"/>
        </w:rPr>
        <w:t> </w:t>
      </w:r>
      <w:r>
        <w:rPr>
          <w:sz w:val="24"/>
        </w:rPr>
        <w:t>279,</w:t>
      </w:r>
    </w:p>
    <w:p>
      <w:pPr>
        <w:pStyle w:val="ListParagraph"/>
        <w:numPr>
          <w:ilvl w:val="0"/>
          <w:numId w:val="21"/>
        </w:numPr>
        <w:tabs>
          <w:tab w:pos="465" w:val="left" w:leader="none"/>
        </w:tabs>
        <w:spacing w:line="360" w:lineRule="auto" w:before="5" w:after="0"/>
        <w:ind w:left="464" w:right="177" w:hanging="360"/>
        <w:jc w:val="both"/>
        <w:rPr>
          <w:sz w:val="24"/>
        </w:rPr>
      </w:pPr>
      <w:r>
        <w:rPr>
          <w:sz w:val="24"/>
        </w:rPr>
        <w:t>Shubert, U, Husing, N. Syntesis of inorganis materials. Ed. </w:t>
      </w:r>
      <w:r>
        <w:rPr>
          <w:spacing w:val="2"/>
          <w:sz w:val="24"/>
        </w:rPr>
        <w:t>Wiley </w:t>
      </w:r>
      <w:r>
        <w:rPr>
          <w:sz w:val="24"/>
        </w:rPr>
        <w:t>VCH. Australia 2000 pp. 351-352, 355, 363-367, 369,</w:t>
      </w:r>
      <w:r>
        <w:rPr>
          <w:spacing w:val="-17"/>
          <w:sz w:val="24"/>
        </w:rPr>
        <w:t> </w:t>
      </w:r>
      <w:r>
        <w:rPr>
          <w:sz w:val="24"/>
        </w:rPr>
        <w:t>371-372.</w:t>
      </w:r>
    </w:p>
    <w:p>
      <w:pPr>
        <w:pStyle w:val="ListParagraph"/>
        <w:numPr>
          <w:ilvl w:val="0"/>
          <w:numId w:val="21"/>
        </w:numPr>
        <w:tabs>
          <w:tab w:pos="465" w:val="left" w:leader="none"/>
        </w:tabs>
        <w:spacing w:line="360" w:lineRule="auto" w:before="5" w:after="0"/>
        <w:ind w:left="464" w:right="176" w:hanging="360"/>
        <w:jc w:val="both"/>
        <w:rPr>
          <w:sz w:val="24"/>
        </w:rPr>
      </w:pPr>
      <w:r>
        <w:rPr>
          <w:sz w:val="24"/>
        </w:rPr>
        <w:t>Viau, G., Brayner, R., Poul, L., Chakroune, N., Lacanze, E., Fievet-Vincent, F., 2003 Ruthenium nanopartciles: size, shape, and self-assemblies. Chem. Mater 15:</w:t>
      </w:r>
      <w:r>
        <w:rPr>
          <w:spacing w:val="-25"/>
          <w:sz w:val="24"/>
        </w:rPr>
        <w:t> </w:t>
      </w:r>
      <w:r>
        <w:rPr>
          <w:sz w:val="24"/>
        </w:rPr>
        <w:t>486-494.</w:t>
      </w:r>
    </w:p>
    <w:p>
      <w:pPr>
        <w:pStyle w:val="ListParagraph"/>
        <w:numPr>
          <w:ilvl w:val="0"/>
          <w:numId w:val="21"/>
        </w:numPr>
        <w:tabs>
          <w:tab w:pos="465" w:val="left" w:leader="none"/>
        </w:tabs>
        <w:spacing w:line="360" w:lineRule="auto" w:before="5" w:after="0"/>
        <w:ind w:left="464" w:right="176" w:hanging="360"/>
        <w:jc w:val="both"/>
        <w:rPr>
          <w:sz w:val="24"/>
        </w:rPr>
      </w:pPr>
      <w:r>
        <w:rPr>
          <w:sz w:val="24"/>
        </w:rPr>
        <w:t>Tan, Y., Li, Y., Zhu, D., Noble temal nanoparticles. 8: 9-40 Nalwa, H.S. 2004. Enciclopedia of nanoscience and nanotechnology. American Cientific Publisher</w:t>
      </w:r>
      <w:r>
        <w:rPr>
          <w:spacing w:val="-25"/>
          <w:sz w:val="24"/>
        </w:rPr>
        <w:t> </w:t>
      </w:r>
      <w:r>
        <w:rPr>
          <w:sz w:val="24"/>
        </w:rPr>
        <w:t>USA.</w:t>
      </w:r>
    </w:p>
    <w:p>
      <w:pPr>
        <w:pStyle w:val="ListParagraph"/>
        <w:numPr>
          <w:ilvl w:val="0"/>
          <w:numId w:val="21"/>
        </w:numPr>
        <w:tabs>
          <w:tab w:pos="465" w:val="left" w:leader="none"/>
        </w:tabs>
        <w:spacing w:line="360" w:lineRule="auto" w:before="5" w:after="0"/>
        <w:ind w:left="464" w:right="179" w:hanging="360"/>
        <w:jc w:val="both"/>
        <w:rPr>
          <w:sz w:val="24"/>
        </w:rPr>
      </w:pPr>
      <w:r>
        <w:rPr>
          <w:sz w:val="24"/>
        </w:rPr>
        <w:t>Yang, C., Lee, C., Palladium nanoparticles. 8: 397-413 Nalwa, H.S.  2004. Enciclopedia of nanoscience and nanotechnology. American Cientific Publisher</w:t>
      </w:r>
      <w:r>
        <w:rPr>
          <w:spacing w:val="-30"/>
          <w:sz w:val="24"/>
        </w:rPr>
        <w:t> </w:t>
      </w:r>
      <w:r>
        <w:rPr>
          <w:sz w:val="24"/>
        </w:rPr>
        <w:t>USA.</w:t>
      </w:r>
    </w:p>
    <w:p>
      <w:pPr>
        <w:pStyle w:val="ListParagraph"/>
        <w:numPr>
          <w:ilvl w:val="0"/>
          <w:numId w:val="21"/>
        </w:numPr>
        <w:tabs>
          <w:tab w:pos="465" w:val="left" w:leader="none"/>
        </w:tabs>
        <w:spacing w:line="360" w:lineRule="auto" w:before="5" w:after="0"/>
        <w:ind w:left="464" w:right="179" w:hanging="360"/>
        <w:jc w:val="both"/>
        <w:rPr>
          <w:sz w:val="24"/>
        </w:rPr>
      </w:pPr>
      <w:r>
        <w:rPr>
          <w:sz w:val="24"/>
        </w:rPr>
        <w:t>Wang, Y., Wei, Y., Temal nanoclusters 5: 337-367 Nalwa, H.S. 2004. Enciclopedia of nanoscience and nanotechnology. American Cientific Publisher</w:t>
      </w:r>
      <w:r>
        <w:rPr>
          <w:spacing w:val="-24"/>
          <w:sz w:val="24"/>
        </w:rPr>
        <w:t> </w:t>
      </w:r>
      <w:r>
        <w:rPr>
          <w:sz w:val="24"/>
        </w:rPr>
        <w:t>USA.</w:t>
      </w:r>
    </w:p>
    <w:p>
      <w:pPr>
        <w:pStyle w:val="ListParagraph"/>
        <w:numPr>
          <w:ilvl w:val="0"/>
          <w:numId w:val="21"/>
        </w:numPr>
        <w:tabs>
          <w:tab w:pos="465" w:val="left" w:leader="none"/>
        </w:tabs>
        <w:spacing w:line="240" w:lineRule="auto" w:before="5" w:after="0"/>
        <w:ind w:left="464" w:right="0" w:hanging="360"/>
        <w:jc w:val="left"/>
        <w:rPr>
          <w:sz w:val="24"/>
        </w:rPr>
      </w:pPr>
      <w:hyperlink r:id="rId234">
        <w:r>
          <w:rPr>
            <w:sz w:val="24"/>
            <w:u w:val="single"/>
          </w:rPr>
          <w:t>http://www.epa.gov/greenchemistry/</w:t>
        </w:r>
      </w:hyperlink>
    </w:p>
    <w:p>
      <w:pPr>
        <w:pStyle w:val="ListParagraph"/>
        <w:numPr>
          <w:ilvl w:val="0"/>
          <w:numId w:val="21"/>
        </w:numPr>
        <w:tabs>
          <w:tab w:pos="465" w:val="left" w:leader="none"/>
        </w:tabs>
        <w:spacing w:line="360" w:lineRule="auto" w:before="137" w:after="0"/>
        <w:ind w:left="464" w:right="175" w:hanging="360"/>
        <w:jc w:val="both"/>
        <w:rPr>
          <w:sz w:val="24"/>
        </w:rPr>
      </w:pPr>
      <w:r>
        <w:rPr>
          <w:sz w:val="24"/>
        </w:rPr>
        <w:t>Delgado G., Olivares M., Chávez M., Ramírez T., Linares E., Bye Robert., Espinosa- García F. Antiinflammatory Constituents from </w:t>
      </w:r>
      <w:r>
        <w:rPr>
          <w:i/>
          <w:sz w:val="24"/>
        </w:rPr>
        <w:t>Heterotheca inuloides. </w:t>
      </w:r>
      <w:r>
        <w:rPr>
          <w:sz w:val="24"/>
        </w:rPr>
        <w:t>J. Nat.  Prod 2000;  64:</w:t>
      </w:r>
      <w:r>
        <w:rPr>
          <w:spacing w:val="-9"/>
          <w:sz w:val="24"/>
        </w:rPr>
        <w:t> </w:t>
      </w:r>
      <w:r>
        <w:rPr>
          <w:sz w:val="24"/>
        </w:rPr>
        <w:t>861-864</w:t>
      </w:r>
    </w:p>
    <w:p>
      <w:pPr>
        <w:pStyle w:val="ListParagraph"/>
        <w:numPr>
          <w:ilvl w:val="0"/>
          <w:numId w:val="21"/>
        </w:numPr>
        <w:tabs>
          <w:tab w:pos="465" w:val="left" w:leader="none"/>
        </w:tabs>
        <w:spacing w:line="360" w:lineRule="auto" w:before="5" w:after="0"/>
        <w:ind w:left="464" w:right="174" w:hanging="360"/>
        <w:jc w:val="both"/>
        <w:rPr>
          <w:sz w:val="24"/>
        </w:rPr>
      </w:pPr>
      <w:r>
        <w:rPr>
          <w:sz w:val="24"/>
        </w:rPr>
        <w:t>Boneman, H., Nagabhushana, K., S Chemical Synyhesis nanoparticles. Nawla H.S. 2004. Enciclopedia of nanoscience and nanotechnology. American Cientific Publisher USA.</w:t>
      </w:r>
    </w:p>
    <w:p>
      <w:pPr>
        <w:pStyle w:val="ListParagraph"/>
        <w:numPr>
          <w:ilvl w:val="0"/>
          <w:numId w:val="21"/>
        </w:numPr>
        <w:tabs>
          <w:tab w:pos="465" w:val="left" w:leader="none"/>
        </w:tabs>
        <w:spacing w:line="360" w:lineRule="auto" w:before="2" w:after="0"/>
        <w:ind w:left="464" w:right="181" w:hanging="360"/>
        <w:jc w:val="both"/>
        <w:rPr>
          <w:sz w:val="24"/>
        </w:rPr>
      </w:pPr>
      <w:r>
        <w:rPr>
          <w:sz w:val="24"/>
        </w:rPr>
        <w:t>Skoog D., West D. Holler F., Crouch S. Química Analítica. Mc Graw Hill 7a Ed. México 2002 pp. 565 -</w:t>
      </w:r>
      <w:r>
        <w:rPr>
          <w:spacing w:val="-7"/>
          <w:sz w:val="24"/>
        </w:rPr>
        <w:t> </w:t>
      </w:r>
      <w:r>
        <w:rPr>
          <w:sz w:val="24"/>
        </w:rPr>
        <w:t>575</w:t>
      </w:r>
    </w:p>
    <w:p>
      <w:pPr>
        <w:pStyle w:val="ListParagraph"/>
        <w:numPr>
          <w:ilvl w:val="0"/>
          <w:numId w:val="21"/>
        </w:numPr>
        <w:tabs>
          <w:tab w:pos="465" w:val="left" w:leader="none"/>
        </w:tabs>
        <w:spacing w:line="360" w:lineRule="auto" w:before="2" w:after="0"/>
        <w:ind w:left="464" w:right="183" w:hanging="360"/>
        <w:jc w:val="both"/>
        <w:rPr>
          <w:sz w:val="24"/>
        </w:rPr>
      </w:pPr>
      <w:r>
        <w:rPr>
          <w:sz w:val="24"/>
        </w:rPr>
        <w:t>Cao G. Nanoestructures and nanomaterials. Synthesis, properties and applications. 2004 USA Imperial</w:t>
      </w:r>
      <w:r>
        <w:rPr>
          <w:spacing w:val="-9"/>
          <w:sz w:val="24"/>
        </w:rPr>
        <w:t> </w:t>
      </w:r>
      <w:r>
        <w:rPr>
          <w:sz w:val="24"/>
        </w:rPr>
        <w:t>College</w:t>
      </w:r>
    </w:p>
    <w:p>
      <w:pPr>
        <w:spacing w:after="0" w:line="360" w:lineRule="auto"/>
        <w:jc w:val="both"/>
        <w:rPr>
          <w:sz w:val="24"/>
        </w:rPr>
        <w:sectPr>
          <w:pgSz w:w="12240" w:h="15840"/>
          <w:pgMar w:header="736" w:footer="1024" w:top="1180" w:bottom="1220" w:left="1120" w:right="1260"/>
        </w:sectPr>
      </w:pPr>
    </w:p>
    <w:p>
      <w:pPr>
        <w:pStyle w:val="BodyText"/>
        <w:spacing w:before="2"/>
        <w:rPr>
          <w:sz w:val="17"/>
        </w:rPr>
      </w:pPr>
    </w:p>
    <w:p>
      <w:pPr>
        <w:pStyle w:val="ListParagraph"/>
        <w:numPr>
          <w:ilvl w:val="0"/>
          <w:numId w:val="21"/>
        </w:numPr>
        <w:tabs>
          <w:tab w:pos="465" w:val="left" w:leader="none"/>
        </w:tabs>
        <w:spacing w:line="240" w:lineRule="auto" w:before="69" w:after="0"/>
        <w:ind w:left="464" w:right="0" w:hanging="360"/>
        <w:jc w:val="left"/>
        <w:rPr>
          <w:sz w:val="24"/>
        </w:rPr>
      </w:pPr>
      <w:r>
        <w:rPr>
          <w:sz w:val="24"/>
        </w:rPr>
        <w:t>Thomas K., Kamat V. Acc Chem Res 2003; 36: 888 -</w:t>
      </w:r>
      <w:r>
        <w:rPr>
          <w:spacing w:val="-19"/>
          <w:sz w:val="24"/>
        </w:rPr>
        <w:t> </w:t>
      </w:r>
      <w:r>
        <w:rPr>
          <w:sz w:val="24"/>
        </w:rPr>
        <w:t>898</w:t>
      </w:r>
    </w:p>
    <w:p>
      <w:pPr>
        <w:pStyle w:val="ListParagraph"/>
        <w:numPr>
          <w:ilvl w:val="0"/>
          <w:numId w:val="21"/>
        </w:numPr>
        <w:tabs>
          <w:tab w:pos="465" w:val="left" w:leader="none"/>
        </w:tabs>
        <w:spacing w:line="240" w:lineRule="auto" w:before="139" w:after="0"/>
        <w:ind w:left="464" w:right="0" w:hanging="360"/>
        <w:jc w:val="left"/>
        <w:rPr>
          <w:sz w:val="24"/>
        </w:rPr>
      </w:pPr>
      <w:r>
        <w:rPr>
          <w:sz w:val="24"/>
        </w:rPr>
        <w:t>Chang R. Química 69 Ed Mc Graw Hill México 1999 pp. 249 -</w:t>
      </w:r>
      <w:r>
        <w:rPr>
          <w:spacing w:val="-14"/>
          <w:sz w:val="24"/>
        </w:rPr>
        <w:t> </w:t>
      </w:r>
      <w:r>
        <w:rPr>
          <w:sz w:val="24"/>
        </w:rPr>
        <w:t>259</w:t>
      </w:r>
    </w:p>
    <w:p>
      <w:pPr>
        <w:pStyle w:val="ListParagraph"/>
        <w:numPr>
          <w:ilvl w:val="0"/>
          <w:numId w:val="21"/>
        </w:numPr>
        <w:tabs>
          <w:tab w:pos="1041" w:val="left" w:leader="none"/>
        </w:tabs>
        <w:spacing w:line="360" w:lineRule="auto" w:before="137" w:after="0"/>
        <w:ind w:left="464" w:right="175" w:hanging="360"/>
        <w:jc w:val="both"/>
        <w:rPr>
          <w:sz w:val="24"/>
        </w:rPr>
      </w:pPr>
      <w:r>
        <w:rPr>
          <w:sz w:val="24"/>
        </w:rPr>
        <w:t>Colin C., Pradhan A., Shash S. Metal nanoparticles 5: 449 – 473 Nalwa, H.S. 2004. Enciclopedia of nanoscience and nanotechnology. American Cientific Publisher USA.</w:t>
      </w:r>
    </w:p>
    <w:p>
      <w:pPr>
        <w:pStyle w:val="ListParagraph"/>
        <w:numPr>
          <w:ilvl w:val="0"/>
          <w:numId w:val="21"/>
        </w:numPr>
        <w:tabs>
          <w:tab w:pos="1041" w:val="left" w:leader="none"/>
        </w:tabs>
        <w:spacing w:line="360" w:lineRule="auto" w:before="2" w:after="0"/>
        <w:ind w:left="464" w:right="182" w:hanging="360"/>
        <w:jc w:val="both"/>
        <w:rPr>
          <w:sz w:val="24"/>
        </w:rPr>
      </w:pPr>
      <w:r>
        <w:rPr>
          <w:sz w:val="24"/>
        </w:rPr>
        <w:t>Williams B., Barry D. Transmission Electon Microscopy a Text book for material Science. Ed Plenum Press New York 1996 pp 353, 55 -</w:t>
      </w:r>
      <w:r>
        <w:rPr>
          <w:spacing w:val="-13"/>
          <w:sz w:val="24"/>
        </w:rPr>
        <w:t> </w:t>
      </w:r>
      <w:r>
        <w:rPr>
          <w:sz w:val="24"/>
        </w:rPr>
        <w:t>561</w:t>
      </w:r>
    </w:p>
    <w:p>
      <w:pPr>
        <w:pStyle w:val="ListParagraph"/>
        <w:numPr>
          <w:ilvl w:val="0"/>
          <w:numId w:val="21"/>
        </w:numPr>
        <w:tabs>
          <w:tab w:pos="1041" w:val="left" w:leader="none"/>
        </w:tabs>
        <w:spacing w:line="360" w:lineRule="auto" w:before="2" w:after="0"/>
        <w:ind w:left="464" w:right="181" w:hanging="360"/>
        <w:jc w:val="both"/>
        <w:rPr>
          <w:sz w:val="24"/>
        </w:rPr>
      </w:pPr>
      <w:r>
        <w:rPr>
          <w:sz w:val="24"/>
        </w:rPr>
        <w:t>Desmond K. Techniques for Electron Microscopy Ed FA Davis Company Philadelphia 2nd Ed 1967 pp 30 – 31, 481 –</w:t>
      </w:r>
      <w:r>
        <w:rPr>
          <w:spacing w:val="-19"/>
          <w:sz w:val="24"/>
        </w:rPr>
        <w:t> </w:t>
      </w:r>
      <w:r>
        <w:rPr>
          <w:sz w:val="24"/>
        </w:rPr>
        <w:t>483</w:t>
      </w:r>
    </w:p>
    <w:p>
      <w:pPr>
        <w:pStyle w:val="ListParagraph"/>
        <w:numPr>
          <w:ilvl w:val="0"/>
          <w:numId w:val="21"/>
        </w:numPr>
        <w:tabs>
          <w:tab w:pos="1041" w:val="left" w:leader="none"/>
        </w:tabs>
        <w:spacing w:line="360" w:lineRule="auto" w:before="3" w:after="0"/>
        <w:ind w:left="464" w:right="174" w:hanging="360"/>
        <w:jc w:val="both"/>
        <w:rPr>
          <w:sz w:val="24"/>
        </w:rPr>
      </w:pPr>
      <w:r>
        <w:rPr>
          <w:sz w:val="24"/>
        </w:rPr>
        <w:t>Mouxing F. Qingbiao L., Daohua S., Yingua L., Ning H., Xu D. et al Rapid Preparation Process of Silver Nanoparticles by Bioreduction and Their Characterizations. Chinese Journal of Chemical Engineering. 2006; 14 (1): 114 -</w:t>
      </w:r>
      <w:r>
        <w:rPr>
          <w:spacing w:val="-27"/>
          <w:sz w:val="24"/>
        </w:rPr>
        <w:t> </w:t>
      </w:r>
      <w:r>
        <w:rPr>
          <w:sz w:val="24"/>
        </w:rPr>
        <w:t>117</w:t>
      </w:r>
    </w:p>
    <w:p>
      <w:pPr>
        <w:pStyle w:val="ListParagraph"/>
        <w:numPr>
          <w:ilvl w:val="0"/>
          <w:numId w:val="21"/>
        </w:numPr>
        <w:tabs>
          <w:tab w:pos="1041" w:val="left" w:leader="none"/>
        </w:tabs>
        <w:spacing w:line="360" w:lineRule="auto" w:before="5" w:after="0"/>
        <w:ind w:left="464" w:right="176" w:hanging="360"/>
        <w:jc w:val="both"/>
        <w:rPr>
          <w:sz w:val="24"/>
        </w:rPr>
      </w:pPr>
      <w:r>
        <w:rPr>
          <w:sz w:val="24"/>
        </w:rPr>
        <w:t>Lygidakis N., Iatrou I., Eliades G., Papanikolau S. A retrieval study on morphological and chemical changes of titanium osteosynthesis plates and adjacent tissues. Journal of Cranio-Maxillofacial Surgery 2007; 35 (3): 168 -</w:t>
      </w:r>
      <w:r>
        <w:rPr>
          <w:spacing w:val="-24"/>
          <w:sz w:val="24"/>
        </w:rPr>
        <w:t> </w:t>
      </w:r>
      <w:r>
        <w:rPr>
          <w:sz w:val="24"/>
        </w:rPr>
        <w:t>176</w:t>
      </w:r>
    </w:p>
    <w:p>
      <w:pPr>
        <w:pStyle w:val="ListParagraph"/>
        <w:numPr>
          <w:ilvl w:val="0"/>
          <w:numId w:val="21"/>
        </w:numPr>
        <w:tabs>
          <w:tab w:pos="1040" w:val="left" w:leader="none"/>
          <w:tab w:pos="1041" w:val="left" w:leader="none"/>
        </w:tabs>
        <w:spacing w:line="240" w:lineRule="auto" w:before="2" w:after="0"/>
        <w:ind w:left="1040" w:right="0" w:hanging="936"/>
        <w:jc w:val="left"/>
        <w:rPr>
          <w:sz w:val="24"/>
        </w:rPr>
      </w:pPr>
      <w:hyperlink r:id="rId235">
        <w:r>
          <w:rPr>
            <w:sz w:val="24"/>
            <w:u w:val="single"/>
          </w:rPr>
          <w:t>http://www.tropicos.org/</w:t>
        </w:r>
      </w:hyperlink>
    </w:p>
    <w:p>
      <w:pPr>
        <w:pStyle w:val="ListParagraph"/>
        <w:numPr>
          <w:ilvl w:val="0"/>
          <w:numId w:val="21"/>
        </w:numPr>
        <w:tabs>
          <w:tab w:pos="1041" w:val="left" w:leader="none"/>
        </w:tabs>
        <w:spacing w:line="360" w:lineRule="auto" w:before="139" w:after="0"/>
        <w:ind w:left="464" w:right="182" w:hanging="360"/>
        <w:jc w:val="both"/>
        <w:rPr>
          <w:sz w:val="24"/>
        </w:rPr>
      </w:pPr>
      <w:r>
        <w:rPr>
          <w:sz w:val="24"/>
        </w:rPr>
        <w:t>Haffajee A., Yaskell T., Socransky S. Antimicrobial effectiveness of an herbal mouthrinse compared with an essential oil and a clorhexidine mouthrinse; JADA 2008; 139:</w:t>
      </w:r>
      <w:r>
        <w:rPr>
          <w:spacing w:val="-6"/>
          <w:sz w:val="24"/>
        </w:rPr>
        <w:t> </w:t>
      </w:r>
      <w:r>
        <w:rPr>
          <w:sz w:val="24"/>
        </w:rPr>
        <w:t>606-611</w:t>
      </w:r>
    </w:p>
    <w:p>
      <w:pPr>
        <w:pStyle w:val="ListParagraph"/>
        <w:numPr>
          <w:ilvl w:val="0"/>
          <w:numId w:val="21"/>
        </w:numPr>
        <w:tabs>
          <w:tab w:pos="1041" w:val="left" w:leader="none"/>
        </w:tabs>
        <w:spacing w:line="360" w:lineRule="auto" w:before="2" w:after="0"/>
        <w:ind w:left="464" w:right="172" w:hanging="360"/>
        <w:jc w:val="both"/>
        <w:rPr>
          <w:sz w:val="24"/>
        </w:rPr>
      </w:pPr>
      <w:r>
        <w:rPr>
          <w:sz w:val="24"/>
        </w:rPr>
        <w:t>Shukla M., Singh R., Reddy C., Jha B. Synthesis and characterization of agar- based silver nanoparticles and nanocomposite film with antibacterial applications. Bioresource Technology 2012; 107:</w:t>
      </w:r>
      <w:r>
        <w:rPr>
          <w:spacing w:val="-15"/>
          <w:sz w:val="24"/>
        </w:rPr>
        <w:t> </w:t>
      </w:r>
      <w:r>
        <w:rPr>
          <w:sz w:val="24"/>
        </w:rPr>
        <w:t>295-300.</w:t>
      </w:r>
    </w:p>
    <w:p>
      <w:pPr>
        <w:pStyle w:val="ListParagraph"/>
        <w:numPr>
          <w:ilvl w:val="0"/>
          <w:numId w:val="21"/>
        </w:numPr>
        <w:tabs>
          <w:tab w:pos="1041" w:val="left" w:leader="none"/>
        </w:tabs>
        <w:spacing w:line="360" w:lineRule="auto" w:before="5" w:after="0"/>
        <w:ind w:left="464" w:right="183" w:hanging="360"/>
        <w:jc w:val="both"/>
        <w:rPr>
          <w:sz w:val="24"/>
        </w:rPr>
      </w:pPr>
      <w:r>
        <w:rPr>
          <w:sz w:val="24"/>
        </w:rPr>
        <w:t>Giamperi L., Fraternale D., Bucchini A., Ricci D. Antioxidant activity of Citrus paradisi sedes glyceric extract. Fitoterapia 2004; 75 (2):</w:t>
      </w:r>
      <w:r>
        <w:rPr>
          <w:spacing w:val="-18"/>
          <w:sz w:val="24"/>
        </w:rPr>
        <w:t> </w:t>
      </w:r>
      <w:r>
        <w:rPr>
          <w:sz w:val="24"/>
        </w:rPr>
        <w:t>221-224</w:t>
      </w:r>
    </w:p>
    <w:p>
      <w:pPr>
        <w:pStyle w:val="ListParagraph"/>
        <w:numPr>
          <w:ilvl w:val="0"/>
          <w:numId w:val="21"/>
        </w:numPr>
        <w:tabs>
          <w:tab w:pos="1041" w:val="left" w:leader="none"/>
        </w:tabs>
        <w:spacing w:line="360" w:lineRule="auto" w:before="5" w:after="0"/>
        <w:ind w:left="464" w:right="182" w:hanging="360"/>
        <w:jc w:val="both"/>
        <w:rPr>
          <w:sz w:val="24"/>
        </w:rPr>
      </w:pPr>
      <w:r>
        <w:rPr>
          <w:sz w:val="24"/>
        </w:rPr>
        <w:t>Declaración de Helsinki adoptada por la 18ª Asamblea Médica Mundial .Helsinki, Finlandia, Junio</w:t>
      </w:r>
      <w:r>
        <w:rPr>
          <w:spacing w:val="-6"/>
          <w:sz w:val="24"/>
        </w:rPr>
        <w:t> </w:t>
      </w:r>
      <w:r>
        <w:rPr>
          <w:sz w:val="24"/>
        </w:rPr>
        <w:t>1964</w:t>
      </w:r>
    </w:p>
    <w:p>
      <w:pPr>
        <w:pStyle w:val="ListParagraph"/>
        <w:numPr>
          <w:ilvl w:val="0"/>
          <w:numId w:val="21"/>
        </w:numPr>
        <w:tabs>
          <w:tab w:pos="1041" w:val="left" w:leader="none"/>
        </w:tabs>
        <w:spacing w:line="360" w:lineRule="auto" w:before="5" w:after="0"/>
        <w:ind w:left="464" w:right="185" w:hanging="360"/>
        <w:jc w:val="both"/>
        <w:rPr>
          <w:sz w:val="24"/>
        </w:rPr>
      </w:pPr>
      <w:r>
        <w:rPr>
          <w:sz w:val="24"/>
        </w:rPr>
        <w:t>Reglamento de la Ley General de Salud en materia de Investigación para la Salud. Diario oficial de la federación. Últimas Reformas DOF</w:t>
      </w:r>
      <w:r>
        <w:rPr>
          <w:spacing w:val="-23"/>
          <w:sz w:val="24"/>
        </w:rPr>
        <w:t> </w:t>
      </w:r>
      <w:r>
        <w:rPr>
          <w:sz w:val="24"/>
        </w:rPr>
        <w:t>27-04-2010</w:t>
      </w:r>
    </w:p>
    <w:p>
      <w:pPr>
        <w:spacing w:after="0" w:line="360" w:lineRule="auto"/>
        <w:jc w:val="both"/>
        <w:rPr>
          <w:sz w:val="24"/>
        </w:rPr>
        <w:sectPr>
          <w:pgSz w:w="12240" w:h="15840"/>
          <w:pgMar w:header="736" w:footer="1024" w:top="1180" w:bottom="1220" w:left="112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pStyle w:val="Heading1"/>
        <w:tabs>
          <w:tab w:pos="4591" w:val="left" w:leader="none"/>
        </w:tabs>
        <w:ind w:left="3151" w:right="270" w:firstLine="0"/>
      </w:pPr>
      <w:r>
        <w:rPr>
          <w:rFonts w:ascii="Times New Roman"/>
        </w:rPr>
        <w:t>14.</w:t>
        <w:tab/>
      </w:r>
      <w:r>
        <w:rPr/>
        <w:t>ANEXOS</w:t>
      </w:r>
    </w:p>
    <w:p>
      <w:pPr>
        <w:spacing w:after="0"/>
        <w:sectPr>
          <w:pgSz w:w="12240" w:h="15840"/>
          <w:pgMar w:header="736" w:footer="1024" w:top="1180" w:bottom="1220" w:left="1280" w:right="1260"/>
        </w:sectPr>
      </w:pPr>
    </w:p>
    <w:p>
      <w:pPr>
        <w:pStyle w:val="BodyText"/>
        <w:spacing w:before="11"/>
        <w:rPr>
          <w:b/>
          <w:sz w:val="16"/>
        </w:rPr>
      </w:pPr>
    </w:p>
    <w:p>
      <w:pPr>
        <w:pStyle w:val="BodyText"/>
        <w:spacing w:before="69"/>
        <w:ind w:left="3199" w:right="270"/>
      </w:pPr>
      <w:r>
        <w:rPr/>
        <w:t>CONSIDERACIONES ÉTICAS</w:t>
      </w:r>
    </w:p>
    <w:p>
      <w:pPr>
        <w:pStyle w:val="BodyText"/>
      </w:pPr>
    </w:p>
    <w:p>
      <w:pPr>
        <w:pStyle w:val="BodyText"/>
      </w:pPr>
    </w:p>
    <w:p>
      <w:pPr>
        <w:pStyle w:val="BodyText"/>
        <w:spacing w:line="352" w:lineRule="auto" w:before="142"/>
        <w:ind w:left="160" w:right="180"/>
        <w:jc w:val="both"/>
        <w:rPr>
          <w:sz w:val="16"/>
        </w:rPr>
      </w:pPr>
      <w:r>
        <w:rPr/>
        <w:t>De acuerdo a los principios de la Declaración de Helsinki, la investigación pretende guiar al hombre hacia el camino del conocimiento, y debe estar enfocada hacía la mejora de la situación de salud de los individuos. En el área odontológica, toda investigación debe fundamentarse en normas que impidan que se violenten los derechos de las personas que en ella participan. </w:t>
      </w:r>
      <w:r>
        <w:rPr>
          <w:position w:val="11"/>
          <w:sz w:val="16"/>
        </w:rPr>
        <w:t>110</w:t>
      </w:r>
    </w:p>
    <w:p>
      <w:pPr>
        <w:pStyle w:val="BodyText"/>
        <w:rPr>
          <w:sz w:val="28"/>
        </w:rPr>
      </w:pPr>
    </w:p>
    <w:p>
      <w:pPr>
        <w:pStyle w:val="BodyText"/>
        <w:spacing w:before="11"/>
        <w:rPr>
          <w:sz w:val="31"/>
        </w:rPr>
      </w:pPr>
    </w:p>
    <w:p>
      <w:pPr>
        <w:pStyle w:val="BodyText"/>
        <w:spacing w:line="360" w:lineRule="auto"/>
        <w:ind w:left="160" w:right="176"/>
        <w:jc w:val="both"/>
      </w:pPr>
      <w:r>
        <w:rPr/>
        <w:t>En el reglamento de la Ley General de Salud en materia de investigación para la salud, capítulo I, artículo 17: se considera como riesgo de investigación a la probabilidad de que el sujeto de investigación sufra algún daño como consecuencia inmediata o tardía del estudio.</w:t>
      </w:r>
    </w:p>
    <w:p>
      <w:pPr>
        <w:pStyle w:val="BodyText"/>
        <w:spacing w:before="7"/>
      </w:pPr>
    </w:p>
    <w:p>
      <w:pPr>
        <w:pStyle w:val="BodyText"/>
        <w:spacing w:line="360" w:lineRule="auto"/>
        <w:ind w:left="160" w:right="171"/>
        <w:jc w:val="both"/>
      </w:pPr>
      <w:r>
        <w:rPr/>
        <w:t>Para efectos de este reglamento, la presente investigación se clasifica en la siguiente categoría: II. Investigación con riesgo mínimo por la obtención de dientes deciduos y dientes permanentes extraídos por indicación terapéutica.</w:t>
      </w:r>
    </w:p>
    <w:p>
      <w:pPr>
        <w:pStyle w:val="BodyText"/>
        <w:spacing w:before="8"/>
      </w:pPr>
    </w:p>
    <w:p>
      <w:pPr>
        <w:pStyle w:val="BodyText"/>
        <w:spacing w:line="360" w:lineRule="auto"/>
        <w:ind w:left="160" w:right="174"/>
        <w:jc w:val="both"/>
      </w:pPr>
      <w:r>
        <w:rPr/>
        <w:t>De acuerdo al título cuarto, capítulo I; en el artículo 75 y 78 se encuentran los lineamientos para el manejo de microorganismos, así como la capacitación para el personal que trabaja en el laboratorio de microbiología. Por otra parte se dan bases para la autorización de las instituciones y las instalaciones adecuadas requeridas en la realización del proyecto de experimentación.</w:t>
      </w:r>
    </w:p>
    <w:p>
      <w:pPr>
        <w:pStyle w:val="BodyText"/>
      </w:pPr>
    </w:p>
    <w:p>
      <w:pPr>
        <w:pStyle w:val="BodyText"/>
        <w:spacing w:line="345" w:lineRule="auto" w:before="142"/>
        <w:ind w:left="160" w:right="184"/>
        <w:jc w:val="both"/>
        <w:rPr>
          <w:sz w:val="16"/>
        </w:rPr>
      </w:pPr>
      <w:r>
        <w:rPr/>
        <w:t>Del artículo 76 al 87 se detallan los puntos que se refieren no sólo al correcto manejo de los microorganismos y las instalaciones, sino al tipo de riesgo dentro de esta investigación.</w:t>
      </w:r>
      <w:r>
        <w:rPr>
          <w:spacing w:val="-3"/>
        </w:rPr>
        <w:t> </w:t>
      </w:r>
      <w:r>
        <w:rPr>
          <w:position w:val="11"/>
          <w:sz w:val="16"/>
        </w:rPr>
        <w:t>111</w:t>
      </w:r>
    </w:p>
    <w:p>
      <w:pPr>
        <w:spacing w:after="0" w:line="345" w:lineRule="auto"/>
        <w:jc w:val="both"/>
        <w:rPr>
          <w:sz w:val="16"/>
        </w:rPr>
        <w:sectPr>
          <w:pgSz w:w="12240" w:h="15840"/>
          <w:pgMar w:header="736" w:footer="1024" w:top="1180" w:bottom="1220" w:left="1280" w:right="1260"/>
        </w:sectPr>
      </w:pPr>
    </w:p>
    <w:p>
      <w:pPr>
        <w:pStyle w:val="BodyText"/>
        <w:spacing w:before="2"/>
        <w:rPr>
          <w:sz w:val="17"/>
        </w:rPr>
      </w:pPr>
    </w:p>
    <w:p>
      <w:pPr>
        <w:pStyle w:val="BodyText"/>
        <w:spacing w:line="362" w:lineRule="auto" w:before="69"/>
        <w:ind w:left="2988" w:right="2985" w:firstLine="1332"/>
      </w:pPr>
      <w:r>
        <w:rPr/>
        <w:t>ANEXO 1 CONSENTIMIENTO INFORMADO</w:t>
      </w:r>
    </w:p>
    <w:p>
      <w:pPr>
        <w:pStyle w:val="BodyText"/>
      </w:pPr>
    </w:p>
    <w:p>
      <w:pPr>
        <w:pStyle w:val="BodyText"/>
        <w:spacing w:before="139"/>
        <w:ind w:right="22"/>
        <w:jc w:val="center"/>
      </w:pPr>
      <w:r>
        <w:rPr/>
        <w:t>UNIVERSIDAD AUTÓNOMA DEL ESTADO DE MÉXICO</w:t>
      </w:r>
    </w:p>
    <w:p>
      <w:pPr>
        <w:pStyle w:val="BodyText"/>
        <w:spacing w:line="360" w:lineRule="auto" w:before="137"/>
        <w:ind w:right="20"/>
        <w:jc w:val="center"/>
      </w:pPr>
      <w:r>
        <w:rPr/>
        <w:t>CENTRO DE INVESTIGACIÓN Y ESTUDIOS AVANZADOS EN ODONTOLOGÍA FACULTAD DE ODONTOLOGÍA</w:t>
      </w:r>
    </w:p>
    <w:p>
      <w:pPr>
        <w:pStyle w:val="BodyText"/>
        <w:spacing w:before="5"/>
        <w:ind w:right="16"/>
        <w:jc w:val="center"/>
      </w:pPr>
      <w:r>
        <w:rPr/>
        <w:t>Maestría en Ciencias Odontológicas</w:t>
      </w:r>
    </w:p>
    <w:p>
      <w:pPr>
        <w:pStyle w:val="BodyText"/>
      </w:pPr>
    </w:p>
    <w:p>
      <w:pPr>
        <w:pStyle w:val="BodyText"/>
        <w:spacing w:before="9"/>
        <w:rPr>
          <w:sz w:val="23"/>
        </w:rPr>
      </w:pPr>
    </w:p>
    <w:p>
      <w:pPr>
        <w:spacing w:before="0"/>
        <w:ind w:left="45" w:right="20" w:firstLine="0"/>
        <w:jc w:val="center"/>
        <w:rPr>
          <w:i/>
          <w:sz w:val="24"/>
        </w:rPr>
      </w:pPr>
      <w:r>
        <w:rPr>
          <w:i/>
          <w:sz w:val="24"/>
        </w:rPr>
        <w:t>Conforme a la Ley General de Salud. Capítulo Investigación para la salud. Artículo 100,</w:t>
      </w:r>
    </w:p>
    <w:p>
      <w:pPr>
        <w:spacing w:before="137"/>
        <w:ind w:left="5292" w:right="0" w:firstLine="0"/>
        <w:jc w:val="left"/>
        <w:rPr>
          <w:i/>
          <w:sz w:val="24"/>
        </w:rPr>
      </w:pPr>
      <w:r>
        <w:rPr>
          <w:i/>
          <w:sz w:val="24"/>
        </w:rPr>
        <w:t>102, 103, NOM 168-SSA1, Numeral 4,2</w:t>
      </w:r>
    </w:p>
    <w:p>
      <w:pPr>
        <w:pStyle w:val="BodyText"/>
        <w:rPr>
          <w:i/>
        </w:rPr>
      </w:pPr>
    </w:p>
    <w:p>
      <w:pPr>
        <w:pStyle w:val="BodyText"/>
        <w:spacing w:before="2"/>
        <w:rPr>
          <w:i/>
        </w:rPr>
      </w:pPr>
    </w:p>
    <w:p>
      <w:pPr>
        <w:pStyle w:val="BodyText"/>
        <w:tabs>
          <w:tab w:pos="8288" w:val="left" w:leader="none"/>
        </w:tabs>
        <w:ind w:right="110"/>
        <w:jc w:val="center"/>
      </w:pPr>
      <w:r>
        <w:rPr/>
        <w:t>Yo:</w:t>
      </w:r>
      <w:r>
        <w:rPr>
          <w:u w:val="single"/>
        </w:rPr>
        <w:t> </w:t>
        <w:tab/>
      </w:r>
      <w:r>
        <w:rPr/>
        <w:t>(nombre)</w:t>
      </w:r>
    </w:p>
    <w:p>
      <w:pPr>
        <w:pStyle w:val="BodyText"/>
        <w:tabs>
          <w:tab w:pos="673" w:val="left" w:leader="none"/>
          <w:tab w:pos="1172" w:val="left" w:leader="none"/>
          <w:tab w:pos="2282" w:val="left" w:leader="none"/>
          <w:tab w:pos="6209" w:val="left" w:leader="none"/>
          <w:tab w:pos="7396" w:val="left" w:leader="none"/>
          <w:tab w:pos="8388" w:val="left" w:leader="none"/>
          <w:tab w:pos="9192" w:val="left" w:leader="none"/>
        </w:tabs>
        <w:spacing w:before="139"/>
        <w:ind w:left="160"/>
      </w:pPr>
      <w:r>
        <w:rPr/>
        <w:t>en</w:t>
        <w:tab/>
        <w:t>mi</w:t>
        <w:tab/>
        <w:t>carácter</w:t>
        <w:tab/>
        <w:t>de</w:t>
      </w:r>
      <w:r>
        <w:rPr>
          <w:u w:val="single"/>
        </w:rPr>
        <w:tab/>
      </w:r>
      <w:r>
        <w:rPr/>
        <w:t>(padre,</w:t>
        <w:tab/>
        <w:t>madre,</w:t>
        <w:tab/>
        <w:t>tutor)</w:t>
        <w:tab/>
        <w:t>del</w:t>
      </w:r>
    </w:p>
    <w:p>
      <w:pPr>
        <w:pStyle w:val="BodyText"/>
        <w:tabs>
          <w:tab w:pos="5876" w:val="left" w:leader="none"/>
          <w:tab w:pos="6223" w:val="left" w:leader="none"/>
          <w:tab w:pos="8036" w:val="left" w:leader="none"/>
          <w:tab w:pos="9445" w:val="left" w:leader="none"/>
        </w:tabs>
        <w:spacing w:line="360" w:lineRule="auto" w:before="137"/>
        <w:ind w:left="160" w:right="174"/>
        <w:jc w:val="both"/>
      </w:pPr>
      <w:r>
        <w:rPr/>
        <w:t>menor:</w:t>
      </w:r>
      <w:r>
        <w:rPr>
          <w:u w:val="single"/>
        </w:rPr>
        <w:tab/>
        <w:tab/>
        <w:tab/>
      </w:r>
      <w:r>
        <w:rPr/>
        <w:t>(nombre)</w:t>
      </w:r>
      <w:r>
        <w:rPr>
          <w:spacing w:val="20"/>
        </w:rPr>
        <w:t> </w:t>
      </w:r>
      <w:r>
        <w:rPr/>
        <w:t>con</w:t>
      </w:r>
      <w:r>
        <w:rPr>
          <w:w w:val="99"/>
        </w:rPr>
        <w:t> </w:t>
      </w:r>
      <w:r>
        <w:rPr/>
        <w:t>domicilio</w:t>
      </w:r>
      <w:r>
        <w:rPr>
          <w:u w:val="single"/>
        </w:rPr>
        <w:tab/>
        <w:tab/>
      </w:r>
      <w:r>
        <w:rPr/>
        <w:t>y </w:t>
      </w:r>
      <w:r>
        <w:rPr>
          <w:spacing w:val="19"/>
        </w:rPr>
        <w:t> </w:t>
      </w:r>
      <w:r>
        <w:rPr/>
        <w:t>teléfono</w:t>
      </w:r>
      <w:r>
        <w:rPr>
          <w:u w:val="single"/>
        </w:rPr>
        <w:t> </w:t>
        <w:tab/>
        <w:tab/>
      </w:r>
      <w:r>
        <w:rPr/>
        <w:t>, manifiesto que la EOP Saraí Carmina Guadarrama Reyes me ha explicado amablemente de manera verbal, de forma clara, sencilla y suficiente acerca de la investigación que se realiza en el Centro de Investigación y Estudios Avanzados de la Facultad de Odontología de la UAEM, titulado: “Efecto antibacteriano de las nanopartículas de plata </w:t>
      </w:r>
      <w:r>
        <w:rPr>
          <w:i/>
        </w:rPr>
        <w:t>versus </w:t>
      </w:r>
      <w:r>
        <w:rPr/>
        <w:t>Clorhexidina sobre </w:t>
      </w:r>
      <w:r>
        <w:rPr>
          <w:i/>
        </w:rPr>
        <w:t>Strepctococcus mutans </w:t>
      </w:r>
      <w:r>
        <w:rPr/>
        <w:t>y </w:t>
      </w:r>
      <w:r>
        <w:rPr>
          <w:i/>
        </w:rPr>
        <w:t>Lactobacillus casei</w:t>
      </w:r>
      <w:r>
        <w:rPr/>
        <w:t>”; motivo por el cual acepto que se extraigan los órganos dentarios temporales:</w:t>
      </w:r>
      <w:r>
        <w:rPr>
          <w:u w:val="single"/>
        </w:rPr>
        <w:tab/>
      </w:r>
      <w:r>
        <w:rPr/>
        <w:t>de  mi  hijo  y  sean</w:t>
      </w:r>
      <w:r>
        <w:rPr>
          <w:spacing w:val="37"/>
        </w:rPr>
        <w:t> </w:t>
      </w:r>
      <w:r>
        <w:rPr/>
        <w:t>utilizados</w:t>
      </w:r>
      <w:r>
        <w:rPr>
          <w:spacing w:val="61"/>
        </w:rPr>
        <w:t> </w:t>
      </w:r>
      <w:r>
        <w:rPr/>
        <w:t>en</w:t>
      </w:r>
      <w:r>
        <w:rPr>
          <w:w w:val="99"/>
        </w:rPr>
        <w:t> </w:t>
      </w:r>
      <w:r>
        <w:rPr/>
        <w:t>éste estudio. Manifiesto que se me ha explicado previamente la técnica de extracción dental y los posibles riesgos y beneficios de la</w:t>
      </w:r>
      <w:r>
        <w:rPr>
          <w:spacing w:val="-11"/>
        </w:rPr>
        <w:t> </w:t>
      </w:r>
      <w:r>
        <w:rPr/>
        <w:t>misma.</w:t>
      </w:r>
    </w:p>
    <w:p>
      <w:pPr>
        <w:pStyle w:val="BodyText"/>
      </w:pPr>
    </w:p>
    <w:p>
      <w:pPr>
        <w:pStyle w:val="BodyText"/>
        <w:tabs>
          <w:tab w:pos="4110" w:val="left" w:leader="none"/>
          <w:tab w:pos="7603" w:val="left" w:leader="none"/>
        </w:tabs>
        <w:spacing w:line="362" w:lineRule="auto" w:before="142"/>
        <w:ind w:left="3113" w:right="1155" w:hanging="1983"/>
      </w:pPr>
      <w:r>
        <w:rPr/>
        <w:t>Toluca, México</w:t>
      </w:r>
      <w:r>
        <w:rPr>
          <w:spacing w:val="-1"/>
        </w:rPr>
        <w:t> </w:t>
      </w:r>
      <w:r>
        <w:rPr/>
        <w:t>a</w:t>
      </w:r>
      <w:r>
        <w:rPr>
          <w:spacing w:val="-1"/>
        </w:rPr>
        <w:t> </w:t>
      </w:r>
      <w:r>
        <w:rPr/>
        <w:t>los</w:t>
      </w:r>
      <w:r>
        <w:rPr>
          <w:u w:val="single"/>
        </w:rPr>
        <w:tab/>
      </w:r>
      <w:r>
        <w:rPr/>
        <w:t>días del</w:t>
      </w:r>
      <w:r>
        <w:rPr>
          <w:spacing w:val="-6"/>
        </w:rPr>
        <w:t> </w:t>
      </w:r>
      <w:r>
        <w:rPr/>
        <w:t>mes</w:t>
      </w:r>
      <w:r>
        <w:rPr>
          <w:spacing w:val="-3"/>
        </w:rPr>
        <w:t> </w:t>
      </w:r>
      <w:r>
        <w:rPr/>
        <w:t>de</w:t>
      </w:r>
      <w:r>
        <w:rPr>
          <w:u w:val="single"/>
        </w:rPr>
        <w:tab/>
      </w:r>
      <w:r>
        <w:rPr/>
        <w:t>de</w:t>
      </w:r>
      <w:r>
        <w:rPr>
          <w:spacing w:val="-1"/>
        </w:rPr>
        <w:t> </w:t>
      </w:r>
      <w:r>
        <w:rPr/>
        <w:t>2011</w:t>
      </w:r>
      <w:r>
        <w:rPr>
          <w:w w:val="99"/>
        </w:rPr>
        <w:t> </w:t>
      </w:r>
      <w:r>
        <w:rPr/>
        <w:t>Nombre y firma del padre o</w:t>
      </w:r>
      <w:r>
        <w:rPr>
          <w:spacing w:val="-9"/>
        </w:rPr>
        <w:t> </w:t>
      </w:r>
      <w:r>
        <w:rPr/>
        <w:t>tutor</w:t>
      </w:r>
    </w:p>
    <w:p>
      <w:pPr>
        <w:pStyle w:val="BodyText"/>
        <w:spacing w:before="11"/>
        <w:rPr>
          <w:sz w:val="18"/>
        </w:rPr>
      </w:pPr>
      <w:r>
        <w:rPr/>
        <w:pict>
          <v:line style="position:absolute;mso-position-horizontal-relative:page;mso-position-vertical-relative:paragraph;z-index:6040;mso-wrap-distance-left:0;mso-wrap-distance-right:0" from="89.064003pt,13.269843pt" to="522.560019pt,13.269843pt" stroked="true" strokeweight=".756pt" strokecolor="#000000">
            <w10:wrap type="topAndBottom"/>
          </v:line>
        </w:pict>
      </w:r>
    </w:p>
    <w:p>
      <w:pPr>
        <w:spacing w:after="0"/>
        <w:rPr>
          <w:sz w:val="18"/>
        </w:rPr>
        <w:sectPr>
          <w:pgSz w:w="12240" w:h="15840"/>
          <w:pgMar w:header="736" w:footer="1024" w:top="1180" w:bottom="1220" w:left="1280" w:right="1260"/>
        </w:sectPr>
      </w:pPr>
    </w:p>
    <w:p>
      <w:pPr>
        <w:pStyle w:val="BodyText"/>
        <w:spacing w:before="2"/>
        <w:rPr>
          <w:sz w:val="17"/>
        </w:rPr>
      </w:pPr>
    </w:p>
    <w:p>
      <w:pPr>
        <w:pStyle w:val="BodyText"/>
        <w:spacing w:line="652" w:lineRule="auto" w:before="69"/>
        <w:ind w:left="3173" w:right="3173" w:firstLine="1147"/>
      </w:pPr>
      <w:r>
        <w:rPr/>
        <w:t>ANEXO 2 ASENTIMIENTO INFORMADO</w:t>
      </w:r>
    </w:p>
    <w:p>
      <w:pPr>
        <w:pStyle w:val="BodyText"/>
        <w:spacing w:line="480" w:lineRule="auto" w:before="14"/>
        <w:ind w:left="160" w:right="174"/>
        <w:jc w:val="both"/>
      </w:pPr>
      <w:r>
        <w:rPr/>
        <w:t>En la clínica de la especialidad en Odontopediatría de nuestra facultad, se revisó a los niños cuyas madres accedieron a participar en este estudio para encontrar los órganos dentarios que reunían los criterios de inclusión determinados para el presente trabajo (molares temporales con caries de esmalte y/o dentina, libres de restauraciones previas, sin fracturas ni defectos de estructura, así como incisivos sin cavitación por caries).</w:t>
      </w:r>
    </w:p>
    <w:p>
      <w:pPr>
        <w:pStyle w:val="BodyText"/>
        <w:spacing w:line="480" w:lineRule="auto" w:before="204"/>
        <w:ind w:left="160" w:right="185"/>
        <w:jc w:val="both"/>
      </w:pPr>
      <w:r>
        <w:rPr/>
        <w:t>Se platicó con los niños y se les solicitó obsequiarnos sus dientes una vez que se los hubiesen quitado. Mediante un lenguaje sencillo y acorde a su edad se explicó brevemente el propósito de la investigación.</w:t>
      </w:r>
    </w:p>
    <w:p>
      <w:pPr>
        <w:pStyle w:val="BodyText"/>
        <w:spacing w:line="482" w:lineRule="auto" w:before="204" w:after="2"/>
        <w:ind w:left="160" w:right="181"/>
        <w:jc w:val="both"/>
      </w:pPr>
      <w:r>
        <w:rPr/>
        <w:t>No se extrajeron dientes sanos y no extrajeron dientes que no estuvieran prontos a exfoliarse.</w:t>
      </w:r>
    </w:p>
    <w:p>
      <w:pPr>
        <w:tabs>
          <w:tab w:pos="6010" w:val="left" w:leader="none"/>
        </w:tabs>
        <w:spacing w:line="240" w:lineRule="auto"/>
        <w:ind w:left="1000" w:right="0" w:firstLine="0"/>
        <w:rPr>
          <w:sz w:val="20"/>
        </w:rPr>
      </w:pPr>
      <w:r>
        <w:rPr>
          <w:sz w:val="20"/>
        </w:rPr>
        <w:pict>
          <v:group style="width:198pt;height:149.5pt;mso-position-horizontal-relative:char;mso-position-vertical-relative:line" coordorigin="0,0" coordsize="3960,2990">
            <v:shape style="position:absolute;left:60;top:60;width:3840;height:2870" type="#_x0000_t75" stroked="false">
              <v:imagedata r:id="rId237" o:title=""/>
            </v:shape>
            <v:rect style="position:absolute;left:30;top:30;width:3900;height:2930" filled="false" stroked="true" strokeweight="3pt" strokecolor="#4f81bc"/>
          </v:group>
        </w:pict>
      </w:r>
      <w:r>
        <w:rPr>
          <w:sz w:val="20"/>
        </w:rPr>
      </w:r>
      <w:r>
        <w:rPr>
          <w:sz w:val="20"/>
        </w:rPr>
        <w:tab/>
      </w:r>
      <w:r>
        <w:rPr>
          <w:sz w:val="20"/>
        </w:rPr>
        <w:pict>
          <v:group style="width:153.5pt;height:149.75pt;mso-position-horizontal-relative:char;mso-position-vertical-relative:line" coordorigin="0,0" coordsize="3070,2995">
            <v:shape style="position:absolute;left:60;top:60;width:2950;height:2875" type="#_x0000_t75" stroked="false">
              <v:imagedata r:id="rId238" o:title=""/>
            </v:shape>
            <v:rect style="position:absolute;left:30;top:30;width:3010;height:2935" filled="false" stroked="true" strokeweight="3pt" strokecolor="#4f81bc"/>
          </v:group>
        </w:pict>
      </w:r>
      <w:r>
        <w:rPr>
          <w:sz w:val="20"/>
        </w:rPr>
      </w:r>
    </w:p>
    <w:p>
      <w:pPr>
        <w:spacing w:after="0" w:line="240" w:lineRule="auto"/>
        <w:rPr>
          <w:sz w:val="20"/>
        </w:rPr>
        <w:sectPr>
          <w:footerReference w:type="default" r:id="rId236"/>
          <w:pgSz w:w="12240" w:h="15840"/>
          <w:pgMar w:footer="1024" w:header="736" w:top="1180" w:bottom="1220" w:left="1280" w:right="1260"/>
        </w:sectPr>
      </w:pPr>
    </w:p>
    <w:p>
      <w:pPr>
        <w:pStyle w:val="BodyText"/>
        <w:spacing w:before="2"/>
        <w:rPr>
          <w:sz w:val="17"/>
        </w:rPr>
      </w:pPr>
    </w:p>
    <w:p>
      <w:pPr>
        <w:pStyle w:val="BodyText"/>
        <w:spacing w:before="69"/>
        <w:ind w:left="381" w:right="398"/>
        <w:jc w:val="center"/>
      </w:pPr>
      <w:r>
        <w:rPr/>
        <w:t>ANEXO 3</w:t>
      </w:r>
    </w:p>
    <w:p>
      <w:pPr>
        <w:pStyle w:val="BodyText"/>
        <w:spacing w:before="1"/>
        <w:rPr>
          <w:sz w:val="21"/>
        </w:rPr>
      </w:pPr>
    </w:p>
    <w:p>
      <w:pPr>
        <w:pStyle w:val="BodyText"/>
        <w:spacing w:line="276" w:lineRule="auto"/>
        <w:ind w:left="381" w:right="399"/>
        <w:jc w:val="center"/>
      </w:pPr>
      <w:r>
        <w:rPr/>
        <w:t>Tablas de la 4 a la 23 que muestran los datos obtenidos del análisis elemental de los órganos dentarios mediante MEB</w:t>
      </w:r>
    </w:p>
    <w:p>
      <w:pPr>
        <w:pStyle w:val="BodyText"/>
        <w:spacing w:before="8"/>
        <w:rPr>
          <w:sz w:val="18"/>
        </w:rPr>
      </w:pPr>
      <w:r>
        <w:rPr/>
        <w:pict>
          <v:shape style="position:absolute;margin-left:66.384003pt;margin-top:14.286084pt;width:222.15pt;height:107.5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6"/>
                    <w:gridCol w:w="1321"/>
                    <w:gridCol w:w="1452"/>
                  </w:tblGrid>
                  <w:tr>
                    <w:trPr>
                      <w:trHeight w:val="701" w:hRule="exact"/>
                    </w:trPr>
                    <w:tc>
                      <w:tcPr>
                        <w:tcW w:w="1656" w:type="dxa"/>
                      </w:tcPr>
                      <w:p>
                        <w:pPr>
                          <w:pStyle w:val="TableParagraph"/>
                          <w:ind w:left="103" w:right="166"/>
                          <w:rPr>
                            <w:sz w:val="20"/>
                          </w:rPr>
                        </w:pPr>
                        <w:r>
                          <w:rPr>
                            <w:sz w:val="20"/>
                          </w:rPr>
                          <w:t>Segundo molar inferior izquierdo</w:t>
                        </w:r>
                      </w:p>
                    </w:tc>
                    <w:tc>
                      <w:tcPr>
                        <w:tcW w:w="1321" w:type="dxa"/>
                      </w:tcPr>
                      <w:p>
                        <w:pPr>
                          <w:pStyle w:val="TableParagraph"/>
                          <w:ind w:left="103" w:right="202"/>
                          <w:rPr>
                            <w:sz w:val="20"/>
                          </w:rPr>
                        </w:pPr>
                        <w:r>
                          <w:rPr>
                            <w:w w:val="95"/>
                            <w:sz w:val="20"/>
                          </w:rPr>
                          <w:t>Porciento </w:t>
                        </w:r>
                        <w:r>
                          <w:rPr>
                            <w:sz w:val="20"/>
                          </w:rPr>
                          <w:t>en peso total</w:t>
                        </w:r>
                      </w:p>
                    </w:tc>
                    <w:tc>
                      <w:tcPr>
                        <w:tcW w:w="1452" w:type="dxa"/>
                      </w:tcPr>
                      <w:p>
                        <w:pPr>
                          <w:pStyle w:val="TableParagraph"/>
                          <w:ind w:left="103" w:right="129"/>
                          <w:rPr>
                            <w:sz w:val="20"/>
                          </w:rPr>
                        </w:pPr>
                        <w:r>
                          <w:rPr>
                            <w:sz w:val="20"/>
                          </w:rPr>
                          <w:t>Porciento en peso atómico</w:t>
                        </w:r>
                      </w:p>
                    </w:tc>
                  </w:tr>
                  <w:tr>
                    <w:trPr>
                      <w:trHeight w:val="240" w:hRule="exact"/>
                    </w:trPr>
                    <w:tc>
                      <w:tcPr>
                        <w:tcW w:w="1656" w:type="dxa"/>
                      </w:tcPr>
                      <w:p>
                        <w:pPr>
                          <w:pStyle w:val="TableParagraph"/>
                          <w:spacing w:line="227" w:lineRule="exact"/>
                          <w:ind w:left="103"/>
                          <w:rPr>
                            <w:sz w:val="20"/>
                          </w:rPr>
                        </w:pPr>
                        <w:r>
                          <w:rPr>
                            <w:w w:val="99"/>
                            <w:sz w:val="20"/>
                          </w:rPr>
                          <w:t>C</w:t>
                        </w:r>
                      </w:p>
                    </w:tc>
                    <w:tc>
                      <w:tcPr>
                        <w:tcW w:w="1321" w:type="dxa"/>
                      </w:tcPr>
                      <w:p>
                        <w:pPr>
                          <w:pStyle w:val="TableParagraph"/>
                          <w:spacing w:line="227" w:lineRule="exact"/>
                          <w:ind w:left="103" w:right="202"/>
                          <w:rPr>
                            <w:sz w:val="20"/>
                          </w:rPr>
                        </w:pPr>
                        <w:r>
                          <w:rPr>
                            <w:sz w:val="20"/>
                          </w:rPr>
                          <w:t>43.69</w:t>
                        </w:r>
                      </w:p>
                    </w:tc>
                    <w:tc>
                      <w:tcPr>
                        <w:tcW w:w="1452" w:type="dxa"/>
                      </w:tcPr>
                      <w:p>
                        <w:pPr>
                          <w:pStyle w:val="TableParagraph"/>
                          <w:spacing w:line="227" w:lineRule="exact"/>
                          <w:ind w:left="103" w:right="129"/>
                          <w:rPr>
                            <w:sz w:val="20"/>
                          </w:rPr>
                        </w:pPr>
                        <w:r>
                          <w:rPr>
                            <w:sz w:val="20"/>
                          </w:rPr>
                          <w:t>59.11</w:t>
                        </w:r>
                      </w:p>
                    </w:tc>
                  </w:tr>
                  <w:tr>
                    <w:trPr>
                      <w:trHeight w:val="240" w:hRule="exact"/>
                    </w:trPr>
                    <w:tc>
                      <w:tcPr>
                        <w:tcW w:w="1656" w:type="dxa"/>
                      </w:tcPr>
                      <w:p>
                        <w:pPr>
                          <w:pStyle w:val="TableParagraph"/>
                          <w:spacing w:line="227" w:lineRule="exact"/>
                          <w:ind w:left="103"/>
                          <w:rPr>
                            <w:sz w:val="20"/>
                          </w:rPr>
                        </w:pPr>
                        <w:r>
                          <w:rPr>
                            <w:w w:val="99"/>
                            <w:sz w:val="20"/>
                          </w:rPr>
                          <w:t>O</w:t>
                        </w:r>
                      </w:p>
                    </w:tc>
                    <w:tc>
                      <w:tcPr>
                        <w:tcW w:w="1321" w:type="dxa"/>
                      </w:tcPr>
                      <w:p>
                        <w:pPr>
                          <w:pStyle w:val="TableParagraph"/>
                          <w:spacing w:line="227" w:lineRule="exact"/>
                          <w:ind w:left="103" w:right="202"/>
                          <w:rPr>
                            <w:sz w:val="20"/>
                          </w:rPr>
                        </w:pPr>
                        <w:r>
                          <w:rPr>
                            <w:sz w:val="20"/>
                          </w:rPr>
                          <w:t>30.99</w:t>
                        </w:r>
                      </w:p>
                    </w:tc>
                    <w:tc>
                      <w:tcPr>
                        <w:tcW w:w="1452" w:type="dxa"/>
                      </w:tcPr>
                      <w:p>
                        <w:pPr>
                          <w:pStyle w:val="TableParagraph"/>
                          <w:spacing w:line="227" w:lineRule="exact"/>
                          <w:ind w:left="103" w:right="129"/>
                          <w:rPr>
                            <w:sz w:val="20"/>
                          </w:rPr>
                        </w:pPr>
                        <w:r>
                          <w:rPr>
                            <w:sz w:val="20"/>
                          </w:rPr>
                          <w:t>31.47</w:t>
                        </w:r>
                      </w:p>
                    </w:tc>
                  </w:tr>
                  <w:tr>
                    <w:trPr>
                      <w:trHeight w:val="240" w:hRule="exact"/>
                    </w:trPr>
                    <w:tc>
                      <w:tcPr>
                        <w:tcW w:w="1656" w:type="dxa"/>
                      </w:tcPr>
                      <w:p>
                        <w:pPr>
                          <w:pStyle w:val="TableParagraph"/>
                          <w:spacing w:line="227" w:lineRule="exact"/>
                          <w:ind w:left="103"/>
                          <w:rPr>
                            <w:sz w:val="20"/>
                          </w:rPr>
                        </w:pPr>
                        <w:r>
                          <w:rPr>
                            <w:w w:val="99"/>
                            <w:sz w:val="20"/>
                          </w:rPr>
                          <w:t>P</w:t>
                        </w:r>
                      </w:p>
                    </w:tc>
                    <w:tc>
                      <w:tcPr>
                        <w:tcW w:w="1321" w:type="dxa"/>
                      </w:tcPr>
                      <w:p>
                        <w:pPr>
                          <w:pStyle w:val="TableParagraph"/>
                          <w:spacing w:line="227" w:lineRule="exact"/>
                          <w:ind w:left="103" w:right="202"/>
                          <w:rPr>
                            <w:sz w:val="20"/>
                          </w:rPr>
                        </w:pPr>
                        <w:r>
                          <w:rPr>
                            <w:sz w:val="20"/>
                          </w:rPr>
                          <w:t>6.76</w:t>
                        </w:r>
                      </w:p>
                    </w:tc>
                    <w:tc>
                      <w:tcPr>
                        <w:tcW w:w="1452" w:type="dxa"/>
                      </w:tcPr>
                      <w:p>
                        <w:pPr>
                          <w:pStyle w:val="TableParagraph"/>
                          <w:spacing w:line="227" w:lineRule="exact"/>
                          <w:ind w:left="103" w:right="129"/>
                          <w:rPr>
                            <w:sz w:val="20"/>
                          </w:rPr>
                        </w:pPr>
                        <w:r>
                          <w:rPr>
                            <w:sz w:val="20"/>
                          </w:rPr>
                          <w:t>3.54</w:t>
                        </w:r>
                      </w:p>
                    </w:tc>
                  </w:tr>
                  <w:tr>
                    <w:trPr>
                      <w:trHeight w:val="240" w:hRule="exact"/>
                    </w:trPr>
                    <w:tc>
                      <w:tcPr>
                        <w:tcW w:w="1656" w:type="dxa"/>
                      </w:tcPr>
                      <w:p>
                        <w:pPr>
                          <w:pStyle w:val="TableParagraph"/>
                          <w:spacing w:line="227" w:lineRule="exact"/>
                          <w:ind w:left="103" w:right="166"/>
                          <w:rPr>
                            <w:sz w:val="20"/>
                          </w:rPr>
                        </w:pPr>
                        <w:r>
                          <w:rPr>
                            <w:sz w:val="20"/>
                          </w:rPr>
                          <w:t>Ca</w:t>
                        </w:r>
                      </w:p>
                    </w:tc>
                    <w:tc>
                      <w:tcPr>
                        <w:tcW w:w="1321" w:type="dxa"/>
                      </w:tcPr>
                      <w:p>
                        <w:pPr>
                          <w:pStyle w:val="TableParagraph"/>
                          <w:spacing w:line="227" w:lineRule="exact"/>
                          <w:ind w:left="103" w:right="202"/>
                          <w:rPr>
                            <w:sz w:val="20"/>
                          </w:rPr>
                        </w:pPr>
                        <w:r>
                          <w:rPr>
                            <w:sz w:val="20"/>
                          </w:rPr>
                          <w:t>12.09</w:t>
                        </w:r>
                      </w:p>
                    </w:tc>
                    <w:tc>
                      <w:tcPr>
                        <w:tcW w:w="1452" w:type="dxa"/>
                      </w:tcPr>
                      <w:p>
                        <w:pPr>
                          <w:pStyle w:val="TableParagraph"/>
                          <w:spacing w:line="227" w:lineRule="exact"/>
                          <w:ind w:left="103" w:right="129"/>
                          <w:rPr>
                            <w:sz w:val="20"/>
                          </w:rPr>
                        </w:pPr>
                        <w:r>
                          <w:rPr>
                            <w:sz w:val="20"/>
                          </w:rPr>
                          <w:t>4.90</w:t>
                        </w:r>
                      </w:p>
                    </w:tc>
                  </w:tr>
                  <w:tr>
                    <w:trPr>
                      <w:trHeight w:val="240" w:hRule="exact"/>
                    </w:trPr>
                    <w:tc>
                      <w:tcPr>
                        <w:tcW w:w="1656" w:type="dxa"/>
                      </w:tcPr>
                      <w:p>
                        <w:pPr>
                          <w:pStyle w:val="TableParagraph"/>
                          <w:spacing w:line="227" w:lineRule="exact"/>
                          <w:ind w:left="103" w:right="166"/>
                          <w:rPr>
                            <w:sz w:val="20"/>
                          </w:rPr>
                        </w:pPr>
                        <w:r>
                          <w:rPr>
                            <w:sz w:val="20"/>
                          </w:rPr>
                          <w:t>Ag</w:t>
                        </w:r>
                      </w:p>
                    </w:tc>
                    <w:tc>
                      <w:tcPr>
                        <w:tcW w:w="1321" w:type="dxa"/>
                      </w:tcPr>
                      <w:p>
                        <w:pPr>
                          <w:pStyle w:val="TableParagraph"/>
                          <w:spacing w:line="227" w:lineRule="exact"/>
                          <w:ind w:left="103" w:right="202"/>
                          <w:rPr>
                            <w:sz w:val="20"/>
                          </w:rPr>
                        </w:pPr>
                        <w:r>
                          <w:rPr>
                            <w:sz w:val="20"/>
                          </w:rPr>
                          <w:t>6.47</w:t>
                        </w:r>
                      </w:p>
                    </w:tc>
                    <w:tc>
                      <w:tcPr>
                        <w:tcW w:w="1452" w:type="dxa"/>
                      </w:tcPr>
                      <w:p>
                        <w:pPr>
                          <w:pStyle w:val="TableParagraph"/>
                          <w:spacing w:line="227" w:lineRule="exact"/>
                          <w:ind w:left="103" w:right="129"/>
                          <w:rPr>
                            <w:sz w:val="20"/>
                          </w:rPr>
                        </w:pPr>
                        <w:r>
                          <w:rPr>
                            <w:sz w:val="20"/>
                          </w:rPr>
                          <w:t>0.97</w:t>
                        </w:r>
                      </w:p>
                    </w:tc>
                  </w:tr>
                  <w:tr>
                    <w:trPr>
                      <w:trHeight w:val="240" w:hRule="exact"/>
                    </w:trPr>
                    <w:tc>
                      <w:tcPr>
                        <w:tcW w:w="1656" w:type="dxa"/>
                      </w:tcPr>
                      <w:p>
                        <w:pPr>
                          <w:pStyle w:val="TableParagraph"/>
                          <w:spacing w:line="227" w:lineRule="exact"/>
                          <w:ind w:left="103" w:right="166"/>
                          <w:rPr>
                            <w:sz w:val="20"/>
                          </w:rPr>
                        </w:pPr>
                        <w:r>
                          <w:rPr>
                            <w:sz w:val="20"/>
                          </w:rPr>
                          <w:t>TOTAL</w:t>
                        </w:r>
                      </w:p>
                    </w:tc>
                    <w:tc>
                      <w:tcPr>
                        <w:tcW w:w="1321" w:type="dxa"/>
                      </w:tcPr>
                      <w:p>
                        <w:pPr>
                          <w:pStyle w:val="TableParagraph"/>
                          <w:spacing w:line="227" w:lineRule="exact"/>
                          <w:ind w:left="103" w:right="202"/>
                          <w:rPr>
                            <w:sz w:val="20"/>
                          </w:rPr>
                        </w:pPr>
                        <w:r>
                          <w:rPr>
                            <w:sz w:val="20"/>
                          </w:rPr>
                          <w:t>100</w:t>
                        </w:r>
                      </w:p>
                    </w:tc>
                    <w:tc>
                      <w:tcPr>
                        <w:tcW w:w="1452" w:type="dxa"/>
                      </w:tcPr>
                      <w:p>
                        <w:pPr>
                          <w:pStyle w:val="TableParagraph"/>
                          <w:spacing w:line="227" w:lineRule="exact"/>
                          <w:ind w:left="103" w:right="129"/>
                          <w:rPr>
                            <w:sz w:val="20"/>
                          </w:rPr>
                        </w:pPr>
                        <w:r>
                          <w:rPr>
                            <w:sz w:val="20"/>
                          </w:rPr>
                          <w:t>100</w:t>
                        </w:r>
                      </w:p>
                    </w:tc>
                  </w:tr>
                </w:tbl>
                <w:p>
                  <w:pPr>
                    <w:pStyle w:val="BodyText"/>
                  </w:pPr>
                </w:p>
              </w:txbxContent>
            </v:textbox>
            <w10:wrap type="topAndBottom"/>
          </v:shape>
        </w:pict>
      </w:r>
      <w:r>
        <w:rPr/>
        <w:pict>
          <v:shape style="position:absolute;margin-left:317.570007pt;margin-top:12.726084pt;width:228.55pt;height:107.4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0"/>
                    <w:gridCol w:w="1352"/>
                    <w:gridCol w:w="1404"/>
                  </w:tblGrid>
                  <w:tr>
                    <w:trPr>
                      <w:trHeight w:val="698" w:hRule="exact"/>
                    </w:trPr>
                    <w:tc>
                      <w:tcPr>
                        <w:tcW w:w="1800" w:type="dxa"/>
                      </w:tcPr>
                      <w:p>
                        <w:pPr>
                          <w:pStyle w:val="TableParagraph"/>
                          <w:ind w:left="103"/>
                          <w:rPr>
                            <w:sz w:val="20"/>
                          </w:rPr>
                        </w:pPr>
                        <w:r>
                          <w:rPr>
                            <w:sz w:val="20"/>
                          </w:rPr>
                          <w:t>Primer molar inferior izquierdo</w:t>
                        </w:r>
                      </w:p>
                    </w:tc>
                    <w:tc>
                      <w:tcPr>
                        <w:tcW w:w="1352" w:type="dxa"/>
                      </w:tcPr>
                      <w:p>
                        <w:pPr>
                          <w:pStyle w:val="TableParagraph"/>
                          <w:ind w:left="103" w:right="96"/>
                          <w:rPr>
                            <w:sz w:val="20"/>
                          </w:rPr>
                        </w:pPr>
                        <w:r>
                          <w:rPr>
                            <w:sz w:val="20"/>
                          </w:rPr>
                          <w:t>Porciento en peso total</w:t>
                        </w:r>
                      </w:p>
                    </w:tc>
                    <w:tc>
                      <w:tcPr>
                        <w:tcW w:w="1404" w:type="dxa"/>
                      </w:tcPr>
                      <w:p>
                        <w:pPr>
                          <w:pStyle w:val="TableParagraph"/>
                          <w:ind w:left="100" w:right="160"/>
                          <w:rPr>
                            <w:sz w:val="20"/>
                          </w:rPr>
                        </w:pPr>
                        <w:r>
                          <w:rPr>
                            <w:sz w:val="20"/>
                          </w:rPr>
                          <w:t>Porciento en peso atómico</w:t>
                        </w:r>
                      </w:p>
                    </w:tc>
                  </w:tr>
                  <w:tr>
                    <w:trPr>
                      <w:trHeight w:val="240" w:hRule="exact"/>
                    </w:trPr>
                    <w:tc>
                      <w:tcPr>
                        <w:tcW w:w="1800" w:type="dxa"/>
                      </w:tcPr>
                      <w:p>
                        <w:pPr>
                          <w:pStyle w:val="TableParagraph"/>
                          <w:spacing w:line="227" w:lineRule="exact"/>
                          <w:ind w:left="103"/>
                          <w:rPr>
                            <w:sz w:val="20"/>
                          </w:rPr>
                        </w:pPr>
                        <w:r>
                          <w:rPr>
                            <w:w w:val="99"/>
                            <w:sz w:val="20"/>
                          </w:rPr>
                          <w:t>C</w:t>
                        </w:r>
                      </w:p>
                    </w:tc>
                    <w:tc>
                      <w:tcPr>
                        <w:tcW w:w="1352" w:type="dxa"/>
                      </w:tcPr>
                      <w:p>
                        <w:pPr>
                          <w:pStyle w:val="TableParagraph"/>
                          <w:spacing w:line="227" w:lineRule="exact"/>
                          <w:ind w:left="103" w:right="96"/>
                          <w:rPr>
                            <w:sz w:val="20"/>
                          </w:rPr>
                        </w:pPr>
                        <w:r>
                          <w:rPr>
                            <w:sz w:val="20"/>
                          </w:rPr>
                          <w:t>42.81</w:t>
                        </w:r>
                      </w:p>
                    </w:tc>
                    <w:tc>
                      <w:tcPr>
                        <w:tcW w:w="1404" w:type="dxa"/>
                      </w:tcPr>
                      <w:p>
                        <w:pPr>
                          <w:pStyle w:val="TableParagraph"/>
                          <w:spacing w:line="227" w:lineRule="exact"/>
                          <w:ind w:left="100" w:right="160"/>
                          <w:rPr>
                            <w:sz w:val="20"/>
                          </w:rPr>
                        </w:pPr>
                        <w:r>
                          <w:rPr>
                            <w:sz w:val="20"/>
                          </w:rPr>
                          <w:t>59.12</w:t>
                        </w:r>
                      </w:p>
                    </w:tc>
                  </w:tr>
                  <w:tr>
                    <w:trPr>
                      <w:trHeight w:val="240" w:hRule="exact"/>
                    </w:trPr>
                    <w:tc>
                      <w:tcPr>
                        <w:tcW w:w="1800" w:type="dxa"/>
                      </w:tcPr>
                      <w:p>
                        <w:pPr>
                          <w:pStyle w:val="TableParagraph"/>
                          <w:spacing w:line="227" w:lineRule="exact"/>
                          <w:ind w:left="103"/>
                          <w:rPr>
                            <w:sz w:val="20"/>
                          </w:rPr>
                        </w:pPr>
                        <w:r>
                          <w:rPr>
                            <w:w w:val="99"/>
                            <w:sz w:val="20"/>
                          </w:rPr>
                          <w:t>O</w:t>
                        </w:r>
                      </w:p>
                    </w:tc>
                    <w:tc>
                      <w:tcPr>
                        <w:tcW w:w="1352" w:type="dxa"/>
                      </w:tcPr>
                      <w:p>
                        <w:pPr>
                          <w:pStyle w:val="TableParagraph"/>
                          <w:spacing w:line="227" w:lineRule="exact"/>
                          <w:ind w:left="103" w:right="96"/>
                          <w:rPr>
                            <w:sz w:val="20"/>
                          </w:rPr>
                        </w:pPr>
                        <w:r>
                          <w:rPr>
                            <w:sz w:val="20"/>
                          </w:rPr>
                          <w:t>31.82</w:t>
                        </w:r>
                      </w:p>
                    </w:tc>
                    <w:tc>
                      <w:tcPr>
                        <w:tcW w:w="1404" w:type="dxa"/>
                      </w:tcPr>
                      <w:p>
                        <w:pPr>
                          <w:pStyle w:val="TableParagraph"/>
                          <w:spacing w:line="227" w:lineRule="exact"/>
                          <w:ind w:left="100" w:right="160"/>
                          <w:rPr>
                            <w:sz w:val="20"/>
                          </w:rPr>
                        </w:pPr>
                        <w:r>
                          <w:rPr>
                            <w:sz w:val="20"/>
                          </w:rPr>
                          <w:t>31..42</w:t>
                        </w:r>
                      </w:p>
                    </w:tc>
                  </w:tr>
                  <w:tr>
                    <w:trPr>
                      <w:trHeight w:val="240" w:hRule="exact"/>
                    </w:trPr>
                    <w:tc>
                      <w:tcPr>
                        <w:tcW w:w="1800" w:type="dxa"/>
                      </w:tcPr>
                      <w:p>
                        <w:pPr>
                          <w:pStyle w:val="TableParagraph"/>
                          <w:spacing w:line="227" w:lineRule="exact"/>
                          <w:ind w:left="103"/>
                          <w:rPr>
                            <w:sz w:val="20"/>
                          </w:rPr>
                        </w:pPr>
                        <w:r>
                          <w:rPr>
                            <w:w w:val="99"/>
                            <w:sz w:val="20"/>
                          </w:rPr>
                          <w:t>P</w:t>
                        </w:r>
                      </w:p>
                    </w:tc>
                    <w:tc>
                      <w:tcPr>
                        <w:tcW w:w="1352" w:type="dxa"/>
                      </w:tcPr>
                      <w:p>
                        <w:pPr>
                          <w:pStyle w:val="TableParagraph"/>
                          <w:spacing w:line="227" w:lineRule="exact"/>
                          <w:ind w:left="103" w:right="96"/>
                          <w:rPr>
                            <w:sz w:val="20"/>
                          </w:rPr>
                        </w:pPr>
                        <w:r>
                          <w:rPr>
                            <w:sz w:val="20"/>
                          </w:rPr>
                          <w:t>6.52</w:t>
                        </w:r>
                      </w:p>
                    </w:tc>
                    <w:tc>
                      <w:tcPr>
                        <w:tcW w:w="1404" w:type="dxa"/>
                      </w:tcPr>
                      <w:p>
                        <w:pPr>
                          <w:pStyle w:val="TableParagraph"/>
                          <w:spacing w:line="227" w:lineRule="exact"/>
                          <w:ind w:left="100" w:right="160"/>
                          <w:rPr>
                            <w:sz w:val="20"/>
                          </w:rPr>
                        </w:pPr>
                        <w:r>
                          <w:rPr>
                            <w:sz w:val="20"/>
                          </w:rPr>
                          <w:t>3.58</w:t>
                        </w:r>
                      </w:p>
                    </w:tc>
                  </w:tr>
                  <w:tr>
                    <w:trPr>
                      <w:trHeight w:val="240" w:hRule="exact"/>
                    </w:trPr>
                    <w:tc>
                      <w:tcPr>
                        <w:tcW w:w="1800" w:type="dxa"/>
                      </w:tcPr>
                      <w:p>
                        <w:pPr>
                          <w:pStyle w:val="TableParagraph"/>
                          <w:spacing w:line="227" w:lineRule="exact"/>
                          <w:ind w:left="103"/>
                          <w:rPr>
                            <w:sz w:val="20"/>
                          </w:rPr>
                        </w:pPr>
                        <w:r>
                          <w:rPr>
                            <w:sz w:val="20"/>
                          </w:rPr>
                          <w:t>Ca</w:t>
                        </w:r>
                      </w:p>
                    </w:tc>
                    <w:tc>
                      <w:tcPr>
                        <w:tcW w:w="1352" w:type="dxa"/>
                      </w:tcPr>
                      <w:p>
                        <w:pPr>
                          <w:pStyle w:val="TableParagraph"/>
                          <w:spacing w:line="227" w:lineRule="exact"/>
                          <w:ind w:left="103" w:right="96"/>
                          <w:rPr>
                            <w:sz w:val="20"/>
                          </w:rPr>
                        </w:pPr>
                        <w:r>
                          <w:rPr>
                            <w:sz w:val="20"/>
                          </w:rPr>
                          <w:t>12.30</w:t>
                        </w:r>
                      </w:p>
                    </w:tc>
                    <w:tc>
                      <w:tcPr>
                        <w:tcW w:w="1404" w:type="dxa"/>
                      </w:tcPr>
                      <w:p>
                        <w:pPr>
                          <w:pStyle w:val="TableParagraph"/>
                          <w:spacing w:line="227" w:lineRule="exact"/>
                          <w:ind w:left="100" w:right="160"/>
                          <w:rPr>
                            <w:sz w:val="20"/>
                          </w:rPr>
                        </w:pPr>
                        <w:r>
                          <w:rPr>
                            <w:sz w:val="20"/>
                          </w:rPr>
                          <w:t>4.82</w:t>
                        </w:r>
                      </w:p>
                    </w:tc>
                  </w:tr>
                  <w:tr>
                    <w:trPr>
                      <w:trHeight w:val="240" w:hRule="exact"/>
                    </w:trPr>
                    <w:tc>
                      <w:tcPr>
                        <w:tcW w:w="1800" w:type="dxa"/>
                      </w:tcPr>
                      <w:p>
                        <w:pPr>
                          <w:pStyle w:val="TableParagraph"/>
                          <w:spacing w:line="227" w:lineRule="exact"/>
                          <w:ind w:left="103"/>
                          <w:rPr>
                            <w:sz w:val="20"/>
                          </w:rPr>
                        </w:pPr>
                        <w:r>
                          <w:rPr>
                            <w:sz w:val="20"/>
                          </w:rPr>
                          <w:t>Ag</w:t>
                        </w:r>
                      </w:p>
                    </w:tc>
                    <w:tc>
                      <w:tcPr>
                        <w:tcW w:w="1352" w:type="dxa"/>
                      </w:tcPr>
                      <w:p>
                        <w:pPr>
                          <w:pStyle w:val="TableParagraph"/>
                          <w:spacing w:line="227" w:lineRule="exact"/>
                          <w:ind w:left="103" w:right="96"/>
                          <w:rPr>
                            <w:sz w:val="20"/>
                          </w:rPr>
                        </w:pPr>
                        <w:r>
                          <w:rPr>
                            <w:sz w:val="20"/>
                          </w:rPr>
                          <w:t>6.82</w:t>
                        </w:r>
                      </w:p>
                    </w:tc>
                    <w:tc>
                      <w:tcPr>
                        <w:tcW w:w="1404" w:type="dxa"/>
                      </w:tcPr>
                      <w:p>
                        <w:pPr>
                          <w:pStyle w:val="TableParagraph"/>
                          <w:spacing w:line="227" w:lineRule="exact"/>
                          <w:ind w:left="100" w:right="160"/>
                          <w:rPr>
                            <w:sz w:val="20"/>
                          </w:rPr>
                        </w:pPr>
                        <w:r>
                          <w:rPr>
                            <w:sz w:val="20"/>
                          </w:rPr>
                          <w:t>1.06</w:t>
                        </w:r>
                      </w:p>
                    </w:tc>
                  </w:tr>
                  <w:tr>
                    <w:trPr>
                      <w:trHeight w:val="240" w:hRule="exact"/>
                    </w:trPr>
                    <w:tc>
                      <w:tcPr>
                        <w:tcW w:w="1800" w:type="dxa"/>
                      </w:tcPr>
                      <w:p>
                        <w:pPr>
                          <w:pStyle w:val="TableParagraph"/>
                          <w:spacing w:line="227" w:lineRule="exact"/>
                          <w:ind w:left="103"/>
                          <w:rPr>
                            <w:sz w:val="20"/>
                          </w:rPr>
                        </w:pPr>
                        <w:r>
                          <w:rPr>
                            <w:sz w:val="20"/>
                          </w:rPr>
                          <w:t>TOTAL</w:t>
                        </w:r>
                      </w:p>
                    </w:tc>
                    <w:tc>
                      <w:tcPr>
                        <w:tcW w:w="1352" w:type="dxa"/>
                      </w:tcPr>
                      <w:p>
                        <w:pPr>
                          <w:pStyle w:val="TableParagraph"/>
                          <w:spacing w:line="227" w:lineRule="exact"/>
                          <w:ind w:left="103" w:right="96"/>
                          <w:rPr>
                            <w:sz w:val="20"/>
                          </w:rPr>
                        </w:pPr>
                        <w:r>
                          <w:rPr>
                            <w:sz w:val="20"/>
                          </w:rPr>
                          <w:t>100</w:t>
                        </w:r>
                      </w:p>
                    </w:tc>
                    <w:tc>
                      <w:tcPr>
                        <w:tcW w:w="1404" w:type="dxa"/>
                      </w:tcPr>
                      <w:p>
                        <w:pPr>
                          <w:pStyle w:val="TableParagraph"/>
                          <w:spacing w:line="227" w:lineRule="exact"/>
                          <w:ind w:left="100" w:right="160"/>
                          <w:rPr>
                            <w:sz w:val="20"/>
                          </w:rPr>
                        </w:pPr>
                        <w:r>
                          <w:rPr>
                            <w:sz w:val="20"/>
                          </w:rPr>
                          <w:t>100</w:t>
                        </w:r>
                      </w:p>
                    </w:tc>
                  </w:tr>
                </w:tbl>
                <w:p>
                  <w:pPr>
                    <w:pStyle w:val="BodyText"/>
                  </w:pPr>
                </w:p>
              </w:txbxContent>
            </v:textbox>
            <w10:wrap type="topAndBottom"/>
          </v:shape>
        </w:pict>
      </w:r>
      <w:r>
        <w:rPr/>
        <w:pict>
          <v:shape style="position:absolute;margin-left:66.384003pt;margin-top:147.756073pt;width:222.15pt;height:96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9"/>
                    <w:gridCol w:w="1349"/>
                    <w:gridCol w:w="1440"/>
                  </w:tblGrid>
                  <w:tr>
                    <w:trPr>
                      <w:trHeight w:val="470" w:hRule="exact"/>
                    </w:trPr>
                    <w:tc>
                      <w:tcPr>
                        <w:tcW w:w="1639" w:type="dxa"/>
                      </w:tcPr>
                      <w:p>
                        <w:pPr>
                          <w:pStyle w:val="TableParagraph"/>
                          <w:ind w:left="103" w:right="150"/>
                          <w:rPr>
                            <w:sz w:val="20"/>
                          </w:rPr>
                        </w:pPr>
                        <w:r>
                          <w:rPr>
                            <w:sz w:val="20"/>
                          </w:rPr>
                          <w:t>Segundo molar inferior izq</w:t>
                        </w:r>
                      </w:p>
                    </w:tc>
                    <w:tc>
                      <w:tcPr>
                        <w:tcW w:w="1349" w:type="dxa"/>
                      </w:tcPr>
                      <w:p>
                        <w:pPr>
                          <w:pStyle w:val="TableParagraph"/>
                          <w:ind w:left="100" w:right="96"/>
                          <w:rPr>
                            <w:sz w:val="20"/>
                          </w:rPr>
                        </w:pPr>
                        <w:r>
                          <w:rPr>
                            <w:sz w:val="20"/>
                          </w:rPr>
                          <w:t>Porciento en peso total</w:t>
                        </w:r>
                      </w:p>
                    </w:tc>
                    <w:tc>
                      <w:tcPr>
                        <w:tcW w:w="1440" w:type="dxa"/>
                      </w:tcPr>
                      <w:p>
                        <w:pPr>
                          <w:pStyle w:val="TableParagraph"/>
                          <w:ind w:left="103" w:right="117"/>
                          <w:rPr>
                            <w:sz w:val="20"/>
                          </w:rPr>
                        </w:pPr>
                        <w:r>
                          <w:rPr>
                            <w:sz w:val="20"/>
                          </w:rPr>
                          <w:t>Porciento en peso atómico</w:t>
                        </w:r>
                      </w:p>
                    </w:tc>
                  </w:tr>
                  <w:tr>
                    <w:trPr>
                      <w:trHeight w:val="240" w:hRule="exact"/>
                    </w:trPr>
                    <w:tc>
                      <w:tcPr>
                        <w:tcW w:w="1639" w:type="dxa"/>
                      </w:tcPr>
                      <w:p>
                        <w:pPr>
                          <w:pStyle w:val="TableParagraph"/>
                          <w:spacing w:line="227" w:lineRule="exact"/>
                          <w:ind w:left="103"/>
                          <w:rPr>
                            <w:sz w:val="20"/>
                          </w:rPr>
                        </w:pPr>
                        <w:r>
                          <w:rPr>
                            <w:w w:val="99"/>
                            <w:sz w:val="20"/>
                          </w:rPr>
                          <w:t>C</w:t>
                        </w:r>
                      </w:p>
                    </w:tc>
                    <w:tc>
                      <w:tcPr>
                        <w:tcW w:w="1349" w:type="dxa"/>
                      </w:tcPr>
                      <w:p>
                        <w:pPr>
                          <w:pStyle w:val="TableParagraph"/>
                          <w:spacing w:line="227" w:lineRule="exact"/>
                          <w:ind w:left="100" w:right="96"/>
                          <w:rPr>
                            <w:sz w:val="20"/>
                          </w:rPr>
                        </w:pPr>
                        <w:r>
                          <w:rPr>
                            <w:sz w:val="20"/>
                          </w:rPr>
                          <w:t>42.70</w:t>
                        </w:r>
                      </w:p>
                    </w:tc>
                    <w:tc>
                      <w:tcPr>
                        <w:tcW w:w="1440" w:type="dxa"/>
                      </w:tcPr>
                      <w:p>
                        <w:pPr>
                          <w:pStyle w:val="TableParagraph"/>
                          <w:spacing w:line="227" w:lineRule="exact"/>
                          <w:ind w:left="103" w:right="117"/>
                          <w:rPr>
                            <w:sz w:val="20"/>
                          </w:rPr>
                        </w:pPr>
                        <w:r>
                          <w:rPr>
                            <w:sz w:val="20"/>
                          </w:rPr>
                          <w:t>59.20</w:t>
                        </w:r>
                      </w:p>
                    </w:tc>
                  </w:tr>
                  <w:tr>
                    <w:trPr>
                      <w:trHeight w:val="240" w:hRule="exact"/>
                    </w:trPr>
                    <w:tc>
                      <w:tcPr>
                        <w:tcW w:w="1639" w:type="dxa"/>
                      </w:tcPr>
                      <w:p>
                        <w:pPr>
                          <w:pStyle w:val="TableParagraph"/>
                          <w:spacing w:line="227" w:lineRule="exact"/>
                          <w:ind w:left="103"/>
                          <w:rPr>
                            <w:sz w:val="20"/>
                          </w:rPr>
                        </w:pPr>
                        <w:r>
                          <w:rPr>
                            <w:w w:val="99"/>
                            <w:sz w:val="20"/>
                          </w:rPr>
                          <w:t>O</w:t>
                        </w:r>
                      </w:p>
                    </w:tc>
                    <w:tc>
                      <w:tcPr>
                        <w:tcW w:w="1349" w:type="dxa"/>
                      </w:tcPr>
                      <w:p>
                        <w:pPr>
                          <w:pStyle w:val="TableParagraph"/>
                          <w:spacing w:line="227" w:lineRule="exact"/>
                          <w:ind w:left="100" w:right="96"/>
                          <w:rPr>
                            <w:sz w:val="20"/>
                          </w:rPr>
                        </w:pPr>
                        <w:r>
                          <w:rPr>
                            <w:sz w:val="20"/>
                          </w:rPr>
                          <w:t>31.85</w:t>
                        </w:r>
                      </w:p>
                    </w:tc>
                    <w:tc>
                      <w:tcPr>
                        <w:tcW w:w="1440" w:type="dxa"/>
                      </w:tcPr>
                      <w:p>
                        <w:pPr>
                          <w:pStyle w:val="TableParagraph"/>
                          <w:spacing w:line="227" w:lineRule="exact"/>
                          <w:ind w:left="103" w:right="117"/>
                          <w:rPr>
                            <w:sz w:val="20"/>
                          </w:rPr>
                        </w:pPr>
                        <w:r>
                          <w:rPr>
                            <w:sz w:val="20"/>
                          </w:rPr>
                          <w:t>31.71</w:t>
                        </w:r>
                      </w:p>
                    </w:tc>
                  </w:tr>
                  <w:tr>
                    <w:trPr>
                      <w:trHeight w:val="240" w:hRule="exact"/>
                    </w:trPr>
                    <w:tc>
                      <w:tcPr>
                        <w:tcW w:w="1639" w:type="dxa"/>
                      </w:tcPr>
                      <w:p>
                        <w:pPr>
                          <w:pStyle w:val="TableParagraph"/>
                          <w:spacing w:line="227" w:lineRule="exact"/>
                          <w:ind w:left="103"/>
                          <w:rPr>
                            <w:sz w:val="20"/>
                          </w:rPr>
                        </w:pPr>
                        <w:r>
                          <w:rPr>
                            <w:w w:val="99"/>
                            <w:sz w:val="20"/>
                          </w:rPr>
                          <w:t>P</w:t>
                        </w:r>
                      </w:p>
                    </w:tc>
                    <w:tc>
                      <w:tcPr>
                        <w:tcW w:w="1349" w:type="dxa"/>
                      </w:tcPr>
                      <w:p>
                        <w:pPr>
                          <w:pStyle w:val="TableParagraph"/>
                          <w:spacing w:line="227" w:lineRule="exact"/>
                          <w:ind w:left="100" w:right="96"/>
                          <w:rPr>
                            <w:sz w:val="20"/>
                          </w:rPr>
                        </w:pPr>
                        <w:r>
                          <w:rPr>
                            <w:sz w:val="20"/>
                          </w:rPr>
                          <w:t>5.92</w:t>
                        </w:r>
                      </w:p>
                    </w:tc>
                    <w:tc>
                      <w:tcPr>
                        <w:tcW w:w="1440" w:type="dxa"/>
                      </w:tcPr>
                      <w:p>
                        <w:pPr>
                          <w:pStyle w:val="TableParagraph"/>
                          <w:spacing w:line="227" w:lineRule="exact"/>
                          <w:ind w:left="103" w:right="117"/>
                          <w:rPr>
                            <w:sz w:val="20"/>
                          </w:rPr>
                        </w:pPr>
                        <w:r>
                          <w:rPr>
                            <w:sz w:val="20"/>
                          </w:rPr>
                          <w:t>3.60</w:t>
                        </w:r>
                      </w:p>
                    </w:tc>
                  </w:tr>
                  <w:tr>
                    <w:trPr>
                      <w:trHeight w:val="240" w:hRule="exact"/>
                    </w:trPr>
                    <w:tc>
                      <w:tcPr>
                        <w:tcW w:w="1639" w:type="dxa"/>
                      </w:tcPr>
                      <w:p>
                        <w:pPr>
                          <w:pStyle w:val="TableParagraph"/>
                          <w:spacing w:line="227" w:lineRule="exact"/>
                          <w:ind w:left="103" w:right="150"/>
                          <w:rPr>
                            <w:sz w:val="20"/>
                          </w:rPr>
                        </w:pPr>
                        <w:r>
                          <w:rPr>
                            <w:sz w:val="20"/>
                          </w:rPr>
                          <w:t>Ca</w:t>
                        </w:r>
                      </w:p>
                    </w:tc>
                    <w:tc>
                      <w:tcPr>
                        <w:tcW w:w="1349" w:type="dxa"/>
                      </w:tcPr>
                      <w:p>
                        <w:pPr>
                          <w:pStyle w:val="TableParagraph"/>
                          <w:spacing w:line="227" w:lineRule="exact"/>
                          <w:ind w:left="100" w:right="96"/>
                          <w:rPr>
                            <w:sz w:val="20"/>
                          </w:rPr>
                        </w:pPr>
                        <w:r>
                          <w:rPr>
                            <w:sz w:val="20"/>
                          </w:rPr>
                          <w:t>12.88</w:t>
                        </w:r>
                      </w:p>
                    </w:tc>
                    <w:tc>
                      <w:tcPr>
                        <w:tcW w:w="1440" w:type="dxa"/>
                      </w:tcPr>
                      <w:p>
                        <w:pPr>
                          <w:pStyle w:val="TableParagraph"/>
                          <w:spacing w:line="227" w:lineRule="exact"/>
                          <w:ind w:left="103" w:right="117"/>
                          <w:rPr>
                            <w:sz w:val="20"/>
                          </w:rPr>
                        </w:pPr>
                        <w:r>
                          <w:rPr>
                            <w:sz w:val="20"/>
                          </w:rPr>
                          <w:t>4.52</w:t>
                        </w:r>
                      </w:p>
                    </w:tc>
                  </w:tr>
                  <w:tr>
                    <w:trPr>
                      <w:trHeight w:val="240" w:hRule="exact"/>
                    </w:trPr>
                    <w:tc>
                      <w:tcPr>
                        <w:tcW w:w="1639" w:type="dxa"/>
                      </w:tcPr>
                      <w:p>
                        <w:pPr>
                          <w:pStyle w:val="TableParagraph"/>
                          <w:spacing w:line="227" w:lineRule="exact"/>
                          <w:ind w:left="103" w:right="150"/>
                          <w:rPr>
                            <w:sz w:val="20"/>
                          </w:rPr>
                        </w:pPr>
                        <w:r>
                          <w:rPr>
                            <w:sz w:val="20"/>
                          </w:rPr>
                          <w:t>Ag</w:t>
                        </w:r>
                      </w:p>
                    </w:tc>
                    <w:tc>
                      <w:tcPr>
                        <w:tcW w:w="1349" w:type="dxa"/>
                      </w:tcPr>
                      <w:p>
                        <w:pPr>
                          <w:pStyle w:val="TableParagraph"/>
                          <w:spacing w:line="227" w:lineRule="exact"/>
                          <w:ind w:left="100" w:right="96"/>
                          <w:rPr>
                            <w:sz w:val="20"/>
                          </w:rPr>
                        </w:pPr>
                        <w:r>
                          <w:rPr>
                            <w:sz w:val="20"/>
                          </w:rPr>
                          <w:t>6.65</w:t>
                        </w:r>
                      </w:p>
                    </w:tc>
                    <w:tc>
                      <w:tcPr>
                        <w:tcW w:w="1440" w:type="dxa"/>
                      </w:tcPr>
                      <w:p>
                        <w:pPr>
                          <w:pStyle w:val="TableParagraph"/>
                          <w:spacing w:line="227" w:lineRule="exact"/>
                          <w:ind w:left="103" w:right="117"/>
                          <w:rPr>
                            <w:sz w:val="20"/>
                          </w:rPr>
                        </w:pPr>
                        <w:r>
                          <w:rPr>
                            <w:sz w:val="20"/>
                          </w:rPr>
                          <w:t>0.97</w:t>
                        </w:r>
                      </w:p>
                    </w:tc>
                  </w:tr>
                  <w:tr>
                    <w:trPr>
                      <w:trHeight w:val="240" w:hRule="exact"/>
                    </w:trPr>
                    <w:tc>
                      <w:tcPr>
                        <w:tcW w:w="1639" w:type="dxa"/>
                      </w:tcPr>
                      <w:p>
                        <w:pPr>
                          <w:pStyle w:val="TableParagraph"/>
                          <w:spacing w:line="227" w:lineRule="exact"/>
                          <w:ind w:left="103" w:right="150"/>
                          <w:rPr>
                            <w:sz w:val="20"/>
                          </w:rPr>
                        </w:pPr>
                        <w:r>
                          <w:rPr>
                            <w:sz w:val="20"/>
                          </w:rPr>
                          <w:t>TOTAL</w:t>
                        </w:r>
                      </w:p>
                    </w:tc>
                    <w:tc>
                      <w:tcPr>
                        <w:tcW w:w="1349" w:type="dxa"/>
                      </w:tcPr>
                      <w:p>
                        <w:pPr>
                          <w:pStyle w:val="TableParagraph"/>
                          <w:spacing w:line="227" w:lineRule="exact"/>
                          <w:ind w:left="100" w:right="96"/>
                          <w:rPr>
                            <w:sz w:val="20"/>
                          </w:rPr>
                        </w:pPr>
                        <w:r>
                          <w:rPr>
                            <w:sz w:val="20"/>
                          </w:rPr>
                          <w:t>100</w:t>
                        </w:r>
                      </w:p>
                    </w:tc>
                    <w:tc>
                      <w:tcPr>
                        <w:tcW w:w="1440" w:type="dxa"/>
                      </w:tcPr>
                      <w:p>
                        <w:pPr>
                          <w:pStyle w:val="TableParagraph"/>
                          <w:spacing w:line="227" w:lineRule="exact"/>
                          <w:ind w:left="103" w:right="117"/>
                          <w:rPr>
                            <w:sz w:val="20"/>
                          </w:rPr>
                        </w:pPr>
                        <w:r>
                          <w:rPr>
                            <w:sz w:val="20"/>
                          </w:rPr>
                          <w:t>100</w:t>
                        </w:r>
                      </w:p>
                    </w:tc>
                  </w:tr>
                </w:tbl>
                <w:p>
                  <w:pPr>
                    <w:pStyle w:val="BodyText"/>
                  </w:pPr>
                </w:p>
              </w:txbxContent>
            </v:textbox>
            <w10:wrap type="topAndBottom"/>
          </v:shape>
        </w:pict>
      </w:r>
      <w:r>
        <w:rPr/>
        <w:pict>
          <v:shape style="position:absolute;margin-left:323.809998pt;margin-top:141.276108pt;width:222.2pt;height:96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0"/>
                    <w:gridCol w:w="1349"/>
                    <w:gridCol w:w="1440"/>
                  </w:tblGrid>
                  <w:tr>
                    <w:trPr>
                      <w:trHeight w:val="470" w:hRule="exact"/>
                    </w:trPr>
                    <w:tc>
                      <w:tcPr>
                        <w:tcW w:w="1640" w:type="dxa"/>
                      </w:tcPr>
                      <w:p>
                        <w:pPr>
                          <w:pStyle w:val="TableParagraph"/>
                          <w:ind w:left="103" w:right="117"/>
                          <w:rPr>
                            <w:sz w:val="20"/>
                          </w:rPr>
                        </w:pPr>
                        <w:r>
                          <w:rPr>
                            <w:sz w:val="20"/>
                          </w:rPr>
                          <w:t>Incisivo central inferior derecho</w:t>
                        </w:r>
                      </w:p>
                    </w:tc>
                    <w:tc>
                      <w:tcPr>
                        <w:tcW w:w="1349" w:type="dxa"/>
                      </w:tcPr>
                      <w:p>
                        <w:pPr>
                          <w:pStyle w:val="TableParagraph"/>
                          <w:ind w:left="100" w:right="96"/>
                          <w:rPr>
                            <w:sz w:val="20"/>
                          </w:rPr>
                        </w:pPr>
                        <w:r>
                          <w:rPr>
                            <w:sz w:val="20"/>
                          </w:rPr>
                          <w:t>Porciento en peso total</w:t>
                        </w:r>
                      </w:p>
                    </w:tc>
                    <w:tc>
                      <w:tcPr>
                        <w:tcW w:w="1440" w:type="dxa"/>
                      </w:tcPr>
                      <w:p>
                        <w:pPr>
                          <w:pStyle w:val="TableParagraph"/>
                          <w:ind w:left="103" w:right="117"/>
                          <w:rPr>
                            <w:sz w:val="20"/>
                          </w:rPr>
                        </w:pPr>
                        <w:r>
                          <w:rPr>
                            <w:sz w:val="20"/>
                          </w:rPr>
                          <w:t>Porciento en peso atómico</w:t>
                        </w:r>
                      </w:p>
                    </w:tc>
                  </w:tr>
                  <w:tr>
                    <w:trPr>
                      <w:trHeight w:val="240" w:hRule="exact"/>
                    </w:trPr>
                    <w:tc>
                      <w:tcPr>
                        <w:tcW w:w="1640" w:type="dxa"/>
                      </w:tcPr>
                      <w:p>
                        <w:pPr>
                          <w:pStyle w:val="TableParagraph"/>
                          <w:spacing w:line="227" w:lineRule="exact"/>
                          <w:ind w:left="103"/>
                          <w:rPr>
                            <w:sz w:val="20"/>
                          </w:rPr>
                        </w:pPr>
                        <w:r>
                          <w:rPr>
                            <w:w w:val="99"/>
                            <w:sz w:val="20"/>
                          </w:rPr>
                          <w:t>C</w:t>
                        </w:r>
                      </w:p>
                    </w:tc>
                    <w:tc>
                      <w:tcPr>
                        <w:tcW w:w="1349" w:type="dxa"/>
                      </w:tcPr>
                      <w:p>
                        <w:pPr>
                          <w:pStyle w:val="TableParagraph"/>
                          <w:spacing w:line="227" w:lineRule="exact"/>
                          <w:ind w:left="100" w:right="96"/>
                          <w:rPr>
                            <w:sz w:val="20"/>
                          </w:rPr>
                        </w:pPr>
                        <w:r>
                          <w:rPr>
                            <w:sz w:val="20"/>
                          </w:rPr>
                          <w:t>43.20</w:t>
                        </w:r>
                      </w:p>
                    </w:tc>
                    <w:tc>
                      <w:tcPr>
                        <w:tcW w:w="1440" w:type="dxa"/>
                      </w:tcPr>
                      <w:p>
                        <w:pPr>
                          <w:pStyle w:val="TableParagraph"/>
                          <w:spacing w:line="227" w:lineRule="exact"/>
                          <w:ind w:left="103" w:right="117"/>
                          <w:rPr>
                            <w:sz w:val="20"/>
                          </w:rPr>
                        </w:pPr>
                        <w:r>
                          <w:rPr>
                            <w:sz w:val="20"/>
                          </w:rPr>
                          <w:t>59.18</w:t>
                        </w:r>
                      </w:p>
                    </w:tc>
                  </w:tr>
                  <w:tr>
                    <w:trPr>
                      <w:trHeight w:val="240" w:hRule="exact"/>
                    </w:trPr>
                    <w:tc>
                      <w:tcPr>
                        <w:tcW w:w="1640" w:type="dxa"/>
                      </w:tcPr>
                      <w:p>
                        <w:pPr>
                          <w:pStyle w:val="TableParagraph"/>
                          <w:spacing w:line="227" w:lineRule="exact"/>
                          <w:ind w:left="103"/>
                          <w:rPr>
                            <w:sz w:val="20"/>
                          </w:rPr>
                        </w:pPr>
                        <w:r>
                          <w:rPr>
                            <w:w w:val="99"/>
                            <w:sz w:val="20"/>
                          </w:rPr>
                          <w:t>O</w:t>
                        </w:r>
                      </w:p>
                    </w:tc>
                    <w:tc>
                      <w:tcPr>
                        <w:tcW w:w="1349" w:type="dxa"/>
                      </w:tcPr>
                      <w:p>
                        <w:pPr>
                          <w:pStyle w:val="TableParagraph"/>
                          <w:spacing w:line="227" w:lineRule="exact"/>
                          <w:ind w:left="100" w:right="96"/>
                          <w:rPr>
                            <w:sz w:val="20"/>
                          </w:rPr>
                        </w:pPr>
                        <w:r>
                          <w:rPr>
                            <w:sz w:val="20"/>
                          </w:rPr>
                          <w:t>33.52</w:t>
                        </w:r>
                      </w:p>
                    </w:tc>
                    <w:tc>
                      <w:tcPr>
                        <w:tcW w:w="1440" w:type="dxa"/>
                      </w:tcPr>
                      <w:p>
                        <w:pPr>
                          <w:pStyle w:val="TableParagraph"/>
                          <w:spacing w:line="227" w:lineRule="exact"/>
                          <w:ind w:left="103" w:right="117"/>
                          <w:rPr>
                            <w:sz w:val="20"/>
                          </w:rPr>
                        </w:pPr>
                        <w:r>
                          <w:rPr>
                            <w:sz w:val="20"/>
                          </w:rPr>
                          <w:t>31.60</w:t>
                        </w:r>
                      </w:p>
                    </w:tc>
                  </w:tr>
                  <w:tr>
                    <w:trPr>
                      <w:trHeight w:val="240" w:hRule="exact"/>
                    </w:trPr>
                    <w:tc>
                      <w:tcPr>
                        <w:tcW w:w="1640" w:type="dxa"/>
                      </w:tcPr>
                      <w:p>
                        <w:pPr>
                          <w:pStyle w:val="TableParagraph"/>
                          <w:spacing w:line="227" w:lineRule="exact"/>
                          <w:ind w:left="103"/>
                          <w:rPr>
                            <w:sz w:val="20"/>
                          </w:rPr>
                        </w:pPr>
                        <w:r>
                          <w:rPr>
                            <w:w w:val="99"/>
                            <w:sz w:val="20"/>
                          </w:rPr>
                          <w:t>P</w:t>
                        </w:r>
                      </w:p>
                    </w:tc>
                    <w:tc>
                      <w:tcPr>
                        <w:tcW w:w="1349" w:type="dxa"/>
                      </w:tcPr>
                      <w:p>
                        <w:pPr>
                          <w:pStyle w:val="TableParagraph"/>
                          <w:spacing w:line="227" w:lineRule="exact"/>
                          <w:ind w:left="100" w:right="96"/>
                          <w:rPr>
                            <w:sz w:val="20"/>
                          </w:rPr>
                        </w:pPr>
                        <w:r>
                          <w:rPr>
                            <w:sz w:val="20"/>
                          </w:rPr>
                          <w:t>6.16</w:t>
                        </w:r>
                      </w:p>
                    </w:tc>
                    <w:tc>
                      <w:tcPr>
                        <w:tcW w:w="1440" w:type="dxa"/>
                      </w:tcPr>
                      <w:p>
                        <w:pPr>
                          <w:pStyle w:val="TableParagraph"/>
                          <w:spacing w:line="227" w:lineRule="exact"/>
                          <w:ind w:left="103" w:right="117"/>
                          <w:rPr>
                            <w:sz w:val="20"/>
                          </w:rPr>
                        </w:pPr>
                        <w:r>
                          <w:rPr>
                            <w:sz w:val="20"/>
                          </w:rPr>
                          <w:t>3.72</w:t>
                        </w:r>
                      </w:p>
                    </w:tc>
                  </w:tr>
                  <w:tr>
                    <w:trPr>
                      <w:trHeight w:val="240" w:hRule="exact"/>
                    </w:trPr>
                    <w:tc>
                      <w:tcPr>
                        <w:tcW w:w="1640" w:type="dxa"/>
                      </w:tcPr>
                      <w:p>
                        <w:pPr>
                          <w:pStyle w:val="TableParagraph"/>
                          <w:spacing w:line="227" w:lineRule="exact"/>
                          <w:ind w:left="103" w:right="117"/>
                          <w:rPr>
                            <w:sz w:val="20"/>
                          </w:rPr>
                        </w:pPr>
                        <w:r>
                          <w:rPr>
                            <w:sz w:val="20"/>
                          </w:rPr>
                          <w:t>Ca</w:t>
                        </w:r>
                      </w:p>
                    </w:tc>
                    <w:tc>
                      <w:tcPr>
                        <w:tcW w:w="1349" w:type="dxa"/>
                      </w:tcPr>
                      <w:p>
                        <w:pPr>
                          <w:pStyle w:val="TableParagraph"/>
                          <w:spacing w:line="227" w:lineRule="exact"/>
                          <w:ind w:left="100" w:right="96"/>
                          <w:rPr>
                            <w:sz w:val="20"/>
                          </w:rPr>
                        </w:pPr>
                        <w:r>
                          <w:rPr>
                            <w:sz w:val="20"/>
                          </w:rPr>
                          <w:t>12.99</w:t>
                        </w:r>
                      </w:p>
                    </w:tc>
                    <w:tc>
                      <w:tcPr>
                        <w:tcW w:w="1440" w:type="dxa"/>
                      </w:tcPr>
                      <w:p>
                        <w:pPr>
                          <w:pStyle w:val="TableParagraph"/>
                          <w:spacing w:line="227" w:lineRule="exact"/>
                          <w:ind w:left="103" w:right="117"/>
                          <w:rPr>
                            <w:sz w:val="20"/>
                          </w:rPr>
                        </w:pPr>
                        <w:r>
                          <w:rPr>
                            <w:sz w:val="20"/>
                          </w:rPr>
                          <w:t>4.98</w:t>
                        </w:r>
                      </w:p>
                    </w:tc>
                  </w:tr>
                  <w:tr>
                    <w:trPr>
                      <w:trHeight w:val="240" w:hRule="exact"/>
                    </w:trPr>
                    <w:tc>
                      <w:tcPr>
                        <w:tcW w:w="1640" w:type="dxa"/>
                      </w:tcPr>
                      <w:p>
                        <w:pPr>
                          <w:pStyle w:val="TableParagraph"/>
                          <w:spacing w:line="227" w:lineRule="exact"/>
                          <w:ind w:left="103" w:right="117"/>
                          <w:rPr>
                            <w:sz w:val="20"/>
                          </w:rPr>
                        </w:pPr>
                        <w:r>
                          <w:rPr>
                            <w:sz w:val="20"/>
                          </w:rPr>
                          <w:t>Ag</w:t>
                        </w:r>
                      </w:p>
                    </w:tc>
                    <w:tc>
                      <w:tcPr>
                        <w:tcW w:w="1349" w:type="dxa"/>
                      </w:tcPr>
                      <w:p>
                        <w:pPr>
                          <w:pStyle w:val="TableParagraph"/>
                          <w:spacing w:line="227" w:lineRule="exact"/>
                          <w:ind w:left="100" w:right="96"/>
                          <w:rPr>
                            <w:sz w:val="20"/>
                          </w:rPr>
                        </w:pPr>
                        <w:r>
                          <w:rPr>
                            <w:sz w:val="20"/>
                          </w:rPr>
                          <w:t>4.13</w:t>
                        </w:r>
                      </w:p>
                    </w:tc>
                    <w:tc>
                      <w:tcPr>
                        <w:tcW w:w="1440" w:type="dxa"/>
                      </w:tcPr>
                      <w:p>
                        <w:pPr>
                          <w:pStyle w:val="TableParagraph"/>
                          <w:spacing w:line="227" w:lineRule="exact"/>
                          <w:ind w:left="103" w:right="117"/>
                          <w:rPr>
                            <w:sz w:val="20"/>
                          </w:rPr>
                        </w:pPr>
                        <w:r>
                          <w:rPr>
                            <w:sz w:val="20"/>
                          </w:rPr>
                          <w:t>0.52</w:t>
                        </w:r>
                      </w:p>
                    </w:tc>
                  </w:tr>
                  <w:tr>
                    <w:trPr>
                      <w:trHeight w:val="240" w:hRule="exact"/>
                    </w:trPr>
                    <w:tc>
                      <w:tcPr>
                        <w:tcW w:w="1640" w:type="dxa"/>
                      </w:tcPr>
                      <w:p>
                        <w:pPr>
                          <w:pStyle w:val="TableParagraph"/>
                          <w:spacing w:line="227" w:lineRule="exact"/>
                          <w:ind w:left="103" w:right="117"/>
                          <w:rPr>
                            <w:sz w:val="20"/>
                          </w:rPr>
                        </w:pPr>
                        <w:r>
                          <w:rPr>
                            <w:sz w:val="20"/>
                          </w:rPr>
                          <w:t>TOTAL</w:t>
                        </w:r>
                      </w:p>
                    </w:tc>
                    <w:tc>
                      <w:tcPr>
                        <w:tcW w:w="1349" w:type="dxa"/>
                      </w:tcPr>
                      <w:p>
                        <w:pPr>
                          <w:pStyle w:val="TableParagraph"/>
                          <w:spacing w:line="227" w:lineRule="exact"/>
                          <w:ind w:left="100" w:right="96"/>
                          <w:rPr>
                            <w:sz w:val="20"/>
                          </w:rPr>
                        </w:pPr>
                        <w:r>
                          <w:rPr>
                            <w:sz w:val="20"/>
                          </w:rPr>
                          <w:t>100</w:t>
                        </w:r>
                      </w:p>
                    </w:tc>
                    <w:tc>
                      <w:tcPr>
                        <w:tcW w:w="1440" w:type="dxa"/>
                      </w:tcPr>
                      <w:p>
                        <w:pPr>
                          <w:pStyle w:val="TableParagraph"/>
                          <w:spacing w:line="227" w:lineRule="exact"/>
                          <w:ind w:left="103" w:right="117"/>
                          <w:rPr>
                            <w:sz w:val="20"/>
                          </w:rPr>
                        </w:pPr>
                        <w:r>
                          <w:rPr>
                            <w:sz w:val="20"/>
                          </w:rPr>
                          <w:t>100</w:t>
                        </w:r>
                      </w:p>
                    </w:tc>
                  </w:tr>
                </w:tbl>
                <w:p>
                  <w:pPr>
                    <w:pStyle w:val="BodyText"/>
                  </w:pPr>
                </w:p>
              </w:txbxContent>
            </v:textbox>
            <w10:wrap type="topAndBottom"/>
          </v:shape>
        </w:pict>
      </w:r>
      <w:r>
        <w:rPr/>
        <w:pict>
          <v:shape style="position:absolute;margin-left:66.384003pt;margin-top:266.916077pt;width:222.15pt;height:96.0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9"/>
                    <w:gridCol w:w="1349"/>
                    <w:gridCol w:w="1440"/>
                  </w:tblGrid>
                  <w:tr>
                    <w:trPr>
                      <w:trHeight w:val="470" w:hRule="exact"/>
                    </w:trPr>
                    <w:tc>
                      <w:tcPr>
                        <w:tcW w:w="1639" w:type="dxa"/>
                      </w:tcPr>
                      <w:p>
                        <w:pPr>
                          <w:pStyle w:val="TableParagraph"/>
                          <w:ind w:left="103" w:right="150"/>
                          <w:rPr>
                            <w:sz w:val="20"/>
                          </w:rPr>
                        </w:pPr>
                        <w:r>
                          <w:rPr>
                            <w:sz w:val="20"/>
                          </w:rPr>
                          <w:t>Segundo molar inferior der</w:t>
                        </w:r>
                      </w:p>
                    </w:tc>
                    <w:tc>
                      <w:tcPr>
                        <w:tcW w:w="1349" w:type="dxa"/>
                      </w:tcPr>
                      <w:p>
                        <w:pPr>
                          <w:pStyle w:val="TableParagraph"/>
                          <w:ind w:left="100" w:right="96"/>
                          <w:rPr>
                            <w:sz w:val="20"/>
                          </w:rPr>
                        </w:pPr>
                        <w:r>
                          <w:rPr>
                            <w:sz w:val="20"/>
                          </w:rPr>
                          <w:t>Porciento en peso total</w:t>
                        </w:r>
                      </w:p>
                    </w:tc>
                    <w:tc>
                      <w:tcPr>
                        <w:tcW w:w="1440" w:type="dxa"/>
                      </w:tcPr>
                      <w:p>
                        <w:pPr>
                          <w:pStyle w:val="TableParagraph"/>
                          <w:ind w:left="103" w:right="117"/>
                          <w:rPr>
                            <w:sz w:val="20"/>
                          </w:rPr>
                        </w:pPr>
                        <w:r>
                          <w:rPr>
                            <w:sz w:val="20"/>
                          </w:rPr>
                          <w:t>Porciento en peso atómico</w:t>
                        </w:r>
                      </w:p>
                    </w:tc>
                  </w:tr>
                  <w:tr>
                    <w:trPr>
                      <w:trHeight w:val="240" w:hRule="exact"/>
                    </w:trPr>
                    <w:tc>
                      <w:tcPr>
                        <w:tcW w:w="1639" w:type="dxa"/>
                      </w:tcPr>
                      <w:p>
                        <w:pPr>
                          <w:pStyle w:val="TableParagraph"/>
                          <w:spacing w:line="227" w:lineRule="exact"/>
                          <w:ind w:left="103"/>
                          <w:rPr>
                            <w:sz w:val="20"/>
                          </w:rPr>
                        </w:pPr>
                        <w:r>
                          <w:rPr>
                            <w:w w:val="99"/>
                            <w:sz w:val="20"/>
                          </w:rPr>
                          <w:t>C</w:t>
                        </w:r>
                      </w:p>
                    </w:tc>
                    <w:tc>
                      <w:tcPr>
                        <w:tcW w:w="1349" w:type="dxa"/>
                      </w:tcPr>
                      <w:p>
                        <w:pPr>
                          <w:pStyle w:val="TableParagraph"/>
                          <w:spacing w:line="227" w:lineRule="exact"/>
                          <w:ind w:left="100" w:right="96"/>
                          <w:rPr>
                            <w:sz w:val="20"/>
                          </w:rPr>
                        </w:pPr>
                        <w:r>
                          <w:rPr>
                            <w:sz w:val="20"/>
                          </w:rPr>
                          <w:t>44.10</w:t>
                        </w:r>
                      </w:p>
                    </w:tc>
                    <w:tc>
                      <w:tcPr>
                        <w:tcW w:w="1440" w:type="dxa"/>
                      </w:tcPr>
                      <w:p>
                        <w:pPr>
                          <w:pStyle w:val="TableParagraph"/>
                          <w:spacing w:line="227" w:lineRule="exact"/>
                          <w:ind w:left="103" w:right="117"/>
                          <w:rPr>
                            <w:sz w:val="20"/>
                          </w:rPr>
                        </w:pPr>
                        <w:r>
                          <w:rPr>
                            <w:sz w:val="20"/>
                          </w:rPr>
                          <w:t>59.13</w:t>
                        </w:r>
                      </w:p>
                    </w:tc>
                  </w:tr>
                  <w:tr>
                    <w:trPr>
                      <w:trHeight w:val="240" w:hRule="exact"/>
                    </w:trPr>
                    <w:tc>
                      <w:tcPr>
                        <w:tcW w:w="1639" w:type="dxa"/>
                      </w:tcPr>
                      <w:p>
                        <w:pPr>
                          <w:pStyle w:val="TableParagraph"/>
                          <w:spacing w:line="227" w:lineRule="exact"/>
                          <w:ind w:left="103"/>
                          <w:rPr>
                            <w:sz w:val="20"/>
                          </w:rPr>
                        </w:pPr>
                        <w:r>
                          <w:rPr>
                            <w:w w:val="99"/>
                            <w:sz w:val="20"/>
                          </w:rPr>
                          <w:t>O</w:t>
                        </w:r>
                      </w:p>
                    </w:tc>
                    <w:tc>
                      <w:tcPr>
                        <w:tcW w:w="1349" w:type="dxa"/>
                      </w:tcPr>
                      <w:p>
                        <w:pPr>
                          <w:pStyle w:val="TableParagraph"/>
                          <w:spacing w:line="227" w:lineRule="exact"/>
                          <w:ind w:left="100" w:right="96"/>
                          <w:rPr>
                            <w:sz w:val="20"/>
                          </w:rPr>
                        </w:pPr>
                        <w:r>
                          <w:rPr>
                            <w:sz w:val="20"/>
                          </w:rPr>
                          <w:t>30.98</w:t>
                        </w:r>
                      </w:p>
                    </w:tc>
                    <w:tc>
                      <w:tcPr>
                        <w:tcW w:w="1440" w:type="dxa"/>
                      </w:tcPr>
                      <w:p>
                        <w:pPr>
                          <w:pStyle w:val="TableParagraph"/>
                          <w:spacing w:line="227" w:lineRule="exact"/>
                          <w:ind w:left="103" w:right="117"/>
                          <w:rPr>
                            <w:sz w:val="20"/>
                          </w:rPr>
                        </w:pPr>
                        <w:r>
                          <w:rPr>
                            <w:sz w:val="20"/>
                          </w:rPr>
                          <w:t>31.51</w:t>
                        </w:r>
                      </w:p>
                    </w:tc>
                  </w:tr>
                  <w:tr>
                    <w:trPr>
                      <w:trHeight w:val="240" w:hRule="exact"/>
                    </w:trPr>
                    <w:tc>
                      <w:tcPr>
                        <w:tcW w:w="1639" w:type="dxa"/>
                      </w:tcPr>
                      <w:p>
                        <w:pPr>
                          <w:pStyle w:val="TableParagraph"/>
                          <w:spacing w:line="227" w:lineRule="exact"/>
                          <w:ind w:left="103"/>
                          <w:rPr>
                            <w:sz w:val="20"/>
                          </w:rPr>
                        </w:pPr>
                        <w:r>
                          <w:rPr>
                            <w:w w:val="99"/>
                            <w:sz w:val="20"/>
                          </w:rPr>
                          <w:t>P</w:t>
                        </w:r>
                      </w:p>
                    </w:tc>
                    <w:tc>
                      <w:tcPr>
                        <w:tcW w:w="1349" w:type="dxa"/>
                      </w:tcPr>
                      <w:p>
                        <w:pPr>
                          <w:pStyle w:val="TableParagraph"/>
                          <w:spacing w:line="227" w:lineRule="exact"/>
                          <w:ind w:left="100" w:right="96"/>
                          <w:rPr>
                            <w:sz w:val="20"/>
                          </w:rPr>
                        </w:pPr>
                        <w:r>
                          <w:rPr>
                            <w:sz w:val="20"/>
                          </w:rPr>
                          <w:t>6.99</w:t>
                        </w:r>
                      </w:p>
                    </w:tc>
                    <w:tc>
                      <w:tcPr>
                        <w:tcW w:w="1440" w:type="dxa"/>
                      </w:tcPr>
                      <w:p>
                        <w:pPr>
                          <w:pStyle w:val="TableParagraph"/>
                          <w:spacing w:line="227" w:lineRule="exact"/>
                          <w:ind w:left="103" w:right="117"/>
                          <w:rPr>
                            <w:sz w:val="20"/>
                          </w:rPr>
                        </w:pPr>
                        <w:r>
                          <w:rPr>
                            <w:sz w:val="20"/>
                          </w:rPr>
                          <w:t>3.68</w:t>
                        </w:r>
                      </w:p>
                    </w:tc>
                  </w:tr>
                  <w:tr>
                    <w:trPr>
                      <w:trHeight w:val="240" w:hRule="exact"/>
                    </w:trPr>
                    <w:tc>
                      <w:tcPr>
                        <w:tcW w:w="1639" w:type="dxa"/>
                      </w:tcPr>
                      <w:p>
                        <w:pPr>
                          <w:pStyle w:val="TableParagraph"/>
                          <w:spacing w:line="227" w:lineRule="exact"/>
                          <w:ind w:left="103" w:right="150"/>
                          <w:rPr>
                            <w:sz w:val="20"/>
                          </w:rPr>
                        </w:pPr>
                        <w:r>
                          <w:rPr>
                            <w:sz w:val="20"/>
                          </w:rPr>
                          <w:t>Ca</w:t>
                        </w:r>
                      </w:p>
                    </w:tc>
                    <w:tc>
                      <w:tcPr>
                        <w:tcW w:w="1349" w:type="dxa"/>
                      </w:tcPr>
                      <w:p>
                        <w:pPr>
                          <w:pStyle w:val="TableParagraph"/>
                          <w:spacing w:line="227" w:lineRule="exact"/>
                          <w:ind w:left="100" w:right="96"/>
                          <w:rPr>
                            <w:sz w:val="20"/>
                          </w:rPr>
                        </w:pPr>
                        <w:r>
                          <w:rPr>
                            <w:sz w:val="20"/>
                          </w:rPr>
                          <w:t>12.38</w:t>
                        </w:r>
                      </w:p>
                    </w:tc>
                    <w:tc>
                      <w:tcPr>
                        <w:tcW w:w="1440" w:type="dxa"/>
                      </w:tcPr>
                      <w:p>
                        <w:pPr>
                          <w:pStyle w:val="TableParagraph"/>
                          <w:spacing w:line="227" w:lineRule="exact"/>
                          <w:ind w:left="103" w:right="117"/>
                          <w:rPr>
                            <w:sz w:val="20"/>
                          </w:rPr>
                        </w:pPr>
                        <w:r>
                          <w:rPr>
                            <w:sz w:val="20"/>
                          </w:rPr>
                          <w:t>4.71</w:t>
                        </w:r>
                      </w:p>
                    </w:tc>
                  </w:tr>
                  <w:tr>
                    <w:trPr>
                      <w:trHeight w:val="240" w:hRule="exact"/>
                    </w:trPr>
                    <w:tc>
                      <w:tcPr>
                        <w:tcW w:w="1639" w:type="dxa"/>
                      </w:tcPr>
                      <w:p>
                        <w:pPr>
                          <w:pStyle w:val="TableParagraph"/>
                          <w:spacing w:line="227" w:lineRule="exact"/>
                          <w:ind w:left="103" w:right="150"/>
                          <w:rPr>
                            <w:sz w:val="20"/>
                          </w:rPr>
                        </w:pPr>
                        <w:r>
                          <w:rPr>
                            <w:sz w:val="20"/>
                          </w:rPr>
                          <w:t>Ag</w:t>
                        </w:r>
                      </w:p>
                    </w:tc>
                    <w:tc>
                      <w:tcPr>
                        <w:tcW w:w="1349" w:type="dxa"/>
                      </w:tcPr>
                      <w:p>
                        <w:pPr>
                          <w:pStyle w:val="TableParagraph"/>
                          <w:spacing w:line="227" w:lineRule="exact"/>
                          <w:ind w:left="100" w:right="96"/>
                          <w:rPr>
                            <w:sz w:val="20"/>
                          </w:rPr>
                        </w:pPr>
                        <w:r>
                          <w:rPr>
                            <w:sz w:val="20"/>
                          </w:rPr>
                          <w:t>5.55</w:t>
                        </w:r>
                      </w:p>
                    </w:tc>
                    <w:tc>
                      <w:tcPr>
                        <w:tcW w:w="1440" w:type="dxa"/>
                      </w:tcPr>
                      <w:p>
                        <w:pPr>
                          <w:pStyle w:val="TableParagraph"/>
                          <w:spacing w:line="227" w:lineRule="exact"/>
                          <w:ind w:left="103" w:right="117"/>
                          <w:rPr>
                            <w:sz w:val="20"/>
                          </w:rPr>
                        </w:pPr>
                        <w:r>
                          <w:rPr>
                            <w:sz w:val="20"/>
                          </w:rPr>
                          <w:t>0.97</w:t>
                        </w:r>
                      </w:p>
                    </w:tc>
                  </w:tr>
                  <w:tr>
                    <w:trPr>
                      <w:trHeight w:val="240" w:hRule="exact"/>
                    </w:trPr>
                    <w:tc>
                      <w:tcPr>
                        <w:tcW w:w="1639" w:type="dxa"/>
                      </w:tcPr>
                      <w:p>
                        <w:pPr>
                          <w:pStyle w:val="TableParagraph"/>
                          <w:spacing w:line="227" w:lineRule="exact"/>
                          <w:ind w:left="103" w:right="150"/>
                          <w:rPr>
                            <w:sz w:val="20"/>
                          </w:rPr>
                        </w:pPr>
                        <w:r>
                          <w:rPr>
                            <w:sz w:val="20"/>
                          </w:rPr>
                          <w:t>TOTAL</w:t>
                        </w:r>
                      </w:p>
                    </w:tc>
                    <w:tc>
                      <w:tcPr>
                        <w:tcW w:w="1349" w:type="dxa"/>
                      </w:tcPr>
                      <w:p>
                        <w:pPr>
                          <w:pStyle w:val="TableParagraph"/>
                          <w:spacing w:line="227" w:lineRule="exact"/>
                          <w:ind w:left="100" w:right="96"/>
                          <w:rPr>
                            <w:sz w:val="20"/>
                          </w:rPr>
                        </w:pPr>
                        <w:r>
                          <w:rPr>
                            <w:sz w:val="20"/>
                          </w:rPr>
                          <w:t>100</w:t>
                        </w:r>
                      </w:p>
                    </w:tc>
                    <w:tc>
                      <w:tcPr>
                        <w:tcW w:w="1440" w:type="dxa"/>
                      </w:tcPr>
                      <w:p>
                        <w:pPr>
                          <w:pStyle w:val="TableParagraph"/>
                          <w:spacing w:line="227" w:lineRule="exact"/>
                          <w:ind w:left="103" w:right="117"/>
                          <w:rPr>
                            <w:sz w:val="20"/>
                          </w:rPr>
                        </w:pPr>
                        <w:r>
                          <w:rPr>
                            <w:sz w:val="20"/>
                          </w:rPr>
                          <w:t>100</w:t>
                        </w:r>
                      </w:p>
                    </w:tc>
                  </w:tr>
                </w:tbl>
                <w:p>
                  <w:pPr>
                    <w:pStyle w:val="BodyText"/>
                  </w:pPr>
                </w:p>
              </w:txbxContent>
            </v:textbox>
            <w10:wrap type="topAndBottom"/>
          </v:shape>
        </w:pict>
      </w:r>
      <w:r>
        <w:rPr/>
        <w:pict>
          <v:shape style="position:absolute;margin-left:323.809998pt;margin-top:262.716095pt;width:222.2pt;height:96.0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0"/>
                    <w:gridCol w:w="1349"/>
                    <w:gridCol w:w="1440"/>
                  </w:tblGrid>
                  <w:tr>
                    <w:trPr>
                      <w:trHeight w:val="470" w:hRule="exact"/>
                    </w:trPr>
                    <w:tc>
                      <w:tcPr>
                        <w:tcW w:w="1640" w:type="dxa"/>
                      </w:tcPr>
                      <w:p>
                        <w:pPr>
                          <w:pStyle w:val="TableParagraph"/>
                          <w:ind w:left="103" w:right="362"/>
                          <w:rPr>
                            <w:sz w:val="20"/>
                          </w:rPr>
                        </w:pPr>
                        <w:r>
                          <w:rPr>
                            <w:sz w:val="20"/>
                          </w:rPr>
                          <w:t>Primer molar superior izq</w:t>
                        </w:r>
                      </w:p>
                    </w:tc>
                    <w:tc>
                      <w:tcPr>
                        <w:tcW w:w="1349" w:type="dxa"/>
                      </w:tcPr>
                      <w:p>
                        <w:pPr>
                          <w:pStyle w:val="TableParagraph"/>
                          <w:ind w:left="100" w:right="96"/>
                          <w:rPr>
                            <w:sz w:val="20"/>
                          </w:rPr>
                        </w:pPr>
                        <w:r>
                          <w:rPr>
                            <w:sz w:val="20"/>
                          </w:rPr>
                          <w:t>Porciento en peso total</w:t>
                        </w:r>
                      </w:p>
                    </w:tc>
                    <w:tc>
                      <w:tcPr>
                        <w:tcW w:w="1440" w:type="dxa"/>
                      </w:tcPr>
                      <w:p>
                        <w:pPr>
                          <w:pStyle w:val="TableParagraph"/>
                          <w:ind w:left="103" w:right="117"/>
                          <w:rPr>
                            <w:sz w:val="20"/>
                          </w:rPr>
                        </w:pPr>
                        <w:r>
                          <w:rPr>
                            <w:sz w:val="20"/>
                          </w:rPr>
                          <w:t>Porciento en peso atómico</w:t>
                        </w:r>
                      </w:p>
                    </w:tc>
                  </w:tr>
                  <w:tr>
                    <w:trPr>
                      <w:trHeight w:val="240" w:hRule="exact"/>
                    </w:trPr>
                    <w:tc>
                      <w:tcPr>
                        <w:tcW w:w="1640" w:type="dxa"/>
                      </w:tcPr>
                      <w:p>
                        <w:pPr>
                          <w:pStyle w:val="TableParagraph"/>
                          <w:spacing w:line="227" w:lineRule="exact"/>
                          <w:ind w:left="103"/>
                          <w:rPr>
                            <w:sz w:val="20"/>
                          </w:rPr>
                        </w:pPr>
                        <w:r>
                          <w:rPr>
                            <w:w w:val="99"/>
                            <w:sz w:val="20"/>
                          </w:rPr>
                          <w:t>C</w:t>
                        </w:r>
                      </w:p>
                    </w:tc>
                    <w:tc>
                      <w:tcPr>
                        <w:tcW w:w="1349" w:type="dxa"/>
                      </w:tcPr>
                      <w:p>
                        <w:pPr>
                          <w:pStyle w:val="TableParagraph"/>
                          <w:spacing w:line="227" w:lineRule="exact"/>
                          <w:ind w:left="100" w:right="96"/>
                          <w:rPr>
                            <w:sz w:val="20"/>
                          </w:rPr>
                        </w:pPr>
                        <w:r>
                          <w:rPr>
                            <w:sz w:val="20"/>
                          </w:rPr>
                          <w:t>43.53</w:t>
                        </w:r>
                      </w:p>
                    </w:tc>
                    <w:tc>
                      <w:tcPr>
                        <w:tcW w:w="1440" w:type="dxa"/>
                      </w:tcPr>
                      <w:p>
                        <w:pPr>
                          <w:pStyle w:val="TableParagraph"/>
                          <w:spacing w:line="227" w:lineRule="exact"/>
                          <w:ind w:left="103" w:right="117"/>
                          <w:rPr>
                            <w:sz w:val="20"/>
                          </w:rPr>
                        </w:pPr>
                        <w:r>
                          <w:rPr>
                            <w:sz w:val="20"/>
                          </w:rPr>
                          <w:t>59.05</w:t>
                        </w:r>
                      </w:p>
                    </w:tc>
                  </w:tr>
                  <w:tr>
                    <w:trPr>
                      <w:trHeight w:val="240" w:hRule="exact"/>
                    </w:trPr>
                    <w:tc>
                      <w:tcPr>
                        <w:tcW w:w="1640" w:type="dxa"/>
                      </w:tcPr>
                      <w:p>
                        <w:pPr>
                          <w:pStyle w:val="TableParagraph"/>
                          <w:spacing w:line="228" w:lineRule="exact"/>
                          <w:ind w:left="103"/>
                          <w:rPr>
                            <w:sz w:val="20"/>
                          </w:rPr>
                        </w:pPr>
                        <w:r>
                          <w:rPr>
                            <w:w w:val="99"/>
                            <w:sz w:val="20"/>
                          </w:rPr>
                          <w:t>O</w:t>
                        </w:r>
                      </w:p>
                    </w:tc>
                    <w:tc>
                      <w:tcPr>
                        <w:tcW w:w="1349" w:type="dxa"/>
                      </w:tcPr>
                      <w:p>
                        <w:pPr>
                          <w:pStyle w:val="TableParagraph"/>
                          <w:spacing w:line="228" w:lineRule="exact"/>
                          <w:ind w:left="100" w:right="96"/>
                          <w:rPr>
                            <w:sz w:val="20"/>
                          </w:rPr>
                        </w:pPr>
                        <w:r>
                          <w:rPr>
                            <w:sz w:val="20"/>
                          </w:rPr>
                          <w:t>32.01</w:t>
                        </w:r>
                      </w:p>
                    </w:tc>
                    <w:tc>
                      <w:tcPr>
                        <w:tcW w:w="1440" w:type="dxa"/>
                      </w:tcPr>
                      <w:p>
                        <w:pPr>
                          <w:pStyle w:val="TableParagraph"/>
                          <w:spacing w:line="228" w:lineRule="exact"/>
                          <w:ind w:left="103" w:right="117"/>
                          <w:rPr>
                            <w:sz w:val="20"/>
                          </w:rPr>
                        </w:pPr>
                        <w:r>
                          <w:rPr>
                            <w:sz w:val="20"/>
                          </w:rPr>
                          <w:t>31.77</w:t>
                        </w:r>
                      </w:p>
                    </w:tc>
                  </w:tr>
                  <w:tr>
                    <w:trPr>
                      <w:trHeight w:val="240" w:hRule="exact"/>
                    </w:trPr>
                    <w:tc>
                      <w:tcPr>
                        <w:tcW w:w="1640" w:type="dxa"/>
                      </w:tcPr>
                      <w:p>
                        <w:pPr>
                          <w:pStyle w:val="TableParagraph"/>
                          <w:spacing w:line="227" w:lineRule="exact"/>
                          <w:ind w:left="103"/>
                          <w:rPr>
                            <w:sz w:val="20"/>
                          </w:rPr>
                        </w:pPr>
                        <w:r>
                          <w:rPr>
                            <w:w w:val="99"/>
                            <w:sz w:val="20"/>
                          </w:rPr>
                          <w:t>P</w:t>
                        </w:r>
                      </w:p>
                    </w:tc>
                    <w:tc>
                      <w:tcPr>
                        <w:tcW w:w="1349" w:type="dxa"/>
                      </w:tcPr>
                      <w:p>
                        <w:pPr>
                          <w:pStyle w:val="TableParagraph"/>
                          <w:spacing w:line="227" w:lineRule="exact"/>
                          <w:ind w:left="100" w:right="96"/>
                          <w:rPr>
                            <w:sz w:val="20"/>
                          </w:rPr>
                        </w:pPr>
                        <w:r>
                          <w:rPr>
                            <w:sz w:val="20"/>
                          </w:rPr>
                          <w:t>5.80</w:t>
                        </w:r>
                      </w:p>
                    </w:tc>
                    <w:tc>
                      <w:tcPr>
                        <w:tcW w:w="1440" w:type="dxa"/>
                      </w:tcPr>
                      <w:p>
                        <w:pPr>
                          <w:pStyle w:val="TableParagraph"/>
                          <w:spacing w:line="227" w:lineRule="exact"/>
                          <w:ind w:left="103" w:right="117"/>
                          <w:rPr>
                            <w:sz w:val="20"/>
                          </w:rPr>
                        </w:pPr>
                        <w:r>
                          <w:rPr>
                            <w:sz w:val="20"/>
                          </w:rPr>
                          <w:t>3.62</w:t>
                        </w:r>
                      </w:p>
                    </w:tc>
                  </w:tr>
                  <w:tr>
                    <w:trPr>
                      <w:trHeight w:val="240" w:hRule="exact"/>
                    </w:trPr>
                    <w:tc>
                      <w:tcPr>
                        <w:tcW w:w="1640" w:type="dxa"/>
                      </w:tcPr>
                      <w:p>
                        <w:pPr>
                          <w:pStyle w:val="TableParagraph"/>
                          <w:spacing w:line="227" w:lineRule="exact"/>
                          <w:ind w:left="103" w:right="117"/>
                          <w:rPr>
                            <w:sz w:val="20"/>
                          </w:rPr>
                        </w:pPr>
                        <w:r>
                          <w:rPr>
                            <w:sz w:val="20"/>
                          </w:rPr>
                          <w:t>Ca</w:t>
                        </w:r>
                      </w:p>
                    </w:tc>
                    <w:tc>
                      <w:tcPr>
                        <w:tcW w:w="1349" w:type="dxa"/>
                      </w:tcPr>
                      <w:p>
                        <w:pPr>
                          <w:pStyle w:val="TableParagraph"/>
                          <w:spacing w:line="227" w:lineRule="exact"/>
                          <w:ind w:left="100" w:right="96"/>
                          <w:rPr>
                            <w:sz w:val="20"/>
                          </w:rPr>
                        </w:pPr>
                        <w:r>
                          <w:rPr>
                            <w:sz w:val="20"/>
                          </w:rPr>
                          <w:t>12.55</w:t>
                        </w:r>
                      </w:p>
                    </w:tc>
                    <w:tc>
                      <w:tcPr>
                        <w:tcW w:w="1440" w:type="dxa"/>
                      </w:tcPr>
                      <w:p>
                        <w:pPr>
                          <w:pStyle w:val="TableParagraph"/>
                          <w:spacing w:line="227" w:lineRule="exact"/>
                          <w:ind w:left="103" w:right="117"/>
                          <w:rPr>
                            <w:sz w:val="20"/>
                          </w:rPr>
                        </w:pPr>
                        <w:r>
                          <w:rPr>
                            <w:sz w:val="20"/>
                          </w:rPr>
                          <w:t>4.32</w:t>
                        </w:r>
                      </w:p>
                    </w:tc>
                  </w:tr>
                  <w:tr>
                    <w:trPr>
                      <w:trHeight w:val="240" w:hRule="exact"/>
                    </w:trPr>
                    <w:tc>
                      <w:tcPr>
                        <w:tcW w:w="1640" w:type="dxa"/>
                      </w:tcPr>
                      <w:p>
                        <w:pPr>
                          <w:pStyle w:val="TableParagraph"/>
                          <w:spacing w:line="227" w:lineRule="exact"/>
                          <w:ind w:left="103" w:right="117"/>
                          <w:rPr>
                            <w:sz w:val="20"/>
                          </w:rPr>
                        </w:pPr>
                        <w:r>
                          <w:rPr>
                            <w:sz w:val="20"/>
                          </w:rPr>
                          <w:t>Ag</w:t>
                        </w:r>
                      </w:p>
                    </w:tc>
                    <w:tc>
                      <w:tcPr>
                        <w:tcW w:w="1349" w:type="dxa"/>
                      </w:tcPr>
                      <w:p>
                        <w:pPr>
                          <w:pStyle w:val="TableParagraph"/>
                          <w:spacing w:line="227" w:lineRule="exact"/>
                          <w:ind w:left="100" w:right="96"/>
                          <w:rPr>
                            <w:sz w:val="20"/>
                          </w:rPr>
                        </w:pPr>
                        <w:r>
                          <w:rPr>
                            <w:sz w:val="20"/>
                          </w:rPr>
                          <w:t>6.11</w:t>
                        </w:r>
                      </w:p>
                    </w:tc>
                    <w:tc>
                      <w:tcPr>
                        <w:tcW w:w="1440" w:type="dxa"/>
                      </w:tcPr>
                      <w:p>
                        <w:pPr>
                          <w:pStyle w:val="TableParagraph"/>
                          <w:spacing w:line="227" w:lineRule="exact"/>
                          <w:ind w:left="103" w:right="117"/>
                          <w:rPr>
                            <w:sz w:val="20"/>
                          </w:rPr>
                        </w:pPr>
                        <w:r>
                          <w:rPr>
                            <w:sz w:val="20"/>
                          </w:rPr>
                          <w:t>1.24</w:t>
                        </w:r>
                      </w:p>
                    </w:tc>
                  </w:tr>
                  <w:tr>
                    <w:trPr>
                      <w:trHeight w:val="240" w:hRule="exact"/>
                    </w:trPr>
                    <w:tc>
                      <w:tcPr>
                        <w:tcW w:w="1640" w:type="dxa"/>
                      </w:tcPr>
                      <w:p>
                        <w:pPr>
                          <w:pStyle w:val="TableParagraph"/>
                          <w:spacing w:line="227" w:lineRule="exact"/>
                          <w:ind w:left="103" w:right="117"/>
                          <w:rPr>
                            <w:sz w:val="20"/>
                          </w:rPr>
                        </w:pPr>
                        <w:r>
                          <w:rPr>
                            <w:sz w:val="20"/>
                          </w:rPr>
                          <w:t>TOTAL</w:t>
                        </w:r>
                      </w:p>
                    </w:tc>
                    <w:tc>
                      <w:tcPr>
                        <w:tcW w:w="1349" w:type="dxa"/>
                      </w:tcPr>
                      <w:p>
                        <w:pPr>
                          <w:pStyle w:val="TableParagraph"/>
                          <w:spacing w:line="227" w:lineRule="exact"/>
                          <w:ind w:left="100" w:right="96"/>
                          <w:rPr>
                            <w:sz w:val="20"/>
                          </w:rPr>
                        </w:pPr>
                        <w:r>
                          <w:rPr>
                            <w:sz w:val="20"/>
                          </w:rPr>
                          <w:t>100</w:t>
                        </w:r>
                      </w:p>
                    </w:tc>
                    <w:tc>
                      <w:tcPr>
                        <w:tcW w:w="1440" w:type="dxa"/>
                      </w:tcPr>
                      <w:p>
                        <w:pPr>
                          <w:pStyle w:val="TableParagraph"/>
                          <w:spacing w:line="227" w:lineRule="exact"/>
                          <w:ind w:left="103" w:right="117"/>
                          <w:rPr>
                            <w:sz w:val="20"/>
                          </w:rPr>
                        </w:pPr>
                        <w:r>
                          <w:rPr>
                            <w:sz w:val="20"/>
                          </w:rPr>
                          <w:t>100</w:t>
                        </w:r>
                      </w:p>
                    </w:tc>
                  </w:tr>
                </w:tbl>
                <w:p>
                  <w:pPr>
                    <w:pStyle w:val="BodyText"/>
                  </w:pPr>
                </w:p>
              </w:txbxContent>
            </v:textbox>
            <w10:wrap type="topAndBottom"/>
          </v:shape>
        </w:pict>
      </w:r>
      <w:r>
        <w:rPr/>
        <w:pict>
          <v:shape style="position:absolute;margin-left:66.384003pt;margin-top:386.216034pt;width:222.15pt;height:96.0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9"/>
                    <w:gridCol w:w="1349"/>
                    <w:gridCol w:w="1440"/>
                  </w:tblGrid>
                  <w:tr>
                    <w:trPr>
                      <w:trHeight w:val="470" w:hRule="exact"/>
                    </w:trPr>
                    <w:tc>
                      <w:tcPr>
                        <w:tcW w:w="1639" w:type="dxa"/>
                      </w:tcPr>
                      <w:p>
                        <w:pPr>
                          <w:pStyle w:val="TableParagraph"/>
                          <w:ind w:left="103" w:right="150"/>
                          <w:rPr>
                            <w:sz w:val="20"/>
                          </w:rPr>
                        </w:pPr>
                        <w:r>
                          <w:rPr>
                            <w:sz w:val="20"/>
                          </w:rPr>
                          <w:t>Segundo molar superior izq</w:t>
                        </w:r>
                      </w:p>
                    </w:tc>
                    <w:tc>
                      <w:tcPr>
                        <w:tcW w:w="1349" w:type="dxa"/>
                      </w:tcPr>
                      <w:p>
                        <w:pPr>
                          <w:pStyle w:val="TableParagraph"/>
                          <w:ind w:left="100" w:right="96"/>
                          <w:rPr>
                            <w:sz w:val="20"/>
                          </w:rPr>
                        </w:pPr>
                        <w:r>
                          <w:rPr>
                            <w:sz w:val="20"/>
                          </w:rPr>
                          <w:t>Porciento en peso total</w:t>
                        </w:r>
                      </w:p>
                    </w:tc>
                    <w:tc>
                      <w:tcPr>
                        <w:tcW w:w="1440" w:type="dxa"/>
                      </w:tcPr>
                      <w:p>
                        <w:pPr>
                          <w:pStyle w:val="TableParagraph"/>
                          <w:ind w:left="103" w:right="117"/>
                          <w:rPr>
                            <w:sz w:val="20"/>
                          </w:rPr>
                        </w:pPr>
                        <w:r>
                          <w:rPr>
                            <w:sz w:val="20"/>
                          </w:rPr>
                          <w:t>Porciento en peso atómico</w:t>
                        </w:r>
                      </w:p>
                    </w:tc>
                  </w:tr>
                  <w:tr>
                    <w:trPr>
                      <w:trHeight w:val="240" w:hRule="exact"/>
                    </w:trPr>
                    <w:tc>
                      <w:tcPr>
                        <w:tcW w:w="1639" w:type="dxa"/>
                      </w:tcPr>
                      <w:p>
                        <w:pPr>
                          <w:pStyle w:val="TableParagraph"/>
                          <w:spacing w:line="227" w:lineRule="exact"/>
                          <w:ind w:left="103"/>
                          <w:rPr>
                            <w:sz w:val="20"/>
                          </w:rPr>
                        </w:pPr>
                        <w:r>
                          <w:rPr>
                            <w:w w:val="99"/>
                            <w:sz w:val="20"/>
                          </w:rPr>
                          <w:t>C</w:t>
                        </w:r>
                      </w:p>
                    </w:tc>
                    <w:tc>
                      <w:tcPr>
                        <w:tcW w:w="1349" w:type="dxa"/>
                      </w:tcPr>
                      <w:p>
                        <w:pPr>
                          <w:pStyle w:val="TableParagraph"/>
                          <w:spacing w:line="227" w:lineRule="exact"/>
                          <w:ind w:left="100" w:right="96"/>
                          <w:rPr>
                            <w:sz w:val="20"/>
                          </w:rPr>
                        </w:pPr>
                        <w:r>
                          <w:rPr>
                            <w:sz w:val="20"/>
                          </w:rPr>
                          <w:t>42.37</w:t>
                        </w:r>
                      </w:p>
                    </w:tc>
                    <w:tc>
                      <w:tcPr>
                        <w:tcW w:w="1440" w:type="dxa"/>
                      </w:tcPr>
                      <w:p>
                        <w:pPr>
                          <w:pStyle w:val="TableParagraph"/>
                          <w:spacing w:line="227" w:lineRule="exact"/>
                          <w:ind w:left="103" w:right="117"/>
                          <w:rPr>
                            <w:sz w:val="20"/>
                          </w:rPr>
                        </w:pPr>
                        <w:r>
                          <w:rPr>
                            <w:sz w:val="20"/>
                          </w:rPr>
                          <w:t>59.08</w:t>
                        </w:r>
                      </w:p>
                    </w:tc>
                  </w:tr>
                  <w:tr>
                    <w:trPr>
                      <w:trHeight w:val="240" w:hRule="exact"/>
                    </w:trPr>
                    <w:tc>
                      <w:tcPr>
                        <w:tcW w:w="1639" w:type="dxa"/>
                      </w:tcPr>
                      <w:p>
                        <w:pPr>
                          <w:pStyle w:val="TableParagraph"/>
                          <w:spacing w:line="227" w:lineRule="exact"/>
                          <w:ind w:left="103"/>
                          <w:rPr>
                            <w:sz w:val="20"/>
                          </w:rPr>
                        </w:pPr>
                        <w:r>
                          <w:rPr>
                            <w:w w:val="99"/>
                            <w:sz w:val="20"/>
                          </w:rPr>
                          <w:t>O</w:t>
                        </w:r>
                      </w:p>
                    </w:tc>
                    <w:tc>
                      <w:tcPr>
                        <w:tcW w:w="1349" w:type="dxa"/>
                      </w:tcPr>
                      <w:p>
                        <w:pPr>
                          <w:pStyle w:val="TableParagraph"/>
                          <w:spacing w:line="227" w:lineRule="exact"/>
                          <w:ind w:left="100" w:right="96"/>
                          <w:rPr>
                            <w:sz w:val="20"/>
                          </w:rPr>
                        </w:pPr>
                        <w:r>
                          <w:rPr>
                            <w:sz w:val="20"/>
                          </w:rPr>
                          <w:t>31.90</w:t>
                        </w:r>
                      </w:p>
                    </w:tc>
                    <w:tc>
                      <w:tcPr>
                        <w:tcW w:w="1440" w:type="dxa"/>
                      </w:tcPr>
                      <w:p>
                        <w:pPr>
                          <w:pStyle w:val="TableParagraph"/>
                          <w:spacing w:line="227" w:lineRule="exact"/>
                          <w:ind w:left="103" w:right="117"/>
                          <w:rPr>
                            <w:sz w:val="20"/>
                          </w:rPr>
                        </w:pPr>
                        <w:r>
                          <w:rPr>
                            <w:sz w:val="20"/>
                          </w:rPr>
                          <w:t>31.82</w:t>
                        </w:r>
                      </w:p>
                    </w:tc>
                  </w:tr>
                  <w:tr>
                    <w:trPr>
                      <w:trHeight w:val="238" w:hRule="exact"/>
                    </w:trPr>
                    <w:tc>
                      <w:tcPr>
                        <w:tcW w:w="1639" w:type="dxa"/>
                      </w:tcPr>
                      <w:p>
                        <w:pPr>
                          <w:pStyle w:val="TableParagraph"/>
                          <w:spacing w:line="227" w:lineRule="exact"/>
                          <w:ind w:left="103"/>
                          <w:rPr>
                            <w:sz w:val="20"/>
                          </w:rPr>
                        </w:pPr>
                        <w:r>
                          <w:rPr>
                            <w:w w:val="99"/>
                            <w:sz w:val="20"/>
                          </w:rPr>
                          <w:t>P</w:t>
                        </w:r>
                      </w:p>
                    </w:tc>
                    <w:tc>
                      <w:tcPr>
                        <w:tcW w:w="1349" w:type="dxa"/>
                      </w:tcPr>
                      <w:p>
                        <w:pPr>
                          <w:pStyle w:val="TableParagraph"/>
                          <w:spacing w:line="227" w:lineRule="exact"/>
                          <w:ind w:left="100" w:right="96"/>
                          <w:rPr>
                            <w:sz w:val="20"/>
                          </w:rPr>
                        </w:pPr>
                        <w:r>
                          <w:rPr>
                            <w:sz w:val="20"/>
                          </w:rPr>
                          <w:t>6.71</w:t>
                        </w:r>
                      </w:p>
                    </w:tc>
                    <w:tc>
                      <w:tcPr>
                        <w:tcW w:w="1440" w:type="dxa"/>
                      </w:tcPr>
                      <w:p>
                        <w:pPr>
                          <w:pStyle w:val="TableParagraph"/>
                          <w:spacing w:line="227" w:lineRule="exact"/>
                          <w:ind w:left="103" w:right="117"/>
                          <w:rPr>
                            <w:sz w:val="20"/>
                          </w:rPr>
                        </w:pPr>
                        <w:r>
                          <w:rPr>
                            <w:sz w:val="20"/>
                          </w:rPr>
                          <w:t>3.42</w:t>
                        </w:r>
                      </w:p>
                    </w:tc>
                  </w:tr>
                  <w:tr>
                    <w:trPr>
                      <w:trHeight w:val="240" w:hRule="exact"/>
                    </w:trPr>
                    <w:tc>
                      <w:tcPr>
                        <w:tcW w:w="1639" w:type="dxa"/>
                      </w:tcPr>
                      <w:p>
                        <w:pPr>
                          <w:pStyle w:val="TableParagraph"/>
                          <w:spacing w:line="230" w:lineRule="exact"/>
                          <w:ind w:left="103" w:right="150"/>
                          <w:rPr>
                            <w:sz w:val="20"/>
                          </w:rPr>
                        </w:pPr>
                        <w:r>
                          <w:rPr>
                            <w:sz w:val="20"/>
                          </w:rPr>
                          <w:t>Ca</w:t>
                        </w:r>
                      </w:p>
                    </w:tc>
                    <w:tc>
                      <w:tcPr>
                        <w:tcW w:w="1349" w:type="dxa"/>
                      </w:tcPr>
                      <w:p>
                        <w:pPr>
                          <w:pStyle w:val="TableParagraph"/>
                          <w:spacing w:line="230" w:lineRule="exact"/>
                          <w:ind w:left="100" w:right="96"/>
                          <w:rPr>
                            <w:sz w:val="20"/>
                          </w:rPr>
                        </w:pPr>
                        <w:r>
                          <w:rPr>
                            <w:sz w:val="20"/>
                          </w:rPr>
                          <w:t>12.42</w:t>
                        </w:r>
                      </w:p>
                    </w:tc>
                    <w:tc>
                      <w:tcPr>
                        <w:tcW w:w="1440" w:type="dxa"/>
                      </w:tcPr>
                      <w:p>
                        <w:pPr>
                          <w:pStyle w:val="TableParagraph"/>
                          <w:spacing w:line="230" w:lineRule="exact"/>
                          <w:ind w:left="103" w:right="117"/>
                          <w:rPr>
                            <w:sz w:val="20"/>
                          </w:rPr>
                        </w:pPr>
                        <w:r>
                          <w:rPr>
                            <w:sz w:val="20"/>
                          </w:rPr>
                          <w:t>4.72</w:t>
                        </w:r>
                      </w:p>
                    </w:tc>
                  </w:tr>
                  <w:tr>
                    <w:trPr>
                      <w:trHeight w:val="240" w:hRule="exact"/>
                    </w:trPr>
                    <w:tc>
                      <w:tcPr>
                        <w:tcW w:w="1639" w:type="dxa"/>
                      </w:tcPr>
                      <w:p>
                        <w:pPr>
                          <w:pStyle w:val="TableParagraph"/>
                          <w:spacing w:line="230" w:lineRule="exact"/>
                          <w:ind w:left="103" w:right="150"/>
                          <w:rPr>
                            <w:sz w:val="20"/>
                          </w:rPr>
                        </w:pPr>
                        <w:r>
                          <w:rPr>
                            <w:sz w:val="20"/>
                          </w:rPr>
                          <w:t>Ag</w:t>
                        </w:r>
                      </w:p>
                    </w:tc>
                    <w:tc>
                      <w:tcPr>
                        <w:tcW w:w="1349" w:type="dxa"/>
                      </w:tcPr>
                      <w:p>
                        <w:pPr>
                          <w:pStyle w:val="TableParagraph"/>
                          <w:spacing w:line="230" w:lineRule="exact"/>
                          <w:ind w:left="100" w:right="96"/>
                          <w:rPr>
                            <w:sz w:val="20"/>
                          </w:rPr>
                        </w:pPr>
                        <w:r>
                          <w:rPr>
                            <w:sz w:val="20"/>
                          </w:rPr>
                          <w:t>6.6</w:t>
                        </w:r>
                      </w:p>
                    </w:tc>
                    <w:tc>
                      <w:tcPr>
                        <w:tcW w:w="1440" w:type="dxa"/>
                      </w:tcPr>
                      <w:p>
                        <w:pPr>
                          <w:pStyle w:val="TableParagraph"/>
                          <w:spacing w:line="230" w:lineRule="exact"/>
                          <w:ind w:left="103" w:right="117"/>
                          <w:rPr>
                            <w:sz w:val="20"/>
                          </w:rPr>
                        </w:pPr>
                        <w:r>
                          <w:rPr>
                            <w:sz w:val="20"/>
                          </w:rPr>
                          <w:t>0.96</w:t>
                        </w:r>
                      </w:p>
                    </w:tc>
                  </w:tr>
                  <w:tr>
                    <w:trPr>
                      <w:trHeight w:val="243" w:hRule="exact"/>
                    </w:trPr>
                    <w:tc>
                      <w:tcPr>
                        <w:tcW w:w="1639" w:type="dxa"/>
                      </w:tcPr>
                      <w:p>
                        <w:pPr>
                          <w:pStyle w:val="TableParagraph"/>
                          <w:ind w:left="103" w:right="150"/>
                          <w:rPr>
                            <w:sz w:val="20"/>
                          </w:rPr>
                        </w:pPr>
                        <w:r>
                          <w:rPr>
                            <w:sz w:val="20"/>
                          </w:rPr>
                          <w:t>TOTAL</w:t>
                        </w:r>
                      </w:p>
                    </w:tc>
                    <w:tc>
                      <w:tcPr>
                        <w:tcW w:w="1349" w:type="dxa"/>
                      </w:tcPr>
                      <w:p>
                        <w:pPr>
                          <w:pStyle w:val="TableParagraph"/>
                          <w:ind w:left="100" w:right="96"/>
                          <w:rPr>
                            <w:sz w:val="20"/>
                          </w:rPr>
                        </w:pPr>
                        <w:r>
                          <w:rPr>
                            <w:sz w:val="20"/>
                          </w:rPr>
                          <w:t>100</w:t>
                        </w:r>
                      </w:p>
                    </w:tc>
                    <w:tc>
                      <w:tcPr>
                        <w:tcW w:w="1440" w:type="dxa"/>
                      </w:tcPr>
                      <w:p>
                        <w:pPr>
                          <w:pStyle w:val="TableParagraph"/>
                          <w:ind w:left="103" w:right="117"/>
                          <w:rPr>
                            <w:sz w:val="20"/>
                          </w:rPr>
                        </w:pPr>
                        <w:r>
                          <w:rPr>
                            <w:sz w:val="20"/>
                          </w:rPr>
                          <w:t>100</w:t>
                        </w:r>
                      </w:p>
                    </w:tc>
                  </w:tr>
                </w:tbl>
                <w:p>
                  <w:pPr>
                    <w:pStyle w:val="BodyText"/>
                  </w:pPr>
                </w:p>
              </w:txbxContent>
            </v:textbox>
            <w10:wrap type="topAndBottom"/>
          </v:shape>
        </w:pict>
      </w:r>
      <w:r>
        <w:rPr/>
        <w:pict>
          <v:shape style="position:absolute;margin-left:323.809998pt;margin-top:380.936096pt;width:222.2pt;height:96.0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0"/>
                    <w:gridCol w:w="1349"/>
                    <w:gridCol w:w="1440"/>
                  </w:tblGrid>
                  <w:tr>
                    <w:trPr>
                      <w:trHeight w:val="470" w:hRule="exact"/>
                    </w:trPr>
                    <w:tc>
                      <w:tcPr>
                        <w:tcW w:w="1640" w:type="dxa"/>
                      </w:tcPr>
                      <w:p>
                        <w:pPr>
                          <w:pStyle w:val="TableParagraph"/>
                          <w:ind w:left="103" w:right="362"/>
                          <w:rPr>
                            <w:sz w:val="20"/>
                          </w:rPr>
                        </w:pPr>
                        <w:r>
                          <w:rPr>
                            <w:sz w:val="20"/>
                          </w:rPr>
                          <w:t>Primer molar superior izq</w:t>
                        </w:r>
                      </w:p>
                    </w:tc>
                    <w:tc>
                      <w:tcPr>
                        <w:tcW w:w="1349" w:type="dxa"/>
                      </w:tcPr>
                      <w:p>
                        <w:pPr>
                          <w:pStyle w:val="TableParagraph"/>
                          <w:ind w:left="100" w:right="96"/>
                          <w:rPr>
                            <w:sz w:val="20"/>
                          </w:rPr>
                        </w:pPr>
                        <w:r>
                          <w:rPr>
                            <w:sz w:val="20"/>
                          </w:rPr>
                          <w:t>Porciento en peso total</w:t>
                        </w:r>
                      </w:p>
                    </w:tc>
                    <w:tc>
                      <w:tcPr>
                        <w:tcW w:w="1440" w:type="dxa"/>
                      </w:tcPr>
                      <w:p>
                        <w:pPr>
                          <w:pStyle w:val="TableParagraph"/>
                          <w:ind w:left="103" w:right="117"/>
                          <w:rPr>
                            <w:sz w:val="20"/>
                          </w:rPr>
                        </w:pPr>
                        <w:r>
                          <w:rPr>
                            <w:sz w:val="20"/>
                          </w:rPr>
                          <w:t>Porciento en peso atómico</w:t>
                        </w:r>
                      </w:p>
                    </w:tc>
                  </w:tr>
                  <w:tr>
                    <w:trPr>
                      <w:trHeight w:val="240" w:hRule="exact"/>
                    </w:trPr>
                    <w:tc>
                      <w:tcPr>
                        <w:tcW w:w="1640" w:type="dxa"/>
                      </w:tcPr>
                      <w:p>
                        <w:pPr>
                          <w:pStyle w:val="TableParagraph"/>
                          <w:spacing w:line="227" w:lineRule="exact"/>
                          <w:ind w:left="103"/>
                          <w:rPr>
                            <w:sz w:val="20"/>
                          </w:rPr>
                        </w:pPr>
                        <w:r>
                          <w:rPr>
                            <w:w w:val="99"/>
                            <w:sz w:val="20"/>
                          </w:rPr>
                          <w:t>C</w:t>
                        </w:r>
                      </w:p>
                    </w:tc>
                    <w:tc>
                      <w:tcPr>
                        <w:tcW w:w="1349" w:type="dxa"/>
                      </w:tcPr>
                      <w:p>
                        <w:pPr>
                          <w:pStyle w:val="TableParagraph"/>
                          <w:spacing w:line="227" w:lineRule="exact"/>
                          <w:ind w:left="100" w:right="96"/>
                          <w:rPr>
                            <w:sz w:val="20"/>
                          </w:rPr>
                        </w:pPr>
                        <w:r>
                          <w:rPr>
                            <w:sz w:val="20"/>
                          </w:rPr>
                          <w:t>42.51</w:t>
                        </w:r>
                      </w:p>
                    </w:tc>
                    <w:tc>
                      <w:tcPr>
                        <w:tcW w:w="1440" w:type="dxa"/>
                      </w:tcPr>
                      <w:p>
                        <w:pPr>
                          <w:pStyle w:val="TableParagraph"/>
                          <w:spacing w:line="227" w:lineRule="exact"/>
                          <w:ind w:left="103" w:right="117"/>
                          <w:rPr>
                            <w:sz w:val="20"/>
                          </w:rPr>
                        </w:pPr>
                        <w:r>
                          <w:rPr>
                            <w:sz w:val="20"/>
                          </w:rPr>
                          <w:t>59.15</w:t>
                        </w:r>
                      </w:p>
                    </w:tc>
                  </w:tr>
                  <w:tr>
                    <w:trPr>
                      <w:trHeight w:val="240" w:hRule="exact"/>
                    </w:trPr>
                    <w:tc>
                      <w:tcPr>
                        <w:tcW w:w="1640" w:type="dxa"/>
                      </w:tcPr>
                      <w:p>
                        <w:pPr>
                          <w:pStyle w:val="TableParagraph"/>
                          <w:spacing w:line="227" w:lineRule="exact"/>
                          <w:ind w:left="103"/>
                          <w:rPr>
                            <w:sz w:val="20"/>
                          </w:rPr>
                        </w:pPr>
                        <w:r>
                          <w:rPr>
                            <w:w w:val="99"/>
                            <w:sz w:val="20"/>
                          </w:rPr>
                          <w:t>O</w:t>
                        </w:r>
                      </w:p>
                    </w:tc>
                    <w:tc>
                      <w:tcPr>
                        <w:tcW w:w="1349" w:type="dxa"/>
                      </w:tcPr>
                      <w:p>
                        <w:pPr>
                          <w:pStyle w:val="TableParagraph"/>
                          <w:spacing w:line="227" w:lineRule="exact"/>
                          <w:ind w:left="100" w:right="96"/>
                          <w:rPr>
                            <w:sz w:val="20"/>
                          </w:rPr>
                        </w:pPr>
                        <w:r>
                          <w:rPr>
                            <w:sz w:val="20"/>
                          </w:rPr>
                          <w:t>32.01</w:t>
                        </w:r>
                      </w:p>
                    </w:tc>
                    <w:tc>
                      <w:tcPr>
                        <w:tcW w:w="1440" w:type="dxa"/>
                      </w:tcPr>
                      <w:p>
                        <w:pPr>
                          <w:pStyle w:val="TableParagraph"/>
                          <w:spacing w:line="227" w:lineRule="exact"/>
                          <w:ind w:left="103" w:right="117"/>
                          <w:rPr>
                            <w:sz w:val="20"/>
                          </w:rPr>
                        </w:pPr>
                        <w:r>
                          <w:rPr>
                            <w:sz w:val="20"/>
                          </w:rPr>
                          <w:t>31.87</w:t>
                        </w:r>
                      </w:p>
                    </w:tc>
                  </w:tr>
                  <w:tr>
                    <w:trPr>
                      <w:trHeight w:val="240" w:hRule="exact"/>
                    </w:trPr>
                    <w:tc>
                      <w:tcPr>
                        <w:tcW w:w="1640" w:type="dxa"/>
                      </w:tcPr>
                      <w:p>
                        <w:pPr>
                          <w:pStyle w:val="TableParagraph"/>
                          <w:spacing w:line="227" w:lineRule="exact"/>
                          <w:ind w:left="103"/>
                          <w:rPr>
                            <w:sz w:val="20"/>
                          </w:rPr>
                        </w:pPr>
                        <w:r>
                          <w:rPr>
                            <w:w w:val="99"/>
                            <w:sz w:val="20"/>
                          </w:rPr>
                          <w:t>P</w:t>
                        </w:r>
                      </w:p>
                    </w:tc>
                    <w:tc>
                      <w:tcPr>
                        <w:tcW w:w="1349" w:type="dxa"/>
                      </w:tcPr>
                      <w:p>
                        <w:pPr>
                          <w:pStyle w:val="TableParagraph"/>
                          <w:spacing w:line="227" w:lineRule="exact"/>
                          <w:ind w:left="100" w:right="96"/>
                          <w:rPr>
                            <w:sz w:val="20"/>
                          </w:rPr>
                        </w:pPr>
                        <w:r>
                          <w:rPr>
                            <w:sz w:val="20"/>
                          </w:rPr>
                          <w:t>6.32</w:t>
                        </w:r>
                      </w:p>
                    </w:tc>
                    <w:tc>
                      <w:tcPr>
                        <w:tcW w:w="1440" w:type="dxa"/>
                      </w:tcPr>
                      <w:p>
                        <w:pPr>
                          <w:pStyle w:val="TableParagraph"/>
                          <w:spacing w:line="227" w:lineRule="exact"/>
                          <w:ind w:left="103" w:right="117"/>
                          <w:rPr>
                            <w:sz w:val="20"/>
                          </w:rPr>
                        </w:pPr>
                        <w:r>
                          <w:rPr>
                            <w:sz w:val="20"/>
                          </w:rPr>
                          <w:t>3.47</w:t>
                        </w:r>
                      </w:p>
                    </w:tc>
                  </w:tr>
                  <w:tr>
                    <w:trPr>
                      <w:trHeight w:val="240" w:hRule="exact"/>
                    </w:trPr>
                    <w:tc>
                      <w:tcPr>
                        <w:tcW w:w="1640" w:type="dxa"/>
                      </w:tcPr>
                      <w:p>
                        <w:pPr>
                          <w:pStyle w:val="TableParagraph"/>
                          <w:spacing w:line="227" w:lineRule="exact"/>
                          <w:ind w:left="103" w:right="117"/>
                          <w:rPr>
                            <w:sz w:val="20"/>
                          </w:rPr>
                        </w:pPr>
                        <w:r>
                          <w:rPr>
                            <w:sz w:val="20"/>
                          </w:rPr>
                          <w:t>Ca</w:t>
                        </w:r>
                      </w:p>
                    </w:tc>
                    <w:tc>
                      <w:tcPr>
                        <w:tcW w:w="1349" w:type="dxa"/>
                      </w:tcPr>
                      <w:p>
                        <w:pPr>
                          <w:pStyle w:val="TableParagraph"/>
                          <w:spacing w:line="227" w:lineRule="exact"/>
                          <w:ind w:left="100" w:right="96"/>
                          <w:rPr>
                            <w:sz w:val="20"/>
                          </w:rPr>
                        </w:pPr>
                        <w:r>
                          <w:rPr>
                            <w:sz w:val="20"/>
                          </w:rPr>
                          <w:t>12.38</w:t>
                        </w:r>
                      </w:p>
                    </w:tc>
                    <w:tc>
                      <w:tcPr>
                        <w:tcW w:w="1440" w:type="dxa"/>
                      </w:tcPr>
                      <w:p>
                        <w:pPr>
                          <w:pStyle w:val="TableParagraph"/>
                          <w:spacing w:line="227" w:lineRule="exact"/>
                          <w:ind w:left="103" w:right="117"/>
                          <w:rPr>
                            <w:sz w:val="20"/>
                          </w:rPr>
                        </w:pPr>
                        <w:r>
                          <w:rPr>
                            <w:sz w:val="20"/>
                          </w:rPr>
                          <w:t>4.22</w:t>
                        </w:r>
                      </w:p>
                    </w:tc>
                  </w:tr>
                  <w:tr>
                    <w:trPr>
                      <w:trHeight w:val="240" w:hRule="exact"/>
                    </w:trPr>
                    <w:tc>
                      <w:tcPr>
                        <w:tcW w:w="1640" w:type="dxa"/>
                      </w:tcPr>
                      <w:p>
                        <w:pPr>
                          <w:pStyle w:val="TableParagraph"/>
                          <w:spacing w:line="227" w:lineRule="exact"/>
                          <w:ind w:left="103" w:right="117"/>
                          <w:rPr>
                            <w:sz w:val="20"/>
                          </w:rPr>
                        </w:pPr>
                        <w:r>
                          <w:rPr>
                            <w:sz w:val="20"/>
                          </w:rPr>
                          <w:t>Ag</w:t>
                        </w:r>
                      </w:p>
                    </w:tc>
                    <w:tc>
                      <w:tcPr>
                        <w:tcW w:w="1349" w:type="dxa"/>
                      </w:tcPr>
                      <w:p>
                        <w:pPr>
                          <w:pStyle w:val="TableParagraph"/>
                          <w:spacing w:line="227" w:lineRule="exact"/>
                          <w:ind w:left="100" w:right="96"/>
                          <w:rPr>
                            <w:sz w:val="20"/>
                          </w:rPr>
                        </w:pPr>
                        <w:r>
                          <w:rPr>
                            <w:sz w:val="20"/>
                          </w:rPr>
                          <w:t>6.78</w:t>
                        </w:r>
                      </w:p>
                    </w:tc>
                    <w:tc>
                      <w:tcPr>
                        <w:tcW w:w="1440" w:type="dxa"/>
                      </w:tcPr>
                      <w:p>
                        <w:pPr>
                          <w:pStyle w:val="TableParagraph"/>
                          <w:spacing w:line="227" w:lineRule="exact"/>
                          <w:ind w:left="103" w:right="117"/>
                          <w:rPr>
                            <w:sz w:val="20"/>
                          </w:rPr>
                        </w:pPr>
                        <w:r>
                          <w:rPr>
                            <w:sz w:val="20"/>
                          </w:rPr>
                          <w:t>1.29</w:t>
                        </w:r>
                      </w:p>
                    </w:tc>
                  </w:tr>
                  <w:tr>
                    <w:trPr>
                      <w:trHeight w:val="241" w:hRule="exact"/>
                    </w:trPr>
                    <w:tc>
                      <w:tcPr>
                        <w:tcW w:w="1640" w:type="dxa"/>
                      </w:tcPr>
                      <w:p>
                        <w:pPr>
                          <w:pStyle w:val="TableParagraph"/>
                          <w:spacing w:line="227" w:lineRule="exact"/>
                          <w:ind w:left="103" w:right="117"/>
                          <w:rPr>
                            <w:sz w:val="20"/>
                          </w:rPr>
                        </w:pPr>
                        <w:r>
                          <w:rPr>
                            <w:sz w:val="20"/>
                          </w:rPr>
                          <w:t>TOTAL</w:t>
                        </w:r>
                      </w:p>
                    </w:tc>
                    <w:tc>
                      <w:tcPr>
                        <w:tcW w:w="1349" w:type="dxa"/>
                      </w:tcPr>
                      <w:p>
                        <w:pPr>
                          <w:pStyle w:val="TableParagraph"/>
                          <w:spacing w:line="227" w:lineRule="exact"/>
                          <w:ind w:left="100" w:right="96"/>
                          <w:rPr>
                            <w:sz w:val="20"/>
                          </w:rPr>
                        </w:pPr>
                        <w:r>
                          <w:rPr>
                            <w:sz w:val="20"/>
                          </w:rPr>
                          <w:t>100</w:t>
                        </w:r>
                      </w:p>
                    </w:tc>
                    <w:tc>
                      <w:tcPr>
                        <w:tcW w:w="1440" w:type="dxa"/>
                      </w:tcPr>
                      <w:p>
                        <w:pPr>
                          <w:pStyle w:val="TableParagraph"/>
                          <w:spacing w:line="227" w:lineRule="exact"/>
                          <w:ind w:left="103" w:right="117"/>
                          <w:rPr>
                            <w:sz w:val="20"/>
                          </w:rPr>
                        </w:pPr>
                        <w:r>
                          <w:rPr>
                            <w:sz w:val="20"/>
                          </w:rPr>
                          <w:t>100</w:t>
                        </w:r>
                      </w:p>
                    </w:tc>
                  </w:tr>
                </w:tbl>
                <w:p>
                  <w:pPr>
                    <w:pStyle w:val="BodyText"/>
                  </w:pPr>
                </w:p>
              </w:txbxContent>
            </v:textbox>
            <w10:wrap type="topAndBottom"/>
          </v:shape>
        </w:pict>
      </w:r>
    </w:p>
    <w:p>
      <w:pPr>
        <w:pStyle w:val="BodyText"/>
        <w:spacing w:before="1"/>
        <w:rPr>
          <w:sz w:val="29"/>
        </w:rPr>
      </w:pPr>
    </w:p>
    <w:p>
      <w:pPr>
        <w:pStyle w:val="BodyText"/>
        <w:spacing w:before="3"/>
        <w:rPr>
          <w:sz w:val="28"/>
        </w:rPr>
      </w:pPr>
    </w:p>
    <w:p>
      <w:pPr>
        <w:pStyle w:val="BodyText"/>
        <w:spacing w:before="7"/>
        <w:rPr>
          <w:sz w:val="26"/>
        </w:rPr>
      </w:pPr>
    </w:p>
    <w:p>
      <w:pPr>
        <w:spacing w:after="0"/>
        <w:rPr>
          <w:sz w:val="26"/>
        </w:rPr>
        <w:sectPr>
          <w:footerReference w:type="default" r:id="rId239"/>
          <w:pgSz w:w="12240" w:h="15840"/>
          <w:pgMar w:footer="1024" w:header="736" w:top="1180" w:bottom="1220" w:left="1220" w:right="1200"/>
          <w:pgNumType w:start="141"/>
        </w:sectPr>
      </w:pPr>
    </w:p>
    <w:p>
      <w:pPr>
        <w:pStyle w:val="BodyText"/>
        <w:spacing w:before="4"/>
        <w:rPr>
          <w:rFonts w:ascii="Times New Roman"/>
          <w:sz w:val="23"/>
        </w:rPr>
      </w:pPr>
    </w:p>
    <w:p>
      <w:pPr>
        <w:tabs>
          <w:tab w:pos="5076" w:val="left" w:leader="none"/>
        </w:tabs>
        <w:spacing w:line="240" w:lineRule="auto"/>
        <w:ind w:left="107" w:right="0" w:firstLine="0"/>
        <w:rPr>
          <w:rFonts w:ascii="Times New Roman"/>
          <w:sz w:val="20"/>
        </w:rPr>
      </w:pPr>
      <w:r>
        <w:rPr>
          <w:rFonts w:ascii="Times New Roman"/>
          <w:position w:val="1"/>
          <w:sz w:val="20"/>
        </w:rPr>
        <w:pict>
          <v:shape style="width:222.15pt;height:96.05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9"/>
                    <w:gridCol w:w="1349"/>
                    <w:gridCol w:w="1440"/>
                  </w:tblGrid>
                  <w:tr>
                    <w:trPr>
                      <w:trHeight w:val="471" w:hRule="exact"/>
                    </w:trPr>
                    <w:tc>
                      <w:tcPr>
                        <w:tcW w:w="1639" w:type="dxa"/>
                      </w:tcPr>
                      <w:p>
                        <w:pPr>
                          <w:pStyle w:val="TableParagraph"/>
                          <w:ind w:left="103" w:right="150"/>
                          <w:rPr>
                            <w:sz w:val="20"/>
                          </w:rPr>
                        </w:pPr>
                        <w:r>
                          <w:rPr>
                            <w:sz w:val="20"/>
                          </w:rPr>
                          <w:t>Incisivo central inferior izq</w:t>
                        </w:r>
                      </w:p>
                    </w:tc>
                    <w:tc>
                      <w:tcPr>
                        <w:tcW w:w="1349" w:type="dxa"/>
                      </w:tcPr>
                      <w:p>
                        <w:pPr>
                          <w:pStyle w:val="TableParagraph"/>
                          <w:ind w:left="100" w:right="96"/>
                          <w:rPr>
                            <w:sz w:val="20"/>
                          </w:rPr>
                        </w:pPr>
                        <w:r>
                          <w:rPr>
                            <w:sz w:val="20"/>
                          </w:rPr>
                          <w:t>Porciento en peso total</w:t>
                        </w:r>
                      </w:p>
                    </w:tc>
                    <w:tc>
                      <w:tcPr>
                        <w:tcW w:w="1440" w:type="dxa"/>
                      </w:tcPr>
                      <w:p>
                        <w:pPr>
                          <w:pStyle w:val="TableParagraph"/>
                          <w:spacing w:line="227" w:lineRule="exact"/>
                          <w:ind w:left="103" w:right="117"/>
                          <w:rPr>
                            <w:sz w:val="20"/>
                          </w:rPr>
                        </w:pPr>
                        <w:r>
                          <w:rPr>
                            <w:sz w:val="20"/>
                          </w:rPr>
                          <w:t>Peso</w:t>
                        </w:r>
                      </w:p>
                    </w:tc>
                  </w:tr>
                  <w:tr>
                    <w:trPr>
                      <w:trHeight w:val="240" w:hRule="exact"/>
                    </w:trPr>
                    <w:tc>
                      <w:tcPr>
                        <w:tcW w:w="1639" w:type="dxa"/>
                      </w:tcPr>
                      <w:p>
                        <w:pPr>
                          <w:pStyle w:val="TableParagraph"/>
                          <w:spacing w:line="227" w:lineRule="exact"/>
                          <w:ind w:left="103"/>
                          <w:rPr>
                            <w:sz w:val="20"/>
                          </w:rPr>
                        </w:pPr>
                        <w:r>
                          <w:rPr>
                            <w:w w:val="99"/>
                            <w:sz w:val="20"/>
                          </w:rPr>
                          <w:t>C</w:t>
                        </w:r>
                      </w:p>
                    </w:tc>
                    <w:tc>
                      <w:tcPr>
                        <w:tcW w:w="1349" w:type="dxa"/>
                      </w:tcPr>
                      <w:p>
                        <w:pPr>
                          <w:pStyle w:val="TableParagraph"/>
                          <w:spacing w:line="227" w:lineRule="exact"/>
                          <w:ind w:left="100" w:right="96"/>
                          <w:rPr>
                            <w:sz w:val="20"/>
                          </w:rPr>
                        </w:pPr>
                        <w:r>
                          <w:rPr>
                            <w:sz w:val="20"/>
                          </w:rPr>
                          <w:t>44.01</w:t>
                        </w:r>
                      </w:p>
                    </w:tc>
                    <w:tc>
                      <w:tcPr>
                        <w:tcW w:w="1440" w:type="dxa"/>
                      </w:tcPr>
                      <w:p>
                        <w:pPr>
                          <w:pStyle w:val="TableParagraph"/>
                          <w:spacing w:line="227" w:lineRule="exact"/>
                          <w:ind w:left="103" w:right="117"/>
                          <w:rPr>
                            <w:sz w:val="20"/>
                          </w:rPr>
                        </w:pPr>
                        <w:r>
                          <w:rPr>
                            <w:sz w:val="20"/>
                          </w:rPr>
                          <w:t>59.13</w:t>
                        </w:r>
                      </w:p>
                    </w:tc>
                  </w:tr>
                  <w:tr>
                    <w:trPr>
                      <w:trHeight w:val="240" w:hRule="exact"/>
                    </w:trPr>
                    <w:tc>
                      <w:tcPr>
                        <w:tcW w:w="1639" w:type="dxa"/>
                      </w:tcPr>
                      <w:p>
                        <w:pPr>
                          <w:pStyle w:val="TableParagraph"/>
                          <w:spacing w:line="227" w:lineRule="exact"/>
                          <w:ind w:left="103"/>
                          <w:rPr>
                            <w:sz w:val="20"/>
                          </w:rPr>
                        </w:pPr>
                        <w:r>
                          <w:rPr>
                            <w:w w:val="99"/>
                            <w:sz w:val="20"/>
                          </w:rPr>
                          <w:t>O</w:t>
                        </w:r>
                      </w:p>
                    </w:tc>
                    <w:tc>
                      <w:tcPr>
                        <w:tcW w:w="1349" w:type="dxa"/>
                      </w:tcPr>
                      <w:p>
                        <w:pPr>
                          <w:pStyle w:val="TableParagraph"/>
                          <w:spacing w:line="227" w:lineRule="exact"/>
                          <w:ind w:left="100" w:right="96"/>
                          <w:rPr>
                            <w:sz w:val="20"/>
                          </w:rPr>
                        </w:pPr>
                        <w:r>
                          <w:rPr>
                            <w:sz w:val="20"/>
                          </w:rPr>
                          <w:t>33.08</w:t>
                        </w:r>
                      </w:p>
                    </w:tc>
                    <w:tc>
                      <w:tcPr>
                        <w:tcW w:w="1440" w:type="dxa"/>
                      </w:tcPr>
                      <w:p>
                        <w:pPr>
                          <w:pStyle w:val="TableParagraph"/>
                          <w:spacing w:line="227" w:lineRule="exact"/>
                          <w:ind w:left="103" w:right="117"/>
                          <w:rPr>
                            <w:sz w:val="20"/>
                          </w:rPr>
                        </w:pPr>
                        <w:r>
                          <w:rPr>
                            <w:sz w:val="20"/>
                          </w:rPr>
                          <w:t>31.37</w:t>
                        </w:r>
                      </w:p>
                    </w:tc>
                  </w:tr>
                  <w:tr>
                    <w:trPr>
                      <w:trHeight w:val="240" w:hRule="exact"/>
                    </w:trPr>
                    <w:tc>
                      <w:tcPr>
                        <w:tcW w:w="1639" w:type="dxa"/>
                      </w:tcPr>
                      <w:p>
                        <w:pPr>
                          <w:pStyle w:val="TableParagraph"/>
                          <w:spacing w:line="227" w:lineRule="exact"/>
                          <w:ind w:left="103"/>
                          <w:rPr>
                            <w:sz w:val="20"/>
                          </w:rPr>
                        </w:pPr>
                        <w:r>
                          <w:rPr>
                            <w:w w:val="99"/>
                            <w:sz w:val="20"/>
                          </w:rPr>
                          <w:t>P</w:t>
                        </w:r>
                      </w:p>
                    </w:tc>
                    <w:tc>
                      <w:tcPr>
                        <w:tcW w:w="1349" w:type="dxa"/>
                      </w:tcPr>
                      <w:p>
                        <w:pPr>
                          <w:pStyle w:val="TableParagraph"/>
                          <w:spacing w:line="227" w:lineRule="exact"/>
                          <w:ind w:left="100" w:right="96"/>
                          <w:rPr>
                            <w:sz w:val="20"/>
                          </w:rPr>
                        </w:pPr>
                        <w:r>
                          <w:rPr>
                            <w:sz w:val="20"/>
                          </w:rPr>
                          <w:t>5.98</w:t>
                        </w:r>
                      </w:p>
                    </w:tc>
                    <w:tc>
                      <w:tcPr>
                        <w:tcW w:w="1440" w:type="dxa"/>
                      </w:tcPr>
                      <w:p>
                        <w:pPr>
                          <w:pStyle w:val="TableParagraph"/>
                          <w:spacing w:line="227" w:lineRule="exact"/>
                          <w:ind w:left="103" w:right="117"/>
                          <w:rPr>
                            <w:sz w:val="20"/>
                          </w:rPr>
                        </w:pPr>
                        <w:r>
                          <w:rPr>
                            <w:sz w:val="20"/>
                          </w:rPr>
                          <w:t>3.53</w:t>
                        </w:r>
                      </w:p>
                    </w:tc>
                  </w:tr>
                  <w:tr>
                    <w:trPr>
                      <w:trHeight w:val="240" w:hRule="exact"/>
                    </w:trPr>
                    <w:tc>
                      <w:tcPr>
                        <w:tcW w:w="1639" w:type="dxa"/>
                      </w:tcPr>
                      <w:p>
                        <w:pPr>
                          <w:pStyle w:val="TableParagraph"/>
                          <w:spacing w:line="227" w:lineRule="exact"/>
                          <w:ind w:left="103" w:right="150"/>
                          <w:rPr>
                            <w:sz w:val="20"/>
                          </w:rPr>
                        </w:pPr>
                        <w:r>
                          <w:rPr>
                            <w:sz w:val="20"/>
                          </w:rPr>
                          <w:t>Ca</w:t>
                        </w:r>
                      </w:p>
                    </w:tc>
                    <w:tc>
                      <w:tcPr>
                        <w:tcW w:w="1349" w:type="dxa"/>
                      </w:tcPr>
                      <w:p>
                        <w:pPr>
                          <w:pStyle w:val="TableParagraph"/>
                          <w:spacing w:line="227" w:lineRule="exact"/>
                          <w:ind w:left="100" w:right="96"/>
                          <w:rPr>
                            <w:sz w:val="20"/>
                          </w:rPr>
                        </w:pPr>
                        <w:r>
                          <w:rPr>
                            <w:sz w:val="20"/>
                          </w:rPr>
                          <w:t>12.01</w:t>
                        </w:r>
                      </w:p>
                    </w:tc>
                    <w:tc>
                      <w:tcPr>
                        <w:tcW w:w="1440" w:type="dxa"/>
                      </w:tcPr>
                      <w:p>
                        <w:pPr>
                          <w:pStyle w:val="TableParagraph"/>
                          <w:spacing w:line="227" w:lineRule="exact"/>
                          <w:ind w:left="103" w:right="117"/>
                          <w:rPr>
                            <w:sz w:val="20"/>
                          </w:rPr>
                        </w:pPr>
                        <w:r>
                          <w:rPr>
                            <w:sz w:val="20"/>
                          </w:rPr>
                          <w:t>4.59</w:t>
                        </w:r>
                      </w:p>
                    </w:tc>
                  </w:tr>
                  <w:tr>
                    <w:trPr>
                      <w:trHeight w:val="240" w:hRule="exact"/>
                    </w:trPr>
                    <w:tc>
                      <w:tcPr>
                        <w:tcW w:w="1639" w:type="dxa"/>
                      </w:tcPr>
                      <w:p>
                        <w:pPr>
                          <w:pStyle w:val="TableParagraph"/>
                          <w:spacing w:line="227" w:lineRule="exact"/>
                          <w:ind w:left="103" w:right="150"/>
                          <w:rPr>
                            <w:sz w:val="20"/>
                          </w:rPr>
                        </w:pPr>
                        <w:r>
                          <w:rPr>
                            <w:sz w:val="20"/>
                          </w:rPr>
                          <w:t>Ag</w:t>
                        </w:r>
                      </w:p>
                    </w:tc>
                    <w:tc>
                      <w:tcPr>
                        <w:tcW w:w="1349" w:type="dxa"/>
                      </w:tcPr>
                      <w:p>
                        <w:pPr>
                          <w:pStyle w:val="TableParagraph"/>
                          <w:spacing w:line="227" w:lineRule="exact"/>
                          <w:ind w:left="100" w:right="96"/>
                          <w:rPr>
                            <w:sz w:val="20"/>
                          </w:rPr>
                        </w:pPr>
                        <w:r>
                          <w:rPr>
                            <w:sz w:val="20"/>
                          </w:rPr>
                          <w:t>4.92</w:t>
                        </w:r>
                      </w:p>
                    </w:tc>
                    <w:tc>
                      <w:tcPr>
                        <w:tcW w:w="1440" w:type="dxa"/>
                      </w:tcPr>
                      <w:p>
                        <w:pPr>
                          <w:pStyle w:val="TableParagraph"/>
                          <w:spacing w:line="227" w:lineRule="exact"/>
                          <w:ind w:left="103" w:right="117"/>
                          <w:rPr>
                            <w:sz w:val="20"/>
                          </w:rPr>
                        </w:pPr>
                        <w:r>
                          <w:rPr>
                            <w:sz w:val="20"/>
                          </w:rPr>
                          <w:t>0.48</w:t>
                        </w:r>
                      </w:p>
                    </w:tc>
                  </w:tr>
                  <w:tr>
                    <w:trPr>
                      <w:trHeight w:val="240" w:hRule="exact"/>
                    </w:trPr>
                    <w:tc>
                      <w:tcPr>
                        <w:tcW w:w="1639" w:type="dxa"/>
                      </w:tcPr>
                      <w:p>
                        <w:pPr>
                          <w:pStyle w:val="TableParagraph"/>
                          <w:spacing w:line="227" w:lineRule="exact"/>
                          <w:ind w:left="103" w:right="150"/>
                          <w:rPr>
                            <w:sz w:val="20"/>
                          </w:rPr>
                        </w:pPr>
                        <w:r>
                          <w:rPr>
                            <w:sz w:val="20"/>
                          </w:rPr>
                          <w:t>TOTAL</w:t>
                        </w:r>
                      </w:p>
                    </w:tc>
                    <w:tc>
                      <w:tcPr>
                        <w:tcW w:w="1349" w:type="dxa"/>
                      </w:tcPr>
                      <w:p>
                        <w:pPr>
                          <w:pStyle w:val="TableParagraph"/>
                          <w:spacing w:line="227" w:lineRule="exact"/>
                          <w:ind w:left="100" w:right="96"/>
                          <w:rPr>
                            <w:sz w:val="20"/>
                          </w:rPr>
                        </w:pPr>
                        <w:r>
                          <w:rPr>
                            <w:sz w:val="20"/>
                          </w:rPr>
                          <w:t>100</w:t>
                        </w:r>
                      </w:p>
                    </w:tc>
                    <w:tc>
                      <w:tcPr>
                        <w:tcW w:w="1440" w:type="dxa"/>
                      </w:tcPr>
                      <w:p>
                        <w:pPr>
                          <w:pStyle w:val="TableParagraph"/>
                          <w:spacing w:line="227" w:lineRule="exact"/>
                          <w:ind w:left="103" w:right="117"/>
                          <w:rPr>
                            <w:sz w:val="20"/>
                          </w:rPr>
                        </w:pPr>
                        <w:r>
                          <w:rPr>
                            <w:sz w:val="20"/>
                          </w:rPr>
                          <w:t>100</w:t>
                        </w:r>
                      </w:p>
                    </w:tc>
                  </w:tr>
                </w:tbl>
                <w:p>
                  <w:pPr>
                    <w:pStyle w:val="BodyText"/>
                  </w:pPr>
                </w:p>
              </w:txbxContent>
            </v:textbox>
          </v:shape>
        </w:pict>
      </w:r>
      <w:r>
        <w:rPr>
          <w:rFonts w:ascii="Times New Roman"/>
          <w:position w:val="1"/>
          <w:sz w:val="20"/>
        </w:rPr>
      </w:r>
      <w:r>
        <w:rPr>
          <w:rFonts w:ascii="Times New Roman"/>
          <w:position w:val="1"/>
          <w:sz w:val="20"/>
        </w:rPr>
        <w:tab/>
      </w:r>
      <w:r>
        <w:rPr>
          <w:rFonts w:ascii="Times New Roman"/>
          <w:sz w:val="20"/>
        </w:rPr>
        <w:pict>
          <v:shape style="width:231.2pt;height:96.05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8"/>
                    <w:gridCol w:w="1352"/>
                    <w:gridCol w:w="1529"/>
                  </w:tblGrid>
                  <w:tr>
                    <w:trPr>
                      <w:trHeight w:val="471" w:hRule="exact"/>
                    </w:trPr>
                    <w:tc>
                      <w:tcPr>
                        <w:tcW w:w="1728" w:type="dxa"/>
                      </w:tcPr>
                      <w:p>
                        <w:pPr>
                          <w:pStyle w:val="TableParagraph"/>
                          <w:ind w:left="103"/>
                          <w:rPr>
                            <w:sz w:val="20"/>
                          </w:rPr>
                        </w:pPr>
                        <w:r>
                          <w:rPr>
                            <w:sz w:val="20"/>
                          </w:rPr>
                          <w:t>Primer molar inferior izquierdo</w:t>
                        </w:r>
                      </w:p>
                    </w:tc>
                    <w:tc>
                      <w:tcPr>
                        <w:tcW w:w="1352" w:type="dxa"/>
                      </w:tcPr>
                      <w:p>
                        <w:pPr>
                          <w:pStyle w:val="TableParagraph"/>
                          <w:ind w:left="103" w:right="96"/>
                          <w:rPr>
                            <w:sz w:val="20"/>
                          </w:rPr>
                        </w:pPr>
                        <w:r>
                          <w:rPr>
                            <w:sz w:val="20"/>
                          </w:rPr>
                          <w:t>Porciento en peso total</w:t>
                        </w:r>
                      </w:p>
                    </w:tc>
                    <w:tc>
                      <w:tcPr>
                        <w:tcW w:w="1529" w:type="dxa"/>
                      </w:tcPr>
                      <w:p>
                        <w:pPr>
                          <w:pStyle w:val="TableParagraph"/>
                          <w:ind w:left="100" w:right="209"/>
                          <w:rPr>
                            <w:sz w:val="20"/>
                          </w:rPr>
                        </w:pPr>
                        <w:r>
                          <w:rPr>
                            <w:sz w:val="20"/>
                          </w:rPr>
                          <w:t>Porciento en peso atómico</w:t>
                        </w:r>
                      </w:p>
                    </w:tc>
                  </w:tr>
                  <w:tr>
                    <w:trPr>
                      <w:trHeight w:val="240" w:hRule="exact"/>
                    </w:trPr>
                    <w:tc>
                      <w:tcPr>
                        <w:tcW w:w="1728" w:type="dxa"/>
                      </w:tcPr>
                      <w:p>
                        <w:pPr>
                          <w:pStyle w:val="TableParagraph"/>
                          <w:spacing w:line="227" w:lineRule="exact"/>
                          <w:ind w:left="103"/>
                          <w:rPr>
                            <w:sz w:val="20"/>
                          </w:rPr>
                        </w:pPr>
                        <w:r>
                          <w:rPr>
                            <w:w w:val="99"/>
                            <w:sz w:val="20"/>
                          </w:rPr>
                          <w:t>C</w:t>
                        </w:r>
                      </w:p>
                    </w:tc>
                    <w:tc>
                      <w:tcPr>
                        <w:tcW w:w="1352" w:type="dxa"/>
                      </w:tcPr>
                      <w:p>
                        <w:pPr>
                          <w:pStyle w:val="TableParagraph"/>
                          <w:spacing w:line="227" w:lineRule="exact"/>
                          <w:ind w:left="103" w:right="96"/>
                          <w:rPr>
                            <w:sz w:val="20"/>
                          </w:rPr>
                        </w:pPr>
                        <w:r>
                          <w:rPr>
                            <w:sz w:val="20"/>
                          </w:rPr>
                          <w:t>43.21</w:t>
                        </w:r>
                      </w:p>
                    </w:tc>
                    <w:tc>
                      <w:tcPr>
                        <w:tcW w:w="1529" w:type="dxa"/>
                      </w:tcPr>
                      <w:p>
                        <w:pPr>
                          <w:pStyle w:val="TableParagraph"/>
                          <w:spacing w:line="227" w:lineRule="exact"/>
                          <w:ind w:left="100"/>
                          <w:rPr>
                            <w:sz w:val="20"/>
                          </w:rPr>
                        </w:pPr>
                        <w:r>
                          <w:rPr>
                            <w:sz w:val="20"/>
                          </w:rPr>
                          <w:t>59.12</w:t>
                        </w:r>
                      </w:p>
                    </w:tc>
                  </w:tr>
                  <w:tr>
                    <w:trPr>
                      <w:trHeight w:val="240" w:hRule="exact"/>
                    </w:trPr>
                    <w:tc>
                      <w:tcPr>
                        <w:tcW w:w="1728" w:type="dxa"/>
                      </w:tcPr>
                      <w:p>
                        <w:pPr>
                          <w:pStyle w:val="TableParagraph"/>
                          <w:spacing w:line="227" w:lineRule="exact"/>
                          <w:ind w:left="103"/>
                          <w:rPr>
                            <w:sz w:val="20"/>
                          </w:rPr>
                        </w:pPr>
                        <w:r>
                          <w:rPr>
                            <w:w w:val="99"/>
                            <w:sz w:val="20"/>
                          </w:rPr>
                          <w:t>O</w:t>
                        </w:r>
                      </w:p>
                    </w:tc>
                    <w:tc>
                      <w:tcPr>
                        <w:tcW w:w="1352" w:type="dxa"/>
                      </w:tcPr>
                      <w:p>
                        <w:pPr>
                          <w:pStyle w:val="TableParagraph"/>
                          <w:spacing w:line="227" w:lineRule="exact"/>
                          <w:ind w:left="103" w:right="96"/>
                          <w:rPr>
                            <w:sz w:val="20"/>
                          </w:rPr>
                        </w:pPr>
                        <w:r>
                          <w:rPr>
                            <w:sz w:val="20"/>
                          </w:rPr>
                          <w:t>30.78</w:t>
                        </w:r>
                      </w:p>
                    </w:tc>
                    <w:tc>
                      <w:tcPr>
                        <w:tcW w:w="1529" w:type="dxa"/>
                      </w:tcPr>
                      <w:p>
                        <w:pPr>
                          <w:pStyle w:val="TableParagraph"/>
                          <w:spacing w:line="227" w:lineRule="exact"/>
                          <w:ind w:left="100"/>
                          <w:rPr>
                            <w:sz w:val="20"/>
                          </w:rPr>
                        </w:pPr>
                        <w:r>
                          <w:rPr>
                            <w:sz w:val="20"/>
                          </w:rPr>
                          <w:t>31.72</w:t>
                        </w:r>
                      </w:p>
                    </w:tc>
                  </w:tr>
                  <w:tr>
                    <w:trPr>
                      <w:trHeight w:val="240" w:hRule="exact"/>
                    </w:trPr>
                    <w:tc>
                      <w:tcPr>
                        <w:tcW w:w="1728" w:type="dxa"/>
                      </w:tcPr>
                      <w:p>
                        <w:pPr>
                          <w:pStyle w:val="TableParagraph"/>
                          <w:spacing w:line="227" w:lineRule="exact"/>
                          <w:ind w:left="103"/>
                          <w:rPr>
                            <w:sz w:val="20"/>
                          </w:rPr>
                        </w:pPr>
                        <w:r>
                          <w:rPr>
                            <w:w w:val="99"/>
                            <w:sz w:val="20"/>
                          </w:rPr>
                          <w:t>P</w:t>
                        </w:r>
                      </w:p>
                    </w:tc>
                    <w:tc>
                      <w:tcPr>
                        <w:tcW w:w="1352" w:type="dxa"/>
                      </w:tcPr>
                      <w:p>
                        <w:pPr>
                          <w:pStyle w:val="TableParagraph"/>
                          <w:spacing w:line="227" w:lineRule="exact"/>
                          <w:ind w:left="103" w:right="96"/>
                          <w:rPr>
                            <w:sz w:val="20"/>
                          </w:rPr>
                        </w:pPr>
                        <w:r>
                          <w:rPr>
                            <w:sz w:val="20"/>
                          </w:rPr>
                          <w:t>6.42</w:t>
                        </w:r>
                      </w:p>
                    </w:tc>
                    <w:tc>
                      <w:tcPr>
                        <w:tcW w:w="1529" w:type="dxa"/>
                      </w:tcPr>
                      <w:p>
                        <w:pPr>
                          <w:pStyle w:val="TableParagraph"/>
                          <w:spacing w:line="227" w:lineRule="exact"/>
                          <w:ind w:left="100"/>
                          <w:rPr>
                            <w:sz w:val="20"/>
                          </w:rPr>
                        </w:pPr>
                        <w:r>
                          <w:rPr>
                            <w:sz w:val="20"/>
                          </w:rPr>
                          <w:t>3.42</w:t>
                        </w:r>
                      </w:p>
                    </w:tc>
                  </w:tr>
                  <w:tr>
                    <w:trPr>
                      <w:trHeight w:val="240" w:hRule="exact"/>
                    </w:trPr>
                    <w:tc>
                      <w:tcPr>
                        <w:tcW w:w="1728" w:type="dxa"/>
                      </w:tcPr>
                      <w:p>
                        <w:pPr>
                          <w:pStyle w:val="TableParagraph"/>
                          <w:spacing w:line="227" w:lineRule="exact"/>
                          <w:ind w:left="103"/>
                          <w:rPr>
                            <w:sz w:val="20"/>
                          </w:rPr>
                        </w:pPr>
                        <w:r>
                          <w:rPr>
                            <w:sz w:val="20"/>
                          </w:rPr>
                          <w:t>Ca</w:t>
                        </w:r>
                      </w:p>
                    </w:tc>
                    <w:tc>
                      <w:tcPr>
                        <w:tcW w:w="1352" w:type="dxa"/>
                      </w:tcPr>
                      <w:p>
                        <w:pPr>
                          <w:pStyle w:val="TableParagraph"/>
                          <w:spacing w:line="227" w:lineRule="exact"/>
                          <w:ind w:left="103" w:right="96"/>
                          <w:rPr>
                            <w:sz w:val="20"/>
                          </w:rPr>
                        </w:pPr>
                        <w:r>
                          <w:rPr>
                            <w:sz w:val="20"/>
                          </w:rPr>
                          <w:t>12.31</w:t>
                        </w:r>
                      </w:p>
                    </w:tc>
                    <w:tc>
                      <w:tcPr>
                        <w:tcW w:w="1529" w:type="dxa"/>
                      </w:tcPr>
                      <w:p>
                        <w:pPr>
                          <w:pStyle w:val="TableParagraph"/>
                          <w:spacing w:line="227" w:lineRule="exact"/>
                          <w:ind w:left="100"/>
                          <w:rPr>
                            <w:sz w:val="20"/>
                          </w:rPr>
                        </w:pPr>
                        <w:r>
                          <w:rPr>
                            <w:sz w:val="20"/>
                          </w:rPr>
                          <w:t>4.31</w:t>
                        </w:r>
                      </w:p>
                    </w:tc>
                  </w:tr>
                  <w:tr>
                    <w:trPr>
                      <w:trHeight w:val="240" w:hRule="exact"/>
                    </w:trPr>
                    <w:tc>
                      <w:tcPr>
                        <w:tcW w:w="1728" w:type="dxa"/>
                      </w:tcPr>
                      <w:p>
                        <w:pPr>
                          <w:pStyle w:val="TableParagraph"/>
                          <w:spacing w:line="227" w:lineRule="exact"/>
                          <w:ind w:left="103"/>
                          <w:rPr>
                            <w:sz w:val="20"/>
                          </w:rPr>
                        </w:pPr>
                        <w:r>
                          <w:rPr>
                            <w:sz w:val="20"/>
                          </w:rPr>
                          <w:t>Ag</w:t>
                        </w:r>
                      </w:p>
                    </w:tc>
                    <w:tc>
                      <w:tcPr>
                        <w:tcW w:w="1352" w:type="dxa"/>
                      </w:tcPr>
                      <w:p>
                        <w:pPr>
                          <w:pStyle w:val="TableParagraph"/>
                          <w:spacing w:line="227" w:lineRule="exact"/>
                          <w:ind w:left="103" w:right="96"/>
                          <w:rPr>
                            <w:sz w:val="20"/>
                          </w:rPr>
                        </w:pPr>
                        <w:r>
                          <w:rPr>
                            <w:sz w:val="20"/>
                          </w:rPr>
                          <w:t>7.28</w:t>
                        </w:r>
                      </w:p>
                    </w:tc>
                    <w:tc>
                      <w:tcPr>
                        <w:tcW w:w="1529" w:type="dxa"/>
                      </w:tcPr>
                      <w:p>
                        <w:pPr>
                          <w:pStyle w:val="TableParagraph"/>
                          <w:spacing w:line="227" w:lineRule="exact"/>
                          <w:ind w:left="100"/>
                          <w:rPr>
                            <w:sz w:val="20"/>
                          </w:rPr>
                        </w:pPr>
                        <w:r>
                          <w:rPr>
                            <w:sz w:val="20"/>
                          </w:rPr>
                          <w:t>1.43</w:t>
                        </w:r>
                      </w:p>
                    </w:tc>
                  </w:tr>
                  <w:tr>
                    <w:trPr>
                      <w:trHeight w:val="240" w:hRule="exact"/>
                    </w:trPr>
                    <w:tc>
                      <w:tcPr>
                        <w:tcW w:w="1728" w:type="dxa"/>
                      </w:tcPr>
                      <w:p>
                        <w:pPr>
                          <w:pStyle w:val="TableParagraph"/>
                          <w:spacing w:line="227" w:lineRule="exact"/>
                          <w:ind w:left="103"/>
                          <w:rPr>
                            <w:sz w:val="20"/>
                          </w:rPr>
                        </w:pPr>
                        <w:r>
                          <w:rPr>
                            <w:sz w:val="20"/>
                          </w:rPr>
                          <w:t>TOTAL</w:t>
                        </w:r>
                      </w:p>
                    </w:tc>
                    <w:tc>
                      <w:tcPr>
                        <w:tcW w:w="1352" w:type="dxa"/>
                      </w:tcPr>
                      <w:p>
                        <w:pPr>
                          <w:pStyle w:val="TableParagraph"/>
                          <w:spacing w:line="227" w:lineRule="exact"/>
                          <w:ind w:left="103" w:right="96"/>
                          <w:rPr>
                            <w:sz w:val="20"/>
                          </w:rPr>
                        </w:pPr>
                        <w:r>
                          <w:rPr>
                            <w:sz w:val="20"/>
                          </w:rPr>
                          <w:t>100</w:t>
                        </w:r>
                      </w:p>
                    </w:tc>
                    <w:tc>
                      <w:tcPr>
                        <w:tcW w:w="1529" w:type="dxa"/>
                      </w:tcPr>
                      <w:p>
                        <w:pPr>
                          <w:pStyle w:val="TableParagraph"/>
                          <w:spacing w:line="227" w:lineRule="exact"/>
                          <w:ind w:left="100"/>
                          <w:rPr>
                            <w:sz w:val="20"/>
                          </w:rPr>
                        </w:pPr>
                        <w:r>
                          <w:rPr>
                            <w:sz w:val="20"/>
                          </w:rPr>
                          <w:t>100</w:t>
                        </w:r>
                      </w:p>
                    </w:tc>
                  </w:tr>
                </w:tbl>
                <w:p>
                  <w:pPr>
                    <w:pStyle w:val="BodyText"/>
                  </w:pPr>
                </w:p>
              </w:txbxContent>
            </v:textbox>
          </v:shape>
        </w:pict>
      </w:r>
      <w:r>
        <w:rPr>
          <w:rFonts w:ascii="Times New Roman"/>
          <w:sz w:val="20"/>
        </w:rPr>
      </w:r>
    </w:p>
    <w:p>
      <w:pPr>
        <w:pStyle w:val="BodyText"/>
        <w:rPr>
          <w:rFonts w:ascii="Times New Roman"/>
          <w:sz w:val="20"/>
        </w:rPr>
      </w:pPr>
    </w:p>
    <w:p>
      <w:pPr>
        <w:pStyle w:val="BodyText"/>
        <w:spacing w:before="5"/>
        <w:rPr>
          <w:rFonts w:ascii="Times New Roman"/>
          <w:sz w:val="11"/>
        </w:rPr>
      </w:pPr>
      <w:r>
        <w:rPr/>
        <w:pict>
          <v:shape style="position:absolute;margin-left:66.384003pt;margin-top:11.050977pt;width:222.15pt;height:100.3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9"/>
                    <w:gridCol w:w="1349"/>
                    <w:gridCol w:w="1440"/>
                  </w:tblGrid>
                  <w:tr>
                    <w:trPr>
                      <w:trHeight w:val="557" w:hRule="exact"/>
                    </w:trPr>
                    <w:tc>
                      <w:tcPr>
                        <w:tcW w:w="1639" w:type="dxa"/>
                      </w:tcPr>
                      <w:p>
                        <w:pPr>
                          <w:pStyle w:val="TableParagraph"/>
                          <w:ind w:left="103" w:right="150"/>
                          <w:rPr>
                            <w:sz w:val="20"/>
                          </w:rPr>
                        </w:pPr>
                        <w:r>
                          <w:rPr>
                            <w:sz w:val="20"/>
                          </w:rPr>
                          <w:t>Incisivo central inferior der</w:t>
                        </w:r>
                      </w:p>
                    </w:tc>
                    <w:tc>
                      <w:tcPr>
                        <w:tcW w:w="1349" w:type="dxa"/>
                      </w:tcPr>
                      <w:p>
                        <w:pPr>
                          <w:pStyle w:val="TableParagraph"/>
                          <w:ind w:left="100" w:right="96"/>
                          <w:rPr>
                            <w:sz w:val="20"/>
                          </w:rPr>
                        </w:pPr>
                        <w:r>
                          <w:rPr>
                            <w:sz w:val="20"/>
                          </w:rPr>
                          <w:t>Porciento en peso total</w:t>
                        </w:r>
                      </w:p>
                    </w:tc>
                    <w:tc>
                      <w:tcPr>
                        <w:tcW w:w="1440" w:type="dxa"/>
                      </w:tcPr>
                      <w:p>
                        <w:pPr>
                          <w:pStyle w:val="TableParagraph"/>
                          <w:ind w:left="103" w:right="117"/>
                          <w:rPr>
                            <w:sz w:val="20"/>
                          </w:rPr>
                        </w:pPr>
                        <w:r>
                          <w:rPr>
                            <w:sz w:val="20"/>
                          </w:rPr>
                          <w:t>Porciento en peso atómico</w:t>
                        </w:r>
                      </w:p>
                    </w:tc>
                  </w:tr>
                  <w:tr>
                    <w:trPr>
                      <w:trHeight w:val="240" w:hRule="exact"/>
                    </w:trPr>
                    <w:tc>
                      <w:tcPr>
                        <w:tcW w:w="1639" w:type="dxa"/>
                      </w:tcPr>
                      <w:p>
                        <w:pPr>
                          <w:pStyle w:val="TableParagraph"/>
                          <w:spacing w:line="227" w:lineRule="exact"/>
                          <w:ind w:left="103"/>
                          <w:rPr>
                            <w:sz w:val="20"/>
                          </w:rPr>
                        </w:pPr>
                        <w:r>
                          <w:rPr>
                            <w:w w:val="99"/>
                            <w:sz w:val="20"/>
                          </w:rPr>
                          <w:t>C</w:t>
                        </w:r>
                      </w:p>
                    </w:tc>
                    <w:tc>
                      <w:tcPr>
                        <w:tcW w:w="1349" w:type="dxa"/>
                      </w:tcPr>
                      <w:p>
                        <w:pPr>
                          <w:pStyle w:val="TableParagraph"/>
                          <w:spacing w:line="227" w:lineRule="exact"/>
                          <w:ind w:left="100" w:right="96"/>
                          <w:rPr>
                            <w:sz w:val="20"/>
                          </w:rPr>
                        </w:pPr>
                        <w:r>
                          <w:rPr>
                            <w:sz w:val="20"/>
                          </w:rPr>
                          <w:t>41.00</w:t>
                        </w:r>
                      </w:p>
                    </w:tc>
                    <w:tc>
                      <w:tcPr>
                        <w:tcW w:w="1440" w:type="dxa"/>
                      </w:tcPr>
                      <w:p>
                        <w:pPr>
                          <w:pStyle w:val="TableParagraph"/>
                          <w:spacing w:line="227" w:lineRule="exact"/>
                          <w:ind w:left="103" w:right="117"/>
                          <w:rPr>
                            <w:sz w:val="20"/>
                          </w:rPr>
                        </w:pPr>
                        <w:r>
                          <w:rPr>
                            <w:sz w:val="20"/>
                          </w:rPr>
                          <w:t>59.12</w:t>
                        </w:r>
                      </w:p>
                    </w:tc>
                  </w:tr>
                  <w:tr>
                    <w:trPr>
                      <w:trHeight w:val="240" w:hRule="exact"/>
                    </w:trPr>
                    <w:tc>
                      <w:tcPr>
                        <w:tcW w:w="1639" w:type="dxa"/>
                      </w:tcPr>
                      <w:p>
                        <w:pPr>
                          <w:pStyle w:val="TableParagraph"/>
                          <w:spacing w:line="227" w:lineRule="exact"/>
                          <w:ind w:left="103"/>
                          <w:rPr>
                            <w:sz w:val="20"/>
                          </w:rPr>
                        </w:pPr>
                        <w:r>
                          <w:rPr>
                            <w:w w:val="99"/>
                            <w:sz w:val="20"/>
                          </w:rPr>
                          <w:t>O</w:t>
                        </w:r>
                      </w:p>
                    </w:tc>
                    <w:tc>
                      <w:tcPr>
                        <w:tcW w:w="1349" w:type="dxa"/>
                      </w:tcPr>
                      <w:p>
                        <w:pPr>
                          <w:pStyle w:val="TableParagraph"/>
                          <w:spacing w:line="227" w:lineRule="exact"/>
                          <w:ind w:left="100" w:right="96"/>
                          <w:rPr>
                            <w:sz w:val="20"/>
                          </w:rPr>
                        </w:pPr>
                        <w:r>
                          <w:rPr>
                            <w:sz w:val="20"/>
                          </w:rPr>
                          <w:t>33.70</w:t>
                        </w:r>
                      </w:p>
                    </w:tc>
                    <w:tc>
                      <w:tcPr>
                        <w:tcW w:w="1440" w:type="dxa"/>
                      </w:tcPr>
                      <w:p>
                        <w:pPr>
                          <w:pStyle w:val="TableParagraph"/>
                          <w:spacing w:line="227" w:lineRule="exact"/>
                          <w:ind w:left="103" w:right="117"/>
                          <w:rPr>
                            <w:sz w:val="20"/>
                          </w:rPr>
                        </w:pPr>
                        <w:r>
                          <w:rPr>
                            <w:sz w:val="20"/>
                          </w:rPr>
                          <w:t>31.51</w:t>
                        </w:r>
                      </w:p>
                    </w:tc>
                  </w:tr>
                  <w:tr>
                    <w:trPr>
                      <w:trHeight w:val="240" w:hRule="exact"/>
                    </w:trPr>
                    <w:tc>
                      <w:tcPr>
                        <w:tcW w:w="1639" w:type="dxa"/>
                      </w:tcPr>
                      <w:p>
                        <w:pPr>
                          <w:pStyle w:val="TableParagraph"/>
                          <w:spacing w:line="227" w:lineRule="exact"/>
                          <w:ind w:left="103"/>
                          <w:rPr>
                            <w:sz w:val="20"/>
                          </w:rPr>
                        </w:pPr>
                        <w:r>
                          <w:rPr>
                            <w:w w:val="99"/>
                            <w:sz w:val="20"/>
                          </w:rPr>
                          <w:t>P</w:t>
                        </w:r>
                      </w:p>
                    </w:tc>
                    <w:tc>
                      <w:tcPr>
                        <w:tcW w:w="1349" w:type="dxa"/>
                      </w:tcPr>
                      <w:p>
                        <w:pPr>
                          <w:pStyle w:val="TableParagraph"/>
                          <w:spacing w:line="227" w:lineRule="exact"/>
                          <w:ind w:left="100" w:right="96"/>
                          <w:rPr>
                            <w:sz w:val="20"/>
                          </w:rPr>
                        </w:pPr>
                        <w:r>
                          <w:rPr>
                            <w:sz w:val="20"/>
                          </w:rPr>
                          <w:t>6.00</w:t>
                        </w:r>
                      </w:p>
                    </w:tc>
                    <w:tc>
                      <w:tcPr>
                        <w:tcW w:w="1440" w:type="dxa"/>
                      </w:tcPr>
                      <w:p>
                        <w:pPr>
                          <w:pStyle w:val="TableParagraph"/>
                          <w:spacing w:line="227" w:lineRule="exact"/>
                          <w:ind w:left="103" w:right="117"/>
                          <w:rPr>
                            <w:sz w:val="20"/>
                          </w:rPr>
                        </w:pPr>
                        <w:r>
                          <w:rPr>
                            <w:sz w:val="20"/>
                          </w:rPr>
                          <w:t>3.11</w:t>
                        </w:r>
                      </w:p>
                    </w:tc>
                  </w:tr>
                  <w:tr>
                    <w:trPr>
                      <w:trHeight w:val="241" w:hRule="exact"/>
                    </w:trPr>
                    <w:tc>
                      <w:tcPr>
                        <w:tcW w:w="1639" w:type="dxa"/>
                      </w:tcPr>
                      <w:p>
                        <w:pPr>
                          <w:pStyle w:val="TableParagraph"/>
                          <w:spacing w:line="228" w:lineRule="exact"/>
                          <w:ind w:left="103" w:right="150"/>
                          <w:rPr>
                            <w:sz w:val="20"/>
                          </w:rPr>
                        </w:pPr>
                        <w:r>
                          <w:rPr>
                            <w:sz w:val="20"/>
                          </w:rPr>
                          <w:t>Ca</w:t>
                        </w:r>
                      </w:p>
                    </w:tc>
                    <w:tc>
                      <w:tcPr>
                        <w:tcW w:w="1349" w:type="dxa"/>
                      </w:tcPr>
                      <w:p>
                        <w:pPr>
                          <w:pStyle w:val="TableParagraph"/>
                          <w:spacing w:line="228" w:lineRule="exact"/>
                          <w:ind w:left="100" w:right="96"/>
                          <w:rPr>
                            <w:sz w:val="20"/>
                          </w:rPr>
                        </w:pPr>
                        <w:r>
                          <w:rPr>
                            <w:sz w:val="20"/>
                          </w:rPr>
                          <w:t>14.97</w:t>
                        </w:r>
                      </w:p>
                    </w:tc>
                    <w:tc>
                      <w:tcPr>
                        <w:tcW w:w="1440" w:type="dxa"/>
                      </w:tcPr>
                      <w:p>
                        <w:pPr>
                          <w:pStyle w:val="TableParagraph"/>
                          <w:spacing w:line="228" w:lineRule="exact"/>
                          <w:ind w:left="103" w:right="117"/>
                          <w:rPr>
                            <w:sz w:val="20"/>
                          </w:rPr>
                        </w:pPr>
                        <w:r>
                          <w:rPr>
                            <w:sz w:val="20"/>
                          </w:rPr>
                          <w:t>5.65</w:t>
                        </w:r>
                      </w:p>
                    </w:tc>
                  </w:tr>
                  <w:tr>
                    <w:trPr>
                      <w:trHeight w:val="240" w:hRule="exact"/>
                    </w:trPr>
                    <w:tc>
                      <w:tcPr>
                        <w:tcW w:w="1639" w:type="dxa"/>
                      </w:tcPr>
                      <w:p>
                        <w:pPr>
                          <w:pStyle w:val="TableParagraph"/>
                          <w:spacing w:line="227" w:lineRule="exact"/>
                          <w:ind w:left="103" w:right="150"/>
                          <w:rPr>
                            <w:sz w:val="20"/>
                          </w:rPr>
                        </w:pPr>
                        <w:r>
                          <w:rPr>
                            <w:sz w:val="20"/>
                          </w:rPr>
                          <w:t>Ag</w:t>
                        </w:r>
                      </w:p>
                    </w:tc>
                    <w:tc>
                      <w:tcPr>
                        <w:tcW w:w="1349" w:type="dxa"/>
                      </w:tcPr>
                      <w:p>
                        <w:pPr>
                          <w:pStyle w:val="TableParagraph"/>
                          <w:spacing w:line="227" w:lineRule="exact"/>
                          <w:ind w:left="100" w:right="96"/>
                          <w:rPr>
                            <w:sz w:val="20"/>
                          </w:rPr>
                        </w:pPr>
                        <w:r>
                          <w:rPr>
                            <w:sz w:val="20"/>
                          </w:rPr>
                          <w:t>4.33</w:t>
                        </w:r>
                      </w:p>
                    </w:tc>
                    <w:tc>
                      <w:tcPr>
                        <w:tcW w:w="1440" w:type="dxa"/>
                      </w:tcPr>
                      <w:p>
                        <w:pPr>
                          <w:pStyle w:val="TableParagraph"/>
                          <w:spacing w:line="227" w:lineRule="exact"/>
                          <w:ind w:left="103" w:right="117"/>
                          <w:rPr>
                            <w:sz w:val="20"/>
                          </w:rPr>
                        </w:pPr>
                        <w:r>
                          <w:rPr>
                            <w:sz w:val="20"/>
                          </w:rPr>
                          <w:t>0.61</w:t>
                        </w:r>
                      </w:p>
                    </w:tc>
                  </w:tr>
                  <w:tr>
                    <w:trPr>
                      <w:trHeight w:val="240" w:hRule="exact"/>
                    </w:trPr>
                    <w:tc>
                      <w:tcPr>
                        <w:tcW w:w="1639" w:type="dxa"/>
                      </w:tcPr>
                      <w:p>
                        <w:pPr>
                          <w:pStyle w:val="TableParagraph"/>
                          <w:spacing w:line="227" w:lineRule="exact"/>
                          <w:ind w:left="103" w:right="150"/>
                          <w:rPr>
                            <w:sz w:val="20"/>
                          </w:rPr>
                        </w:pPr>
                        <w:r>
                          <w:rPr>
                            <w:sz w:val="20"/>
                          </w:rPr>
                          <w:t>TOTAL</w:t>
                        </w:r>
                      </w:p>
                    </w:tc>
                    <w:tc>
                      <w:tcPr>
                        <w:tcW w:w="1349" w:type="dxa"/>
                      </w:tcPr>
                      <w:p>
                        <w:pPr>
                          <w:pStyle w:val="TableParagraph"/>
                          <w:spacing w:line="227" w:lineRule="exact"/>
                          <w:ind w:left="100" w:right="96"/>
                          <w:rPr>
                            <w:sz w:val="20"/>
                          </w:rPr>
                        </w:pPr>
                        <w:r>
                          <w:rPr>
                            <w:sz w:val="20"/>
                          </w:rPr>
                          <w:t>100</w:t>
                        </w:r>
                      </w:p>
                    </w:tc>
                    <w:tc>
                      <w:tcPr>
                        <w:tcW w:w="1440" w:type="dxa"/>
                      </w:tcPr>
                      <w:p>
                        <w:pPr>
                          <w:pStyle w:val="TableParagraph"/>
                          <w:spacing w:line="227" w:lineRule="exact"/>
                          <w:ind w:left="103" w:right="117"/>
                          <w:rPr>
                            <w:sz w:val="20"/>
                          </w:rPr>
                        </w:pPr>
                        <w:r>
                          <w:rPr>
                            <w:sz w:val="20"/>
                          </w:rPr>
                          <w:t>100</w:t>
                        </w:r>
                      </w:p>
                    </w:tc>
                  </w:tr>
                </w:tbl>
                <w:p>
                  <w:pPr>
                    <w:pStyle w:val="BodyText"/>
                  </w:pPr>
                </w:p>
              </w:txbxContent>
            </v:textbox>
            <w10:wrap type="topAndBottom"/>
          </v:shape>
        </w:pict>
      </w:r>
      <w:r>
        <w:rPr/>
        <w:pict>
          <v:shape style="position:absolute;margin-left:323.809998pt;margin-top:8.530976pt;width:222.2pt;height:96.0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0"/>
                    <w:gridCol w:w="1349"/>
                    <w:gridCol w:w="1440"/>
                  </w:tblGrid>
                  <w:tr>
                    <w:trPr>
                      <w:trHeight w:val="470" w:hRule="exact"/>
                    </w:trPr>
                    <w:tc>
                      <w:tcPr>
                        <w:tcW w:w="1640" w:type="dxa"/>
                      </w:tcPr>
                      <w:p>
                        <w:pPr>
                          <w:pStyle w:val="TableParagraph"/>
                          <w:ind w:left="103" w:right="150"/>
                          <w:rPr>
                            <w:sz w:val="20"/>
                          </w:rPr>
                        </w:pPr>
                        <w:r>
                          <w:rPr>
                            <w:sz w:val="20"/>
                          </w:rPr>
                          <w:t>Segundo molar inferior der</w:t>
                        </w:r>
                      </w:p>
                    </w:tc>
                    <w:tc>
                      <w:tcPr>
                        <w:tcW w:w="1349" w:type="dxa"/>
                      </w:tcPr>
                      <w:p>
                        <w:pPr>
                          <w:pStyle w:val="TableParagraph"/>
                          <w:ind w:left="100" w:right="96"/>
                          <w:rPr>
                            <w:sz w:val="20"/>
                          </w:rPr>
                        </w:pPr>
                        <w:r>
                          <w:rPr>
                            <w:sz w:val="20"/>
                          </w:rPr>
                          <w:t>Porciento en peso total</w:t>
                        </w:r>
                      </w:p>
                    </w:tc>
                    <w:tc>
                      <w:tcPr>
                        <w:tcW w:w="1440" w:type="dxa"/>
                      </w:tcPr>
                      <w:p>
                        <w:pPr>
                          <w:pStyle w:val="TableParagraph"/>
                          <w:ind w:left="103" w:right="117"/>
                          <w:rPr>
                            <w:sz w:val="20"/>
                          </w:rPr>
                        </w:pPr>
                        <w:r>
                          <w:rPr>
                            <w:sz w:val="20"/>
                          </w:rPr>
                          <w:t>Porciento en peso atómico</w:t>
                        </w:r>
                      </w:p>
                    </w:tc>
                  </w:tr>
                  <w:tr>
                    <w:trPr>
                      <w:trHeight w:val="240" w:hRule="exact"/>
                    </w:trPr>
                    <w:tc>
                      <w:tcPr>
                        <w:tcW w:w="1640" w:type="dxa"/>
                      </w:tcPr>
                      <w:p>
                        <w:pPr>
                          <w:pStyle w:val="TableParagraph"/>
                          <w:spacing w:line="227" w:lineRule="exact"/>
                          <w:ind w:left="103"/>
                          <w:rPr>
                            <w:sz w:val="20"/>
                          </w:rPr>
                        </w:pPr>
                        <w:r>
                          <w:rPr>
                            <w:w w:val="99"/>
                            <w:sz w:val="20"/>
                          </w:rPr>
                          <w:t>C</w:t>
                        </w:r>
                      </w:p>
                    </w:tc>
                    <w:tc>
                      <w:tcPr>
                        <w:tcW w:w="1349" w:type="dxa"/>
                      </w:tcPr>
                      <w:p>
                        <w:pPr>
                          <w:pStyle w:val="TableParagraph"/>
                          <w:spacing w:line="227" w:lineRule="exact"/>
                          <w:ind w:left="100" w:right="96"/>
                          <w:rPr>
                            <w:sz w:val="20"/>
                          </w:rPr>
                        </w:pPr>
                        <w:r>
                          <w:rPr>
                            <w:sz w:val="20"/>
                          </w:rPr>
                          <w:t>43.21</w:t>
                        </w:r>
                      </w:p>
                    </w:tc>
                    <w:tc>
                      <w:tcPr>
                        <w:tcW w:w="1440" w:type="dxa"/>
                      </w:tcPr>
                      <w:p>
                        <w:pPr>
                          <w:pStyle w:val="TableParagraph"/>
                          <w:spacing w:line="227" w:lineRule="exact"/>
                          <w:ind w:left="103" w:right="117"/>
                          <w:rPr>
                            <w:sz w:val="20"/>
                          </w:rPr>
                        </w:pPr>
                        <w:r>
                          <w:rPr>
                            <w:sz w:val="20"/>
                          </w:rPr>
                          <w:t>59.22</w:t>
                        </w:r>
                      </w:p>
                    </w:tc>
                  </w:tr>
                  <w:tr>
                    <w:trPr>
                      <w:trHeight w:val="240" w:hRule="exact"/>
                    </w:trPr>
                    <w:tc>
                      <w:tcPr>
                        <w:tcW w:w="1640" w:type="dxa"/>
                      </w:tcPr>
                      <w:p>
                        <w:pPr>
                          <w:pStyle w:val="TableParagraph"/>
                          <w:spacing w:line="227" w:lineRule="exact"/>
                          <w:ind w:left="103"/>
                          <w:rPr>
                            <w:sz w:val="20"/>
                          </w:rPr>
                        </w:pPr>
                        <w:r>
                          <w:rPr>
                            <w:w w:val="99"/>
                            <w:sz w:val="20"/>
                          </w:rPr>
                          <w:t>O</w:t>
                        </w:r>
                      </w:p>
                    </w:tc>
                    <w:tc>
                      <w:tcPr>
                        <w:tcW w:w="1349" w:type="dxa"/>
                      </w:tcPr>
                      <w:p>
                        <w:pPr>
                          <w:pStyle w:val="TableParagraph"/>
                          <w:spacing w:line="227" w:lineRule="exact"/>
                          <w:ind w:left="100" w:right="96"/>
                          <w:rPr>
                            <w:sz w:val="20"/>
                          </w:rPr>
                        </w:pPr>
                        <w:r>
                          <w:rPr>
                            <w:sz w:val="20"/>
                          </w:rPr>
                          <w:t>30.52</w:t>
                        </w:r>
                      </w:p>
                    </w:tc>
                    <w:tc>
                      <w:tcPr>
                        <w:tcW w:w="1440" w:type="dxa"/>
                      </w:tcPr>
                      <w:p>
                        <w:pPr>
                          <w:pStyle w:val="TableParagraph"/>
                          <w:spacing w:line="227" w:lineRule="exact"/>
                          <w:ind w:left="103" w:right="117"/>
                          <w:rPr>
                            <w:sz w:val="20"/>
                          </w:rPr>
                        </w:pPr>
                        <w:r>
                          <w:rPr>
                            <w:sz w:val="20"/>
                          </w:rPr>
                          <w:t>31.42</w:t>
                        </w:r>
                      </w:p>
                    </w:tc>
                  </w:tr>
                  <w:tr>
                    <w:trPr>
                      <w:trHeight w:val="240" w:hRule="exact"/>
                    </w:trPr>
                    <w:tc>
                      <w:tcPr>
                        <w:tcW w:w="1640" w:type="dxa"/>
                      </w:tcPr>
                      <w:p>
                        <w:pPr>
                          <w:pStyle w:val="TableParagraph"/>
                          <w:spacing w:line="227" w:lineRule="exact"/>
                          <w:ind w:left="103"/>
                          <w:rPr>
                            <w:sz w:val="20"/>
                          </w:rPr>
                        </w:pPr>
                        <w:r>
                          <w:rPr>
                            <w:w w:val="99"/>
                            <w:sz w:val="20"/>
                          </w:rPr>
                          <w:t>P</w:t>
                        </w:r>
                      </w:p>
                    </w:tc>
                    <w:tc>
                      <w:tcPr>
                        <w:tcW w:w="1349" w:type="dxa"/>
                      </w:tcPr>
                      <w:p>
                        <w:pPr>
                          <w:pStyle w:val="TableParagraph"/>
                          <w:spacing w:line="227" w:lineRule="exact"/>
                          <w:ind w:left="100" w:right="96"/>
                          <w:rPr>
                            <w:sz w:val="20"/>
                          </w:rPr>
                        </w:pPr>
                        <w:r>
                          <w:rPr>
                            <w:sz w:val="20"/>
                          </w:rPr>
                          <w:t>6.98</w:t>
                        </w:r>
                      </w:p>
                    </w:tc>
                    <w:tc>
                      <w:tcPr>
                        <w:tcW w:w="1440" w:type="dxa"/>
                      </w:tcPr>
                      <w:p>
                        <w:pPr>
                          <w:pStyle w:val="TableParagraph"/>
                          <w:spacing w:line="227" w:lineRule="exact"/>
                          <w:ind w:left="103" w:right="117"/>
                          <w:rPr>
                            <w:sz w:val="20"/>
                          </w:rPr>
                        </w:pPr>
                        <w:r>
                          <w:rPr>
                            <w:sz w:val="20"/>
                          </w:rPr>
                          <w:t>3.66</w:t>
                        </w:r>
                      </w:p>
                    </w:tc>
                  </w:tr>
                  <w:tr>
                    <w:trPr>
                      <w:trHeight w:val="241" w:hRule="exact"/>
                    </w:trPr>
                    <w:tc>
                      <w:tcPr>
                        <w:tcW w:w="1640" w:type="dxa"/>
                      </w:tcPr>
                      <w:p>
                        <w:pPr>
                          <w:pStyle w:val="TableParagraph"/>
                          <w:spacing w:line="227" w:lineRule="exact"/>
                          <w:ind w:left="103" w:right="117"/>
                          <w:rPr>
                            <w:sz w:val="20"/>
                          </w:rPr>
                        </w:pPr>
                        <w:r>
                          <w:rPr>
                            <w:sz w:val="20"/>
                          </w:rPr>
                          <w:t>Ca</w:t>
                        </w:r>
                      </w:p>
                    </w:tc>
                    <w:tc>
                      <w:tcPr>
                        <w:tcW w:w="1349" w:type="dxa"/>
                      </w:tcPr>
                      <w:p>
                        <w:pPr>
                          <w:pStyle w:val="TableParagraph"/>
                          <w:spacing w:line="227" w:lineRule="exact"/>
                          <w:ind w:left="100" w:right="96"/>
                          <w:rPr>
                            <w:sz w:val="20"/>
                          </w:rPr>
                        </w:pPr>
                        <w:r>
                          <w:rPr>
                            <w:sz w:val="20"/>
                          </w:rPr>
                          <w:t>12.51</w:t>
                        </w:r>
                      </w:p>
                    </w:tc>
                    <w:tc>
                      <w:tcPr>
                        <w:tcW w:w="1440" w:type="dxa"/>
                      </w:tcPr>
                      <w:p>
                        <w:pPr>
                          <w:pStyle w:val="TableParagraph"/>
                          <w:spacing w:line="227" w:lineRule="exact"/>
                          <w:ind w:left="103" w:right="117"/>
                          <w:rPr>
                            <w:sz w:val="20"/>
                          </w:rPr>
                        </w:pPr>
                        <w:r>
                          <w:rPr>
                            <w:sz w:val="20"/>
                          </w:rPr>
                          <w:t>4.51</w:t>
                        </w:r>
                      </w:p>
                    </w:tc>
                  </w:tr>
                  <w:tr>
                    <w:trPr>
                      <w:trHeight w:val="240" w:hRule="exact"/>
                    </w:trPr>
                    <w:tc>
                      <w:tcPr>
                        <w:tcW w:w="1640" w:type="dxa"/>
                      </w:tcPr>
                      <w:p>
                        <w:pPr>
                          <w:pStyle w:val="TableParagraph"/>
                          <w:spacing w:line="227" w:lineRule="exact"/>
                          <w:ind w:left="103" w:right="117"/>
                          <w:rPr>
                            <w:sz w:val="20"/>
                          </w:rPr>
                        </w:pPr>
                        <w:r>
                          <w:rPr>
                            <w:sz w:val="20"/>
                          </w:rPr>
                          <w:t>Ag</w:t>
                        </w:r>
                      </w:p>
                    </w:tc>
                    <w:tc>
                      <w:tcPr>
                        <w:tcW w:w="1349" w:type="dxa"/>
                      </w:tcPr>
                      <w:p>
                        <w:pPr>
                          <w:pStyle w:val="TableParagraph"/>
                          <w:spacing w:line="227" w:lineRule="exact"/>
                          <w:ind w:left="100" w:right="96"/>
                          <w:rPr>
                            <w:sz w:val="20"/>
                          </w:rPr>
                        </w:pPr>
                        <w:r>
                          <w:rPr>
                            <w:sz w:val="20"/>
                          </w:rPr>
                          <w:t>6.78</w:t>
                        </w:r>
                      </w:p>
                    </w:tc>
                    <w:tc>
                      <w:tcPr>
                        <w:tcW w:w="1440" w:type="dxa"/>
                      </w:tcPr>
                      <w:p>
                        <w:pPr>
                          <w:pStyle w:val="TableParagraph"/>
                          <w:spacing w:line="227" w:lineRule="exact"/>
                          <w:ind w:left="103" w:right="117"/>
                          <w:rPr>
                            <w:sz w:val="20"/>
                          </w:rPr>
                        </w:pPr>
                        <w:r>
                          <w:rPr>
                            <w:sz w:val="20"/>
                          </w:rPr>
                          <w:t>1.19</w:t>
                        </w:r>
                      </w:p>
                    </w:tc>
                  </w:tr>
                  <w:tr>
                    <w:trPr>
                      <w:trHeight w:val="240" w:hRule="exact"/>
                    </w:trPr>
                    <w:tc>
                      <w:tcPr>
                        <w:tcW w:w="1640" w:type="dxa"/>
                      </w:tcPr>
                      <w:p>
                        <w:pPr>
                          <w:pStyle w:val="TableParagraph"/>
                          <w:spacing w:line="227" w:lineRule="exact"/>
                          <w:ind w:left="103" w:right="117"/>
                          <w:rPr>
                            <w:sz w:val="20"/>
                          </w:rPr>
                        </w:pPr>
                        <w:r>
                          <w:rPr>
                            <w:sz w:val="20"/>
                          </w:rPr>
                          <w:t>TOTAL</w:t>
                        </w:r>
                      </w:p>
                    </w:tc>
                    <w:tc>
                      <w:tcPr>
                        <w:tcW w:w="1349" w:type="dxa"/>
                      </w:tcPr>
                      <w:p>
                        <w:pPr>
                          <w:pStyle w:val="TableParagraph"/>
                          <w:spacing w:line="227" w:lineRule="exact"/>
                          <w:ind w:left="100" w:right="96"/>
                          <w:rPr>
                            <w:sz w:val="20"/>
                          </w:rPr>
                        </w:pPr>
                        <w:r>
                          <w:rPr>
                            <w:sz w:val="20"/>
                          </w:rPr>
                          <w:t>100</w:t>
                        </w:r>
                      </w:p>
                    </w:tc>
                    <w:tc>
                      <w:tcPr>
                        <w:tcW w:w="1440" w:type="dxa"/>
                      </w:tcPr>
                      <w:p>
                        <w:pPr>
                          <w:pStyle w:val="TableParagraph"/>
                          <w:spacing w:line="227" w:lineRule="exact"/>
                          <w:ind w:left="103" w:right="117"/>
                          <w:rPr>
                            <w:sz w:val="20"/>
                          </w:rPr>
                        </w:pPr>
                        <w:r>
                          <w:rPr>
                            <w:sz w:val="20"/>
                          </w:rPr>
                          <w:t>100</w:t>
                        </w:r>
                      </w:p>
                    </w:tc>
                  </w:tr>
                </w:tbl>
                <w:p>
                  <w:pPr>
                    <w:pStyle w:val="BodyText"/>
                  </w:pPr>
                </w:p>
              </w:txbxContent>
            </v:textbox>
            <w10:wrap type="topAndBottom"/>
          </v:shape>
        </w:pict>
      </w:r>
      <w:r>
        <w:rPr/>
        <w:pict>
          <v:shape style="position:absolute;margin-left:66.384003pt;margin-top:134.681pt;width:222.15pt;height:96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9"/>
                    <w:gridCol w:w="1349"/>
                    <w:gridCol w:w="1440"/>
                  </w:tblGrid>
                  <w:tr>
                    <w:trPr>
                      <w:trHeight w:val="468" w:hRule="exact"/>
                    </w:trPr>
                    <w:tc>
                      <w:tcPr>
                        <w:tcW w:w="1639" w:type="dxa"/>
                      </w:tcPr>
                      <w:p>
                        <w:pPr>
                          <w:pStyle w:val="TableParagraph"/>
                          <w:ind w:left="103" w:right="150"/>
                          <w:rPr>
                            <w:sz w:val="20"/>
                          </w:rPr>
                        </w:pPr>
                        <w:r>
                          <w:rPr>
                            <w:sz w:val="20"/>
                          </w:rPr>
                          <w:t>Incisivo central superior der</w:t>
                        </w:r>
                      </w:p>
                    </w:tc>
                    <w:tc>
                      <w:tcPr>
                        <w:tcW w:w="1349" w:type="dxa"/>
                      </w:tcPr>
                      <w:p>
                        <w:pPr>
                          <w:pStyle w:val="TableParagraph"/>
                          <w:ind w:left="100" w:right="96"/>
                          <w:rPr>
                            <w:sz w:val="20"/>
                          </w:rPr>
                        </w:pPr>
                        <w:r>
                          <w:rPr>
                            <w:sz w:val="20"/>
                          </w:rPr>
                          <w:t>Porciento en peso total</w:t>
                        </w:r>
                      </w:p>
                    </w:tc>
                    <w:tc>
                      <w:tcPr>
                        <w:tcW w:w="1440" w:type="dxa"/>
                      </w:tcPr>
                      <w:p>
                        <w:pPr>
                          <w:pStyle w:val="TableParagraph"/>
                          <w:ind w:left="103" w:right="117"/>
                          <w:rPr>
                            <w:sz w:val="20"/>
                          </w:rPr>
                        </w:pPr>
                        <w:r>
                          <w:rPr>
                            <w:sz w:val="20"/>
                          </w:rPr>
                          <w:t>Porciento en peso atómico</w:t>
                        </w:r>
                      </w:p>
                    </w:tc>
                  </w:tr>
                  <w:tr>
                    <w:trPr>
                      <w:trHeight w:val="240" w:hRule="exact"/>
                    </w:trPr>
                    <w:tc>
                      <w:tcPr>
                        <w:tcW w:w="1639" w:type="dxa"/>
                      </w:tcPr>
                      <w:p>
                        <w:pPr>
                          <w:pStyle w:val="TableParagraph"/>
                          <w:spacing w:line="230" w:lineRule="exact"/>
                          <w:ind w:left="103"/>
                          <w:rPr>
                            <w:sz w:val="20"/>
                          </w:rPr>
                        </w:pPr>
                        <w:r>
                          <w:rPr>
                            <w:w w:val="99"/>
                            <w:sz w:val="20"/>
                          </w:rPr>
                          <w:t>C</w:t>
                        </w:r>
                      </w:p>
                    </w:tc>
                    <w:tc>
                      <w:tcPr>
                        <w:tcW w:w="1349" w:type="dxa"/>
                      </w:tcPr>
                      <w:p>
                        <w:pPr>
                          <w:pStyle w:val="TableParagraph"/>
                          <w:spacing w:line="230" w:lineRule="exact"/>
                          <w:ind w:left="100" w:right="96"/>
                          <w:rPr>
                            <w:sz w:val="20"/>
                          </w:rPr>
                        </w:pPr>
                        <w:r>
                          <w:rPr>
                            <w:sz w:val="20"/>
                          </w:rPr>
                          <w:t>43.73</w:t>
                        </w:r>
                      </w:p>
                    </w:tc>
                    <w:tc>
                      <w:tcPr>
                        <w:tcW w:w="1440" w:type="dxa"/>
                      </w:tcPr>
                      <w:p>
                        <w:pPr>
                          <w:pStyle w:val="TableParagraph"/>
                          <w:spacing w:line="230" w:lineRule="exact"/>
                          <w:ind w:left="103" w:right="117"/>
                          <w:rPr>
                            <w:sz w:val="20"/>
                          </w:rPr>
                        </w:pPr>
                        <w:r>
                          <w:rPr>
                            <w:sz w:val="20"/>
                          </w:rPr>
                          <w:t>59.20</w:t>
                        </w:r>
                      </w:p>
                    </w:tc>
                  </w:tr>
                  <w:tr>
                    <w:trPr>
                      <w:trHeight w:val="240" w:hRule="exact"/>
                    </w:trPr>
                    <w:tc>
                      <w:tcPr>
                        <w:tcW w:w="1639" w:type="dxa"/>
                      </w:tcPr>
                      <w:p>
                        <w:pPr>
                          <w:pStyle w:val="TableParagraph"/>
                          <w:spacing w:line="230" w:lineRule="exact"/>
                          <w:ind w:left="103"/>
                          <w:rPr>
                            <w:sz w:val="20"/>
                          </w:rPr>
                        </w:pPr>
                        <w:r>
                          <w:rPr>
                            <w:w w:val="99"/>
                            <w:sz w:val="20"/>
                          </w:rPr>
                          <w:t>O</w:t>
                        </w:r>
                      </w:p>
                    </w:tc>
                    <w:tc>
                      <w:tcPr>
                        <w:tcW w:w="1349" w:type="dxa"/>
                      </w:tcPr>
                      <w:p>
                        <w:pPr>
                          <w:pStyle w:val="TableParagraph"/>
                          <w:spacing w:line="230" w:lineRule="exact"/>
                          <w:ind w:left="100" w:right="96"/>
                          <w:rPr>
                            <w:sz w:val="20"/>
                          </w:rPr>
                        </w:pPr>
                        <w:r>
                          <w:rPr>
                            <w:sz w:val="20"/>
                          </w:rPr>
                          <w:t>31.88</w:t>
                        </w:r>
                      </w:p>
                    </w:tc>
                    <w:tc>
                      <w:tcPr>
                        <w:tcW w:w="1440" w:type="dxa"/>
                      </w:tcPr>
                      <w:p>
                        <w:pPr>
                          <w:pStyle w:val="TableParagraph"/>
                          <w:spacing w:line="230" w:lineRule="exact"/>
                          <w:ind w:left="103" w:right="117"/>
                          <w:rPr>
                            <w:sz w:val="20"/>
                          </w:rPr>
                        </w:pPr>
                        <w:r>
                          <w:rPr>
                            <w:sz w:val="20"/>
                          </w:rPr>
                          <w:t>31.81</w:t>
                        </w:r>
                      </w:p>
                    </w:tc>
                  </w:tr>
                  <w:tr>
                    <w:trPr>
                      <w:trHeight w:val="240" w:hRule="exact"/>
                    </w:trPr>
                    <w:tc>
                      <w:tcPr>
                        <w:tcW w:w="1639" w:type="dxa"/>
                      </w:tcPr>
                      <w:p>
                        <w:pPr>
                          <w:pStyle w:val="TableParagraph"/>
                          <w:spacing w:line="230" w:lineRule="exact"/>
                          <w:ind w:left="103"/>
                          <w:rPr>
                            <w:sz w:val="20"/>
                          </w:rPr>
                        </w:pPr>
                        <w:r>
                          <w:rPr>
                            <w:w w:val="99"/>
                            <w:sz w:val="20"/>
                          </w:rPr>
                          <w:t>P</w:t>
                        </w:r>
                      </w:p>
                    </w:tc>
                    <w:tc>
                      <w:tcPr>
                        <w:tcW w:w="1349" w:type="dxa"/>
                      </w:tcPr>
                      <w:p>
                        <w:pPr>
                          <w:pStyle w:val="TableParagraph"/>
                          <w:spacing w:line="230" w:lineRule="exact"/>
                          <w:ind w:left="100" w:right="96"/>
                          <w:rPr>
                            <w:sz w:val="20"/>
                          </w:rPr>
                        </w:pPr>
                        <w:r>
                          <w:rPr>
                            <w:sz w:val="20"/>
                          </w:rPr>
                          <w:t>6.73</w:t>
                        </w:r>
                      </w:p>
                    </w:tc>
                    <w:tc>
                      <w:tcPr>
                        <w:tcW w:w="1440" w:type="dxa"/>
                      </w:tcPr>
                      <w:p>
                        <w:pPr>
                          <w:pStyle w:val="TableParagraph"/>
                          <w:spacing w:line="230" w:lineRule="exact"/>
                          <w:ind w:left="103" w:right="117"/>
                          <w:rPr>
                            <w:sz w:val="20"/>
                          </w:rPr>
                        </w:pPr>
                        <w:r>
                          <w:rPr>
                            <w:sz w:val="20"/>
                          </w:rPr>
                          <w:t>3.41</w:t>
                        </w:r>
                      </w:p>
                    </w:tc>
                  </w:tr>
                  <w:tr>
                    <w:trPr>
                      <w:trHeight w:val="240" w:hRule="exact"/>
                    </w:trPr>
                    <w:tc>
                      <w:tcPr>
                        <w:tcW w:w="1639" w:type="dxa"/>
                      </w:tcPr>
                      <w:p>
                        <w:pPr>
                          <w:pStyle w:val="TableParagraph"/>
                          <w:spacing w:line="230" w:lineRule="exact"/>
                          <w:ind w:left="103" w:right="150"/>
                          <w:rPr>
                            <w:sz w:val="20"/>
                          </w:rPr>
                        </w:pPr>
                        <w:r>
                          <w:rPr>
                            <w:sz w:val="20"/>
                          </w:rPr>
                          <w:t>Ca</w:t>
                        </w:r>
                      </w:p>
                    </w:tc>
                    <w:tc>
                      <w:tcPr>
                        <w:tcW w:w="1349" w:type="dxa"/>
                      </w:tcPr>
                      <w:p>
                        <w:pPr>
                          <w:pStyle w:val="TableParagraph"/>
                          <w:spacing w:line="230" w:lineRule="exact"/>
                          <w:ind w:left="100" w:right="96"/>
                          <w:rPr>
                            <w:sz w:val="20"/>
                          </w:rPr>
                        </w:pPr>
                        <w:r>
                          <w:rPr>
                            <w:sz w:val="20"/>
                          </w:rPr>
                          <w:t>12.20</w:t>
                        </w:r>
                      </w:p>
                    </w:tc>
                    <w:tc>
                      <w:tcPr>
                        <w:tcW w:w="1440" w:type="dxa"/>
                      </w:tcPr>
                      <w:p>
                        <w:pPr>
                          <w:pStyle w:val="TableParagraph"/>
                          <w:spacing w:line="230" w:lineRule="exact"/>
                          <w:ind w:left="103" w:right="117"/>
                          <w:rPr>
                            <w:sz w:val="20"/>
                          </w:rPr>
                        </w:pPr>
                        <w:r>
                          <w:rPr>
                            <w:sz w:val="20"/>
                          </w:rPr>
                          <w:t>4.71</w:t>
                        </w:r>
                      </w:p>
                    </w:tc>
                  </w:tr>
                  <w:tr>
                    <w:trPr>
                      <w:trHeight w:val="240" w:hRule="exact"/>
                    </w:trPr>
                    <w:tc>
                      <w:tcPr>
                        <w:tcW w:w="1639" w:type="dxa"/>
                      </w:tcPr>
                      <w:p>
                        <w:pPr>
                          <w:pStyle w:val="TableParagraph"/>
                          <w:spacing w:line="230" w:lineRule="exact"/>
                          <w:ind w:left="103" w:right="150"/>
                          <w:rPr>
                            <w:sz w:val="20"/>
                          </w:rPr>
                        </w:pPr>
                        <w:r>
                          <w:rPr>
                            <w:sz w:val="20"/>
                          </w:rPr>
                          <w:t>Ag</w:t>
                        </w:r>
                      </w:p>
                    </w:tc>
                    <w:tc>
                      <w:tcPr>
                        <w:tcW w:w="1349" w:type="dxa"/>
                      </w:tcPr>
                      <w:p>
                        <w:pPr>
                          <w:pStyle w:val="TableParagraph"/>
                          <w:spacing w:line="230" w:lineRule="exact"/>
                          <w:ind w:left="100" w:right="96"/>
                          <w:rPr>
                            <w:sz w:val="20"/>
                          </w:rPr>
                        </w:pPr>
                        <w:r>
                          <w:rPr>
                            <w:sz w:val="20"/>
                          </w:rPr>
                          <w:t>5.46</w:t>
                        </w:r>
                      </w:p>
                    </w:tc>
                    <w:tc>
                      <w:tcPr>
                        <w:tcW w:w="1440" w:type="dxa"/>
                      </w:tcPr>
                      <w:p>
                        <w:pPr>
                          <w:pStyle w:val="TableParagraph"/>
                          <w:spacing w:line="230" w:lineRule="exact"/>
                          <w:ind w:left="103" w:right="117"/>
                          <w:rPr>
                            <w:sz w:val="20"/>
                          </w:rPr>
                        </w:pPr>
                        <w:r>
                          <w:rPr>
                            <w:sz w:val="20"/>
                          </w:rPr>
                          <w:t>0.87</w:t>
                        </w:r>
                      </w:p>
                    </w:tc>
                  </w:tr>
                  <w:tr>
                    <w:trPr>
                      <w:trHeight w:val="242" w:hRule="exact"/>
                    </w:trPr>
                    <w:tc>
                      <w:tcPr>
                        <w:tcW w:w="1639" w:type="dxa"/>
                      </w:tcPr>
                      <w:p>
                        <w:pPr>
                          <w:pStyle w:val="TableParagraph"/>
                          <w:spacing w:line="230" w:lineRule="exact"/>
                          <w:ind w:left="103" w:right="150"/>
                          <w:rPr>
                            <w:sz w:val="20"/>
                          </w:rPr>
                        </w:pPr>
                        <w:r>
                          <w:rPr>
                            <w:sz w:val="20"/>
                          </w:rPr>
                          <w:t>TOTAL</w:t>
                        </w:r>
                      </w:p>
                    </w:tc>
                    <w:tc>
                      <w:tcPr>
                        <w:tcW w:w="1349" w:type="dxa"/>
                      </w:tcPr>
                      <w:p>
                        <w:pPr>
                          <w:pStyle w:val="TableParagraph"/>
                          <w:spacing w:line="230" w:lineRule="exact"/>
                          <w:ind w:left="100" w:right="96"/>
                          <w:rPr>
                            <w:sz w:val="20"/>
                          </w:rPr>
                        </w:pPr>
                        <w:r>
                          <w:rPr>
                            <w:sz w:val="20"/>
                          </w:rPr>
                          <w:t>100</w:t>
                        </w:r>
                      </w:p>
                    </w:tc>
                    <w:tc>
                      <w:tcPr>
                        <w:tcW w:w="1440" w:type="dxa"/>
                      </w:tcPr>
                      <w:p>
                        <w:pPr>
                          <w:pStyle w:val="TableParagraph"/>
                          <w:spacing w:line="230" w:lineRule="exact"/>
                          <w:ind w:left="103" w:right="117"/>
                          <w:rPr>
                            <w:sz w:val="20"/>
                          </w:rPr>
                        </w:pPr>
                        <w:r>
                          <w:rPr>
                            <w:sz w:val="20"/>
                          </w:rPr>
                          <w:t>100</w:t>
                        </w:r>
                      </w:p>
                    </w:tc>
                  </w:tr>
                </w:tbl>
                <w:p>
                  <w:pPr>
                    <w:pStyle w:val="BodyText"/>
                  </w:pPr>
                </w:p>
              </w:txbxContent>
            </v:textbox>
            <w10:wrap type="topAndBottom"/>
          </v:shape>
        </w:pict>
      </w:r>
      <w:r>
        <w:rPr/>
        <w:pict>
          <v:shape style="position:absolute;margin-left:323.809998pt;margin-top:127.600967pt;width:222.2pt;height:96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0"/>
                    <w:gridCol w:w="1349"/>
                    <w:gridCol w:w="1440"/>
                  </w:tblGrid>
                  <w:tr>
                    <w:trPr>
                      <w:trHeight w:val="470" w:hRule="exact"/>
                    </w:trPr>
                    <w:tc>
                      <w:tcPr>
                        <w:tcW w:w="1640" w:type="dxa"/>
                      </w:tcPr>
                      <w:p>
                        <w:pPr>
                          <w:pStyle w:val="TableParagraph"/>
                          <w:ind w:left="103" w:right="362"/>
                          <w:rPr>
                            <w:sz w:val="20"/>
                          </w:rPr>
                        </w:pPr>
                        <w:r>
                          <w:rPr>
                            <w:sz w:val="20"/>
                          </w:rPr>
                          <w:t>Primer molar superior der</w:t>
                        </w:r>
                      </w:p>
                    </w:tc>
                    <w:tc>
                      <w:tcPr>
                        <w:tcW w:w="1349" w:type="dxa"/>
                      </w:tcPr>
                      <w:p>
                        <w:pPr>
                          <w:pStyle w:val="TableParagraph"/>
                          <w:ind w:left="100" w:right="96"/>
                          <w:rPr>
                            <w:sz w:val="20"/>
                          </w:rPr>
                        </w:pPr>
                        <w:r>
                          <w:rPr>
                            <w:sz w:val="20"/>
                          </w:rPr>
                          <w:t>Porciento en peso total</w:t>
                        </w:r>
                      </w:p>
                    </w:tc>
                    <w:tc>
                      <w:tcPr>
                        <w:tcW w:w="1440" w:type="dxa"/>
                      </w:tcPr>
                      <w:p>
                        <w:pPr>
                          <w:pStyle w:val="TableParagraph"/>
                          <w:ind w:left="103" w:right="117"/>
                          <w:rPr>
                            <w:sz w:val="20"/>
                          </w:rPr>
                        </w:pPr>
                        <w:r>
                          <w:rPr>
                            <w:sz w:val="20"/>
                          </w:rPr>
                          <w:t>Porciento en peso atómico</w:t>
                        </w:r>
                      </w:p>
                    </w:tc>
                  </w:tr>
                  <w:tr>
                    <w:trPr>
                      <w:trHeight w:val="240" w:hRule="exact"/>
                    </w:trPr>
                    <w:tc>
                      <w:tcPr>
                        <w:tcW w:w="1640" w:type="dxa"/>
                      </w:tcPr>
                      <w:p>
                        <w:pPr>
                          <w:pStyle w:val="TableParagraph"/>
                          <w:spacing w:line="227" w:lineRule="exact"/>
                          <w:ind w:left="103"/>
                          <w:rPr>
                            <w:sz w:val="20"/>
                          </w:rPr>
                        </w:pPr>
                        <w:r>
                          <w:rPr>
                            <w:w w:val="99"/>
                            <w:sz w:val="20"/>
                          </w:rPr>
                          <w:t>C</w:t>
                        </w:r>
                      </w:p>
                    </w:tc>
                    <w:tc>
                      <w:tcPr>
                        <w:tcW w:w="1349" w:type="dxa"/>
                      </w:tcPr>
                      <w:p>
                        <w:pPr>
                          <w:pStyle w:val="TableParagraph"/>
                          <w:spacing w:line="227" w:lineRule="exact"/>
                          <w:ind w:left="100" w:right="96"/>
                          <w:rPr>
                            <w:sz w:val="20"/>
                          </w:rPr>
                        </w:pPr>
                        <w:r>
                          <w:rPr>
                            <w:sz w:val="20"/>
                          </w:rPr>
                          <w:t>43.81</w:t>
                        </w:r>
                      </w:p>
                    </w:tc>
                    <w:tc>
                      <w:tcPr>
                        <w:tcW w:w="1440" w:type="dxa"/>
                      </w:tcPr>
                      <w:p>
                        <w:pPr>
                          <w:pStyle w:val="TableParagraph"/>
                          <w:spacing w:line="227" w:lineRule="exact"/>
                          <w:ind w:left="103" w:right="117"/>
                          <w:rPr>
                            <w:sz w:val="20"/>
                          </w:rPr>
                        </w:pPr>
                        <w:r>
                          <w:rPr>
                            <w:sz w:val="20"/>
                          </w:rPr>
                          <w:t>59.31</w:t>
                        </w:r>
                      </w:p>
                    </w:tc>
                  </w:tr>
                  <w:tr>
                    <w:trPr>
                      <w:trHeight w:val="240" w:hRule="exact"/>
                    </w:trPr>
                    <w:tc>
                      <w:tcPr>
                        <w:tcW w:w="1640" w:type="dxa"/>
                      </w:tcPr>
                      <w:p>
                        <w:pPr>
                          <w:pStyle w:val="TableParagraph"/>
                          <w:spacing w:line="227" w:lineRule="exact"/>
                          <w:ind w:left="103"/>
                          <w:rPr>
                            <w:sz w:val="20"/>
                          </w:rPr>
                        </w:pPr>
                        <w:r>
                          <w:rPr>
                            <w:w w:val="99"/>
                            <w:sz w:val="20"/>
                          </w:rPr>
                          <w:t>O</w:t>
                        </w:r>
                      </w:p>
                    </w:tc>
                    <w:tc>
                      <w:tcPr>
                        <w:tcW w:w="1349" w:type="dxa"/>
                      </w:tcPr>
                      <w:p>
                        <w:pPr>
                          <w:pStyle w:val="TableParagraph"/>
                          <w:spacing w:line="227" w:lineRule="exact"/>
                          <w:ind w:left="100" w:right="96"/>
                          <w:rPr>
                            <w:sz w:val="20"/>
                          </w:rPr>
                        </w:pPr>
                        <w:r>
                          <w:rPr>
                            <w:sz w:val="20"/>
                          </w:rPr>
                          <w:t>30.91</w:t>
                        </w:r>
                      </w:p>
                    </w:tc>
                    <w:tc>
                      <w:tcPr>
                        <w:tcW w:w="1440" w:type="dxa"/>
                      </w:tcPr>
                      <w:p>
                        <w:pPr>
                          <w:pStyle w:val="TableParagraph"/>
                          <w:spacing w:line="227" w:lineRule="exact"/>
                          <w:ind w:left="103" w:right="117"/>
                          <w:rPr>
                            <w:sz w:val="20"/>
                          </w:rPr>
                        </w:pPr>
                        <w:r>
                          <w:rPr>
                            <w:sz w:val="20"/>
                          </w:rPr>
                          <w:t>31.31</w:t>
                        </w:r>
                      </w:p>
                    </w:tc>
                  </w:tr>
                  <w:tr>
                    <w:trPr>
                      <w:trHeight w:val="240" w:hRule="exact"/>
                    </w:trPr>
                    <w:tc>
                      <w:tcPr>
                        <w:tcW w:w="1640" w:type="dxa"/>
                      </w:tcPr>
                      <w:p>
                        <w:pPr>
                          <w:pStyle w:val="TableParagraph"/>
                          <w:spacing w:line="227" w:lineRule="exact"/>
                          <w:ind w:left="103"/>
                          <w:rPr>
                            <w:sz w:val="20"/>
                          </w:rPr>
                        </w:pPr>
                        <w:r>
                          <w:rPr>
                            <w:w w:val="99"/>
                            <w:sz w:val="20"/>
                          </w:rPr>
                          <w:t>P</w:t>
                        </w:r>
                      </w:p>
                    </w:tc>
                    <w:tc>
                      <w:tcPr>
                        <w:tcW w:w="1349" w:type="dxa"/>
                      </w:tcPr>
                      <w:p>
                        <w:pPr>
                          <w:pStyle w:val="TableParagraph"/>
                          <w:spacing w:line="227" w:lineRule="exact"/>
                          <w:ind w:left="100" w:right="96"/>
                          <w:rPr>
                            <w:sz w:val="20"/>
                          </w:rPr>
                        </w:pPr>
                        <w:r>
                          <w:rPr>
                            <w:sz w:val="20"/>
                          </w:rPr>
                          <w:t>6.71</w:t>
                        </w:r>
                      </w:p>
                    </w:tc>
                    <w:tc>
                      <w:tcPr>
                        <w:tcW w:w="1440" w:type="dxa"/>
                      </w:tcPr>
                      <w:p>
                        <w:pPr>
                          <w:pStyle w:val="TableParagraph"/>
                          <w:spacing w:line="227" w:lineRule="exact"/>
                          <w:ind w:left="103" w:right="117"/>
                          <w:rPr>
                            <w:sz w:val="20"/>
                          </w:rPr>
                        </w:pPr>
                        <w:r>
                          <w:rPr>
                            <w:sz w:val="20"/>
                          </w:rPr>
                          <w:t>3.48</w:t>
                        </w:r>
                      </w:p>
                    </w:tc>
                  </w:tr>
                  <w:tr>
                    <w:trPr>
                      <w:trHeight w:val="240" w:hRule="exact"/>
                    </w:trPr>
                    <w:tc>
                      <w:tcPr>
                        <w:tcW w:w="1640" w:type="dxa"/>
                      </w:tcPr>
                      <w:p>
                        <w:pPr>
                          <w:pStyle w:val="TableParagraph"/>
                          <w:spacing w:line="227" w:lineRule="exact"/>
                          <w:ind w:left="103" w:right="117"/>
                          <w:rPr>
                            <w:sz w:val="20"/>
                          </w:rPr>
                        </w:pPr>
                        <w:r>
                          <w:rPr>
                            <w:sz w:val="20"/>
                          </w:rPr>
                          <w:t>Ca</w:t>
                        </w:r>
                      </w:p>
                    </w:tc>
                    <w:tc>
                      <w:tcPr>
                        <w:tcW w:w="1349" w:type="dxa"/>
                      </w:tcPr>
                      <w:p>
                        <w:pPr>
                          <w:pStyle w:val="TableParagraph"/>
                          <w:spacing w:line="227" w:lineRule="exact"/>
                          <w:ind w:left="100" w:right="96"/>
                          <w:rPr>
                            <w:sz w:val="20"/>
                          </w:rPr>
                        </w:pPr>
                        <w:r>
                          <w:rPr>
                            <w:sz w:val="20"/>
                          </w:rPr>
                          <w:t>12.11</w:t>
                        </w:r>
                      </w:p>
                    </w:tc>
                    <w:tc>
                      <w:tcPr>
                        <w:tcW w:w="1440" w:type="dxa"/>
                      </w:tcPr>
                      <w:p>
                        <w:pPr>
                          <w:pStyle w:val="TableParagraph"/>
                          <w:spacing w:line="227" w:lineRule="exact"/>
                          <w:ind w:left="103" w:right="117"/>
                          <w:rPr>
                            <w:sz w:val="20"/>
                          </w:rPr>
                        </w:pPr>
                        <w:r>
                          <w:rPr>
                            <w:sz w:val="20"/>
                          </w:rPr>
                          <w:t>4.81</w:t>
                        </w:r>
                      </w:p>
                    </w:tc>
                  </w:tr>
                  <w:tr>
                    <w:trPr>
                      <w:trHeight w:val="238" w:hRule="exact"/>
                    </w:trPr>
                    <w:tc>
                      <w:tcPr>
                        <w:tcW w:w="1640" w:type="dxa"/>
                      </w:tcPr>
                      <w:p>
                        <w:pPr>
                          <w:pStyle w:val="TableParagraph"/>
                          <w:spacing w:line="227" w:lineRule="exact"/>
                          <w:ind w:left="103" w:right="117"/>
                          <w:rPr>
                            <w:sz w:val="20"/>
                          </w:rPr>
                        </w:pPr>
                        <w:r>
                          <w:rPr>
                            <w:sz w:val="20"/>
                          </w:rPr>
                          <w:t>Ag</w:t>
                        </w:r>
                      </w:p>
                    </w:tc>
                    <w:tc>
                      <w:tcPr>
                        <w:tcW w:w="1349" w:type="dxa"/>
                      </w:tcPr>
                      <w:p>
                        <w:pPr>
                          <w:pStyle w:val="TableParagraph"/>
                          <w:spacing w:line="227" w:lineRule="exact"/>
                          <w:ind w:left="100" w:right="96"/>
                          <w:rPr>
                            <w:sz w:val="20"/>
                          </w:rPr>
                        </w:pPr>
                        <w:r>
                          <w:rPr>
                            <w:sz w:val="20"/>
                          </w:rPr>
                          <w:t>6.46</w:t>
                        </w:r>
                      </w:p>
                    </w:tc>
                    <w:tc>
                      <w:tcPr>
                        <w:tcW w:w="1440" w:type="dxa"/>
                      </w:tcPr>
                      <w:p>
                        <w:pPr>
                          <w:pStyle w:val="TableParagraph"/>
                          <w:spacing w:line="227" w:lineRule="exact"/>
                          <w:ind w:left="103" w:right="117"/>
                          <w:rPr>
                            <w:sz w:val="20"/>
                          </w:rPr>
                        </w:pPr>
                        <w:r>
                          <w:rPr>
                            <w:sz w:val="20"/>
                          </w:rPr>
                          <w:t>1.18</w:t>
                        </w:r>
                      </w:p>
                    </w:tc>
                  </w:tr>
                  <w:tr>
                    <w:trPr>
                      <w:trHeight w:val="242" w:hRule="exact"/>
                    </w:trPr>
                    <w:tc>
                      <w:tcPr>
                        <w:tcW w:w="1640" w:type="dxa"/>
                      </w:tcPr>
                      <w:p>
                        <w:pPr>
                          <w:pStyle w:val="TableParagraph"/>
                          <w:spacing w:line="230" w:lineRule="exact"/>
                          <w:ind w:left="103" w:right="117"/>
                          <w:rPr>
                            <w:sz w:val="20"/>
                          </w:rPr>
                        </w:pPr>
                        <w:r>
                          <w:rPr>
                            <w:sz w:val="20"/>
                          </w:rPr>
                          <w:t>TOTAL</w:t>
                        </w:r>
                      </w:p>
                    </w:tc>
                    <w:tc>
                      <w:tcPr>
                        <w:tcW w:w="1349" w:type="dxa"/>
                      </w:tcPr>
                      <w:p>
                        <w:pPr>
                          <w:pStyle w:val="TableParagraph"/>
                          <w:spacing w:line="230" w:lineRule="exact"/>
                          <w:ind w:left="100" w:right="96"/>
                          <w:rPr>
                            <w:sz w:val="20"/>
                          </w:rPr>
                        </w:pPr>
                        <w:r>
                          <w:rPr>
                            <w:sz w:val="20"/>
                          </w:rPr>
                          <w:t>100</w:t>
                        </w:r>
                      </w:p>
                    </w:tc>
                    <w:tc>
                      <w:tcPr>
                        <w:tcW w:w="1440" w:type="dxa"/>
                      </w:tcPr>
                      <w:p>
                        <w:pPr>
                          <w:pStyle w:val="TableParagraph"/>
                          <w:spacing w:line="230" w:lineRule="exact"/>
                          <w:ind w:left="103" w:right="117"/>
                          <w:rPr>
                            <w:sz w:val="20"/>
                          </w:rPr>
                        </w:pPr>
                        <w:r>
                          <w:rPr>
                            <w:sz w:val="20"/>
                          </w:rPr>
                          <w:t>100</w:t>
                        </w:r>
                      </w:p>
                    </w:tc>
                  </w:tr>
                </w:tbl>
                <w:p>
                  <w:pPr>
                    <w:pStyle w:val="BodyText"/>
                  </w:pPr>
                </w:p>
              </w:txbxContent>
            </v:textbox>
            <w10:wrap type="topAndBottom"/>
          </v:shape>
        </w:pict>
      </w:r>
      <w:r>
        <w:rPr/>
        <w:pict>
          <v:shape style="position:absolute;margin-left:66.384003pt;margin-top:253.860962pt;width:222.15pt;height:96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9"/>
                    <w:gridCol w:w="1349"/>
                    <w:gridCol w:w="1440"/>
                  </w:tblGrid>
                  <w:tr>
                    <w:trPr>
                      <w:trHeight w:val="470" w:hRule="exact"/>
                    </w:trPr>
                    <w:tc>
                      <w:tcPr>
                        <w:tcW w:w="1639" w:type="dxa"/>
                      </w:tcPr>
                      <w:p>
                        <w:pPr>
                          <w:pStyle w:val="TableParagraph"/>
                          <w:ind w:left="103" w:right="150"/>
                          <w:rPr>
                            <w:sz w:val="20"/>
                          </w:rPr>
                        </w:pPr>
                        <w:r>
                          <w:rPr>
                            <w:sz w:val="20"/>
                          </w:rPr>
                          <w:t>Segundo molar inferior izq</w:t>
                        </w:r>
                      </w:p>
                    </w:tc>
                    <w:tc>
                      <w:tcPr>
                        <w:tcW w:w="1349" w:type="dxa"/>
                      </w:tcPr>
                      <w:p>
                        <w:pPr>
                          <w:pStyle w:val="TableParagraph"/>
                          <w:ind w:left="100" w:right="96"/>
                          <w:rPr>
                            <w:sz w:val="20"/>
                          </w:rPr>
                        </w:pPr>
                        <w:r>
                          <w:rPr>
                            <w:sz w:val="20"/>
                          </w:rPr>
                          <w:t>Porciento en peso total</w:t>
                        </w:r>
                      </w:p>
                    </w:tc>
                    <w:tc>
                      <w:tcPr>
                        <w:tcW w:w="1440" w:type="dxa"/>
                      </w:tcPr>
                      <w:p>
                        <w:pPr>
                          <w:pStyle w:val="TableParagraph"/>
                          <w:ind w:left="103" w:right="117"/>
                          <w:rPr>
                            <w:sz w:val="20"/>
                          </w:rPr>
                        </w:pPr>
                        <w:r>
                          <w:rPr>
                            <w:sz w:val="20"/>
                          </w:rPr>
                          <w:t>Porciento en peso atómico</w:t>
                        </w:r>
                      </w:p>
                    </w:tc>
                  </w:tr>
                  <w:tr>
                    <w:trPr>
                      <w:trHeight w:val="240" w:hRule="exact"/>
                    </w:trPr>
                    <w:tc>
                      <w:tcPr>
                        <w:tcW w:w="1639" w:type="dxa"/>
                      </w:tcPr>
                      <w:p>
                        <w:pPr>
                          <w:pStyle w:val="TableParagraph"/>
                          <w:spacing w:line="227" w:lineRule="exact"/>
                          <w:ind w:left="103"/>
                          <w:rPr>
                            <w:sz w:val="20"/>
                          </w:rPr>
                        </w:pPr>
                        <w:r>
                          <w:rPr>
                            <w:w w:val="99"/>
                            <w:sz w:val="20"/>
                          </w:rPr>
                          <w:t>C</w:t>
                        </w:r>
                      </w:p>
                    </w:tc>
                    <w:tc>
                      <w:tcPr>
                        <w:tcW w:w="1349" w:type="dxa"/>
                      </w:tcPr>
                      <w:p>
                        <w:pPr>
                          <w:pStyle w:val="TableParagraph"/>
                          <w:spacing w:line="227" w:lineRule="exact"/>
                          <w:ind w:left="100" w:right="96"/>
                          <w:rPr>
                            <w:sz w:val="20"/>
                          </w:rPr>
                        </w:pPr>
                        <w:r>
                          <w:rPr>
                            <w:sz w:val="20"/>
                          </w:rPr>
                          <w:t>43.33</w:t>
                        </w:r>
                      </w:p>
                    </w:tc>
                    <w:tc>
                      <w:tcPr>
                        <w:tcW w:w="1440" w:type="dxa"/>
                      </w:tcPr>
                      <w:p>
                        <w:pPr>
                          <w:pStyle w:val="TableParagraph"/>
                          <w:spacing w:line="227" w:lineRule="exact"/>
                          <w:ind w:left="103" w:right="117"/>
                          <w:rPr>
                            <w:sz w:val="20"/>
                          </w:rPr>
                        </w:pPr>
                        <w:r>
                          <w:rPr>
                            <w:sz w:val="20"/>
                          </w:rPr>
                          <w:t>59.31</w:t>
                        </w:r>
                      </w:p>
                    </w:tc>
                  </w:tr>
                  <w:tr>
                    <w:trPr>
                      <w:trHeight w:val="240" w:hRule="exact"/>
                    </w:trPr>
                    <w:tc>
                      <w:tcPr>
                        <w:tcW w:w="1639" w:type="dxa"/>
                      </w:tcPr>
                      <w:p>
                        <w:pPr>
                          <w:pStyle w:val="TableParagraph"/>
                          <w:spacing w:line="227" w:lineRule="exact"/>
                          <w:ind w:left="103"/>
                          <w:rPr>
                            <w:sz w:val="20"/>
                          </w:rPr>
                        </w:pPr>
                        <w:r>
                          <w:rPr>
                            <w:w w:val="99"/>
                            <w:sz w:val="20"/>
                          </w:rPr>
                          <w:t>O</w:t>
                        </w:r>
                      </w:p>
                    </w:tc>
                    <w:tc>
                      <w:tcPr>
                        <w:tcW w:w="1349" w:type="dxa"/>
                      </w:tcPr>
                      <w:p>
                        <w:pPr>
                          <w:pStyle w:val="TableParagraph"/>
                          <w:spacing w:line="227" w:lineRule="exact"/>
                          <w:ind w:left="100" w:right="96"/>
                          <w:rPr>
                            <w:sz w:val="20"/>
                          </w:rPr>
                        </w:pPr>
                        <w:r>
                          <w:rPr>
                            <w:sz w:val="20"/>
                          </w:rPr>
                          <w:t>30.33</w:t>
                        </w:r>
                      </w:p>
                    </w:tc>
                    <w:tc>
                      <w:tcPr>
                        <w:tcW w:w="1440" w:type="dxa"/>
                      </w:tcPr>
                      <w:p>
                        <w:pPr>
                          <w:pStyle w:val="TableParagraph"/>
                          <w:spacing w:line="227" w:lineRule="exact"/>
                          <w:ind w:left="103" w:right="117"/>
                          <w:rPr>
                            <w:sz w:val="20"/>
                          </w:rPr>
                        </w:pPr>
                        <w:r>
                          <w:rPr>
                            <w:sz w:val="20"/>
                          </w:rPr>
                          <w:t>31.32</w:t>
                        </w:r>
                      </w:p>
                    </w:tc>
                  </w:tr>
                  <w:tr>
                    <w:trPr>
                      <w:trHeight w:val="240" w:hRule="exact"/>
                    </w:trPr>
                    <w:tc>
                      <w:tcPr>
                        <w:tcW w:w="1639" w:type="dxa"/>
                      </w:tcPr>
                      <w:p>
                        <w:pPr>
                          <w:pStyle w:val="TableParagraph"/>
                          <w:spacing w:line="227" w:lineRule="exact"/>
                          <w:ind w:left="103"/>
                          <w:rPr>
                            <w:sz w:val="20"/>
                          </w:rPr>
                        </w:pPr>
                        <w:r>
                          <w:rPr>
                            <w:w w:val="99"/>
                            <w:sz w:val="20"/>
                          </w:rPr>
                          <w:t>P</w:t>
                        </w:r>
                      </w:p>
                    </w:tc>
                    <w:tc>
                      <w:tcPr>
                        <w:tcW w:w="1349" w:type="dxa"/>
                      </w:tcPr>
                      <w:p>
                        <w:pPr>
                          <w:pStyle w:val="TableParagraph"/>
                          <w:spacing w:line="227" w:lineRule="exact"/>
                          <w:ind w:left="100" w:right="96"/>
                          <w:rPr>
                            <w:sz w:val="20"/>
                          </w:rPr>
                        </w:pPr>
                        <w:r>
                          <w:rPr>
                            <w:sz w:val="20"/>
                          </w:rPr>
                          <w:t>6.52</w:t>
                        </w:r>
                      </w:p>
                    </w:tc>
                    <w:tc>
                      <w:tcPr>
                        <w:tcW w:w="1440" w:type="dxa"/>
                      </w:tcPr>
                      <w:p>
                        <w:pPr>
                          <w:pStyle w:val="TableParagraph"/>
                          <w:spacing w:line="227" w:lineRule="exact"/>
                          <w:ind w:left="103" w:right="117"/>
                          <w:rPr>
                            <w:sz w:val="20"/>
                          </w:rPr>
                        </w:pPr>
                        <w:r>
                          <w:rPr>
                            <w:sz w:val="20"/>
                          </w:rPr>
                          <w:t>3.51</w:t>
                        </w:r>
                      </w:p>
                    </w:tc>
                  </w:tr>
                  <w:tr>
                    <w:trPr>
                      <w:trHeight w:val="240" w:hRule="exact"/>
                    </w:trPr>
                    <w:tc>
                      <w:tcPr>
                        <w:tcW w:w="1639" w:type="dxa"/>
                      </w:tcPr>
                      <w:p>
                        <w:pPr>
                          <w:pStyle w:val="TableParagraph"/>
                          <w:spacing w:line="227" w:lineRule="exact"/>
                          <w:ind w:left="103" w:right="150"/>
                          <w:rPr>
                            <w:sz w:val="20"/>
                          </w:rPr>
                        </w:pPr>
                        <w:r>
                          <w:rPr>
                            <w:sz w:val="20"/>
                          </w:rPr>
                          <w:t>Ca</w:t>
                        </w:r>
                      </w:p>
                    </w:tc>
                    <w:tc>
                      <w:tcPr>
                        <w:tcW w:w="1349" w:type="dxa"/>
                      </w:tcPr>
                      <w:p>
                        <w:pPr>
                          <w:pStyle w:val="TableParagraph"/>
                          <w:spacing w:line="227" w:lineRule="exact"/>
                          <w:ind w:left="100" w:right="96"/>
                          <w:rPr>
                            <w:sz w:val="20"/>
                          </w:rPr>
                        </w:pPr>
                        <w:r>
                          <w:rPr>
                            <w:sz w:val="20"/>
                          </w:rPr>
                          <w:t>12.42</w:t>
                        </w:r>
                      </w:p>
                    </w:tc>
                    <w:tc>
                      <w:tcPr>
                        <w:tcW w:w="1440" w:type="dxa"/>
                      </w:tcPr>
                      <w:p>
                        <w:pPr>
                          <w:pStyle w:val="TableParagraph"/>
                          <w:spacing w:line="227" w:lineRule="exact"/>
                          <w:ind w:left="103" w:right="117"/>
                          <w:rPr>
                            <w:sz w:val="20"/>
                          </w:rPr>
                        </w:pPr>
                        <w:r>
                          <w:rPr>
                            <w:sz w:val="20"/>
                          </w:rPr>
                          <w:t>4.42</w:t>
                        </w:r>
                      </w:p>
                    </w:tc>
                  </w:tr>
                  <w:tr>
                    <w:trPr>
                      <w:trHeight w:val="240" w:hRule="exact"/>
                    </w:trPr>
                    <w:tc>
                      <w:tcPr>
                        <w:tcW w:w="1639" w:type="dxa"/>
                      </w:tcPr>
                      <w:p>
                        <w:pPr>
                          <w:pStyle w:val="TableParagraph"/>
                          <w:spacing w:line="227" w:lineRule="exact"/>
                          <w:ind w:left="103" w:right="150"/>
                          <w:rPr>
                            <w:sz w:val="20"/>
                          </w:rPr>
                        </w:pPr>
                        <w:r>
                          <w:rPr>
                            <w:sz w:val="20"/>
                          </w:rPr>
                          <w:t>Ag</w:t>
                        </w:r>
                      </w:p>
                    </w:tc>
                    <w:tc>
                      <w:tcPr>
                        <w:tcW w:w="1349" w:type="dxa"/>
                      </w:tcPr>
                      <w:p>
                        <w:pPr>
                          <w:pStyle w:val="TableParagraph"/>
                          <w:spacing w:line="227" w:lineRule="exact"/>
                          <w:ind w:left="100" w:right="96"/>
                          <w:rPr>
                            <w:sz w:val="20"/>
                          </w:rPr>
                        </w:pPr>
                        <w:r>
                          <w:rPr>
                            <w:sz w:val="20"/>
                          </w:rPr>
                          <w:t>7.39</w:t>
                        </w:r>
                      </w:p>
                    </w:tc>
                    <w:tc>
                      <w:tcPr>
                        <w:tcW w:w="1440" w:type="dxa"/>
                      </w:tcPr>
                      <w:p>
                        <w:pPr>
                          <w:pStyle w:val="TableParagraph"/>
                          <w:spacing w:line="227" w:lineRule="exact"/>
                          <w:ind w:left="103" w:right="117"/>
                          <w:rPr>
                            <w:sz w:val="20"/>
                          </w:rPr>
                        </w:pPr>
                        <w:r>
                          <w:rPr>
                            <w:sz w:val="20"/>
                          </w:rPr>
                          <w:t>1.44</w:t>
                        </w:r>
                      </w:p>
                    </w:tc>
                  </w:tr>
                  <w:tr>
                    <w:trPr>
                      <w:trHeight w:val="240" w:hRule="exact"/>
                    </w:trPr>
                    <w:tc>
                      <w:tcPr>
                        <w:tcW w:w="1639" w:type="dxa"/>
                      </w:tcPr>
                      <w:p>
                        <w:pPr>
                          <w:pStyle w:val="TableParagraph"/>
                          <w:spacing w:line="227" w:lineRule="exact"/>
                          <w:ind w:left="103" w:right="150"/>
                          <w:rPr>
                            <w:sz w:val="20"/>
                          </w:rPr>
                        </w:pPr>
                        <w:r>
                          <w:rPr>
                            <w:sz w:val="20"/>
                          </w:rPr>
                          <w:t>TOTAL</w:t>
                        </w:r>
                      </w:p>
                    </w:tc>
                    <w:tc>
                      <w:tcPr>
                        <w:tcW w:w="1349" w:type="dxa"/>
                      </w:tcPr>
                      <w:p>
                        <w:pPr>
                          <w:pStyle w:val="TableParagraph"/>
                          <w:spacing w:line="227" w:lineRule="exact"/>
                          <w:ind w:left="100" w:right="96"/>
                          <w:rPr>
                            <w:sz w:val="20"/>
                          </w:rPr>
                        </w:pPr>
                        <w:r>
                          <w:rPr>
                            <w:sz w:val="20"/>
                          </w:rPr>
                          <w:t>100</w:t>
                        </w:r>
                      </w:p>
                    </w:tc>
                    <w:tc>
                      <w:tcPr>
                        <w:tcW w:w="1440" w:type="dxa"/>
                      </w:tcPr>
                      <w:p>
                        <w:pPr>
                          <w:pStyle w:val="TableParagraph"/>
                          <w:spacing w:line="227" w:lineRule="exact"/>
                          <w:ind w:left="103" w:right="117"/>
                          <w:rPr>
                            <w:sz w:val="20"/>
                          </w:rPr>
                        </w:pPr>
                        <w:r>
                          <w:rPr>
                            <w:sz w:val="20"/>
                          </w:rPr>
                          <w:t>100</w:t>
                        </w:r>
                      </w:p>
                    </w:tc>
                  </w:tr>
                </w:tbl>
                <w:p>
                  <w:pPr>
                    <w:pStyle w:val="BodyText"/>
                  </w:pPr>
                </w:p>
              </w:txbxContent>
            </v:textbox>
            <w10:wrap type="topAndBottom"/>
          </v:shape>
        </w:pict>
      </w:r>
      <w:r>
        <w:rPr/>
        <w:pict>
          <v:shape style="position:absolute;margin-left:323.809998pt;margin-top:248.560974pt;width:222.2pt;height:96.0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0"/>
                    <w:gridCol w:w="1349"/>
                    <w:gridCol w:w="1440"/>
                  </w:tblGrid>
                  <w:tr>
                    <w:trPr>
                      <w:trHeight w:val="471" w:hRule="exact"/>
                    </w:trPr>
                    <w:tc>
                      <w:tcPr>
                        <w:tcW w:w="1640" w:type="dxa"/>
                      </w:tcPr>
                      <w:p>
                        <w:pPr>
                          <w:pStyle w:val="TableParagraph"/>
                          <w:ind w:left="103" w:right="150"/>
                          <w:rPr>
                            <w:sz w:val="20"/>
                          </w:rPr>
                        </w:pPr>
                        <w:r>
                          <w:rPr>
                            <w:sz w:val="20"/>
                          </w:rPr>
                          <w:t>Segundo molar inferior izq</w:t>
                        </w:r>
                      </w:p>
                    </w:tc>
                    <w:tc>
                      <w:tcPr>
                        <w:tcW w:w="1349" w:type="dxa"/>
                      </w:tcPr>
                      <w:p>
                        <w:pPr>
                          <w:pStyle w:val="TableParagraph"/>
                          <w:ind w:left="100" w:right="96"/>
                          <w:rPr>
                            <w:sz w:val="20"/>
                          </w:rPr>
                        </w:pPr>
                        <w:r>
                          <w:rPr>
                            <w:sz w:val="20"/>
                          </w:rPr>
                          <w:t>Porciento en peso total</w:t>
                        </w:r>
                      </w:p>
                    </w:tc>
                    <w:tc>
                      <w:tcPr>
                        <w:tcW w:w="1440" w:type="dxa"/>
                      </w:tcPr>
                      <w:p>
                        <w:pPr>
                          <w:pStyle w:val="TableParagraph"/>
                          <w:ind w:left="103" w:right="117"/>
                          <w:rPr>
                            <w:sz w:val="20"/>
                          </w:rPr>
                        </w:pPr>
                        <w:r>
                          <w:rPr>
                            <w:sz w:val="20"/>
                          </w:rPr>
                          <w:t>Porciento en peso atómico</w:t>
                        </w:r>
                      </w:p>
                    </w:tc>
                  </w:tr>
                  <w:tr>
                    <w:trPr>
                      <w:trHeight w:val="240" w:hRule="exact"/>
                    </w:trPr>
                    <w:tc>
                      <w:tcPr>
                        <w:tcW w:w="1640" w:type="dxa"/>
                      </w:tcPr>
                      <w:p>
                        <w:pPr>
                          <w:pStyle w:val="TableParagraph"/>
                          <w:spacing w:line="227" w:lineRule="exact"/>
                          <w:ind w:left="103"/>
                          <w:rPr>
                            <w:sz w:val="20"/>
                          </w:rPr>
                        </w:pPr>
                        <w:r>
                          <w:rPr>
                            <w:w w:val="99"/>
                            <w:sz w:val="20"/>
                          </w:rPr>
                          <w:t>C</w:t>
                        </w:r>
                      </w:p>
                    </w:tc>
                    <w:tc>
                      <w:tcPr>
                        <w:tcW w:w="1349" w:type="dxa"/>
                      </w:tcPr>
                      <w:p>
                        <w:pPr>
                          <w:pStyle w:val="TableParagraph"/>
                          <w:spacing w:line="227" w:lineRule="exact"/>
                          <w:ind w:left="100" w:right="96"/>
                          <w:rPr>
                            <w:sz w:val="20"/>
                          </w:rPr>
                        </w:pPr>
                        <w:r>
                          <w:rPr>
                            <w:sz w:val="20"/>
                          </w:rPr>
                          <w:t>43.40</w:t>
                        </w:r>
                      </w:p>
                    </w:tc>
                    <w:tc>
                      <w:tcPr>
                        <w:tcW w:w="1440" w:type="dxa"/>
                      </w:tcPr>
                      <w:p>
                        <w:pPr>
                          <w:pStyle w:val="TableParagraph"/>
                          <w:spacing w:line="227" w:lineRule="exact"/>
                          <w:ind w:left="103" w:right="117"/>
                          <w:rPr>
                            <w:sz w:val="20"/>
                          </w:rPr>
                        </w:pPr>
                        <w:r>
                          <w:rPr>
                            <w:sz w:val="20"/>
                          </w:rPr>
                          <w:t>59.31</w:t>
                        </w:r>
                      </w:p>
                    </w:tc>
                  </w:tr>
                  <w:tr>
                    <w:trPr>
                      <w:trHeight w:val="240" w:hRule="exact"/>
                    </w:trPr>
                    <w:tc>
                      <w:tcPr>
                        <w:tcW w:w="1640" w:type="dxa"/>
                      </w:tcPr>
                      <w:p>
                        <w:pPr>
                          <w:pStyle w:val="TableParagraph"/>
                          <w:spacing w:line="227" w:lineRule="exact"/>
                          <w:ind w:left="103"/>
                          <w:rPr>
                            <w:sz w:val="20"/>
                          </w:rPr>
                        </w:pPr>
                        <w:r>
                          <w:rPr>
                            <w:w w:val="99"/>
                            <w:sz w:val="20"/>
                          </w:rPr>
                          <w:t>O</w:t>
                        </w:r>
                      </w:p>
                    </w:tc>
                    <w:tc>
                      <w:tcPr>
                        <w:tcW w:w="1349" w:type="dxa"/>
                      </w:tcPr>
                      <w:p>
                        <w:pPr>
                          <w:pStyle w:val="TableParagraph"/>
                          <w:spacing w:line="227" w:lineRule="exact"/>
                          <w:ind w:left="100" w:right="96"/>
                          <w:rPr>
                            <w:sz w:val="20"/>
                          </w:rPr>
                        </w:pPr>
                        <w:r>
                          <w:rPr>
                            <w:sz w:val="20"/>
                          </w:rPr>
                          <w:t>30.33</w:t>
                        </w:r>
                      </w:p>
                    </w:tc>
                    <w:tc>
                      <w:tcPr>
                        <w:tcW w:w="1440" w:type="dxa"/>
                      </w:tcPr>
                      <w:p>
                        <w:pPr>
                          <w:pStyle w:val="TableParagraph"/>
                          <w:spacing w:line="227" w:lineRule="exact"/>
                          <w:ind w:left="103" w:right="117"/>
                          <w:rPr>
                            <w:sz w:val="20"/>
                          </w:rPr>
                        </w:pPr>
                        <w:r>
                          <w:rPr>
                            <w:sz w:val="20"/>
                          </w:rPr>
                          <w:t>31.52</w:t>
                        </w:r>
                      </w:p>
                    </w:tc>
                  </w:tr>
                  <w:tr>
                    <w:trPr>
                      <w:trHeight w:val="240" w:hRule="exact"/>
                    </w:trPr>
                    <w:tc>
                      <w:tcPr>
                        <w:tcW w:w="1640" w:type="dxa"/>
                      </w:tcPr>
                      <w:p>
                        <w:pPr>
                          <w:pStyle w:val="TableParagraph"/>
                          <w:spacing w:line="227" w:lineRule="exact"/>
                          <w:ind w:left="103"/>
                          <w:rPr>
                            <w:sz w:val="20"/>
                          </w:rPr>
                        </w:pPr>
                        <w:r>
                          <w:rPr>
                            <w:w w:val="99"/>
                            <w:sz w:val="20"/>
                          </w:rPr>
                          <w:t>P</w:t>
                        </w:r>
                      </w:p>
                    </w:tc>
                    <w:tc>
                      <w:tcPr>
                        <w:tcW w:w="1349" w:type="dxa"/>
                      </w:tcPr>
                      <w:p>
                        <w:pPr>
                          <w:pStyle w:val="TableParagraph"/>
                          <w:spacing w:line="227" w:lineRule="exact"/>
                          <w:ind w:left="100" w:right="96"/>
                          <w:rPr>
                            <w:sz w:val="20"/>
                          </w:rPr>
                        </w:pPr>
                        <w:r>
                          <w:rPr>
                            <w:sz w:val="20"/>
                          </w:rPr>
                          <w:t>6.22</w:t>
                        </w:r>
                      </w:p>
                    </w:tc>
                    <w:tc>
                      <w:tcPr>
                        <w:tcW w:w="1440" w:type="dxa"/>
                      </w:tcPr>
                      <w:p>
                        <w:pPr>
                          <w:pStyle w:val="TableParagraph"/>
                          <w:spacing w:line="227" w:lineRule="exact"/>
                          <w:ind w:left="103" w:right="117"/>
                          <w:rPr>
                            <w:sz w:val="20"/>
                          </w:rPr>
                        </w:pPr>
                        <w:r>
                          <w:rPr>
                            <w:sz w:val="20"/>
                          </w:rPr>
                          <w:t>3.71</w:t>
                        </w:r>
                      </w:p>
                    </w:tc>
                  </w:tr>
                  <w:tr>
                    <w:trPr>
                      <w:trHeight w:val="240" w:hRule="exact"/>
                    </w:trPr>
                    <w:tc>
                      <w:tcPr>
                        <w:tcW w:w="1640" w:type="dxa"/>
                      </w:tcPr>
                      <w:p>
                        <w:pPr>
                          <w:pStyle w:val="TableParagraph"/>
                          <w:spacing w:line="227" w:lineRule="exact"/>
                          <w:ind w:left="103" w:right="117"/>
                          <w:rPr>
                            <w:sz w:val="20"/>
                          </w:rPr>
                        </w:pPr>
                        <w:r>
                          <w:rPr>
                            <w:sz w:val="20"/>
                          </w:rPr>
                          <w:t>Ca</w:t>
                        </w:r>
                      </w:p>
                    </w:tc>
                    <w:tc>
                      <w:tcPr>
                        <w:tcW w:w="1349" w:type="dxa"/>
                      </w:tcPr>
                      <w:p>
                        <w:pPr>
                          <w:pStyle w:val="TableParagraph"/>
                          <w:spacing w:line="227" w:lineRule="exact"/>
                          <w:ind w:left="100" w:right="96"/>
                          <w:rPr>
                            <w:sz w:val="20"/>
                          </w:rPr>
                        </w:pPr>
                        <w:r>
                          <w:rPr>
                            <w:sz w:val="20"/>
                          </w:rPr>
                          <w:t>12.71</w:t>
                        </w:r>
                      </w:p>
                    </w:tc>
                    <w:tc>
                      <w:tcPr>
                        <w:tcW w:w="1440" w:type="dxa"/>
                      </w:tcPr>
                      <w:p>
                        <w:pPr>
                          <w:pStyle w:val="TableParagraph"/>
                          <w:spacing w:line="227" w:lineRule="exact"/>
                          <w:ind w:left="103" w:right="117"/>
                          <w:rPr>
                            <w:sz w:val="20"/>
                          </w:rPr>
                        </w:pPr>
                        <w:r>
                          <w:rPr>
                            <w:sz w:val="20"/>
                          </w:rPr>
                          <w:t>4.51</w:t>
                        </w:r>
                      </w:p>
                    </w:tc>
                  </w:tr>
                  <w:tr>
                    <w:trPr>
                      <w:trHeight w:val="240" w:hRule="exact"/>
                    </w:trPr>
                    <w:tc>
                      <w:tcPr>
                        <w:tcW w:w="1640" w:type="dxa"/>
                      </w:tcPr>
                      <w:p>
                        <w:pPr>
                          <w:pStyle w:val="TableParagraph"/>
                          <w:spacing w:line="227" w:lineRule="exact"/>
                          <w:ind w:left="103" w:right="117"/>
                          <w:rPr>
                            <w:sz w:val="20"/>
                          </w:rPr>
                        </w:pPr>
                        <w:r>
                          <w:rPr>
                            <w:sz w:val="20"/>
                          </w:rPr>
                          <w:t>Ag</w:t>
                        </w:r>
                      </w:p>
                    </w:tc>
                    <w:tc>
                      <w:tcPr>
                        <w:tcW w:w="1349" w:type="dxa"/>
                      </w:tcPr>
                      <w:p>
                        <w:pPr>
                          <w:pStyle w:val="TableParagraph"/>
                          <w:spacing w:line="227" w:lineRule="exact"/>
                          <w:ind w:left="100" w:right="96"/>
                          <w:rPr>
                            <w:sz w:val="20"/>
                          </w:rPr>
                        </w:pPr>
                        <w:r>
                          <w:rPr>
                            <w:sz w:val="20"/>
                          </w:rPr>
                          <w:t>7.34</w:t>
                        </w:r>
                      </w:p>
                    </w:tc>
                    <w:tc>
                      <w:tcPr>
                        <w:tcW w:w="1440" w:type="dxa"/>
                      </w:tcPr>
                      <w:p>
                        <w:pPr>
                          <w:pStyle w:val="TableParagraph"/>
                          <w:spacing w:line="227" w:lineRule="exact"/>
                          <w:ind w:left="103" w:right="117"/>
                          <w:rPr>
                            <w:sz w:val="20"/>
                          </w:rPr>
                        </w:pPr>
                        <w:r>
                          <w:rPr>
                            <w:sz w:val="20"/>
                          </w:rPr>
                          <w:t>0.95</w:t>
                        </w:r>
                      </w:p>
                    </w:tc>
                  </w:tr>
                  <w:tr>
                    <w:trPr>
                      <w:trHeight w:val="240" w:hRule="exact"/>
                    </w:trPr>
                    <w:tc>
                      <w:tcPr>
                        <w:tcW w:w="1640" w:type="dxa"/>
                      </w:tcPr>
                      <w:p>
                        <w:pPr>
                          <w:pStyle w:val="TableParagraph"/>
                          <w:spacing w:line="227" w:lineRule="exact"/>
                          <w:ind w:left="103" w:right="117"/>
                          <w:rPr>
                            <w:sz w:val="20"/>
                          </w:rPr>
                        </w:pPr>
                        <w:r>
                          <w:rPr>
                            <w:sz w:val="20"/>
                          </w:rPr>
                          <w:t>TOTAL</w:t>
                        </w:r>
                      </w:p>
                    </w:tc>
                    <w:tc>
                      <w:tcPr>
                        <w:tcW w:w="1349" w:type="dxa"/>
                      </w:tcPr>
                      <w:p>
                        <w:pPr>
                          <w:pStyle w:val="TableParagraph"/>
                          <w:spacing w:line="227" w:lineRule="exact"/>
                          <w:ind w:left="100" w:right="96"/>
                          <w:rPr>
                            <w:sz w:val="20"/>
                          </w:rPr>
                        </w:pPr>
                        <w:r>
                          <w:rPr>
                            <w:sz w:val="20"/>
                          </w:rPr>
                          <w:t>100</w:t>
                        </w:r>
                      </w:p>
                    </w:tc>
                    <w:tc>
                      <w:tcPr>
                        <w:tcW w:w="1440" w:type="dxa"/>
                      </w:tcPr>
                      <w:p>
                        <w:pPr>
                          <w:pStyle w:val="TableParagraph"/>
                          <w:spacing w:line="227" w:lineRule="exact"/>
                          <w:ind w:left="103" w:right="117"/>
                          <w:rPr>
                            <w:sz w:val="20"/>
                          </w:rPr>
                        </w:pPr>
                        <w:r>
                          <w:rPr>
                            <w:sz w:val="20"/>
                          </w:rPr>
                          <w:t>100</w:t>
                        </w:r>
                      </w:p>
                    </w:tc>
                  </w:tr>
                </w:tbl>
                <w:p>
                  <w:pPr>
                    <w:pStyle w:val="BodyText"/>
                  </w:pPr>
                </w:p>
              </w:txbxContent>
            </v:textbox>
            <w10:wrap type="topAndBottom"/>
          </v:shape>
        </w:pict>
      </w:r>
      <w:r>
        <w:rPr/>
        <w:pict>
          <v:shape style="position:absolute;margin-left:66.384003pt;margin-top:373.14093pt;width:222.15pt;height:96.0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9"/>
                    <w:gridCol w:w="1349"/>
                    <w:gridCol w:w="1440"/>
                  </w:tblGrid>
                  <w:tr>
                    <w:trPr>
                      <w:trHeight w:val="468" w:hRule="exact"/>
                    </w:trPr>
                    <w:tc>
                      <w:tcPr>
                        <w:tcW w:w="1639" w:type="dxa"/>
                      </w:tcPr>
                      <w:p>
                        <w:pPr>
                          <w:pStyle w:val="TableParagraph"/>
                          <w:ind w:left="103" w:right="116"/>
                          <w:rPr>
                            <w:sz w:val="20"/>
                          </w:rPr>
                        </w:pPr>
                        <w:r>
                          <w:rPr>
                            <w:sz w:val="20"/>
                          </w:rPr>
                          <w:t>Primer molar inferior derecho</w:t>
                        </w:r>
                      </w:p>
                    </w:tc>
                    <w:tc>
                      <w:tcPr>
                        <w:tcW w:w="1349" w:type="dxa"/>
                      </w:tcPr>
                      <w:p>
                        <w:pPr>
                          <w:pStyle w:val="TableParagraph"/>
                          <w:ind w:left="100" w:right="96"/>
                          <w:rPr>
                            <w:sz w:val="20"/>
                          </w:rPr>
                        </w:pPr>
                        <w:r>
                          <w:rPr>
                            <w:sz w:val="20"/>
                          </w:rPr>
                          <w:t>Porciento en peso total</w:t>
                        </w:r>
                      </w:p>
                    </w:tc>
                    <w:tc>
                      <w:tcPr>
                        <w:tcW w:w="1440" w:type="dxa"/>
                      </w:tcPr>
                      <w:p>
                        <w:pPr>
                          <w:pStyle w:val="TableParagraph"/>
                          <w:ind w:left="103" w:right="117"/>
                          <w:rPr>
                            <w:sz w:val="20"/>
                          </w:rPr>
                        </w:pPr>
                        <w:r>
                          <w:rPr>
                            <w:sz w:val="20"/>
                          </w:rPr>
                          <w:t>Porciento en peso atómico</w:t>
                        </w:r>
                      </w:p>
                    </w:tc>
                  </w:tr>
                  <w:tr>
                    <w:trPr>
                      <w:trHeight w:val="240" w:hRule="exact"/>
                    </w:trPr>
                    <w:tc>
                      <w:tcPr>
                        <w:tcW w:w="1639" w:type="dxa"/>
                      </w:tcPr>
                      <w:p>
                        <w:pPr>
                          <w:pStyle w:val="TableParagraph"/>
                          <w:spacing w:line="230" w:lineRule="exact"/>
                          <w:ind w:left="103"/>
                          <w:rPr>
                            <w:sz w:val="20"/>
                          </w:rPr>
                        </w:pPr>
                        <w:r>
                          <w:rPr>
                            <w:w w:val="99"/>
                            <w:sz w:val="20"/>
                          </w:rPr>
                          <w:t>C</w:t>
                        </w:r>
                      </w:p>
                    </w:tc>
                    <w:tc>
                      <w:tcPr>
                        <w:tcW w:w="1349" w:type="dxa"/>
                      </w:tcPr>
                      <w:p>
                        <w:pPr>
                          <w:pStyle w:val="TableParagraph"/>
                          <w:spacing w:line="230" w:lineRule="exact"/>
                          <w:ind w:left="100" w:right="96"/>
                          <w:rPr>
                            <w:sz w:val="20"/>
                          </w:rPr>
                        </w:pPr>
                        <w:r>
                          <w:rPr>
                            <w:sz w:val="20"/>
                          </w:rPr>
                          <w:t>43.83</w:t>
                        </w:r>
                      </w:p>
                    </w:tc>
                    <w:tc>
                      <w:tcPr>
                        <w:tcW w:w="1440" w:type="dxa"/>
                      </w:tcPr>
                      <w:p>
                        <w:pPr>
                          <w:pStyle w:val="TableParagraph"/>
                          <w:spacing w:line="230" w:lineRule="exact"/>
                          <w:ind w:left="103" w:right="117"/>
                          <w:rPr>
                            <w:sz w:val="20"/>
                          </w:rPr>
                        </w:pPr>
                        <w:r>
                          <w:rPr>
                            <w:sz w:val="20"/>
                          </w:rPr>
                          <w:t>59.70</w:t>
                        </w:r>
                      </w:p>
                    </w:tc>
                  </w:tr>
                  <w:tr>
                    <w:trPr>
                      <w:trHeight w:val="240" w:hRule="exact"/>
                    </w:trPr>
                    <w:tc>
                      <w:tcPr>
                        <w:tcW w:w="1639" w:type="dxa"/>
                      </w:tcPr>
                      <w:p>
                        <w:pPr>
                          <w:pStyle w:val="TableParagraph"/>
                          <w:spacing w:line="230" w:lineRule="exact"/>
                          <w:ind w:left="103"/>
                          <w:rPr>
                            <w:sz w:val="20"/>
                          </w:rPr>
                        </w:pPr>
                        <w:r>
                          <w:rPr>
                            <w:w w:val="99"/>
                            <w:sz w:val="20"/>
                          </w:rPr>
                          <w:t>O</w:t>
                        </w:r>
                      </w:p>
                    </w:tc>
                    <w:tc>
                      <w:tcPr>
                        <w:tcW w:w="1349" w:type="dxa"/>
                      </w:tcPr>
                      <w:p>
                        <w:pPr>
                          <w:pStyle w:val="TableParagraph"/>
                          <w:spacing w:line="230" w:lineRule="exact"/>
                          <w:ind w:left="100" w:right="96"/>
                          <w:rPr>
                            <w:sz w:val="20"/>
                          </w:rPr>
                        </w:pPr>
                        <w:r>
                          <w:rPr>
                            <w:sz w:val="20"/>
                          </w:rPr>
                          <w:t>30.31</w:t>
                        </w:r>
                      </w:p>
                    </w:tc>
                    <w:tc>
                      <w:tcPr>
                        <w:tcW w:w="1440" w:type="dxa"/>
                      </w:tcPr>
                      <w:p>
                        <w:pPr>
                          <w:pStyle w:val="TableParagraph"/>
                          <w:spacing w:line="230" w:lineRule="exact"/>
                          <w:ind w:left="103" w:right="117"/>
                          <w:rPr>
                            <w:sz w:val="20"/>
                          </w:rPr>
                        </w:pPr>
                        <w:r>
                          <w:rPr>
                            <w:sz w:val="20"/>
                          </w:rPr>
                          <w:t>31.50</w:t>
                        </w:r>
                      </w:p>
                    </w:tc>
                  </w:tr>
                  <w:tr>
                    <w:trPr>
                      <w:trHeight w:val="241" w:hRule="exact"/>
                    </w:trPr>
                    <w:tc>
                      <w:tcPr>
                        <w:tcW w:w="1639" w:type="dxa"/>
                      </w:tcPr>
                      <w:p>
                        <w:pPr>
                          <w:pStyle w:val="TableParagraph"/>
                          <w:ind w:left="103"/>
                          <w:rPr>
                            <w:sz w:val="20"/>
                          </w:rPr>
                        </w:pPr>
                        <w:r>
                          <w:rPr>
                            <w:w w:val="99"/>
                            <w:sz w:val="20"/>
                          </w:rPr>
                          <w:t>P</w:t>
                        </w:r>
                      </w:p>
                    </w:tc>
                    <w:tc>
                      <w:tcPr>
                        <w:tcW w:w="1349" w:type="dxa"/>
                      </w:tcPr>
                      <w:p>
                        <w:pPr>
                          <w:pStyle w:val="TableParagraph"/>
                          <w:ind w:left="100" w:right="96"/>
                          <w:rPr>
                            <w:sz w:val="20"/>
                          </w:rPr>
                        </w:pPr>
                        <w:r>
                          <w:rPr>
                            <w:sz w:val="20"/>
                          </w:rPr>
                          <w:t>6.32</w:t>
                        </w:r>
                      </w:p>
                    </w:tc>
                    <w:tc>
                      <w:tcPr>
                        <w:tcW w:w="1440" w:type="dxa"/>
                      </w:tcPr>
                      <w:p>
                        <w:pPr>
                          <w:pStyle w:val="TableParagraph"/>
                          <w:ind w:left="103" w:right="117"/>
                          <w:rPr>
                            <w:sz w:val="20"/>
                          </w:rPr>
                        </w:pPr>
                        <w:r>
                          <w:rPr>
                            <w:sz w:val="20"/>
                          </w:rPr>
                          <w:t>3.72</w:t>
                        </w:r>
                      </w:p>
                    </w:tc>
                  </w:tr>
                  <w:tr>
                    <w:trPr>
                      <w:trHeight w:val="240" w:hRule="exact"/>
                    </w:trPr>
                    <w:tc>
                      <w:tcPr>
                        <w:tcW w:w="1639" w:type="dxa"/>
                      </w:tcPr>
                      <w:p>
                        <w:pPr>
                          <w:pStyle w:val="TableParagraph"/>
                          <w:spacing w:line="230" w:lineRule="exact"/>
                          <w:ind w:left="103" w:right="150"/>
                          <w:rPr>
                            <w:sz w:val="20"/>
                          </w:rPr>
                        </w:pPr>
                        <w:r>
                          <w:rPr>
                            <w:sz w:val="20"/>
                          </w:rPr>
                          <w:t>Ca</w:t>
                        </w:r>
                      </w:p>
                    </w:tc>
                    <w:tc>
                      <w:tcPr>
                        <w:tcW w:w="1349" w:type="dxa"/>
                      </w:tcPr>
                      <w:p>
                        <w:pPr>
                          <w:pStyle w:val="TableParagraph"/>
                          <w:spacing w:line="230" w:lineRule="exact"/>
                          <w:ind w:left="100" w:right="96"/>
                          <w:rPr>
                            <w:sz w:val="20"/>
                          </w:rPr>
                        </w:pPr>
                        <w:r>
                          <w:rPr>
                            <w:sz w:val="20"/>
                          </w:rPr>
                          <w:t>12.79</w:t>
                        </w:r>
                      </w:p>
                    </w:tc>
                    <w:tc>
                      <w:tcPr>
                        <w:tcW w:w="1440" w:type="dxa"/>
                      </w:tcPr>
                      <w:p>
                        <w:pPr>
                          <w:pStyle w:val="TableParagraph"/>
                          <w:spacing w:line="230" w:lineRule="exact"/>
                          <w:ind w:left="103" w:right="117"/>
                          <w:rPr>
                            <w:sz w:val="20"/>
                          </w:rPr>
                        </w:pPr>
                        <w:r>
                          <w:rPr>
                            <w:sz w:val="20"/>
                          </w:rPr>
                          <w:t>4.21</w:t>
                        </w:r>
                      </w:p>
                    </w:tc>
                  </w:tr>
                  <w:tr>
                    <w:trPr>
                      <w:trHeight w:val="240" w:hRule="exact"/>
                    </w:trPr>
                    <w:tc>
                      <w:tcPr>
                        <w:tcW w:w="1639" w:type="dxa"/>
                      </w:tcPr>
                      <w:p>
                        <w:pPr>
                          <w:pStyle w:val="TableParagraph"/>
                          <w:spacing w:line="230" w:lineRule="exact"/>
                          <w:ind w:left="103" w:right="150"/>
                          <w:rPr>
                            <w:sz w:val="20"/>
                          </w:rPr>
                        </w:pPr>
                        <w:r>
                          <w:rPr>
                            <w:sz w:val="20"/>
                          </w:rPr>
                          <w:t>Ag</w:t>
                        </w:r>
                      </w:p>
                    </w:tc>
                    <w:tc>
                      <w:tcPr>
                        <w:tcW w:w="1349" w:type="dxa"/>
                      </w:tcPr>
                      <w:p>
                        <w:pPr>
                          <w:pStyle w:val="TableParagraph"/>
                          <w:spacing w:line="230" w:lineRule="exact"/>
                          <w:ind w:left="100" w:right="96"/>
                          <w:rPr>
                            <w:sz w:val="20"/>
                          </w:rPr>
                        </w:pPr>
                        <w:r>
                          <w:rPr>
                            <w:sz w:val="20"/>
                          </w:rPr>
                          <w:t>6.75</w:t>
                        </w:r>
                      </w:p>
                    </w:tc>
                    <w:tc>
                      <w:tcPr>
                        <w:tcW w:w="1440" w:type="dxa"/>
                      </w:tcPr>
                      <w:p>
                        <w:pPr>
                          <w:pStyle w:val="TableParagraph"/>
                          <w:spacing w:line="230" w:lineRule="exact"/>
                          <w:ind w:left="103" w:right="117"/>
                          <w:rPr>
                            <w:sz w:val="20"/>
                          </w:rPr>
                        </w:pPr>
                        <w:r>
                          <w:rPr>
                            <w:sz w:val="20"/>
                          </w:rPr>
                          <w:t>0.87</w:t>
                        </w:r>
                      </w:p>
                    </w:tc>
                  </w:tr>
                  <w:tr>
                    <w:trPr>
                      <w:trHeight w:val="242" w:hRule="exact"/>
                    </w:trPr>
                    <w:tc>
                      <w:tcPr>
                        <w:tcW w:w="1639" w:type="dxa"/>
                      </w:tcPr>
                      <w:p>
                        <w:pPr>
                          <w:pStyle w:val="TableParagraph"/>
                          <w:spacing w:line="230" w:lineRule="exact"/>
                          <w:ind w:left="103" w:right="150"/>
                          <w:rPr>
                            <w:sz w:val="20"/>
                          </w:rPr>
                        </w:pPr>
                        <w:r>
                          <w:rPr>
                            <w:sz w:val="20"/>
                          </w:rPr>
                          <w:t>TOTAL</w:t>
                        </w:r>
                      </w:p>
                    </w:tc>
                    <w:tc>
                      <w:tcPr>
                        <w:tcW w:w="1349" w:type="dxa"/>
                      </w:tcPr>
                      <w:p>
                        <w:pPr>
                          <w:pStyle w:val="TableParagraph"/>
                          <w:spacing w:line="230" w:lineRule="exact"/>
                          <w:ind w:left="100" w:right="96"/>
                          <w:rPr>
                            <w:sz w:val="20"/>
                          </w:rPr>
                        </w:pPr>
                        <w:r>
                          <w:rPr>
                            <w:sz w:val="20"/>
                          </w:rPr>
                          <w:t>100</w:t>
                        </w:r>
                      </w:p>
                    </w:tc>
                    <w:tc>
                      <w:tcPr>
                        <w:tcW w:w="1440" w:type="dxa"/>
                      </w:tcPr>
                      <w:p>
                        <w:pPr>
                          <w:pStyle w:val="TableParagraph"/>
                          <w:spacing w:line="230" w:lineRule="exact"/>
                          <w:ind w:left="103" w:right="117"/>
                          <w:rPr>
                            <w:sz w:val="20"/>
                          </w:rPr>
                        </w:pPr>
                        <w:r>
                          <w:rPr>
                            <w:sz w:val="20"/>
                          </w:rPr>
                          <w:t>100</w:t>
                        </w:r>
                      </w:p>
                    </w:tc>
                  </w:tr>
                </w:tbl>
                <w:p>
                  <w:pPr>
                    <w:pStyle w:val="BodyText"/>
                  </w:pPr>
                </w:p>
              </w:txbxContent>
            </v:textbox>
            <w10:wrap type="topAndBottom"/>
          </v:shape>
        </w:pict>
      </w:r>
      <w:r>
        <w:rPr/>
        <w:pict>
          <v:shape style="position:absolute;margin-left:323.809998pt;margin-top:365.580933pt;width:222.2pt;height:107.5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0"/>
                    <w:gridCol w:w="1349"/>
                    <w:gridCol w:w="1440"/>
                  </w:tblGrid>
                  <w:tr>
                    <w:trPr>
                      <w:trHeight w:val="701" w:hRule="exact"/>
                    </w:trPr>
                    <w:tc>
                      <w:tcPr>
                        <w:tcW w:w="1640" w:type="dxa"/>
                      </w:tcPr>
                      <w:p>
                        <w:pPr>
                          <w:pStyle w:val="TableParagraph"/>
                          <w:ind w:left="103" w:right="150"/>
                          <w:rPr>
                            <w:sz w:val="20"/>
                          </w:rPr>
                        </w:pPr>
                        <w:r>
                          <w:rPr>
                            <w:sz w:val="20"/>
                          </w:rPr>
                          <w:t>Segundo molar inferior izquierdo</w:t>
                        </w:r>
                      </w:p>
                    </w:tc>
                    <w:tc>
                      <w:tcPr>
                        <w:tcW w:w="1349" w:type="dxa"/>
                      </w:tcPr>
                      <w:p>
                        <w:pPr>
                          <w:pStyle w:val="TableParagraph"/>
                          <w:ind w:left="100" w:right="96"/>
                          <w:rPr>
                            <w:sz w:val="20"/>
                          </w:rPr>
                        </w:pPr>
                        <w:r>
                          <w:rPr>
                            <w:sz w:val="20"/>
                          </w:rPr>
                          <w:t>Porciento en peso total</w:t>
                        </w:r>
                      </w:p>
                    </w:tc>
                    <w:tc>
                      <w:tcPr>
                        <w:tcW w:w="1440" w:type="dxa"/>
                      </w:tcPr>
                      <w:p>
                        <w:pPr>
                          <w:pStyle w:val="TableParagraph"/>
                          <w:ind w:left="103" w:right="117"/>
                          <w:rPr>
                            <w:sz w:val="20"/>
                          </w:rPr>
                        </w:pPr>
                        <w:r>
                          <w:rPr>
                            <w:sz w:val="20"/>
                          </w:rPr>
                          <w:t>Porciento en peso atómico</w:t>
                        </w:r>
                      </w:p>
                    </w:tc>
                  </w:tr>
                  <w:tr>
                    <w:trPr>
                      <w:trHeight w:val="240" w:hRule="exact"/>
                    </w:trPr>
                    <w:tc>
                      <w:tcPr>
                        <w:tcW w:w="1640" w:type="dxa"/>
                      </w:tcPr>
                      <w:p>
                        <w:pPr>
                          <w:pStyle w:val="TableParagraph"/>
                          <w:spacing w:line="227" w:lineRule="exact"/>
                          <w:ind w:left="103"/>
                          <w:rPr>
                            <w:sz w:val="20"/>
                          </w:rPr>
                        </w:pPr>
                        <w:r>
                          <w:rPr>
                            <w:w w:val="99"/>
                            <w:sz w:val="20"/>
                          </w:rPr>
                          <w:t>C</w:t>
                        </w:r>
                      </w:p>
                    </w:tc>
                    <w:tc>
                      <w:tcPr>
                        <w:tcW w:w="1349" w:type="dxa"/>
                      </w:tcPr>
                      <w:p>
                        <w:pPr>
                          <w:pStyle w:val="TableParagraph"/>
                          <w:spacing w:line="227" w:lineRule="exact"/>
                          <w:ind w:left="100" w:right="96"/>
                          <w:rPr>
                            <w:sz w:val="20"/>
                          </w:rPr>
                        </w:pPr>
                        <w:r>
                          <w:rPr>
                            <w:sz w:val="20"/>
                          </w:rPr>
                          <w:t>43.25</w:t>
                        </w:r>
                      </w:p>
                    </w:tc>
                    <w:tc>
                      <w:tcPr>
                        <w:tcW w:w="1440" w:type="dxa"/>
                      </w:tcPr>
                      <w:p>
                        <w:pPr>
                          <w:pStyle w:val="TableParagraph"/>
                          <w:spacing w:line="227" w:lineRule="exact"/>
                          <w:ind w:left="103" w:right="117"/>
                          <w:rPr>
                            <w:sz w:val="20"/>
                          </w:rPr>
                        </w:pPr>
                        <w:r>
                          <w:rPr>
                            <w:sz w:val="20"/>
                          </w:rPr>
                          <w:t>59.20</w:t>
                        </w:r>
                      </w:p>
                    </w:tc>
                  </w:tr>
                  <w:tr>
                    <w:trPr>
                      <w:trHeight w:val="241" w:hRule="exact"/>
                    </w:trPr>
                    <w:tc>
                      <w:tcPr>
                        <w:tcW w:w="1640" w:type="dxa"/>
                      </w:tcPr>
                      <w:p>
                        <w:pPr>
                          <w:pStyle w:val="TableParagraph"/>
                          <w:spacing w:line="227" w:lineRule="exact"/>
                          <w:ind w:left="103"/>
                          <w:rPr>
                            <w:sz w:val="20"/>
                          </w:rPr>
                        </w:pPr>
                        <w:r>
                          <w:rPr>
                            <w:w w:val="99"/>
                            <w:sz w:val="20"/>
                          </w:rPr>
                          <w:t>O</w:t>
                        </w:r>
                      </w:p>
                    </w:tc>
                    <w:tc>
                      <w:tcPr>
                        <w:tcW w:w="1349" w:type="dxa"/>
                      </w:tcPr>
                      <w:p>
                        <w:pPr>
                          <w:pStyle w:val="TableParagraph"/>
                          <w:spacing w:line="227" w:lineRule="exact"/>
                          <w:ind w:left="100" w:right="96"/>
                          <w:rPr>
                            <w:sz w:val="20"/>
                          </w:rPr>
                        </w:pPr>
                        <w:r>
                          <w:rPr>
                            <w:sz w:val="20"/>
                          </w:rPr>
                          <w:t>30.12</w:t>
                        </w:r>
                      </w:p>
                    </w:tc>
                    <w:tc>
                      <w:tcPr>
                        <w:tcW w:w="1440" w:type="dxa"/>
                      </w:tcPr>
                      <w:p>
                        <w:pPr>
                          <w:pStyle w:val="TableParagraph"/>
                          <w:spacing w:line="227" w:lineRule="exact"/>
                          <w:ind w:left="103" w:right="117"/>
                          <w:rPr>
                            <w:sz w:val="20"/>
                          </w:rPr>
                        </w:pPr>
                        <w:r>
                          <w:rPr>
                            <w:sz w:val="20"/>
                          </w:rPr>
                          <w:t>31.39</w:t>
                        </w:r>
                      </w:p>
                    </w:tc>
                  </w:tr>
                  <w:tr>
                    <w:trPr>
                      <w:trHeight w:val="240" w:hRule="exact"/>
                    </w:trPr>
                    <w:tc>
                      <w:tcPr>
                        <w:tcW w:w="1640" w:type="dxa"/>
                      </w:tcPr>
                      <w:p>
                        <w:pPr>
                          <w:pStyle w:val="TableParagraph"/>
                          <w:spacing w:line="227" w:lineRule="exact"/>
                          <w:ind w:left="103"/>
                          <w:rPr>
                            <w:sz w:val="20"/>
                          </w:rPr>
                        </w:pPr>
                        <w:r>
                          <w:rPr>
                            <w:w w:val="99"/>
                            <w:sz w:val="20"/>
                          </w:rPr>
                          <w:t>P</w:t>
                        </w:r>
                      </w:p>
                    </w:tc>
                    <w:tc>
                      <w:tcPr>
                        <w:tcW w:w="1349" w:type="dxa"/>
                      </w:tcPr>
                      <w:p>
                        <w:pPr>
                          <w:pStyle w:val="TableParagraph"/>
                          <w:spacing w:line="227" w:lineRule="exact"/>
                          <w:ind w:left="100" w:right="96"/>
                          <w:rPr>
                            <w:sz w:val="20"/>
                          </w:rPr>
                        </w:pPr>
                        <w:r>
                          <w:rPr>
                            <w:sz w:val="20"/>
                          </w:rPr>
                          <w:t>6.77</w:t>
                        </w:r>
                      </w:p>
                    </w:tc>
                    <w:tc>
                      <w:tcPr>
                        <w:tcW w:w="1440" w:type="dxa"/>
                      </w:tcPr>
                      <w:p>
                        <w:pPr>
                          <w:pStyle w:val="TableParagraph"/>
                          <w:spacing w:line="227" w:lineRule="exact"/>
                          <w:ind w:left="103" w:right="117"/>
                          <w:rPr>
                            <w:sz w:val="20"/>
                          </w:rPr>
                        </w:pPr>
                        <w:r>
                          <w:rPr>
                            <w:sz w:val="20"/>
                          </w:rPr>
                          <w:t>3.66</w:t>
                        </w:r>
                      </w:p>
                    </w:tc>
                  </w:tr>
                  <w:tr>
                    <w:trPr>
                      <w:trHeight w:val="240" w:hRule="exact"/>
                    </w:trPr>
                    <w:tc>
                      <w:tcPr>
                        <w:tcW w:w="1640" w:type="dxa"/>
                      </w:tcPr>
                      <w:p>
                        <w:pPr>
                          <w:pStyle w:val="TableParagraph"/>
                          <w:spacing w:line="227" w:lineRule="exact"/>
                          <w:ind w:left="103" w:right="117"/>
                          <w:rPr>
                            <w:sz w:val="20"/>
                          </w:rPr>
                        </w:pPr>
                        <w:r>
                          <w:rPr>
                            <w:sz w:val="20"/>
                          </w:rPr>
                          <w:t>Ca</w:t>
                        </w:r>
                      </w:p>
                    </w:tc>
                    <w:tc>
                      <w:tcPr>
                        <w:tcW w:w="1349" w:type="dxa"/>
                      </w:tcPr>
                      <w:p>
                        <w:pPr>
                          <w:pStyle w:val="TableParagraph"/>
                          <w:spacing w:line="227" w:lineRule="exact"/>
                          <w:ind w:left="100" w:right="96"/>
                          <w:rPr>
                            <w:sz w:val="20"/>
                          </w:rPr>
                        </w:pPr>
                        <w:r>
                          <w:rPr>
                            <w:sz w:val="20"/>
                          </w:rPr>
                          <w:t>12.18</w:t>
                        </w:r>
                      </w:p>
                    </w:tc>
                    <w:tc>
                      <w:tcPr>
                        <w:tcW w:w="1440" w:type="dxa"/>
                      </w:tcPr>
                      <w:p>
                        <w:pPr>
                          <w:pStyle w:val="TableParagraph"/>
                          <w:spacing w:line="227" w:lineRule="exact"/>
                          <w:ind w:left="103" w:right="117"/>
                          <w:rPr>
                            <w:sz w:val="20"/>
                          </w:rPr>
                        </w:pPr>
                        <w:r>
                          <w:rPr>
                            <w:sz w:val="20"/>
                          </w:rPr>
                          <w:t>4.31</w:t>
                        </w:r>
                      </w:p>
                    </w:tc>
                  </w:tr>
                  <w:tr>
                    <w:trPr>
                      <w:trHeight w:val="240" w:hRule="exact"/>
                    </w:trPr>
                    <w:tc>
                      <w:tcPr>
                        <w:tcW w:w="1640" w:type="dxa"/>
                      </w:tcPr>
                      <w:p>
                        <w:pPr>
                          <w:pStyle w:val="TableParagraph"/>
                          <w:spacing w:line="227" w:lineRule="exact"/>
                          <w:ind w:left="103" w:right="117"/>
                          <w:rPr>
                            <w:sz w:val="20"/>
                          </w:rPr>
                        </w:pPr>
                        <w:r>
                          <w:rPr>
                            <w:sz w:val="20"/>
                          </w:rPr>
                          <w:t>Ag</w:t>
                        </w:r>
                      </w:p>
                    </w:tc>
                    <w:tc>
                      <w:tcPr>
                        <w:tcW w:w="1349" w:type="dxa"/>
                      </w:tcPr>
                      <w:p>
                        <w:pPr>
                          <w:pStyle w:val="TableParagraph"/>
                          <w:spacing w:line="227" w:lineRule="exact"/>
                          <w:ind w:left="100" w:right="96"/>
                          <w:rPr>
                            <w:sz w:val="20"/>
                          </w:rPr>
                        </w:pPr>
                        <w:r>
                          <w:rPr>
                            <w:sz w:val="20"/>
                          </w:rPr>
                          <w:t>7.68</w:t>
                        </w:r>
                      </w:p>
                    </w:tc>
                    <w:tc>
                      <w:tcPr>
                        <w:tcW w:w="1440" w:type="dxa"/>
                      </w:tcPr>
                      <w:p>
                        <w:pPr>
                          <w:pStyle w:val="TableParagraph"/>
                          <w:spacing w:line="227" w:lineRule="exact"/>
                          <w:ind w:left="103" w:right="117"/>
                          <w:rPr>
                            <w:sz w:val="20"/>
                          </w:rPr>
                        </w:pPr>
                        <w:r>
                          <w:rPr>
                            <w:sz w:val="20"/>
                          </w:rPr>
                          <w:t>1.44</w:t>
                        </w:r>
                      </w:p>
                    </w:tc>
                  </w:tr>
                  <w:tr>
                    <w:trPr>
                      <w:trHeight w:val="240" w:hRule="exact"/>
                    </w:trPr>
                    <w:tc>
                      <w:tcPr>
                        <w:tcW w:w="1640" w:type="dxa"/>
                      </w:tcPr>
                      <w:p>
                        <w:pPr>
                          <w:pStyle w:val="TableParagraph"/>
                          <w:spacing w:line="227" w:lineRule="exact"/>
                          <w:ind w:left="103" w:right="117"/>
                          <w:rPr>
                            <w:sz w:val="20"/>
                          </w:rPr>
                        </w:pPr>
                        <w:r>
                          <w:rPr>
                            <w:sz w:val="20"/>
                          </w:rPr>
                          <w:t>TOTAL</w:t>
                        </w:r>
                      </w:p>
                    </w:tc>
                    <w:tc>
                      <w:tcPr>
                        <w:tcW w:w="1349" w:type="dxa"/>
                      </w:tcPr>
                      <w:p>
                        <w:pPr>
                          <w:pStyle w:val="TableParagraph"/>
                          <w:spacing w:line="227" w:lineRule="exact"/>
                          <w:ind w:left="100" w:right="96"/>
                          <w:rPr>
                            <w:sz w:val="20"/>
                          </w:rPr>
                        </w:pPr>
                        <w:r>
                          <w:rPr>
                            <w:sz w:val="20"/>
                          </w:rPr>
                          <w:t>100</w:t>
                        </w:r>
                      </w:p>
                    </w:tc>
                    <w:tc>
                      <w:tcPr>
                        <w:tcW w:w="1440" w:type="dxa"/>
                      </w:tcPr>
                      <w:p>
                        <w:pPr>
                          <w:pStyle w:val="TableParagraph"/>
                          <w:spacing w:line="227" w:lineRule="exact"/>
                          <w:ind w:left="103" w:right="117"/>
                          <w:rPr>
                            <w:sz w:val="20"/>
                          </w:rPr>
                        </w:pPr>
                        <w:r>
                          <w:rPr>
                            <w:sz w:val="20"/>
                          </w:rPr>
                          <w:t>100</w:t>
                        </w:r>
                      </w:p>
                    </w:tc>
                  </w:tr>
                </w:tbl>
                <w:p>
                  <w:pPr>
                    <w:pStyle w:val="BodyText"/>
                  </w:pPr>
                </w:p>
              </w:txbxContent>
            </v:textbox>
            <w10:wrap type="topAndBottom"/>
          </v:shape>
        </w:pict>
      </w:r>
    </w:p>
    <w:p>
      <w:pPr>
        <w:pStyle w:val="BodyText"/>
        <w:spacing w:before="5"/>
        <w:rPr>
          <w:rFonts w:ascii="Times New Roman"/>
          <w:sz w:val="23"/>
        </w:rPr>
      </w:pPr>
    </w:p>
    <w:p>
      <w:pPr>
        <w:pStyle w:val="BodyText"/>
        <w:spacing w:before="4"/>
        <w:rPr>
          <w:rFonts w:ascii="Times New Roman"/>
          <w:sz w:val="26"/>
        </w:rPr>
      </w:pPr>
    </w:p>
    <w:p>
      <w:pPr>
        <w:pStyle w:val="BodyText"/>
        <w:spacing w:before="7"/>
        <w:rPr>
          <w:rFonts w:ascii="Times New Roman"/>
          <w:sz w:val="22"/>
        </w:rPr>
      </w:pPr>
    </w:p>
    <w:p>
      <w:pPr>
        <w:spacing w:after="0"/>
        <w:rPr>
          <w:rFonts w:ascii="Times New Roman"/>
          <w:sz w:val="22"/>
        </w:rPr>
        <w:sectPr>
          <w:pgSz w:w="12240" w:h="15840"/>
          <w:pgMar w:header="736" w:footer="1024" w:top="1180" w:bottom="1220" w:left="1220" w:right="1220"/>
        </w:sectPr>
      </w:pPr>
    </w:p>
    <w:p>
      <w:pPr>
        <w:pStyle w:val="BodyText"/>
        <w:rPr>
          <w:rFonts w:ascii="Times New Roman"/>
          <w:sz w:val="20"/>
        </w:rPr>
      </w:pPr>
    </w:p>
    <w:p>
      <w:pPr>
        <w:pStyle w:val="BodyText"/>
        <w:rPr>
          <w:rFonts w:ascii="Times New Roman"/>
          <w:sz w:val="20"/>
        </w:rPr>
      </w:pPr>
    </w:p>
    <w:p>
      <w:pPr>
        <w:pStyle w:val="BodyText"/>
        <w:spacing w:before="1"/>
        <w:rPr>
          <w:rFonts w:ascii="Times New Roman"/>
          <w:sz w:val="19"/>
        </w:rPr>
      </w:pPr>
    </w:p>
    <w:p>
      <w:pPr>
        <w:tabs>
          <w:tab w:pos="5256" w:val="left" w:leader="none"/>
        </w:tabs>
        <w:spacing w:line="240" w:lineRule="auto"/>
        <w:ind w:left="107" w:right="0" w:firstLine="0"/>
        <w:rPr>
          <w:rFonts w:ascii="Times New Roman"/>
          <w:sz w:val="20"/>
        </w:rPr>
      </w:pPr>
      <w:r>
        <w:rPr>
          <w:rFonts w:ascii="Times New Roman"/>
          <w:position w:val="3"/>
          <w:sz w:val="20"/>
        </w:rPr>
        <w:pict>
          <v:shape style="width:222.15pt;height:107.55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6"/>
                    <w:gridCol w:w="1321"/>
                    <w:gridCol w:w="1452"/>
                  </w:tblGrid>
                  <w:tr>
                    <w:trPr>
                      <w:trHeight w:val="701" w:hRule="exact"/>
                    </w:trPr>
                    <w:tc>
                      <w:tcPr>
                        <w:tcW w:w="1656" w:type="dxa"/>
                      </w:tcPr>
                      <w:p>
                        <w:pPr>
                          <w:pStyle w:val="TableParagraph"/>
                          <w:ind w:left="103" w:right="166"/>
                          <w:rPr>
                            <w:sz w:val="20"/>
                          </w:rPr>
                        </w:pPr>
                        <w:r>
                          <w:rPr>
                            <w:sz w:val="20"/>
                          </w:rPr>
                          <w:t>Segundo molar inferior izquierdo</w:t>
                        </w:r>
                      </w:p>
                    </w:tc>
                    <w:tc>
                      <w:tcPr>
                        <w:tcW w:w="1321" w:type="dxa"/>
                      </w:tcPr>
                      <w:p>
                        <w:pPr>
                          <w:pStyle w:val="TableParagraph"/>
                          <w:ind w:left="103" w:right="202"/>
                          <w:rPr>
                            <w:sz w:val="20"/>
                          </w:rPr>
                        </w:pPr>
                        <w:r>
                          <w:rPr>
                            <w:w w:val="95"/>
                            <w:sz w:val="20"/>
                          </w:rPr>
                          <w:t>Porciento </w:t>
                        </w:r>
                        <w:r>
                          <w:rPr>
                            <w:sz w:val="20"/>
                          </w:rPr>
                          <w:t>en peso total</w:t>
                        </w:r>
                      </w:p>
                    </w:tc>
                    <w:tc>
                      <w:tcPr>
                        <w:tcW w:w="1452" w:type="dxa"/>
                      </w:tcPr>
                      <w:p>
                        <w:pPr>
                          <w:pStyle w:val="TableParagraph"/>
                          <w:ind w:left="103" w:right="129"/>
                          <w:rPr>
                            <w:sz w:val="20"/>
                          </w:rPr>
                        </w:pPr>
                        <w:r>
                          <w:rPr>
                            <w:sz w:val="20"/>
                          </w:rPr>
                          <w:t>Porciento en peso atómico</w:t>
                        </w:r>
                      </w:p>
                    </w:tc>
                  </w:tr>
                  <w:tr>
                    <w:trPr>
                      <w:trHeight w:val="240" w:hRule="exact"/>
                    </w:trPr>
                    <w:tc>
                      <w:tcPr>
                        <w:tcW w:w="1656" w:type="dxa"/>
                      </w:tcPr>
                      <w:p>
                        <w:pPr>
                          <w:pStyle w:val="TableParagraph"/>
                          <w:spacing w:line="227" w:lineRule="exact"/>
                          <w:ind w:left="103"/>
                          <w:rPr>
                            <w:sz w:val="20"/>
                          </w:rPr>
                        </w:pPr>
                        <w:r>
                          <w:rPr>
                            <w:w w:val="99"/>
                            <w:sz w:val="20"/>
                          </w:rPr>
                          <w:t>C</w:t>
                        </w:r>
                      </w:p>
                    </w:tc>
                    <w:tc>
                      <w:tcPr>
                        <w:tcW w:w="1321" w:type="dxa"/>
                      </w:tcPr>
                      <w:p>
                        <w:pPr>
                          <w:pStyle w:val="TableParagraph"/>
                          <w:spacing w:line="227" w:lineRule="exact"/>
                          <w:ind w:left="103" w:right="202"/>
                          <w:rPr>
                            <w:sz w:val="20"/>
                          </w:rPr>
                        </w:pPr>
                        <w:r>
                          <w:rPr>
                            <w:sz w:val="20"/>
                          </w:rPr>
                          <w:t>43.69</w:t>
                        </w:r>
                      </w:p>
                    </w:tc>
                    <w:tc>
                      <w:tcPr>
                        <w:tcW w:w="1452" w:type="dxa"/>
                      </w:tcPr>
                      <w:p>
                        <w:pPr>
                          <w:pStyle w:val="TableParagraph"/>
                          <w:spacing w:line="227" w:lineRule="exact"/>
                          <w:ind w:left="103" w:right="129"/>
                          <w:rPr>
                            <w:sz w:val="20"/>
                          </w:rPr>
                        </w:pPr>
                        <w:r>
                          <w:rPr>
                            <w:sz w:val="20"/>
                          </w:rPr>
                          <w:t>59.11</w:t>
                        </w:r>
                      </w:p>
                    </w:tc>
                  </w:tr>
                  <w:tr>
                    <w:trPr>
                      <w:trHeight w:val="240" w:hRule="exact"/>
                    </w:trPr>
                    <w:tc>
                      <w:tcPr>
                        <w:tcW w:w="1656" w:type="dxa"/>
                      </w:tcPr>
                      <w:p>
                        <w:pPr>
                          <w:pStyle w:val="TableParagraph"/>
                          <w:spacing w:line="227" w:lineRule="exact"/>
                          <w:ind w:left="103"/>
                          <w:rPr>
                            <w:sz w:val="20"/>
                          </w:rPr>
                        </w:pPr>
                        <w:r>
                          <w:rPr>
                            <w:w w:val="99"/>
                            <w:sz w:val="20"/>
                          </w:rPr>
                          <w:t>O</w:t>
                        </w:r>
                      </w:p>
                    </w:tc>
                    <w:tc>
                      <w:tcPr>
                        <w:tcW w:w="1321" w:type="dxa"/>
                      </w:tcPr>
                      <w:p>
                        <w:pPr>
                          <w:pStyle w:val="TableParagraph"/>
                          <w:spacing w:line="227" w:lineRule="exact"/>
                          <w:ind w:left="103" w:right="202"/>
                          <w:rPr>
                            <w:sz w:val="20"/>
                          </w:rPr>
                        </w:pPr>
                        <w:r>
                          <w:rPr>
                            <w:sz w:val="20"/>
                          </w:rPr>
                          <w:t>30.99</w:t>
                        </w:r>
                      </w:p>
                    </w:tc>
                    <w:tc>
                      <w:tcPr>
                        <w:tcW w:w="1452" w:type="dxa"/>
                      </w:tcPr>
                      <w:p>
                        <w:pPr>
                          <w:pStyle w:val="TableParagraph"/>
                          <w:spacing w:line="227" w:lineRule="exact"/>
                          <w:ind w:left="103" w:right="129"/>
                          <w:rPr>
                            <w:sz w:val="20"/>
                          </w:rPr>
                        </w:pPr>
                        <w:r>
                          <w:rPr>
                            <w:sz w:val="20"/>
                          </w:rPr>
                          <w:t>31.47</w:t>
                        </w:r>
                      </w:p>
                    </w:tc>
                  </w:tr>
                  <w:tr>
                    <w:trPr>
                      <w:trHeight w:val="240" w:hRule="exact"/>
                    </w:trPr>
                    <w:tc>
                      <w:tcPr>
                        <w:tcW w:w="1656" w:type="dxa"/>
                      </w:tcPr>
                      <w:p>
                        <w:pPr>
                          <w:pStyle w:val="TableParagraph"/>
                          <w:spacing w:line="227" w:lineRule="exact"/>
                          <w:ind w:left="103"/>
                          <w:rPr>
                            <w:sz w:val="20"/>
                          </w:rPr>
                        </w:pPr>
                        <w:r>
                          <w:rPr>
                            <w:w w:val="99"/>
                            <w:sz w:val="20"/>
                          </w:rPr>
                          <w:t>P</w:t>
                        </w:r>
                      </w:p>
                    </w:tc>
                    <w:tc>
                      <w:tcPr>
                        <w:tcW w:w="1321" w:type="dxa"/>
                      </w:tcPr>
                      <w:p>
                        <w:pPr>
                          <w:pStyle w:val="TableParagraph"/>
                          <w:spacing w:line="227" w:lineRule="exact"/>
                          <w:ind w:left="103" w:right="202"/>
                          <w:rPr>
                            <w:sz w:val="20"/>
                          </w:rPr>
                        </w:pPr>
                        <w:r>
                          <w:rPr>
                            <w:sz w:val="20"/>
                          </w:rPr>
                          <w:t>6.76</w:t>
                        </w:r>
                      </w:p>
                    </w:tc>
                    <w:tc>
                      <w:tcPr>
                        <w:tcW w:w="1452" w:type="dxa"/>
                      </w:tcPr>
                      <w:p>
                        <w:pPr>
                          <w:pStyle w:val="TableParagraph"/>
                          <w:spacing w:line="227" w:lineRule="exact"/>
                          <w:ind w:left="103" w:right="129"/>
                          <w:rPr>
                            <w:sz w:val="20"/>
                          </w:rPr>
                        </w:pPr>
                        <w:r>
                          <w:rPr>
                            <w:sz w:val="20"/>
                          </w:rPr>
                          <w:t>3.54</w:t>
                        </w:r>
                      </w:p>
                    </w:tc>
                  </w:tr>
                  <w:tr>
                    <w:trPr>
                      <w:trHeight w:val="238" w:hRule="exact"/>
                    </w:trPr>
                    <w:tc>
                      <w:tcPr>
                        <w:tcW w:w="1656" w:type="dxa"/>
                      </w:tcPr>
                      <w:p>
                        <w:pPr>
                          <w:pStyle w:val="TableParagraph"/>
                          <w:spacing w:line="227" w:lineRule="exact"/>
                          <w:ind w:left="103" w:right="166"/>
                          <w:rPr>
                            <w:sz w:val="20"/>
                          </w:rPr>
                        </w:pPr>
                        <w:r>
                          <w:rPr>
                            <w:sz w:val="20"/>
                          </w:rPr>
                          <w:t>Ca</w:t>
                        </w:r>
                      </w:p>
                    </w:tc>
                    <w:tc>
                      <w:tcPr>
                        <w:tcW w:w="1321" w:type="dxa"/>
                      </w:tcPr>
                      <w:p>
                        <w:pPr>
                          <w:pStyle w:val="TableParagraph"/>
                          <w:spacing w:line="227" w:lineRule="exact"/>
                          <w:ind w:left="103" w:right="202"/>
                          <w:rPr>
                            <w:sz w:val="20"/>
                          </w:rPr>
                        </w:pPr>
                        <w:r>
                          <w:rPr>
                            <w:sz w:val="20"/>
                          </w:rPr>
                          <w:t>12.09</w:t>
                        </w:r>
                      </w:p>
                    </w:tc>
                    <w:tc>
                      <w:tcPr>
                        <w:tcW w:w="1452" w:type="dxa"/>
                      </w:tcPr>
                      <w:p>
                        <w:pPr>
                          <w:pStyle w:val="TableParagraph"/>
                          <w:spacing w:line="227" w:lineRule="exact"/>
                          <w:ind w:left="103" w:right="129"/>
                          <w:rPr>
                            <w:sz w:val="20"/>
                          </w:rPr>
                        </w:pPr>
                        <w:r>
                          <w:rPr>
                            <w:sz w:val="20"/>
                          </w:rPr>
                          <w:t>4.90</w:t>
                        </w:r>
                      </w:p>
                    </w:tc>
                  </w:tr>
                  <w:tr>
                    <w:trPr>
                      <w:trHeight w:val="240" w:hRule="exact"/>
                    </w:trPr>
                    <w:tc>
                      <w:tcPr>
                        <w:tcW w:w="1656" w:type="dxa"/>
                      </w:tcPr>
                      <w:p>
                        <w:pPr>
                          <w:pStyle w:val="TableParagraph"/>
                          <w:spacing w:line="230" w:lineRule="exact"/>
                          <w:ind w:left="103" w:right="166"/>
                          <w:rPr>
                            <w:sz w:val="20"/>
                          </w:rPr>
                        </w:pPr>
                        <w:r>
                          <w:rPr>
                            <w:sz w:val="20"/>
                          </w:rPr>
                          <w:t>Ag</w:t>
                        </w:r>
                      </w:p>
                    </w:tc>
                    <w:tc>
                      <w:tcPr>
                        <w:tcW w:w="1321" w:type="dxa"/>
                      </w:tcPr>
                      <w:p>
                        <w:pPr>
                          <w:pStyle w:val="TableParagraph"/>
                          <w:spacing w:line="230" w:lineRule="exact"/>
                          <w:ind w:left="103" w:right="202"/>
                          <w:rPr>
                            <w:sz w:val="20"/>
                          </w:rPr>
                        </w:pPr>
                        <w:r>
                          <w:rPr>
                            <w:sz w:val="20"/>
                          </w:rPr>
                          <w:t>6.47</w:t>
                        </w:r>
                      </w:p>
                    </w:tc>
                    <w:tc>
                      <w:tcPr>
                        <w:tcW w:w="1452" w:type="dxa"/>
                      </w:tcPr>
                      <w:p>
                        <w:pPr>
                          <w:pStyle w:val="TableParagraph"/>
                          <w:spacing w:line="230" w:lineRule="exact"/>
                          <w:ind w:left="103" w:right="129"/>
                          <w:rPr>
                            <w:sz w:val="20"/>
                          </w:rPr>
                        </w:pPr>
                        <w:r>
                          <w:rPr>
                            <w:sz w:val="20"/>
                          </w:rPr>
                          <w:t>0.97</w:t>
                        </w:r>
                      </w:p>
                    </w:tc>
                  </w:tr>
                  <w:tr>
                    <w:trPr>
                      <w:trHeight w:val="242" w:hRule="exact"/>
                    </w:trPr>
                    <w:tc>
                      <w:tcPr>
                        <w:tcW w:w="1656" w:type="dxa"/>
                      </w:tcPr>
                      <w:p>
                        <w:pPr>
                          <w:pStyle w:val="TableParagraph"/>
                          <w:spacing w:line="230" w:lineRule="exact"/>
                          <w:ind w:left="103" w:right="166"/>
                          <w:rPr>
                            <w:sz w:val="20"/>
                          </w:rPr>
                        </w:pPr>
                        <w:r>
                          <w:rPr>
                            <w:sz w:val="20"/>
                          </w:rPr>
                          <w:t>TOTAL</w:t>
                        </w:r>
                      </w:p>
                    </w:tc>
                    <w:tc>
                      <w:tcPr>
                        <w:tcW w:w="1321" w:type="dxa"/>
                      </w:tcPr>
                      <w:p>
                        <w:pPr>
                          <w:pStyle w:val="TableParagraph"/>
                          <w:spacing w:line="230" w:lineRule="exact"/>
                          <w:ind w:left="103" w:right="202"/>
                          <w:rPr>
                            <w:sz w:val="20"/>
                          </w:rPr>
                        </w:pPr>
                        <w:r>
                          <w:rPr>
                            <w:sz w:val="20"/>
                          </w:rPr>
                          <w:t>100</w:t>
                        </w:r>
                      </w:p>
                    </w:tc>
                    <w:tc>
                      <w:tcPr>
                        <w:tcW w:w="1452" w:type="dxa"/>
                      </w:tcPr>
                      <w:p>
                        <w:pPr>
                          <w:pStyle w:val="TableParagraph"/>
                          <w:spacing w:line="230" w:lineRule="exact"/>
                          <w:ind w:left="103" w:right="129"/>
                          <w:rPr>
                            <w:sz w:val="20"/>
                          </w:rPr>
                        </w:pPr>
                        <w:r>
                          <w:rPr>
                            <w:sz w:val="20"/>
                          </w:rPr>
                          <w:t>100</w:t>
                        </w:r>
                      </w:p>
                    </w:tc>
                  </w:tr>
                </w:tbl>
                <w:p>
                  <w:pPr>
                    <w:pStyle w:val="BodyText"/>
                  </w:pPr>
                </w:p>
              </w:txbxContent>
            </v:textbox>
          </v:shape>
        </w:pict>
      </w:r>
      <w:r>
        <w:rPr>
          <w:rFonts w:ascii="Times New Roman"/>
          <w:position w:val="3"/>
          <w:sz w:val="20"/>
        </w:rPr>
      </w:r>
      <w:r>
        <w:rPr>
          <w:rFonts w:ascii="Times New Roman"/>
          <w:position w:val="3"/>
          <w:sz w:val="20"/>
        </w:rPr>
        <w:tab/>
      </w:r>
      <w:r>
        <w:rPr>
          <w:rFonts w:ascii="Times New Roman"/>
          <w:sz w:val="20"/>
        </w:rPr>
        <w:pict>
          <v:shape style="width:222.2pt;height:107.55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0"/>
                    <w:gridCol w:w="1349"/>
                    <w:gridCol w:w="1440"/>
                  </w:tblGrid>
                  <w:tr>
                    <w:trPr>
                      <w:trHeight w:val="698" w:hRule="exact"/>
                    </w:trPr>
                    <w:tc>
                      <w:tcPr>
                        <w:tcW w:w="1640" w:type="dxa"/>
                      </w:tcPr>
                      <w:p>
                        <w:pPr>
                          <w:pStyle w:val="TableParagraph"/>
                          <w:ind w:left="103" w:right="184"/>
                          <w:rPr>
                            <w:sz w:val="20"/>
                          </w:rPr>
                        </w:pPr>
                        <w:r>
                          <w:rPr>
                            <w:sz w:val="20"/>
                          </w:rPr>
                          <w:t>Incisivo central superior izquierdo</w:t>
                        </w:r>
                      </w:p>
                    </w:tc>
                    <w:tc>
                      <w:tcPr>
                        <w:tcW w:w="1349" w:type="dxa"/>
                      </w:tcPr>
                      <w:p>
                        <w:pPr>
                          <w:pStyle w:val="TableParagraph"/>
                          <w:ind w:left="100" w:right="96"/>
                          <w:rPr>
                            <w:sz w:val="20"/>
                          </w:rPr>
                        </w:pPr>
                        <w:r>
                          <w:rPr>
                            <w:sz w:val="20"/>
                          </w:rPr>
                          <w:t>Porciento en peso total</w:t>
                        </w:r>
                      </w:p>
                    </w:tc>
                    <w:tc>
                      <w:tcPr>
                        <w:tcW w:w="1440" w:type="dxa"/>
                      </w:tcPr>
                      <w:p>
                        <w:pPr>
                          <w:pStyle w:val="TableParagraph"/>
                          <w:ind w:left="103" w:right="117"/>
                          <w:rPr>
                            <w:sz w:val="20"/>
                          </w:rPr>
                        </w:pPr>
                        <w:r>
                          <w:rPr>
                            <w:sz w:val="20"/>
                          </w:rPr>
                          <w:t>Porciento en peso atómico</w:t>
                        </w:r>
                      </w:p>
                    </w:tc>
                  </w:tr>
                  <w:tr>
                    <w:trPr>
                      <w:trHeight w:val="240" w:hRule="exact"/>
                    </w:trPr>
                    <w:tc>
                      <w:tcPr>
                        <w:tcW w:w="1640" w:type="dxa"/>
                      </w:tcPr>
                      <w:p>
                        <w:pPr>
                          <w:pStyle w:val="TableParagraph"/>
                          <w:spacing w:line="230" w:lineRule="exact"/>
                          <w:ind w:left="103"/>
                          <w:rPr>
                            <w:sz w:val="20"/>
                          </w:rPr>
                        </w:pPr>
                        <w:r>
                          <w:rPr>
                            <w:w w:val="99"/>
                            <w:sz w:val="20"/>
                          </w:rPr>
                          <w:t>C</w:t>
                        </w:r>
                      </w:p>
                    </w:tc>
                    <w:tc>
                      <w:tcPr>
                        <w:tcW w:w="1349" w:type="dxa"/>
                      </w:tcPr>
                      <w:p>
                        <w:pPr>
                          <w:pStyle w:val="TableParagraph"/>
                          <w:spacing w:line="230" w:lineRule="exact"/>
                          <w:ind w:left="100" w:right="96"/>
                          <w:rPr>
                            <w:sz w:val="20"/>
                          </w:rPr>
                        </w:pPr>
                        <w:r>
                          <w:rPr>
                            <w:sz w:val="20"/>
                          </w:rPr>
                          <w:t>41.98</w:t>
                        </w:r>
                      </w:p>
                    </w:tc>
                    <w:tc>
                      <w:tcPr>
                        <w:tcW w:w="1440" w:type="dxa"/>
                      </w:tcPr>
                      <w:p>
                        <w:pPr>
                          <w:pStyle w:val="TableParagraph"/>
                          <w:spacing w:line="230" w:lineRule="exact"/>
                          <w:ind w:left="103" w:right="117"/>
                          <w:rPr>
                            <w:sz w:val="20"/>
                          </w:rPr>
                        </w:pPr>
                        <w:r>
                          <w:rPr>
                            <w:sz w:val="20"/>
                          </w:rPr>
                          <w:t>59.70</w:t>
                        </w:r>
                      </w:p>
                    </w:tc>
                  </w:tr>
                  <w:tr>
                    <w:trPr>
                      <w:trHeight w:val="240" w:hRule="exact"/>
                    </w:trPr>
                    <w:tc>
                      <w:tcPr>
                        <w:tcW w:w="1640" w:type="dxa"/>
                      </w:tcPr>
                      <w:p>
                        <w:pPr>
                          <w:pStyle w:val="TableParagraph"/>
                          <w:spacing w:line="230" w:lineRule="exact"/>
                          <w:ind w:left="103"/>
                          <w:rPr>
                            <w:sz w:val="20"/>
                          </w:rPr>
                        </w:pPr>
                        <w:r>
                          <w:rPr>
                            <w:w w:val="99"/>
                            <w:sz w:val="20"/>
                          </w:rPr>
                          <w:t>O</w:t>
                        </w:r>
                      </w:p>
                    </w:tc>
                    <w:tc>
                      <w:tcPr>
                        <w:tcW w:w="1349" w:type="dxa"/>
                      </w:tcPr>
                      <w:p>
                        <w:pPr>
                          <w:pStyle w:val="TableParagraph"/>
                          <w:spacing w:line="230" w:lineRule="exact"/>
                          <w:ind w:left="100" w:right="96"/>
                          <w:rPr>
                            <w:sz w:val="20"/>
                          </w:rPr>
                        </w:pPr>
                        <w:r>
                          <w:rPr>
                            <w:sz w:val="20"/>
                          </w:rPr>
                          <w:t>32.66</w:t>
                        </w:r>
                      </w:p>
                    </w:tc>
                    <w:tc>
                      <w:tcPr>
                        <w:tcW w:w="1440" w:type="dxa"/>
                      </w:tcPr>
                      <w:p>
                        <w:pPr>
                          <w:pStyle w:val="TableParagraph"/>
                          <w:spacing w:line="230" w:lineRule="exact"/>
                          <w:ind w:left="103" w:right="117"/>
                          <w:rPr>
                            <w:sz w:val="20"/>
                          </w:rPr>
                        </w:pPr>
                        <w:r>
                          <w:rPr>
                            <w:sz w:val="20"/>
                          </w:rPr>
                          <w:t>31.55</w:t>
                        </w:r>
                      </w:p>
                    </w:tc>
                  </w:tr>
                  <w:tr>
                    <w:trPr>
                      <w:trHeight w:val="240" w:hRule="exact"/>
                    </w:trPr>
                    <w:tc>
                      <w:tcPr>
                        <w:tcW w:w="1640" w:type="dxa"/>
                      </w:tcPr>
                      <w:p>
                        <w:pPr>
                          <w:pStyle w:val="TableParagraph"/>
                          <w:spacing w:line="230" w:lineRule="exact"/>
                          <w:ind w:left="103"/>
                          <w:rPr>
                            <w:sz w:val="20"/>
                          </w:rPr>
                        </w:pPr>
                        <w:r>
                          <w:rPr>
                            <w:w w:val="99"/>
                            <w:sz w:val="20"/>
                          </w:rPr>
                          <w:t>P</w:t>
                        </w:r>
                      </w:p>
                    </w:tc>
                    <w:tc>
                      <w:tcPr>
                        <w:tcW w:w="1349" w:type="dxa"/>
                      </w:tcPr>
                      <w:p>
                        <w:pPr>
                          <w:pStyle w:val="TableParagraph"/>
                          <w:spacing w:line="230" w:lineRule="exact"/>
                          <w:ind w:left="100" w:right="96"/>
                          <w:rPr>
                            <w:sz w:val="20"/>
                          </w:rPr>
                        </w:pPr>
                        <w:r>
                          <w:rPr>
                            <w:sz w:val="20"/>
                          </w:rPr>
                          <w:t>6.21</w:t>
                        </w:r>
                      </w:p>
                    </w:tc>
                    <w:tc>
                      <w:tcPr>
                        <w:tcW w:w="1440" w:type="dxa"/>
                      </w:tcPr>
                      <w:p>
                        <w:pPr>
                          <w:pStyle w:val="TableParagraph"/>
                          <w:spacing w:line="230" w:lineRule="exact"/>
                          <w:ind w:left="103" w:right="117"/>
                          <w:rPr>
                            <w:sz w:val="20"/>
                          </w:rPr>
                        </w:pPr>
                        <w:r>
                          <w:rPr>
                            <w:sz w:val="20"/>
                          </w:rPr>
                          <w:t>3.19</w:t>
                        </w:r>
                      </w:p>
                    </w:tc>
                  </w:tr>
                  <w:tr>
                    <w:trPr>
                      <w:trHeight w:val="240" w:hRule="exact"/>
                    </w:trPr>
                    <w:tc>
                      <w:tcPr>
                        <w:tcW w:w="1640" w:type="dxa"/>
                      </w:tcPr>
                      <w:p>
                        <w:pPr>
                          <w:pStyle w:val="TableParagraph"/>
                          <w:spacing w:line="230" w:lineRule="exact"/>
                          <w:ind w:left="103" w:right="117"/>
                          <w:rPr>
                            <w:sz w:val="20"/>
                          </w:rPr>
                        </w:pPr>
                        <w:r>
                          <w:rPr>
                            <w:sz w:val="20"/>
                          </w:rPr>
                          <w:t>Ca</w:t>
                        </w:r>
                      </w:p>
                    </w:tc>
                    <w:tc>
                      <w:tcPr>
                        <w:tcW w:w="1349" w:type="dxa"/>
                      </w:tcPr>
                      <w:p>
                        <w:pPr>
                          <w:pStyle w:val="TableParagraph"/>
                          <w:spacing w:line="230" w:lineRule="exact"/>
                          <w:ind w:left="100" w:right="96"/>
                          <w:rPr>
                            <w:sz w:val="20"/>
                          </w:rPr>
                        </w:pPr>
                        <w:r>
                          <w:rPr>
                            <w:sz w:val="20"/>
                          </w:rPr>
                          <w:t>14.11</w:t>
                        </w:r>
                      </w:p>
                    </w:tc>
                    <w:tc>
                      <w:tcPr>
                        <w:tcW w:w="1440" w:type="dxa"/>
                      </w:tcPr>
                      <w:p>
                        <w:pPr>
                          <w:pStyle w:val="TableParagraph"/>
                          <w:spacing w:line="230" w:lineRule="exact"/>
                          <w:ind w:left="103" w:right="117"/>
                          <w:rPr>
                            <w:sz w:val="20"/>
                          </w:rPr>
                        </w:pPr>
                        <w:r>
                          <w:rPr>
                            <w:sz w:val="20"/>
                          </w:rPr>
                          <w:t>4.72</w:t>
                        </w:r>
                      </w:p>
                    </w:tc>
                  </w:tr>
                  <w:tr>
                    <w:trPr>
                      <w:trHeight w:val="240" w:hRule="exact"/>
                    </w:trPr>
                    <w:tc>
                      <w:tcPr>
                        <w:tcW w:w="1640" w:type="dxa"/>
                      </w:tcPr>
                      <w:p>
                        <w:pPr>
                          <w:pStyle w:val="TableParagraph"/>
                          <w:spacing w:line="230" w:lineRule="exact"/>
                          <w:ind w:left="103" w:right="117"/>
                          <w:rPr>
                            <w:sz w:val="20"/>
                          </w:rPr>
                        </w:pPr>
                        <w:r>
                          <w:rPr>
                            <w:sz w:val="20"/>
                          </w:rPr>
                          <w:t>Ag</w:t>
                        </w:r>
                      </w:p>
                    </w:tc>
                    <w:tc>
                      <w:tcPr>
                        <w:tcW w:w="1349" w:type="dxa"/>
                      </w:tcPr>
                      <w:p>
                        <w:pPr>
                          <w:pStyle w:val="TableParagraph"/>
                          <w:spacing w:line="230" w:lineRule="exact"/>
                          <w:ind w:left="100" w:right="96"/>
                          <w:rPr>
                            <w:sz w:val="20"/>
                          </w:rPr>
                        </w:pPr>
                        <w:r>
                          <w:rPr>
                            <w:sz w:val="20"/>
                          </w:rPr>
                          <w:t>5.04</w:t>
                        </w:r>
                      </w:p>
                    </w:tc>
                    <w:tc>
                      <w:tcPr>
                        <w:tcW w:w="1440" w:type="dxa"/>
                      </w:tcPr>
                      <w:p>
                        <w:pPr>
                          <w:pStyle w:val="TableParagraph"/>
                          <w:spacing w:line="230" w:lineRule="exact"/>
                          <w:ind w:left="103" w:right="117"/>
                          <w:rPr>
                            <w:sz w:val="20"/>
                          </w:rPr>
                        </w:pPr>
                        <w:r>
                          <w:rPr>
                            <w:sz w:val="20"/>
                          </w:rPr>
                          <w:t>0.84</w:t>
                        </w:r>
                      </w:p>
                    </w:tc>
                  </w:tr>
                  <w:tr>
                    <w:trPr>
                      <w:trHeight w:val="242" w:hRule="exact"/>
                    </w:trPr>
                    <w:tc>
                      <w:tcPr>
                        <w:tcW w:w="1640" w:type="dxa"/>
                      </w:tcPr>
                      <w:p>
                        <w:pPr>
                          <w:pStyle w:val="TableParagraph"/>
                          <w:spacing w:line="230" w:lineRule="exact"/>
                          <w:ind w:left="103" w:right="117"/>
                          <w:rPr>
                            <w:sz w:val="20"/>
                          </w:rPr>
                        </w:pPr>
                        <w:r>
                          <w:rPr>
                            <w:sz w:val="20"/>
                          </w:rPr>
                          <w:t>TOTAL</w:t>
                        </w:r>
                      </w:p>
                    </w:tc>
                    <w:tc>
                      <w:tcPr>
                        <w:tcW w:w="1349" w:type="dxa"/>
                      </w:tcPr>
                      <w:p>
                        <w:pPr>
                          <w:pStyle w:val="TableParagraph"/>
                          <w:spacing w:line="230" w:lineRule="exact"/>
                          <w:ind w:left="100" w:right="96"/>
                          <w:rPr>
                            <w:sz w:val="20"/>
                          </w:rPr>
                        </w:pPr>
                        <w:r>
                          <w:rPr>
                            <w:sz w:val="20"/>
                          </w:rPr>
                          <w:t>100</w:t>
                        </w:r>
                      </w:p>
                    </w:tc>
                    <w:tc>
                      <w:tcPr>
                        <w:tcW w:w="1440" w:type="dxa"/>
                      </w:tcPr>
                      <w:p>
                        <w:pPr>
                          <w:pStyle w:val="TableParagraph"/>
                          <w:spacing w:line="230" w:lineRule="exact"/>
                          <w:ind w:left="103" w:right="117"/>
                          <w:rPr>
                            <w:sz w:val="20"/>
                          </w:rPr>
                        </w:pPr>
                        <w:r>
                          <w:rPr>
                            <w:sz w:val="20"/>
                          </w:rPr>
                          <w:t>100</w:t>
                        </w:r>
                      </w:p>
                    </w:tc>
                  </w:tr>
                </w:tbl>
                <w:p>
                  <w:pPr>
                    <w:pStyle w:val="BodyText"/>
                  </w:pPr>
                </w:p>
              </w:txbxContent>
            </v:textbox>
          </v:shape>
        </w:pict>
      </w:r>
      <w:r>
        <w:rPr>
          <w:rFonts w:ascii="Times New Roman"/>
          <w:sz w:val="20"/>
        </w:rPr>
      </w:r>
    </w:p>
    <w:p>
      <w:pPr>
        <w:spacing w:after="0" w:line="240" w:lineRule="auto"/>
        <w:rPr>
          <w:rFonts w:ascii="Times New Roman"/>
          <w:sz w:val="20"/>
        </w:rPr>
        <w:sectPr>
          <w:pgSz w:w="12240" w:h="15840"/>
          <w:pgMar w:header="736" w:footer="1024" w:top="1180" w:bottom="1220" w:left="1220" w:right="1220"/>
        </w:sectPr>
      </w:pPr>
    </w:p>
    <w:p>
      <w:pPr>
        <w:pStyle w:val="BodyText"/>
        <w:spacing w:before="2"/>
        <w:rPr>
          <w:rFonts w:ascii="Times New Roman"/>
          <w:sz w:val="17"/>
        </w:rPr>
      </w:pPr>
    </w:p>
    <w:p>
      <w:pPr>
        <w:pStyle w:val="BodyText"/>
        <w:spacing w:before="69"/>
        <w:ind w:right="17"/>
        <w:jc w:val="center"/>
      </w:pPr>
      <w:r>
        <w:rPr/>
        <w:t>ANEXO 4</w:t>
      </w:r>
    </w:p>
    <w:p>
      <w:pPr>
        <w:pStyle w:val="BodyText"/>
      </w:pPr>
    </w:p>
    <w:p>
      <w:pPr>
        <w:pStyle w:val="BodyText"/>
        <w:spacing w:line="482" w:lineRule="auto" w:before="197"/>
        <w:ind w:right="24"/>
        <w:jc w:val="center"/>
      </w:pPr>
      <w:r>
        <w:rPr/>
        <w:pict>
          <v:group style="position:absolute;margin-left:148.405258pt;margin-top:78.735565pt;width:315.4pt;height:229.4pt;mso-position-horizontal-relative:page;mso-position-vertical-relative:paragraph;z-index:-188272" coordorigin="2968,1575" coordsize="6308,4588">
            <v:shape style="position:absolute;left:2968;top:1575;width:6308;height:4588" coordorigin="2968,1575" coordsize="6308,4588" path="m2972,1575l2968,1575,2968,6162,2972,6162,2972,1575m9276,1575l9268,1575,9268,6162,9276,6162,9276,1575e" filled="true" fillcolor="#eaf1f3" stroked="false">
              <v:path arrowok="t"/>
              <v:fill type="solid"/>
            </v:shape>
            <v:rect style="position:absolute;left:2972;top:1582;width:6296;height:4575" filled="true" fillcolor="#eaf1f3" stroked="false">
              <v:fill type="solid"/>
            </v:rect>
            <v:shape style="position:absolute;left:5757;top:2197;width:50;height:50" coordorigin="5757,2197" coordsize="50,50" path="m5795,2197l5768,2197,5757,2209,5757,2235,5768,2247,5795,2247,5807,2235,5807,2209,5795,2197xe" filled="true" fillcolor="#1a466e" stroked="false">
              <v:path arrowok="t"/>
              <v:fill type="solid"/>
            </v:shape>
            <v:shape style="position:absolute;left:5757;top:2197;width:50;height:50" coordorigin="5757,2197" coordsize="50,50" path="m5757,2220l5757,2235,5768,2247,5780,2247,5795,2247,5807,2235,5807,2220,5807,2209,5795,2197,5780,2197,5768,2197,5757,2209,5757,2220xe" filled="false" stroked="true" strokeweight=".554984pt" strokecolor="#1a466e">
              <v:path arrowok="t"/>
            </v:shape>
            <v:shape style="position:absolute;left:6765;top:3171;width:50;height:50" coordorigin="6765,3171" coordsize="50,50" path="m6804,3171l6777,3171,6765,3182,6765,3209,6777,3221,6804,3221,6815,3209,6815,3182,6804,3171xe" filled="true" fillcolor="#1a466e" stroked="false">
              <v:path arrowok="t"/>
              <v:fill type="solid"/>
            </v:shape>
            <v:shape style="position:absolute;left:6765;top:3171;width:50;height:50" coordorigin="6765,3171" coordsize="50,50" path="m6765,3194l6765,3209,6777,3221,6788,3221,6804,3221,6815,3209,6815,3194,6815,3182,6804,3171,6788,3171,6777,3171,6765,3182,6765,3194xe" filled="false" stroked="true" strokeweight=".554984pt" strokecolor="#1a466e">
              <v:path arrowok="t"/>
            </v:shape>
            <v:shape style="position:absolute;left:5421;top:2782;width:50;height:50" coordorigin="5421,2782" coordsize="50,50" path="m5459,2782l5432,2782,5421,2793,5421,2820,5432,2831,5459,2831,5470,2820,5470,2793,5459,2782xe" filled="true" fillcolor="#1a466e" stroked="false">
              <v:path arrowok="t"/>
              <v:fill type="solid"/>
            </v:shape>
            <v:shape style="position:absolute;left:5421;top:2782;width:50;height:50" coordorigin="5421,2782" coordsize="50,50" path="m5421,2805l5421,2820,5432,2831,5443,2831,5459,2831,5470,2820,5470,2805,5470,2793,5459,2782,5443,2782,5432,2782,5421,2793,5421,2805xe" filled="false" stroked="true" strokeweight=".554984pt" strokecolor="#1a466e">
              <v:path arrowok="t"/>
            </v:shape>
            <v:shape style="position:absolute;left:8702;top:2197;width:50;height:50" coordorigin="8702,2197" coordsize="50,50" path="m8740,2197l8714,2197,8702,2209,8702,2235,8714,2247,8740,2247,8752,2235,8752,2209,8740,2197xe" filled="true" fillcolor="#1a466e" stroked="false">
              <v:path arrowok="t"/>
              <v:fill type="solid"/>
            </v:shape>
            <v:shape style="position:absolute;left:8702;top:2197;width:50;height:50" coordorigin="8702,2197" coordsize="50,50" path="m8702,2220l8702,2235,8714,2247,8725,2247,8740,2247,8752,2235,8752,2220,8752,2209,8740,2197,8725,2197,8714,2197,8702,2209,8702,2220xe" filled="false" stroked="true" strokeweight=".554984pt" strokecolor="#1a466e">
              <v:path arrowok="t"/>
            </v:shape>
            <v:shape style="position:absolute;left:7583;top:3171;width:50;height:50" coordorigin="7583,3171" coordsize="50,50" path="m7621,3171l7594,3171,7583,3182,7583,3209,7594,3221,7621,3221,7633,3209,7633,3182,7621,3171xe" filled="true" fillcolor="#1a466e" stroked="false">
              <v:path arrowok="t"/>
              <v:fill type="solid"/>
            </v:shape>
            <v:shape style="position:absolute;left:7583;top:3171;width:50;height:50" coordorigin="7583,3171" coordsize="50,50" path="m7583,3194l7583,3209,7594,3221,7606,3221,7621,3221,7633,3209,7633,3194,7633,3182,7621,3171,7606,3171,7594,3171,7583,3182,7583,3194xe" filled="false" stroked="true" strokeweight=".554984pt" strokecolor="#1a466e">
              <v:path arrowok="t"/>
            </v:shape>
            <v:shape style="position:absolute;left:7021;top:2782;width:50;height:50" coordorigin="7021,2782" coordsize="50,50" path="m7060,2782l7033,2782,7021,2793,7021,2820,7033,2831,7060,2831,7071,2820,7071,2793,7060,2782xe" filled="true" fillcolor="#1a466e" stroked="false">
              <v:path arrowok="t"/>
              <v:fill type="solid"/>
            </v:shape>
            <v:shape style="position:absolute;left:7021;top:2782;width:50;height:50" coordorigin="7021,2782" coordsize="50,50" path="m7021,2805l7021,2820,7033,2831,7044,2831,7060,2831,7071,2820,7071,2805,7071,2793,7060,2782,7044,2782,7033,2782,7021,2793,7021,2805xe" filled="false" stroked="true" strokeweight=".554984pt" strokecolor="#1a466e">
              <v:path arrowok="t"/>
            </v:shape>
            <v:shape style="position:absolute;left:4886;top:4080;width:50;height:50" coordorigin="4886,4080" coordsize="50,50" path="m4924,4080l4897,4080,4886,4092,4886,4118,4897,4130,4924,4130,4935,4118,4935,4092,4924,4080xe" filled="true" fillcolor="#1a466e" stroked="false">
              <v:path arrowok="t"/>
              <v:fill type="solid"/>
            </v:shape>
            <v:shape style="position:absolute;left:4886;top:4080;width:50;height:50" coordorigin="4886,4080" coordsize="50,50" path="m4886,4103l4886,4118,4897,4130,4909,4130,4924,4130,4935,4118,4935,4103,4935,4092,4924,4080,4909,4080,4897,4080,4886,4092,4886,4103xe" filled="false" stroked="true" strokeweight=".554984pt" strokecolor="#1a466e">
              <v:path arrowok="t"/>
            </v:shape>
            <v:shape style="position:absolute;left:3488;top:3377;width:50;height:50" coordorigin="3488,3377" coordsize="50,50" path="m3526,3377l3499,3377,3488,3389,3488,3415,3499,3427,3526,3427,3537,3415,3537,3389,3526,3377xe" filled="true" fillcolor="#1a466e" stroked="false">
              <v:path arrowok="t"/>
              <v:fill type="solid"/>
            </v:shape>
            <v:shape style="position:absolute;left:3488;top:3377;width:50;height:50" coordorigin="3488,3377" coordsize="50,50" path="m3488,3400l3488,3415,3499,3427,3510,3427,3526,3427,3537,3415,3537,3400,3537,3389,3526,3377,3510,3377,3499,3377,3488,3389,3488,3400xe" filled="false" stroked="true" strokeweight=".554984pt" strokecolor="#1a466e">
              <v:path arrowok="t"/>
            </v:shape>
            <v:shape style="position:absolute;left:4045;top:4313;width:50;height:50" coordorigin="4045,4313" coordsize="50,50" path="m4083,4313l4057,4313,4045,4325,4045,4351,4057,4363,4083,4363,4095,4351,4095,4325,4083,4313xe" filled="true" fillcolor="#1a466e" stroked="false">
              <v:path arrowok="t"/>
              <v:fill type="solid"/>
            </v:shape>
            <v:shape style="position:absolute;left:4045;top:4313;width:50;height:50" coordorigin="4045,4313" coordsize="50,50" path="m4045,4336l4045,4351,4057,4363,4068,4363,4083,4363,4095,4351,4095,4336,4095,4325,4083,4313,4068,4313,4057,4313,4045,4325,4045,4336xe" filled="false" stroked="true" strokeweight=".554984pt" strokecolor="#1a466e">
              <v:path arrowok="t"/>
            </v:shape>
            <v:shape style="position:absolute;left:8702;top:4080;width:50;height:50" coordorigin="8702,4080" coordsize="50,50" path="m8740,4080l8714,4080,8702,4092,8702,4118,8714,4130,8740,4130,8752,4118,8752,4092,8740,4080xe" filled="true" fillcolor="#1a466e" stroked="false">
              <v:path arrowok="t"/>
              <v:fill type="solid"/>
            </v:shape>
            <v:shape style="position:absolute;left:8702;top:4080;width:50;height:50" coordorigin="8702,4080" coordsize="50,50" path="m8702,4103l8702,4118,8714,4130,8725,4130,8740,4130,8752,4118,8752,4103,8752,4092,8740,4080,8725,4080,8714,4080,8702,4092,8702,4103xe" filled="false" stroked="true" strokeweight=".554984pt" strokecolor="#1a466e">
              <v:path arrowok="t"/>
            </v:shape>
            <v:shape style="position:absolute;left:7583;top:3377;width:50;height:50" coordorigin="7583,3377" coordsize="50,50" path="m7621,3377l7594,3377,7583,3389,7583,3415,7594,3427,7621,3427,7633,3415,7633,3389,7621,3377xe" filled="true" fillcolor="#1a466e" stroked="false">
              <v:path arrowok="t"/>
              <v:fill type="solid"/>
            </v:shape>
            <v:shape style="position:absolute;left:7583;top:3377;width:50;height:50" coordorigin="7583,3377" coordsize="50,50" path="m7583,3400l7583,3415,7594,3427,7606,3427,7621,3427,7633,3415,7633,3400,7633,3389,7621,3377,7606,3377,7594,3377,7583,3389,7583,3400xe" filled="false" stroked="true" strokeweight=".554984pt" strokecolor="#1a466e">
              <v:path arrowok="t"/>
            </v:shape>
            <v:shape style="position:absolute;left:7021;top:4313;width:50;height:50" coordorigin="7021,4313" coordsize="50,50" path="m7060,4313l7033,4313,7021,4325,7021,4351,7033,4363,7060,4363,7071,4351,7071,4325,7060,4313xe" filled="true" fillcolor="#1a466e" stroked="false">
              <v:path arrowok="t"/>
              <v:fill type="solid"/>
            </v:shape>
            <v:shape style="position:absolute;left:7021;top:4313;width:50;height:50" coordorigin="7021,4313" coordsize="50,50" path="m7021,4336l7021,4351,7033,4363,7044,4363,7060,4363,7071,4351,7071,4336,7071,4325,7060,4313,7044,4313,7033,4313,7021,4325,7021,4336xe" filled="false" stroked="true" strokeweight=".554984pt" strokecolor="#1a466e">
              <v:path arrowok="t"/>
            </v:shape>
            <v:shape style="position:absolute;left:4886;top:4520;width:50;height:50" coordorigin="4886,4520" coordsize="50,50" path="m4924,4520l4897,4520,4886,4531,4886,4558,4897,4569,4924,4569,4935,4558,4935,4531,4924,4520xe" filled="true" fillcolor="#1a466e" stroked="false">
              <v:path arrowok="t"/>
              <v:fill type="solid"/>
            </v:shape>
            <v:shape style="position:absolute;left:4886;top:4520;width:50;height:50" coordorigin="4886,4520" coordsize="50,50" path="m4886,4542l4886,4558,4897,4569,4909,4569,4924,4569,4935,4558,4935,4542,4935,4531,4924,4520,4909,4520,4897,4520,4886,4531,4886,4542xe" filled="false" stroked="true" strokeweight=".554984pt" strokecolor="#1a466e">
              <v:path arrowok="t"/>
            </v:shape>
            <v:shape style="position:absolute;left:3488;top:5299;width:50;height:50" coordorigin="3488,5299" coordsize="50,50" path="m3526,5299l3499,5299,3488,5310,3488,5337,3499,5348,3526,5348,3537,5337,3537,5310,3526,5299xe" filled="true" fillcolor="#1a466e" stroked="false">
              <v:path arrowok="t"/>
              <v:fill type="solid"/>
            </v:shape>
            <v:shape style="position:absolute;left:3488;top:5299;width:50;height:50" coordorigin="3488,5299" coordsize="50,50" path="m3488,5321l3488,5337,3499,5348,3510,5348,3526,5348,3537,5337,3537,5321,3537,5310,3526,5299,3510,5299,3499,5299,3488,5310,3488,5321xe" filled="false" stroked="true" strokeweight=".554984pt" strokecolor="#1a466e">
              <v:path arrowok="t"/>
            </v:shape>
            <v:shape style="position:absolute;left:4045;top:5688;width:50;height:50" coordorigin="4045,5688" coordsize="50,50" path="m4083,5688l4057,5688,4045,5700,4045,5726,4057,5738,4083,5738,4095,5726,4095,5700,4083,5688xe" filled="true" fillcolor="#1a466e" stroked="false">
              <v:path arrowok="t"/>
              <v:fill type="solid"/>
            </v:shape>
            <v:shape style="position:absolute;left:4045;top:5688;width:50;height:50" coordorigin="4045,5688" coordsize="50,50" path="m4045,5711l4045,5726,4057,5738,4068,5738,4083,5738,4095,5726,4095,5711,4095,5700,4083,5688,4068,5688,4057,5688,4045,5700,4045,5711xe" filled="false" stroked="true" strokeweight=".554984pt" strokecolor="#1a466e">
              <v:path arrowok="t"/>
            </v:shape>
            <v:shape style="position:absolute;left:5757;top:4520;width:50;height:50" coordorigin="5757,4520" coordsize="50,50" path="m5795,4520l5768,4520,5757,4531,5757,4558,5768,4569,5795,4569,5807,4558,5807,4531,5795,4520xe" filled="true" fillcolor="#1a466e" stroked="false">
              <v:path arrowok="t"/>
              <v:fill type="solid"/>
            </v:shape>
            <v:shape style="position:absolute;left:5757;top:4520;width:50;height:50" coordorigin="5757,4520" coordsize="50,50" path="m5757,4542l5757,4558,5768,4569,5780,4569,5795,4569,5807,4558,5807,4542,5807,4531,5795,4520,5780,4520,5768,4520,5757,4531,5757,4542xe" filled="false" stroked="true" strokeweight=".554984pt" strokecolor="#1a466e">
              <v:path arrowok="t"/>
            </v:shape>
            <v:shape style="position:absolute;left:6765;top:5299;width:50;height:50" coordorigin="6765,5299" coordsize="50,50" path="m6804,5299l6777,5299,6765,5310,6765,5337,6777,5348,6804,5348,6815,5337,6815,5310,6804,5299xe" filled="true" fillcolor="#1a466e" stroked="false">
              <v:path arrowok="t"/>
              <v:fill type="solid"/>
            </v:shape>
            <v:shape style="position:absolute;left:6765;top:5299;width:50;height:50" coordorigin="6765,5299" coordsize="50,50" path="m6765,5321l6765,5337,6777,5348,6788,5348,6804,5348,6815,5337,6815,5321,6815,5310,6804,5299,6788,5299,6777,5299,6765,5310,6765,5321xe" filled="false" stroked="true" strokeweight=".554984pt" strokecolor="#1a466e">
              <v:path arrowok="t"/>
            </v:shape>
            <v:shape style="position:absolute;left:5421;top:5688;width:50;height:50" coordorigin="5421,5688" coordsize="50,50" path="m5459,5688l5432,5688,5421,5700,5421,5726,5432,5738,5459,5738,5470,5726,5470,5700,5459,5688xe" filled="true" fillcolor="#1a466e" stroked="false">
              <v:path arrowok="t"/>
              <v:fill type="solid"/>
            </v:shape>
            <v:shape style="position:absolute;left:5421;top:5688;width:50;height:50" coordorigin="5421,5688" coordsize="50,50" path="m5421,5711l5421,5726,5432,5738,5443,5738,5459,5738,5470,5726,5470,5711,5470,5700,5459,5688,5443,5688,5432,5688,5421,5700,5421,5711xe" filled="false" stroked="true" strokeweight=".554984pt" strokecolor="#1a466e">
              <v:path arrowok="t"/>
            </v:shape>
            <v:shape style="position:absolute;left:7390;top:9027;width:63;height:3654" coordorigin="7390,9027" coordsize="63,3654" path="m8775,2808l8825,2808m8775,2419l8825,2419m8775,5325l8825,5325m8775,4936l8825,4936e" filled="false" stroked="true" strokeweight=".363613pt" strokecolor="#000000">
              <v:path arrowok="t"/>
            </v:shape>
            <v:shape style="position:absolute;left:5199;top:1782;width:173;height:127" type="#_x0000_t202" filled="false" stroked="false">
              <v:textbox inset="0,0,0,0">
                <w:txbxContent>
                  <w:p>
                    <w:pPr>
                      <w:spacing w:line="126" w:lineRule="exact" w:before="0"/>
                      <w:ind w:left="0" w:right="-20" w:firstLine="0"/>
                      <w:jc w:val="left"/>
                      <w:rPr>
                        <w:sz w:val="12"/>
                      </w:rPr>
                    </w:pPr>
                    <w:r>
                      <w:rPr>
                        <w:spacing w:val="-1"/>
                        <w:w w:val="105"/>
                        <w:sz w:val="12"/>
                      </w:rPr>
                      <w:t>6.5</w:t>
                    </w:r>
                  </w:p>
                </w:txbxContent>
              </v:textbox>
              <w10:wrap type="none"/>
            </v:shape>
            <v:shape style="position:absolute;left:6085;top:1782;width:71;height:127" type="#_x0000_t202" filled="false" stroked="false">
              <v:textbox inset="0,0,0,0">
                <w:txbxContent>
                  <w:p>
                    <w:pPr>
                      <w:spacing w:line="126" w:lineRule="exact" w:before="0"/>
                      <w:ind w:left="0" w:right="0" w:firstLine="0"/>
                      <w:jc w:val="left"/>
                      <w:rPr>
                        <w:sz w:val="12"/>
                      </w:rPr>
                    </w:pPr>
                    <w:r>
                      <w:rPr>
                        <w:w w:val="105"/>
                        <w:sz w:val="12"/>
                      </w:rPr>
                      <w:t>7</w:t>
                    </w:r>
                  </w:p>
                </w:txbxContent>
              </v:textbox>
              <w10:wrap type="none"/>
            </v:shape>
            <v:shape style="position:absolute;left:6876;top:1782;width:173;height:127" type="#_x0000_t202" filled="false" stroked="false">
              <v:textbox inset="0,0,0,0">
                <w:txbxContent>
                  <w:p>
                    <w:pPr>
                      <w:spacing w:line="126" w:lineRule="exact" w:before="0"/>
                      <w:ind w:left="0" w:right="-20" w:firstLine="0"/>
                      <w:jc w:val="left"/>
                      <w:rPr>
                        <w:sz w:val="12"/>
                      </w:rPr>
                    </w:pPr>
                    <w:r>
                      <w:rPr>
                        <w:spacing w:val="-1"/>
                        <w:w w:val="105"/>
                        <w:sz w:val="12"/>
                      </w:rPr>
                      <w:t>7.5</w:t>
                    </w:r>
                  </w:p>
                </w:txbxContent>
              </v:textbox>
              <w10:wrap type="none"/>
            </v:shape>
            <v:shape style="position:absolute;left:8851;top:1977;width:173;height:1295" type="#_x0000_t202" filled="false" stroked="false">
              <v:textbox inset="0,0,0,0">
                <w:txbxContent>
                  <w:p>
                    <w:pPr>
                      <w:spacing w:line="128" w:lineRule="exact" w:before="0"/>
                      <w:ind w:left="0" w:right="-20" w:firstLine="0"/>
                      <w:jc w:val="left"/>
                      <w:rPr>
                        <w:sz w:val="12"/>
                      </w:rPr>
                    </w:pPr>
                    <w:r>
                      <w:rPr>
                        <w:spacing w:val="-1"/>
                        <w:w w:val="105"/>
                        <w:sz w:val="12"/>
                      </w:rPr>
                      <w:t>7.2</w:t>
                    </w:r>
                  </w:p>
                  <w:p>
                    <w:pPr>
                      <w:spacing w:line="240" w:lineRule="auto" w:before="0"/>
                      <w:rPr>
                        <w:i/>
                        <w:sz w:val="12"/>
                      </w:rPr>
                    </w:pPr>
                  </w:p>
                  <w:p>
                    <w:pPr>
                      <w:spacing w:line="240" w:lineRule="auto" w:before="9"/>
                      <w:rPr>
                        <w:i/>
                        <w:sz w:val="9"/>
                      </w:rPr>
                    </w:pPr>
                  </w:p>
                  <w:p>
                    <w:pPr>
                      <w:spacing w:before="1"/>
                      <w:ind w:left="0" w:right="0" w:firstLine="0"/>
                      <w:jc w:val="left"/>
                      <w:rPr>
                        <w:sz w:val="12"/>
                      </w:rPr>
                    </w:pPr>
                    <w:r>
                      <w:rPr>
                        <w:w w:val="105"/>
                        <w:sz w:val="12"/>
                      </w:rPr>
                      <w:t>7</w:t>
                    </w:r>
                  </w:p>
                  <w:p>
                    <w:pPr>
                      <w:spacing w:line="240" w:lineRule="auto" w:before="0"/>
                      <w:rPr>
                        <w:i/>
                        <w:sz w:val="12"/>
                      </w:rPr>
                    </w:pPr>
                  </w:p>
                  <w:p>
                    <w:pPr>
                      <w:spacing w:line="240" w:lineRule="auto" w:before="10"/>
                      <w:rPr>
                        <w:i/>
                        <w:sz w:val="9"/>
                      </w:rPr>
                    </w:pPr>
                  </w:p>
                  <w:p>
                    <w:pPr>
                      <w:spacing w:before="0"/>
                      <w:ind w:left="0" w:right="-20" w:firstLine="0"/>
                      <w:jc w:val="left"/>
                      <w:rPr>
                        <w:sz w:val="12"/>
                      </w:rPr>
                    </w:pPr>
                    <w:r>
                      <w:rPr>
                        <w:spacing w:val="-1"/>
                        <w:w w:val="105"/>
                        <w:sz w:val="12"/>
                      </w:rPr>
                      <w:t>6.8</w:t>
                    </w:r>
                  </w:p>
                  <w:p>
                    <w:pPr>
                      <w:spacing w:line="240" w:lineRule="auto" w:before="0"/>
                      <w:rPr>
                        <w:i/>
                        <w:sz w:val="12"/>
                      </w:rPr>
                    </w:pPr>
                  </w:p>
                  <w:p>
                    <w:pPr>
                      <w:spacing w:line="240" w:lineRule="auto" w:before="9"/>
                      <w:rPr>
                        <w:i/>
                        <w:sz w:val="9"/>
                      </w:rPr>
                    </w:pPr>
                  </w:p>
                  <w:p>
                    <w:pPr>
                      <w:spacing w:line="137" w:lineRule="exact" w:before="0"/>
                      <w:ind w:left="0" w:right="-20" w:firstLine="0"/>
                      <w:jc w:val="left"/>
                      <w:rPr>
                        <w:sz w:val="12"/>
                      </w:rPr>
                    </w:pPr>
                    <w:r>
                      <w:rPr>
                        <w:spacing w:val="-1"/>
                        <w:w w:val="105"/>
                        <w:sz w:val="12"/>
                      </w:rPr>
                      <w:t>6.6</w:t>
                    </w:r>
                  </w:p>
                </w:txbxContent>
              </v:textbox>
              <w10:wrap type="none"/>
            </v:shape>
            <v:shape style="position:absolute;left:3220;top:3233;width:173;height:127" type="#_x0000_t202" filled="false" stroked="false">
              <v:textbox inset="0,0,0,0">
                <w:txbxContent>
                  <w:p>
                    <w:pPr>
                      <w:spacing w:line="126" w:lineRule="exact" w:before="0"/>
                      <w:ind w:left="0" w:right="-20" w:firstLine="0"/>
                      <w:jc w:val="left"/>
                      <w:rPr>
                        <w:sz w:val="12"/>
                      </w:rPr>
                    </w:pPr>
                    <w:r>
                      <w:rPr>
                        <w:spacing w:val="-1"/>
                        <w:w w:val="105"/>
                        <w:sz w:val="12"/>
                      </w:rPr>
                      <w:t>7.5</w:t>
                    </w:r>
                  </w:p>
                </w:txbxContent>
              </v:textbox>
              <w10:wrap type="none"/>
            </v:shape>
            <v:shape style="position:absolute;left:3323;top:3817;width:71;height:127" type="#_x0000_t202" filled="false" stroked="false">
              <v:textbox inset="0,0,0,0">
                <w:txbxContent>
                  <w:p>
                    <w:pPr>
                      <w:spacing w:line="126" w:lineRule="exact" w:before="0"/>
                      <w:ind w:left="0" w:right="0" w:firstLine="0"/>
                      <w:jc w:val="left"/>
                      <w:rPr>
                        <w:sz w:val="12"/>
                      </w:rPr>
                    </w:pPr>
                    <w:r>
                      <w:rPr>
                        <w:w w:val="105"/>
                        <w:sz w:val="12"/>
                      </w:rPr>
                      <w:t>7</w:t>
                    </w:r>
                  </w:p>
                </w:txbxContent>
              </v:textbox>
              <w10:wrap type="none"/>
            </v:shape>
            <v:shape style="position:absolute;left:3220;top:4406;width:173;height:127" type="#_x0000_t202" filled="false" stroked="false">
              <v:textbox inset="0,0,0,0">
                <w:txbxContent>
                  <w:p>
                    <w:pPr>
                      <w:spacing w:line="126" w:lineRule="exact" w:before="0"/>
                      <w:ind w:left="0" w:right="-20" w:firstLine="0"/>
                      <w:jc w:val="left"/>
                      <w:rPr>
                        <w:sz w:val="12"/>
                      </w:rPr>
                    </w:pPr>
                    <w:r>
                      <w:rPr>
                        <w:spacing w:val="-1"/>
                        <w:w w:val="105"/>
                        <w:sz w:val="12"/>
                      </w:rPr>
                      <w:t>6.5</w:t>
                    </w:r>
                  </w:p>
                </w:txbxContent>
              </v:textbox>
              <w10:wrap type="none"/>
            </v:shape>
            <v:shape style="position:absolute;left:8851;top:4493;width:173;height:1296" type="#_x0000_t202" filled="false" stroked="false">
              <v:textbox inset="0,0,0,0">
                <w:txbxContent>
                  <w:p>
                    <w:pPr>
                      <w:spacing w:line="128" w:lineRule="exact" w:before="0"/>
                      <w:ind w:left="0" w:right="-20" w:firstLine="0"/>
                      <w:jc w:val="left"/>
                      <w:rPr>
                        <w:sz w:val="12"/>
                      </w:rPr>
                    </w:pPr>
                    <w:r>
                      <w:rPr>
                        <w:spacing w:val="-1"/>
                        <w:w w:val="105"/>
                        <w:sz w:val="12"/>
                      </w:rPr>
                      <w:t>6.4</w:t>
                    </w:r>
                  </w:p>
                  <w:p>
                    <w:pPr>
                      <w:spacing w:line="240" w:lineRule="auto" w:before="0"/>
                      <w:rPr>
                        <w:i/>
                        <w:sz w:val="12"/>
                      </w:rPr>
                    </w:pPr>
                  </w:p>
                  <w:p>
                    <w:pPr>
                      <w:spacing w:line="240" w:lineRule="auto" w:before="10"/>
                      <w:rPr>
                        <w:i/>
                        <w:sz w:val="9"/>
                      </w:rPr>
                    </w:pPr>
                  </w:p>
                  <w:p>
                    <w:pPr>
                      <w:spacing w:before="0"/>
                      <w:ind w:left="0" w:right="-20" w:firstLine="0"/>
                      <w:jc w:val="left"/>
                      <w:rPr>
                        <w:sz w:val="12"/>
                      </w:rPr>
                    </w:pPr>
                    <w:r>
                      <w:rPr>
                        <w:spacing w:val="-1"/>
                        <w:w w:val="105"/>
                        <w:sz w:val="12"/>
                      </w:rPr>
                      <w:t>6.2</w:t>
                    </w:r>
                  </w:p>
                  <w:p>
                    <w:pPr>
                      <w:spacing w:line="240" w:lineRule="auto" w:before="0"/>
                      <w:rPr>
                        <w:i/>
                        <w:sz w:val="12"/>
                      </w:rPr>
                    </w:pPr>
                  </w:p>
                  <w:p>
                    <w:pPr>
                      <w:spacing w:line="240" w:lineRule="auto" w:before="9"/>
                      <w:rPr>
                        <w:i/>
                        <w:sz w:val="9"/>
                      </w:rPr>
                    </w:pPr>
                  </w:p>
                  <w:p>
                    <w:pPr>
                      <w:spacing w:before="1"/>
                      <w:ind w:left="0" w:right="0" w:firstLine="0"/>
                      <w:jc w:val="left"/>
                      <w:rPr>
                        <w:sz w:val="12"/>
                      </w:rPr>
                    </w:pPr>
                    <w:r>
                      <w:rPr>
                        <w:w w:val="105"/>
                        <w:sz w:val="12"/>
                      </w:rPr>
                      <w:t>6</w:t>
                    </w:r>
                  </w:p>
                  <w:p>
                    <w:pPr>
                      <w:spacing w:line="240" w:lineRule="auto" w:before="0"/>
                      <w:rPr>
                        <w:i/>
                        <w:sz w:val="12"/>
                      </w:rPr>
                    </w:pPr>
                  </w:p>
                  <w:p>
                    <w:pPr>
                      <w:spacing w:line="240" w:lineRule="auto" w:before="10"/>
                      <w:rPr>
                        <w:i/>
                        <w:sz w:val="9"/>
                      </w:rPr>
                    </w:pPr>
                  </w:p>
                  <w:p>
                    <w:pPr>
                      <w:spacing w:line="137" w:lineRule="exact" w:before="0"/>
                      <w:ind w:left="0" w:right="-20" w:firstLine="0"/>
                      <w:jc w:val="left"/>
                      <w:rPr>
                        <w:sz w:val="12"/>
                      </w:rPr>
                    </w:pPr>
                    <w:r>
                      <w:rPr>
                        <w:spacing w:val="-1"/>
                        <w:w w:val="105"/>
                        <w:sz w:val="12"/>
                      </w:rPr>
                      <w:t>5.8</w:t>
                    </w:r>
                  </w:p>
                </w:txbxContent>
              </v:textbox>
              <w10:wrap type="none"/>
            </v:shape>
            <v:shape style="position:absolute;left:3430;top:5853;width:731;height:127" type="#_x0000_t202" filled="false" stroked="false">
              <v:textbox inset="0,0,0,0">
                <w:txbxContent>
                  <w:p>
                    <w:pPr>
                      <w:tabs>
                        <w:tab w:pos="557" w:val="left" w:leader="none"/>
                      </w:tabs>
                      <w:spacing w:line="126" w:lineRule="exact" w:before="0"/>
                      <w:ind w:left="0" w:right="0" w:firstLine="0"/>
                      <w:jc w:val="left"/>
                      <w:rPr>
                        <w:sz w:val="12"/>
                      </w:rPr>
                    </w:pPr>
                    <w:r>
                      <w:rPr>
                        <w:w w:val="105"/>
                        <w:sz w:val="12"/>
                      </w:rPr>
                      <w:t>6.6</w:t>
                      <w:tab/>
                    </w:r>
                    <w:r>
                      <w:rPr>
                        <w:spacing w:val="-1"/>
                        <w:w w:val="105"/>
                        <w:sz w:val="12"/>
                      </w:rPr>
                      <w:t>6.8</w:t>
                    </w:r>
                  </w:p>
                </w:txbxContent>
              </v:textbox>
              <w10:wrap type="none"/>
            </v:shape>
            <v:shape style="position:absolute;left:4599;top:5853;width:71;height:127" type="#_x0000_t202" filled="false" stroked="false">
              <v:textbox inset="0,0,0,0">
                <w:txbxContent>
                  <w:p>
                    <w:pPr>
                      <w:spacing w:line="126" w:lineRule="exact" w:before="0"/>
                      <w:ind w:left="0" w:right="0" w:firstLine="0"/>
                      <w:jc w:val="left"/>
                      <w:rPr>
                        <w:sz w:val="12"/>
                      </w:rPr>
                    </w:pPr>
                    <w:r>
                      <w:rPr>
                        <w:w w:val="105"/>
                        <w:sz w:val="12"/>
                      </w:rPr>
                      <w:t>7</w:t>
                    </w:r>
                  </w:p>
                </w:txbxContent>
              </v:textbox>
              <w10:wrap type="none"/>
            </v:shape>
            <v:shape style="position:absolute;left:5107;top:5853;width:173;height:127" type="#_x0000_t202" filled="false" stroked="false">
              <v:textbox inset="0,0,0,0">
                <w:txbxContent>
                  <w:p>
                    <w:pPr>
                      <w:spacing w:line="126" w:lineRule="exact" w:before="0"/>
                      <w:ind w:left="0" w:right="-20" w:firstLine="0"/>
                      <w:jc w:val="left"/>
                      <w:rPr>
                        <w:sz w:val="12"/>
                      </w:rPr>
                    </w:pPr>
                    <w:r>
                      <w:rPr>
                        <w:spacing w:val="-1"/>
                        <w:w w:val="105"/>
                        <w:sz w:val="12"/>
                      </w:rPr>
                      <w:t>7.2</w:t>
                    </w:r>
                  </w:p>
                </w:txbxContent>
              </v:textbox>
              <w10:wrap type="none"/>
            </v:shape>
            <v:shape style="position:absolute;left:6964;top:5853;width:173;height:127" type="#_x0000_t202" filled="false" stroked="false">
              <v:textbox inset="0,0,0,0">
                <w:txbxContent>
                  <w:p>
                    <w:pPr>
                      <w:spacing w:line="126" w:lineRule="exact" w:before="0"/>
                      <w:ind w:left="0" w:right="-20" w:firstLine="0"/>
                      <w:jc w:val="left"/>
                      <w:rPr>
                        <w:sz w:val="12"/>
                      </w:rPr>
                    </w:pPr>
                    <w:r>
                      <w:rPr>
                        <w:spacing w:val="-1"/>
                        <w:w w:val="105"/>
                        <w:sz w:val="12"/>
                      </w:rPr>
                      <w:t>5.8</w:t>
                    </w:r>
                  </w:p>
                </w:txbxContent>
              </v:textbox>
              <w10:wrap type="none"/>
            </v:shape>
            <v:shape style="position:absolute;left:7575;top:5853;width:71;height:127" type="#_x0000_t202" filled="false" stroked="false">
              <v:textbox inset="0,0,0,0">
                <w:txbxContent>
                  <w:p>
                    <w:pPr>
                      <w:spacing w:line="126" w:lineRule="exact" w:before="0"/>
                      <w:ind w:left="0" w:right="0" w:firstLine="0"/>
                      <w:jc w:val="left"/>
                      <w:rPr>
                        <w:sz w:val="12"/>
                      </w:rPr>
                    </w:pPr>
                    <w:r>
                      <w:rPr>
                        <w:w w:val="105"/>
                        <w:sz w:val="12"/>
                      </w:rPr>
                      <w:t>6</w:t>
                    </w:r>
                  </w:p>
                </w:txbxContent>
              </v:textbox>
              <w10:wrap type="none"/>
            </v:shape>
            <v:shape style="position:absolute;left:8087;top:5853;width:731;height:127" type="#_x0000_t202" filled="false" stroked="false">
              <v:textbox inset="0,0,0,0">
                <w:txbxContent>
                  <w:p>
                    <w:pPr>
                      <w:tabs>
                        <w:tab w:pos="558" w:val="left" w:leader="none"/>
                      </w:tabs>
                      <w:spacing w:line="126" w:lineRule="exact" w:before="0"/>
                      <w:ind w:left="0" w:right="0" w:firstLine="0"/>
                      <w:jc w:val="left"/>
                      <w:rPr>
                        <w:sz w:val="12"/>
                      </w:rPr>
                    </w:pPr>
                    <w:r>
                      <w:rPr>
                        <w:w w:val="105"/>
                        <w:sz w:val="12"/>
                      </w:rPr>
                      <w:t>6.2</w:t>
                      <w:tab/>
                    </w:r>
                    <w:r>
                      <w:rPr>
                        <w:spacing w:val="-1"/>
                        <w:w w:val="105"/>
                        <w:sz w:val="12"/>
                      </w:rPr>
                      <w:t>6.4</w:t>
                    </w:r>
                  </w:p>
                </w:txbxContent>
              </v:textbox>
              <w10:wrap type="none"/>
            </v:shape>
            <w10:wrap type="none"/>
          </v:group>
        </w:pict>
      </w:r>
      <w:r>
        <w:rPr/>
        <w:t>Esquema de la matriz de los halos de inhibición con los tres agentes antibacterianos sometidos a prueba sobre ambos microorganismos</w:t>
      </w:r>
    </w:p>
    <w:p>
      <w:pPr>
        <w:pStyle w:val="BodyText"/>
        <w:rPr>
          <w:sz w:val="20"/>
        </w:rPr>
      </w:pPr>
    </w:p>
    <w:p>
      <w:pPr>
        <w:pStyle w:val="BodyText"/>
        <w:rPr>
          <w:sz w:val="20"/>
        </w:rPr>
      </w:pPr>
    </w:p>
    <w:p>
      <w:pPr>
        <w:pStyle w:val="BodyText"/>
        <w:spacing w:before="4"/>
        <w:rPr>
          <w:sz w:val="17"/>
        </w:rPr>
      </w:pPr>
    </w:p>
    <w:tbl>
      <w:tblPr>
        <w:tblW w:w="0" w:type="auto"/>
        <w:jc w:val="left"/>
        <w:tblInd w:w="218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767"/>
        <w:gridCol w:w="1769"/>
        <w:gridCol w:w="1769"/>
      </w:tblGrid>
      <w:tr>
        <w:trPr>
          <w:trHeight w:val="1258" w:hRule="exact"/>
        </w:trPr>
        <w:tc>
          <w:tcPr>
            <w:tcW w:w="1767" w:type="dxa"/>
            <w:shd w:val="clear" w:color="auto" w:fill="D9E6EB"/>
          </w:tcPr>
          <w:p>
            <w:pPr>
              <w:pStyle w:val="TableParagraph"/>
              <w:rPr>
                <w:sz w:val="14"/>
              </w:rPr>
            </w:pPr>
          </w:p>
          <w:p>
            <w:pPr>
              <w:pStyle w:val="TableParagraph"/>
              <w:spacing w:before="2"/>
              <w:rPr>
                <w:sz w:val="15"/>
              </w:rPr>
            </w:pPr>
          </w:p>
          <w:p>
            <w:pPr>
              <w:pStyle w:val="TableParagraph"/>
              <w:spacing w:line="208" w:lineRule="auto"/>
              <w:ind w:left="554" w:right="555" w:firstLine="4"/>
              <w:jc w:val="center"/>
              <w:rPr>
                <w:sz w:val="15"/>
              </w:rPr>
            </w:pPr>
            <w:r>
              <w:rPr>
                <w:sz w:val="15"/>
              </w:rPr>
              <w:t>Camellia </w:t>
            </w:r>
            <w:r>
              <w:rPr>
                <w:spacing w:val="-4"/>
                <w:sz w:val="15"/>
              </w:rPr>
              <w:t>sinensis </w:t>
            </w:r>
            <w:r>
              <w:rPr>
                <w:sz w:val="15"/>
              </w:rPr>
              <w:t>a 20</w:t>
            </w:r>
          </w:p>
          <w:p>
            <w:pPr>
              <w:pStyle w:val="TableParagraph"/>
              <w:spacing w:line="157" w:lineRule="exact"/>
              <w:ind w:left="518" w:right="518"/>
              <w:jc w:val="center"/>
              <w:rPr>
                <w:sz w:val="15"/>
              </w:rPr>
            </w:pPr>
            <w:r>
              <w:rPr>
                <w:sz w:val="15"/>
              </w:rPr>
              <w:t>microlitros</w:t>
            </w:r>
          </w:p>
        </w:tc>
        <w:tc>
          <w:tcPr>
            <w:tcW w:w="1769" w:type="dxa"/>
            <w:tcBorders>
              <w:top w:val="single" w:sz="20" w:space="0" w:color="000000"/>
            </w:tcBorders>
            <w:shd w:val="clear" w:color="auto" w:fill="FFFFFF"/>
          </w:tcPr>
          <w:p>
            <w:pPr/>
          </w:p>
        </w:tc>
        <w:tc>
          <w:tcPr>
            <w:tcW w:w="1769" w:type="dxa"/>
            <w:shd w:val="clear" w:color="auto" w:fill="FFFFFF"/>
          </w:tcPr>
          <w:p>
            <w:pPr/>
          </w:p>
        </w:tc>
      </w:tr>
      <w:tr>
        <w:trPr>
          <w:trHeight w:val="1257" w:hRule="exact"/>
        </w:trPr>
        <w:tc>
          <w:tcPr>
            <w:tcW w:w="1767" w:type="dxa"/>
            <w:shd w:val="clear" w:color="auto" w:fill="FFFFFF"/>
          </w:tcPr>
          <w:p>
            <w:pPr/>
          </w:p>
        </w:tc>
        <w:tc>
          <w:tcPr>
            <w:tcW w:w="1769" w:type="dxa"/>
            <w:shd w:val="clear" w:color="auto" w:fill="D9E6EB"/>
          </w:tcPr>
          <w:p>
            <w:pPr>
              <w:pStyle w:val="TableParagraph"/>
              <w:rPr>
                <w:sz w:val="14"/>
              </w:rPr>
            </w:pPr>
          </w:p>
          <w:p>
            <w:pPr>
              <w:pStyle w:val="TableParagraph"/>
              <w:spacing w:before="1"/>
              <w:rPr>
                <w:sz w:val="15"/>
              </w:rPr>
            </w:pPr>
          </w:p>
          <w:p>
            <w:pPr>
              <w:pStyle w:val="TableParagraph"/>
              <w:spacing w:line="152" w:lineRule="exact"/>
              <w:ind w:left="468" w:right="470"/>
              <w:jc w:val="center"/>
              <w:rPr>
                <w:sz w:val="15"/>
              </w:rPr>
            </w:pPr>
            <w:r>
              <w:rPr>
                <w:sz w:val="15"/>
              </w:rPr>
              <w:t>Heterotheca inuloides a 20</w:t>
            </w:r>
          </w:p>
          <w:p>
            <w:pPr>
              <w:pStyle w:val="TableParagraph"/>
              <w:spacing w:line="154" w:lineRule="exact"/>
              <w:ind w:left="468" w:right="467"/>
              <w:jc w:val="center"/>
              <w:rPr>
                <w:sz w:val="15"/>
              </w:rPr>
            </w:pPr>
            <w:r>
              <w:rPr>
                <w:sz w:val="15"/>
              </w:rPr>
              <w:t>microlitros</w:t>
            </w:r>
          </w:p>
        </w:tc>
        <w:tc>
          <w:tcPr>
            <w:tcW w:w="1769" w:type="dxa"/>
            <w:shd w:val="clear" w:color="auto" w:fill="FFFFFF"/>
          </w:tcPr>
          <w:p>
            <w:pPr/>
          </w:p>
        </w:tc>
      </w:tr>
      <w:tr>
        <w:trPr>
          <w:trHeight w:val="1260" w:hRule="exact"/>
        </w:trPr>
        <w:tc>
          <w:tcPr>
            <w:tcW w:w="1767" w:type="dxa"/>
            <w:tcBorders>
              <w:bottom w:val="single" w:sz="20" w:space="0" w:color="000000"/>
            </w:tcBorders>
            <w:shd w:val="clear" w:color="auto" w:fill="FFFFFF"/>
          </w:tcPr>
          <w:p>
            <w:pPr/>
          </w:p>
        </w:tc>
        <w:tc>
          <w:tcPr>
            <w:tcW w:w="1769" w:type="dxa"/>
            <w:shd w:val="clear" w:color="auto" w:fill="FFFFFF"/>
          </w:tcPr>
          <w:p>
            <w:pPr/>
          </w:p>
        </w:tc>
        <w:tc>
          <w:tcPr>
            <w:tcW w:w="1769" w:type="dxa"/>
            <w:tcBorders>
              <w:bottom w:val="single" w:sz="20" w:space="0" w:color="000000"/>
            </w:tcBorders>
            <w:shd w:val="clear" w:color="auto" w:fill="D9E6EB"/>
          </w:tcPr>
          <w:p>
            <w:pPr>
              <w:pStyle w:val="TableParagraph"/>
              <w:rPr>
                <w:sz w:val="14"/>
              </w:rPr>
            </w:pPr>
          </w:p>
          <w:p>
            <w:pPr>
              <w:pStyle w:val="TableParagraph"/>
              <w:rPr>
                <w:sz w:val="14"/>
              </w:rPr>
            </w:pPr>
          </w:p>
          <w:p>
            <w:pPr>
              <w:pStyle w:val="TableParagraph"/>
              <w:spacing w:line="208" w:lineRule="auto" w:before="92"/>
              <w:ind w:left="454" w:right="454"/>
              <w:jc w:val="center"/>
              <w:rPr>
                <w:sz w:val="15"/>
              </w:rPr>
            </w:pPr>
            <w:r>
              <w:rPr>
                <w:sz w:val="15"/>
              </w:rPr>
              <w:t>Clorhexidina a 20 microlitros</w:t>
            </w:r>
          </w:p>
        </w:tc>
      </w:tr>
    </w:tbl>
    <w:p>
      <w:pPr>
        <w:pStyle w:val="BodyText"/>
      </w:pPr>
    </w:p>
    <w:p>
      <w:pPr>
        <w:pStyle w:val="BodyText"/>
      </w:pPr>
    </w:p>
    <w:p>
      <w:pPr>
        <w:pStyle w:val="BodyText"/>
        <w:spacing w:before="6"/>
        <w:rPr>
          <w:sz w:val="20"/>
        </w:rPr>
      </w:pPr>
    </w:p>
    <w:p>
      <w:pPr>
        <w:spacing w:before="0"/>
        <w:ind w:left="1146" w:right="270" w:firstLine="0"/>
        <w:jc w:val="left"/>
        <w:rPr>
          <w:i/>
          <w:sz w:val="22"/>
        </w:rPr>
      </w:pPr>
      <w:r>
        <w:rPr/>
        <w:pict>
          <v:group style="position:absolute;margin-left:141.172318pt;margin-top:31.197063pt;width:316.850pt;height:230.45pt;mso-position-horizontal-relative:page;mso-position-vertical-relative:paragraph;z-index:-187888" coordorigin="2823,624" coordsize="6337,4609">
            <v:shape style="position:absolute;left:2823;top:624;width:6337;height:4609" coordorigin="2823,624" coordsize="6337,4609" path="m2827,624l2823,624,2823,5233,2827,5233,2827,624m9160,624l9153,624,9153,5233,9160,5233,9160,624e" filled="true" fillcolor="#eaf1f3" stroked="false">
              <v:path arrowok="t"/>
              <v:fill type="solid"/>
            </v:shape>
            <v:rect style="position:absolute;left:2827;top:632;width:6325;height:4597" filled="true" fillcolor="#eaf1f3" stroked="false">
              <v:fill type="solid"/>
            </v:rect>
            <v:shape style="position:absolute;left:5118;top:1249;width:51;height:50" coordorigin="5118,1249" coordsize="51,50" path="m5157,1249l5130,1249,5118,1261,5118,1287,5130,1299,5157,1299,5168,1287,5168,1261,5157,1249xe" filled="true" fillcolor="#1a466e" stroked="false">
              <v:path arrowok="t"/>
              <v:fill type="solid"/>
            </v:shape>
            <v:shape style="position:absolute;left:5118;top:1249;width:51;height:50" coordorigin="5118,1249" coordsize="51,50" path="m5118,1272l5118,1287,5130,1299,5142,1299,5157,1299,5168,1287,5168,1272,5168,1261,5157,1249,5142,1249,5130,1249,5118,1261,5118,1272xe" filled="false" stroked="true" strokeweight=".557572pt" strokecolor="#1a466e">
              <v:path arrowok="t"/>
            </v:shape>
            <v:shape style="position:absolute;left:5118;top:2228;width:51;height:50" coordorigin="5118,2228" coordsize="51,50" path="m5157,2228l5130,2228,5118,2239,5118,2266,5130,2278,5157,2278,5168,2266,5168,2239,5157,2228xe" filled="true" fillcolor="#1a466e" stroked="false">
              <v:path arrowok="t"/>
              <v:fill type="solid"/>
            </v:shape>
            <v:shape style="position:absolute;left:5118;top:2228;width:51;height:50" coordorigin="5118,2228" coordsize="51,50" path="m5118,2251l5118,2266,5130,2278,5142,2278,5157,2278,5168,2266,5168,2251,5168,2239,5157,2228,5142,2228,5130,2228,5118,2239,5118,2251xe" filled="false" stroked="true" strokeweight=".557572pt" strokecolor="#1a466e">
              <v:path arrowok="t"/>
            </v:shape>
            <v:shape style="position:absolute;left:6807;top:2032;width:50;height:51" coordorigin="6807,2032" coordsize="50,51" path="m6846,2032l6819,2032,6807,2043,6807,2070,6819,2082,6846,2082,6857,2070,6857,2043,6846,2032xe" filled="true" fillcolor="#1a466e" stroked="false">
              <v:path arrowok="t"/>
              <v:fill type="solid"/>
            </v:shape>
            <v:shape style="position:absolute;left:6807;top:2032;width:50;height:51" coordorigin="6807,2032" coordsize="50,51" path="m6807,2055l6807,2070,6819,2082,6830,2082,6846,2082,6857,2070,6857,2055,6857,2043,6846,2032,6830,2032,6819,2032,6807,2043,6807,2055xe" filled="false" stroked="true" strokeweight=".557572pt" strokecolor="#1a466e">
              <v:path arrowok="t"/>
            </v:shape>
            <v:shape style="position:absolute;left:8024;top:1249;width:50;height:50" coordorigin="8024,1249" coordsize="50,50" path="m8062,1249l8036,1249,8024,1261,8024,1287,8036,1299,8062,1299,8074,1287,8074,1261,8062,1249xe" filled="true" fillcolor="#1a466e" stroked="false">
              <v:path arrowok="t"/>
              <v:fill type="solid"/>
            </v:shape>
            <v:shape style="position:absolute;left:8024;top:1249;width:50;height:50" coordorigin="8024,1249" coordsize="50,50" path="m8024,1272l8024,1287,8036,1299,8047,1299,8062,1299,8074,1287,8074,1272,8074,1261,8062,1249,8047,1249,8036,1249,8024,1261,8024,1272xe" filled="false" stroked="true" strokeweight=".557572pt" strokecolor="#1a466e">
              <v:path arrowok="t"/>
            </v:shape>
            <v:shape style="position:absolute;left:8362;top:2228;width:50;height:50" coordorigin="8362,2228" coordsize="50,50" path="m8400,2228l8374,2228,8362,2239,8362,2266,8374,2278,8400,2278,8412,2266,8412,2239,8400,2228xe" filled="true" fillcolor="#1a466e" stroked="false">
              <v:path arrowok="t"/>
              <v:fill type="solid"/>
            </v:shape>
            <v:shape style="position:absolute;left:8362;top:2228;width:50;height:50" coordorigin="8362,2228" coordsize="50,50" path="m8362,2251l8362,2266,8374,2278,8385,2278,8400,2278,8412,2266,8412,2251,8412,2239,8400,2228,8385,2228,8374,2228,8362,2239,8362,2251xe" filled="false" stroked="true" strokeweight=".557572pt" strokecolor="#1a466e">
              <v:path arrowok="t"/>
            </v:shape>
            <v:shape style="position:absolute;left:7122;top:2032;width:50;height:51" coordorigin="7122,2032" coordsize="50,51" path="m7160,2032l7134,2032,7122,2043,7122,2070,7134,2082,7160,2082,7172,2070,7172,2043,7160,2032xe" filled="true" fillcolor="#1a466e" stroked="false">
              <v:path arrowok="t"/>
              <v:fill type="solid"/>
            </v:shape>
            <v:shape style="position:absolute;left:7122;top:2032;width:50;height:51" coordorigin="7122,2032" coordsize="50,51" path="m7122,2055l7122,2070,7134,2082,7145,2082,7160,2082,7172,2070,7172,2055,7172,2043,7160,2032,7145,2032,7134,2032,7122,2043,7122,2055xe" filled="false" stroked="true" strokeweight=".557572pt" strokecolor="#1a466e">
              <v:path arrowok="t"/>
            </v:shape>
            <v:shape style="position:absolute;left:4750;top:3494;width:51;height:51" coordorigin="4750,3494" coordsize="51,51" path="m4788,3494l4761,3494,4750,3505,4750,3533,4761,3544,4788,3544,4800,3533,4800,3505,4788,3494xe" filled="true" fillcolor="#1a466e" stroked="false">
              <v:path arrowok="t"/>
              <v:fill type="solid"/>
            </v:shape>
            <v:shape style="position:absolute;left:4750;top:3494;width:51;height:51" coordorigin="4750,3494" coordsize="51,51" path="m4750,3517l4750,3533,4761,3544,4773,3544,4788,3544,4800,3533,4800,3517,4800,3505,4788,3494,4773,3494,4761,3494,4750,3505,4750,3517xe" filled="false" stroked="true" strokeweight=".557572pt" strokecolor="#1a466e">
              <v:path arrowok="t"/>
            </v:shape>
            <v:shape style="position:absolute;left:3345;top:3494;width:50;height:51" coordorigin="3345,3494" coordsize="50,51" path="m3384,3494l3357,3494,3345,3505,3345,3533,3357,3544,3384,3544,3395,3533,3395,3505,3384,3494xe" filled="true" fillcolor="#1a466e" stroked="false">
              <v:path arrowok="t"/>
              <v:fill type="solid"/>
            </v:shape>
            <v:shape style="position:absolute;left:3345;top:3494;width:50;height:51" coordorigin="3345,3494" coordsize="50,51" path="m3345,3517l3345,3533,3357,3544,3368,3544,3384,3544,3395,3533,3395,3517,3395,3505,3384,3494,3368,3494,3357,3494,3345,3505,3345,3517xe" filled="false" stroked="true" strokeweight=".557572pt" strokecolor="#1a466e">
              <v:path arrowok="t"/>
            </v:shape>
            <v:shape style="position:absolute;left:3626;top:2316;width:50;height:50" coordorigin="3626,2316" coordsize="50,50" path="m3664,2316l3637,2316,3626,2328,3626,2354,3637,2366,3664,2366,3675,2354,3675,2328,3664,2316xe" filled="true" fillcolor="#1a466e" stroked="false">
              <v:path arrowok="t"/>
              <v:fill type="solid"/>
            </v:shape>
            <v:shape style="position:absolute;left:3626;top:2316;width:50;height:50" coordorigin="3626,2316" coordsize="50,50" path="m3626,2339l3626,2354,3637,2366,3649,2366,3664,2366,3675,2354,3675,2339,3675,2328,3664,2316,3649,2316,3637,2316,3626,2328,3626,2339xe" filled="false" stroked="true" strokeweight=".557572pt" strokecolor="#1a466e">
              <v:path arrowok="t"/>
            </v:shape>
            <v:shape style="position:absolute;left:8024;top:3494;width:50;height:51" coordorigin="8024,3494" coordsize="50,51" path="m8062,3494l8036,3494,8024,3505,8024,3533,8036,3544,8062,3544,8074,3533,8074,3505,8062,3494xe" filled="true" fillcolor="#1a466e" stroked="false">
              <v:path arrowok="t"/>
              <v:fill type="solid"/>
            </v:shape>
            <v:shape style="position:absolute;left:8024;top:3494;width:50;height:51" coordorigin="8024,3494" coordsize="50,51" path="m8024,3517l8024,3533,8036,3544,8047,3544,8062,3544,8074,3533,8074,3517,8074,3505,8062,3494,8047,3494,8036,3494,8024,3505,8024,3517xe" filled="false" stroked="true" strokeweight=".557572pt" strokecolor="#1a466e">
              <v:path arrowok="t"/>
            </v:shape>
            <v:shape style="position:absolute;left:8362;top:3494;width:50;height:51" coordorigin="8362,3494" coordsize="50,51" path="m8400,3494l8374,3494,8362,3505,8362,3533,8374,3544,8400,3544,8412,3533,8412,3505,8400,3494xe" filled="true" fillcolor="#1a466e" stroked="false">
              <v:path arrowok="t"/>
              <v:fill type="solid"/>
            </v:shape>
            <v:shape style="position:absolute;left:8362;top:3494;width:50;height:51" coordorigin="8362,3494" coordsize="50,51" path="m8362,3517l8362,3533,8374,3544,8385,3544,8400,3544,8412,3533,8412,3517,8412,3505,8400,3494,8385,3494,8374,3494,8362,3505,8362,3517xe" filled="false" stroked="true" strokeweight=".557572pt" strokecolor="#1a466e">
              <v:path arrowok="t"/>
            </v:shape>
            <v:shape style="position:absolute;left:7122;top:2316;width:50;height:50" coordorigin="7122,2316" coordsize="50,50" path="m7160,2316l7134,2316,7122,2328,7122,2354,7134,2366,7160,2366,7172,2354,7172,2328,7160,2316xe" filled="true" fillcolor="#1a466e" stroked="false">
              <v:path arrowok="t"/>
              <v:fill type="solid"/>
            </v:shape>
            <v:shape style="position:absolute;left:7122;top:2316;width:50;height:50" coordorigin="7122,2316" coordsize="50,50" path="m7122,2339l7122,2354,7134,2366,7145,2366,7160,2366,7172,2354,7172,2339,7172,2328,7160,2316,7145,2316,7134,2316,7122,2328,7122,2339xe" filled="false" stroked="true" strokeweight=".557572pt" strokecolor="#1a466e">
              <v:path arrowok="t"/>
            </v:shape>
            <v:shape style="position:absolute;left:4750;top:3974;width:51;height:51" coordorigin="4750,3974" coordsize="51,51" path="m4788,3974l4761,3974,4750,3985,4750,4012,4761,4024,4788,4024,4800,4012,4800,3985,4788,3974xe" filled="true" fillcolor="#1a466e" stroked="false">
              <v:path arrowok="t"/>
              <v:fill type="solid"/>
            </v:shape>
            <v:shape style="position:absolute;left:4750;top:3974;width:51;height:51" coordorigin="4750,3974" coordsize="51,51" path="m4750,3997l4750,4012,4761,4024,4773,4024,4788,4024,4800,4012,4800,3997,4800,3985,4788,3974,4773,3974,4761,3974,4750,3985,4750,3997xe" filled="false" stroked="true" strokeweight=".557572pt" strokecolor="#1a466e">
              <v:path arrowok="t"/>
            </v:shape>
            <v:shape style="position:absolute;left:3345;top:3740;width:50;height:51" coordorigin="3345,3740" coordsize="50,51" path="m3384,3740l3357,3740,3345,3751,3345,3778,3357,3790,3384,3790,3395,3778,3395,3751,3384,3740xe" filled="true" fillcolor="#1a466e" stroked="false">
              <v:path arrowok="t"/>
              <v:fill type="solid"/>
            </v:shape>
            <v:shape style="position:absolute;left:3345;top:3740;width:50;height:51" coordorigin="3345,3740" coordsize="50,51" path="m3345,3763l3345,3778,3357,3790,3368,3790,3384,3790,3395,3778,3395,3763,3395,3751,3384,3740,3368,3740,3357,3740,3345,3751,3345,3763xe" filled="false" stroked="true" strokeweight=".557572pt" strokecolor="#1a466e">
              <v:path arrowok="t"/>
            </v:shape>
            <v:shape style="position:absolute;left:3626;top:4599;width:50;height:50" coordorigin="3626,4599" coordsize="50,50" path="m3664,4599l3637,4599,3626,4611,3626,4638,3637,4649,3664,4649,3675,4638,3675,4611,3664,4599xe" filled="true" fillcolor="#1a466e" stroked="false">
              <v:path arrowok="t"/>
              <v:fill type="solid"/>
            </v:shape>
            <v:shape style="position:absolute;left:3626;top:4599;width:50;height:50" coordorigin="3626,4599" coordsize="50,50" path="m3626,4622l3626,4638,3637,4649,3649,4649,3664,4649,3675,4638,3675,4622,3675,4611,3664,4599,3649,4599,3637,4599,3626,4611,3626,4622xe" filled="false" stroked="true" strokeweight=".557572pt" strokecolor="#1a466e">
              <v:path arrowok="t"/>
            </v:shape>
            <v:shape style="position:absolute;left:5118;top:3974;width:51;height:51" coordorigin="5118,3974" coordsize="51,51" path="m5157,3974l5130,3974,5118,3985,5118,4012,5130,4024,5157,4024,5168,4012,5168,3985,5157,3974xe" filled="true" fillcolor="#1a466e" stroked="false">
              <v:path arrowok="t"/>
              <v:fill type="solid"/>
            </v:shape>
            <v:shape style="position:absolute;left:5118;top:3974;width:51;height:51" coordorigin="5118,3974" coordsize="51,51" path="m5118,3997l5118,4012,5130,4024,5142,4024,5157,4024,5168,4012,5168,3997,5168,3985,5157,3974,5142,3974,5130,3974,5118,3985,5118,3997xe" filled="false" stroked="true" strokeweight=".557572pt" strokecolor="#1a466e">
              <v:path arrowok="t"/>
            </v:shape>
            <v:shape style="position:absolute;left:5118;top:3740;width:51;height:51" coordorigin="5118,3740" coordsize="51,51" path="m5157,3740l5130,3740,5118,3751,5118,3778,5130,3790,5157,3790,5168,3778,5168,3751,5157,3740xe" filled="true" fillcolor="#1a466e" stroked="false">
              <v:path arrowok="t"/>
              <v:fill type="solid"/>
            </v:shape>
            <v:shape style="position:absolute;left:5118;top:3740;width:51;height:51" coordorigin="5118,3740" coordsize="51,51" path="m5118,3763l5118,3778,5130,3790,5142,3790,5157,3790,5168,3778,5168,3763,5168,3751,5157,3740,5142,3740,5130,3740,5118,3751,5118,3763xe" filled="false" stroked="true" strokeweight=".557572pt" strokecolor="#1a466e">
              <v:path arrowok="t"/>
            </v:shape>
            <v:shape style="position:absolute;left:6807;top:4599;width:50;height:50" coordorigin="6807,4599" coordsize="50,50" path="m6846,4599l6819,4599,6807,4611,6807,4638,6819,4649,6846,4649,6857,4638,6857,4611,6846,4599xe" filled="true" fillcolor="#1a466e" stroked="false">
              <v:path arrowok="t"/>
              <v:fill type="solid"/>
            </v:shape>
            <v:shape style="position:absolute;left:6807;top:4599;width:50;height:50" coordorigin="6807,4599" coordsize="50,50" path="m6807,4622l6807,4638,6819,4649,6830,4649,6846,4649,6857,4638,6857,4622,6857,4611,6846,4599,6830,4599,6819,4599,6807,4611,6807,4622xe" filled="false" stroked="true" strokeweight=".557572pt" strokecolor="#1a466e">
              <v:path arrowok="t"/>
            </v:shape>
            <v:shape style="position:absolute;left:7390;top:2455;width:63;height:3654" coordorigin="7390,2455" coordsize="63,3654" path="m8657,1863l8707,1863m8657,1472l8707,1472m8657,4392l8707,4392m8657,4000l8707,4000e" filled="false" stroked="true" strokeweight=".365309pt" strokecolor="#000000">
              <v:path arrowok="t"/>
            </v:shape>
            <v:shape style="position:absolute;left:5065;top:832;width:174;height:127" type="#_x0000_t202" filled="false" stroked="false">
              <v:textbox inset="0,0,0,0">
                <w:txbxContent>
                  <w:p>
                    <w:pPr>
                      <w:spacing w:line="127" w:lineRule="exact" w:before="0"/>
                      <w:ind w:left="0" w:right="-19" w:firstLine="0"/>
                      <w:jc w:val="left"/>
                      <w:rPr>
                        <w:sz w:val="12"/>
                      </w:rPr>
                    </w:pPr>
                    <w:r>
                      <w:rPr>
                        <w:spacing w:val="-1"/>
                        <w:w w:val="105"/>
                        <w:sz w:val="12"/>
                      </w:rPr>
                      <w:t>6.8</w:t>
                    </w:r>
                  </w:p>
                </w:txbxContent>
              </v:textbox>
              <w10:wrap type="none"/>
            </v:shape>
            <v:shape style="position:absolute;left:5955;top:832;width:71;height:127" type="#_x0000_t202" filled="false" stroked="false">
              <v:textbox inset="0,0,0,0">
                <w:txbxContent>
                  <w:p>
                    <w:pPr>
                      <w:spacing w:line="127" w:lineRule="exact" w:before="0"/>
                      <w:ind w:left="0" w:right="0" w:firstLine="0"/>
                      <w:jc w:val="left"/>
                      <w:rPr>
                        <w:sz w:val="12"/>
                      </w:rPr>
                    </w:pPr>
                    <w:r>
                      <w:rPr>
                        <w:w w:val="105"/>
                        <w:sz w:val="12"/>
                      </w:rPr>
                      <w:t>7</w:t>
                    </w:r>
                  </w:p>
                </w:txbxContent>
              </v:textbox>
              <w10:wrap type="none"/>
            </v:shape>
            <v:shape style="position:absolute;left:6750;top:832;width:174;height:127" type="#_x0000_t202" filled="false" stroked="false">
              <v:textbox inset="0,0,0,0">
                <w:txbxContent>
                  <w:p>
                    <w:pPr>
                      <w:spacing w:line="127" w:lineRule="exact" w:before="0"/>
                      <w:ind w:left="0" w:right="-19" w:firstLine="0"/>
                      <w:jc w:val="left"/>
                      <w:rPr>
                        <w:sz w:val="12"/>
                      </w:rPr>
                    </w:pPr>
                    <w:r>
                      <w:rPr>
                        <w:spacing w:val="-1"/>
                        <w:w w:val="105"/>
                        <w:sz w:val="12"/>
                      </w:rPr>
                      <w:t>7.2</w:t>
                    </w:r>
                  </w:p>
                </w:txbxContent>
              </v:textbox>
              <w10:wrap type="none"/>
            </v:shape>
            <v:shape style="position:absolute;left:8734;top:1028;width:174;height:1301" type="#_x0000_t202" filled="false" stroked="false">
              <v:textbox inset="0,0,0,0">
                <w:txbxContent>
                  <w:p>
                    <w:pPr>
                      <w:spacing w:line="128" w:lineRule="exact" w:before="0"/>
                      <w:ind w:left="0" w:right="-19" w:firstLine="0"/>
                      <w:jc w:val="left"/>
                      <w:rPr>
                        <w:sz w:val="12"/>
                      </w:rPr>
                    </w:pPr>
                    <w:r>
                      <w:rPr>
                        <w:spacing w:val="-1"/>
                        <w:w w:val="105"/>
                        <w:sz w:val="12"/>
                      </w:rPr>
                      <w:t>7.4</w:t>
                    </w:r>
                  </w:p>
                  <w:p>
                    <w:pPr>
                      <w:spacing w:line="240" w:lineRule="auto" w:before="0"/>
                      <w:rPr>
                        <w:i/>
                        <w:sz w:val="12"/>
                      </w:rPr>
                    </w:pPr>
                  </w:p>
                  <w:p>
                    <w:pPr>
                      <w:spacing w:line="240" w:lineRule="auto" w:before="0"/>
                      <w:rPr>
                        <w:i/>
                        <w:sz w:val="10"/>
                      </w:rPr>
                    </w:pPr>
                  </w:p>
                  <w:p>
                    <w:pPr>
                      <w:spacing w:before="0"/>
                      <w:ind w:left="0" w:right="-19" w:firstLine="0"/>
                      <w:jc w:val="left"/>
                      <w:rPr>
                        <w:sz w:val="12"/>
                      </w:rPr>
                    </w:pPr>
                    <w:r>
                      <w:rPr>
                        <w:spacing w:val="-1"/>
                        <w:w w:val="105"/>
                        <w:sz w:val="12"/>
                      </w:rPr>
                      <w:t>7.2</w:t>
                    </w:r>
                  </w:p>
                  <w:p>
                    <w:pPr>
                      <w:spacing w:line="240" w:lineRule="auto" w:before="0"/>
                      <w:rPr>
                        <w:i/>
                        <w:sz w:val="12"/>
                      </w:rPr>
                    </w:pPr>
                  </w:p>
                  <w:p>
                    <w:pPr>
                      <w:spacing w:line="240" w:lineRule="auto" w:before="0"/>
                      <w:rPr>
                        <w:i/>
                        <w:sz w:val="10"/>
                      </w:rPr>
                    </w:pPr>
                  </w:p>
                  <w:p>
                    <w:pPr>
                      <w:spacing w:before="0"/>
                      <w:ind w:left="0" w:right="0" w:firstLine="0"/>
                      <w:jc w:val="left"/>
                      <w:rPr>
                        <w:sz w:val="12"/>
                      </w:rPr>
                    </w:pPr>
                    <w:r>
                      <w:rPr>
                        <w:w w:val="105"/>
                        <w:sz w:val="12"/>
                      </w:rPr>
                      <w:t>7</w:t>
                    </w:r>
                  </w:p>
                  <w:p>
                    <w:pPr>
                      <w:spacing w:line="240" w:lineRule="auto" w:before="0"/>
                      <w:rPr>
                        <w:i/>
                        <w:sz w:val="12"/>
                      </w:rPr>
                    </w:pPr>
                  </w:p>
                  <w:p>
                    <w:pPr>
                      <w:spacing w:line="240" w:lineRule="auto" w:before="0"/>
                      <w:rPr>
                        <w:i/>
                        <w:sz w:val="10"/>
                      </w:rPr>
                    </w:pPr>
                  </w:p>
                  <w:p>
                    <w:pPr>
                      <w:spacing w:line="137" w:lineRule="exact" w:before="0"/>
                      <w:ind w:left="0" w:right="-19" w:firstLine="0"/>
                      <w:jc w:val="left"/>
                      <w:rPr>
                        <w:sz w:val="12"/>
                      </w:rPr>
                    </w:pPr>
                    <w:r>
                      <w:rPr>
                        <w:spacing w:val="-1"/>
                        <w:w w:val="105"/>
                        <w:sz w:val="12"/>
                      </w:rPr>
                      <w:t>6.8</w:t>
                    </w:r>
                  </w:p>
                </w:txbxContent>
              </v:textbox>
              <w10:wrap type="none"/>
            </v:shape>
            <v:shape style="position:absolute;left:3076;top:2290;width:174;height:127" type="#_x0000_t202" filled="false" stroked="false">
              <v:textbox inset="0,0,0,0">
                <w:txbxContent>
                  <w:p>
                    <w:pPr>
                      <w:spacing w:line="127" w:lineRule="exact" w:before="0"/>
                      <w:ind w:left="0" w:right="-19" w:firstLine="0"/>
                      <w:jc w:val="left"/>
                      <w:rPr>
                        <w:sz w:val="12"/>
                      </w:rPr>
                    </w:pPr>
                    <w:r>
                      <w:rPr>
                        <w:spacing w:val="-1"/>
                        <w:w w:val="105"/>
                        <w:sz w:val="12"/>
                      </w:rPr>
                      <w:t>7.2</w:t>
                    </w:r>
                  </w:p>
                </w:txbxContent>
              </v:textbox>
              <w10:wrap type="none"/>
            </v:shape>
            <v:shape style="position:absolute;left:3180;top:2877;width:71;height:127" type="#_x0000_t202" filled="false" stroked="false">
              <v:textbox inset="0,0,0,0">
                <w:txbxContent>
                  <w:p>
                    <w:pPr>
                      <w:spacing w:line="127" w:lineRule="exact" w:before="0"/>
                      <w:ind w:left="0" w:right="0" w:firstLine="0"/>
                      <w:jc w:val="left"/>
                      <w:rPr>
                        <w:sz w:val="12"/>
                      </w:rPr>
                    </w:pPr>
                    <w:r>
                      <w:rPr>
                        <w:w w:val="105"/>
                        <w:sz w:val="12"/>
                      </w:rPr>
                      <w:t>7</w:t>
                    </w:r>
                  </w:p>
                </w:txbxContent>
              </v:textbox>
              <w10:wrap type="none"/>
            </v:shape>
            <v:shape style="position:absolute;left:3076;top:3468;width:174;height:127" type="#_x0000_t202" filled="false" stroked="false">
              <v:textbox inset="0,0,0,0">
                <w:txbxContent>
                  <w:p>
                    <w:pPr>
                      <w:spacing w:line="127" w:lineRule="exact" w:before="0"/>
                      <w:ind w:left="0" w:right="-19" w:firstLine="0"/>
                      <w:jc w:val="left"/>
                      <w:rPr>
                        <w:sz w:val="12"/>
                      </w:rPr>
                    </w:pPr>
                    <w:r>
                      <w:rPr>
                        <w:spacing w:val="-1"/>
                        <w:w w:val="105"/>
                        <w:sz w:val="12"/>
                      </w:rPr>
                      <w:t>6.8</w:t>
                    </w:r>
                  </w:p>
                </w:txbxContent>
              </v:textbox>
              <w10:wrap type="none"/>
            </v:shape>
            <v:shape style="position:absolute;left:8734;top:3556;width:174;height:1302" type="#_x0000_t202" filled="false" stroked="false">
              <v:textbox inset="0,0,0,0">
                <w:txbxContent>
                  <w:p>
                    <w:pPr>
                      <w:spacing w:line="128" w:lineRule="exact" w:before="0"/>
                      <w:ind w:left="0" w:right="-19" w:firstLine="0"/>
                      <w:jc w:val="left"/>
                      <w:rPr>
                        <w:sz w:val="12"/>
                      </w:rPr>
                    </w:pPr>
                    <w:r>
                      <w:rPr>
                        <w:spacing w:val="-1"/>
                        <w:w w:val="105"/>
                        <w:sz w:val="12"/>
                      </w:rPr>
                      <w:t>6.5</w:t>
                    </w:r>
                  </w:p>
                  <w:p>
                    <w:pPr>
                      <w:spacing w:line="240" w:lineRule="auto" w:before="0"/>
                      <w:rPr>
                        <w:i/>
                        <w:sz w:val="12"/>
                      </w:rPr>
                    </w:pPr>
                  </w:p>
                  <w:p>
                    <w:pPr>
                      <w:spacing w:line="240" w:lineRule="auto" w:before="0"/>
                      <w:rPr>
                        <w:i/>
                        <w:sz w:val="10"/>
                      </w:rPr>
                    </w:pPr>
                  </w:p>
                  <w:p>
                    <w:pPr>
                      <w:spacing w:before="0"/>
                      <w:ind w:left="0" w:right="0" w:firstLine="0"/>
                      <w:jc w:val="left"/>
                      <w:rPr>
                        <w:sz w:val="12"/>
                      </w:rPr>
                    </w:pPr>
                    <w:r>
                      <w:rPr>
                        <w:w w:val="105"/>
                        <w:sz w:val="12"/>
                      </w:rPr>
                      <w:t>6</w:t>
                    </w:r>
                  </w:p>
                  <w:p>
                    <w:pPr>
                      <w:spacing w:line="240" w:lineRule="auto" w:before="0"/>
                      <w:rPr>
                        <w:i/>
                        <w:sz w:val="12"/>
                      </w:rPr>
                    </w:pPr>
                  </w:p>
                  <w:p>
                    <w:pPr>
                      <w:spacing w:line="240" w:lineRule="auto" w:before="0"/>
                      <w:rPr>
                        <w:i/>
                        <w:sz w:val="10"/>
                      </w:rPr>
                    </w:pPr>
                  </w:p>
                  <w:p>
                    <w:pPr>
                      <w:spacing w:before="0"/>
                      <w:ind w:left="0" w:right="-19" w:firstLine="0"/>
                      <w:jc w:val="left"/>
                      <w:rPr>
                        <w:sz w:val="12"/>
                      </w:rPr>
                    </w:pPr>
                    <w:r>
                      <w:rPr>
                        <w:spacing w:val="-1"/>
                        <w:w w:val="105"/>
                        <w:sz w:val="12"/>
                      </w:rPr>
                      <w:t>5.5</w:t>
                    </w:r>
                  </w:p>
                  <w:p>
                    <w:pPr>
                      <w:spacing w:line="240" w:lineRule="auto" w:before="0"/>
                      <w:rPr>
                        <w:i/>
                        <w:sz w:val="12"/>
                      </w:rPr>
                    </w:pPr>
                  </w:p>
                  <w:p>
                    <w:pPr>
                      <w:spacing w:line="240" w:lineRule="auto" w:before="0"/>
                      <w:rPr>
                        <w:i/>
                        <w:sz w:val="10"/>
                      </w:rPr>
                    </w:pPr>
                  </w:p>
                  <w:p>
                    <w:pPr>
                      <w:spacing w:line="137" w:lineRule="exact" w:before="0"/>
                      <w:ind w:left="0" w:right="0" w:firstLine="0"/>
                      <w:jc w:val="left"/>
                      <w:rPr>
                        <w:sz w:val="12"/>
                      </w:rPr>
                    </w:pPr>
                    <w:r>
                      <w:rPr>
                        <w:w w:val="105"/>
                        <w:sz w:val="12"/>
                      </w:rPr>
                      <w:t>5</w:t>
                    </w:r>
                  </w:p>
                </w:txbxContent>
              </v:textbox>
              <w10:wrap type="none"/>
            </v:shape>
            <v:shape style="position:absolute;left:3288;top:4922;width:174;height:127" type="#_x0000_t202" filled="false" stroked="false">
              <v:textbox inset="0,0,0,0">
                <w:txbxContent>
                  <w:p>
                    <w:pPr>
                      <w:spacing w:line="127" w:lineRule="exact" w:before="0"/>
                      <w:ind w:left="0" w:right="-19" w:firstLine="0"/>
                      <w:jc w:val="left"/>
                      <w:rPr>
                        <w:sz w:val="12"/>
                      </w:rPr>
                    </w:pPr>
                    <w:r>
                      <w:rPr>
                        <w:spacing w:val="-1"/>
                        <w:w w:val="105"/>
                        <w:sz w:val="12"/>
                      </w:rPr>
                      <w:t>6.8</w:t>
                    </w:r>
                  </w:p>
                </w:txbxContent>
              </v:textbox>
              <w10:wrap type="none"/>
            </v:shape>
            <v:shape style="position:absolute;left:3898;top:4922;width:71;height:127" type="#_x0000_t202" filled="false" stroked="false">
              <v:textbox inset="0,0,0,0">
                <w:txbxContent>
                  <w:p>
                    <w:pPr>
                      <w:spacing w:line="127" w:lineRule="exact" w:before="0"/>
                      <w:ind w:left="0" w:right="0" w:firstLine="0"/>
                      <w:jc w:val="left"/>
                      <w:rPr>
                        <w:sz w:val="12"/>
                      </w:rPr>
                    </w:pPr>
                    <w:r>
                      <w:rPr>
                        <w:w w:val="105"/>
                        <w:sz w:val="12"/>
                      </w:rPr>
                      <w:t>7</w:t>
                    </w:r>
                  </w:p>
                </w:txbxContent>
              </v:textbox>
              <w10:wrap type="none"/>
            </v:shape>
            <v:shape style="position:absolute;left:4412;top:4922;width:734;height:127" type="#_x0000_t202" filled="false" stroked="false">
              <v:textbox inset="0,0,0,0">
                <w:txbxContent>
                  <w:p>
                    <w:pPr>
                      <w:tabs>
                        <w:tab w:pos="560" w:val="left" w:leader="none"/>
                      </w:tabs>
                      <w:spacing w:line="127" w:lineRule="exact" w:before="0"/>
                      <w:ind w:left="0" w:right="0" w:firstLine="0"/>
                      <w:jc w:val="left"/>
                      <w:rPr>
                        <w:sz w:val="12"/>
                      </w:rPr>
                    </w:pPr>
                    <w:r>
                      <w:rPr>
                        <w:w w:val="105"/>
                        <w:sz w:val="12"/>
                      </w:rPr>
                      <w:t>7.2</w:t>
                      <w:tab/>
                    </w:r>
                    <w:r>
                      <w:rPr>
                        <w:spacing w:val="-1"/>
                        <w:w w:val="105"/>
                        <w:sz w:val="12"/>
                      </w:rPr>
                      <w:t>7.4</w:t>
                    </w:r>
                  </w:p>
                </w:txbxContent>
              </v:textbox>
              <w10:wrap type="none"/>
            </v:shape>
            <v:shape style="position:absolute;left:6888;top:4922;width:71;height:127" type="#_x0000_t202" filled="false" stroked="false">
              <v:textbox inset="0,0,0,0">
                <w:txbxContent>
                  <w:p>
                    <w:pPr>
                      <w:spacing w:line="127" w:lineRule="exact" w:before="0"/>
                      <w:ind w:left="0" w:right="0" w:firstLine="0"/>
                      <w:jc w:val="left"/>
                      <w:rPr>
                        <w:sz w:val="12"/>
                      </w:rPr>
                    </w:pPr>
                    <w:r>
                      <w:rPr>
                        <w:w w:val="105"/>
                        <w:sz w:val="12"/>
                      </w:rPr>
                      <w:t>5</w:t>
                    </w:r>
                  </w:p>
                </w:txbxContent>
              </v:textbox>
              <w10:wrap type="none"/>
            </v:shape>
            <v:shape style="position:absolute;left:7402;top:4922;width:174;height:127" type="#_x0000_t202" filled="false" stroked="false">
              <v:textbox inset="0,0,0,0">
                <w:txbxContent>
                  <w:p>
                    <w:pPr>
                      <w:spacing w:line="127" w:lineRule="exact" w:before="0"/>
                      <w:ind w:left="0" w:right="-19" w:firstLine="0"/>
                      <w:jc w:val="left"/>
                      <w:rPr>
                        <w:sz w:val="12"/>
                      </w:rPr>
                    </w:pPr>
                    <w:r>
                      <w:rPr>
                        <w:spacing w:val="-1"/>
                        <w:w w:val="105"/>
                        <w:sz w:val="12"/>
                      </w:rPr>
                      <w:t>5.5</w:t>
                    </w:r>
                  </w:p>
                </w:txbxContent>
              </v:textbox>
              <w10:wrap type="none"/>
            </v:shape>
            <v:shape style="position:absolute;left:8016;top:4922;width:71;height:127" type="#_x0000_t202" filled="false" stroked="false">
              <v:textbox inset="0,0,0,0">
                <w:txbxContent>
                  <w:p>
                    <w:pPr>
                      <w:spacing w:line="127" w:lineRule="exact" w:before="0"/>
                      <w:ind w:left="0" w:right="0" w:firstLine="0"/>
                      <w:jc w:val="left"/>
                      <w:rPr>
                        <w:sz w:val="12"/>
                      </w:rPr>
                    </w:pPr>
                    <w:r>
                      <w:rPr>
                        <w:w w:val="105"/>
                        <w:sz w:val="12"/>
                      </w:rPr>
                      <w:t>6</w:t>
                    </w:r>
                  </w:p>
                </w:txbxContent>
              </v:textbox>
              <w10:wrap type="none"/>
            </v:shape>
            <v:shape style="position:absolute;left:8527;top:4922;width:174;height:127" type="#_x0000_t202" filled="false" stroked="false">
              <v:textbox inset="0,0,0,0">
                <w:txbxContent>
                  <w:p>
                    <w:pPr>
                      <w:spacing w:line="127" w:lineRule="exact" w:before="0"/>
                      <w:ind w:left="0" w:right="-19" w:firstLine="0"/>
                      <w:jc w:val="left"/>
                      <w:rPr>
                        <w:sz w:val="12"/>
                      </w:rPr>
                    </w:pPr>
                    <w:r>
                      <w:rPr>
                        <w:spacing w:val="-1"/>
                        <w:w w:val="105"/>
                        <w:sz w:val="12"/>
                      </w:rPr>
                      <w:t>6.5</w:t>
                    </w:r>
                  </w:p>
                </w:txbxContent>
              </v:textbox>
              <w10:wrap type="none"/>
            </v:shape>
            <w10:wrap type="none"/>
          </v:group>
        </w:pict>
      </w:r>
      <w:r>
        <w:rPr>
          <w:sz w:val="22"/>
        </w:rPr>
        <w:t>Figura 19. Matriz de dimensiones de halos inhibitorios sobre </w:t>
      </w:r>
      <w:r>
        <w:rPr>
          <w:i/>
          <w:sz w:val="22"/>
        </w:rPr>
        <w:t>Streptococcus mutans</w:t>
      </w:r>
    </w:p>
    <w:p>
      <w:pPr>
        <w:pStyle w:val="BodyText"/>
        <w:rPr>
          <w:i/>
          <w:sz w:val="20"/>
        </w:rPr>
      </w:pPr>
    </w:p>
    <w:p>
      <w:pPr>
        <w:pStyle w:val="BodyText"/>
        <w:rPr>
          <w:i/>
          <w:sz w:val="20"/>
        </w:rPr>
      </w:pPr>
    </w:p>
    <w:p>
      <w:pPr>
        <w:pStyle w:val="BodyText"/>
        <w:spacing w:before="8" w:after="1"/>
        <w:rPr>
          <w:i/>
          <w:sz w:val="25"/>
        </w:rPr>
      </w:pPr>
    </w:p>
    <w:tbl>
      <w:tblPr>
        <w:tblW w:w="0" w:type="auto"/>
        <w:jc w:val="left"/>
        <w:tblInd w:w="204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775"/>
        <w:gridCol w:w="1777"/>
        <w:gridCol w:w="1777"/>
      </w:tblGrid>
      <w:tr>
        <w:trPr>
          <w:trHeight w:val="1264" w:hRule="exact"/>
        </w:trPr>
        <w:tc>
          <w:tcPr>
            <w:tcW w:w="1775" w:type="dxa"/>
            <w:shd w:val="clear" w:color="auto" w:fill="D9E6EB"/>
          </w:tcPr>
          <w:p>
            <w:pPr>
              <w:pStyle w:val="TableParagraph"/>
              <w:rPr>
                <w:i/>
                <w:sz w:val="14"/>
              </w:rPr>
            </w:pPr>
          </w:p>
          <w:p>
            <w:pPr>
              <w:pStyle w:val="TableParagraph"/>
              <w:spacing w:before="3"/>
              <w:rPr>
                <w:i/>
                <w:sz w:val="15"/>
              </w:rPr>
            </w:pPr>
          </w:p>
          <w:p>
            <w:pPr>
              <w:pStyle w:val="TableParagraph"/>
              <w:spacing w:line="211" w:lineRule="auto"/>
              <w:ind w:left="556" w:right="559" w:firstLine="4"/>
              <w:jc w:val="center"/>
              <w:rPr>
                <w:sz w:val="15"/>
              </w:rPr>
            </w:pPr>
            <w:r>
              <w:rPr>
                <w:sz w:val="15"/>
              </w:rPr>
              <w:t>Camellia </w:t>
            </w:r>
            <w:r>
              <w:rPr>
                <w:spacing w:val="-4"/>
                <w:w w:val="105"/>
                <w:sz w:val="15"/>
              </w:rPr>
              <w:t>sinensis</w:t>
            </w:r>
            <w:r>
              <w:rPr>
                <w:spacing w:val="-21"/>
                <w:w w:val="105"/>
                <w:sz w:val="15"/>
              </w:rPr>
              <w:t> </w:t>
            </w:r>
            <w:r>
              <w:rPr>
                <w:w w:val="105"/>
                <w:sz w:val="15"/>
              </w:rPr>
              <w:t>a</w:t>
            </w:r>
            <w:r>
              <w:rPr>
                <w:w w:val="102"/>
                <w:sz w:val="15"/>
              </w:rPr>
              <w:t> </w:t>
            </w:r>
            <w:r>
              <w:rPr>
                <w:w w:val="105"/>
                <w:sz w:val="15"/>
              </w:rPr>
              <w:t>20</w:t>
            </w:r>
          </w:p>
          <w:p>
            <w:pPr>
              <w:pStyle w:val="TableParagraph"/>
              <w:spacing w:line="157" w:lineRule="exact"/>
              <w:ind w:left="505" w:right="505"/>
              <w:jc w:val="center"/>
              <w:rPr>
                <w:sz w:val="15"/>
              </w:rPr>
            </w:pPr>
            <w:r>
              <w:rPr>
                <w:w w:val="105"/>
                <w:sz w:val="15"/>
              </w:rPr>
              <w:t>microlitros</w:t>
            </w:r>
          </w:p>
        </w:tc>
        <w:tc>
          <w:tcPr>
            <w:tcW w:w="1777" w:type="dxa"/>
            <w:tcBorders>
              <w:top w:val="single" w:sz="20" w:space="0" w:color="000000"/>
            </w:tcBorders>
            <w:shd w:val="clear" w:color="auto" w:fill="FFFFFF"/>
          </w:tcPr>
          <w:p>
            <w:pPr/>
          </w:p>
        </w:tc>
        <w:tc>
          <w:tcPr>
            <w:tcW w:w="1777" w:type="dxa"/>
            <w:shd w:val="clear" w:color="auto" w:fill="FFFFFF"/>
          </w:tcPr>
          <w:p>
            <w:pPr/>
          </w:p>
        </w:tc>
      </w:tr>
      <w:tr>
        <w:trPr>
          <w:trHeight w:val="1263" w:hRule="exact"/>
        </w:trPr>
        <w:tc>
          <w:tcPr>
            <w:tcW w:w="1775" w:type="dxa"/>
            <w:shd w:val="clear" w:color="auto" w:fill="FFFFFF"/>
          </w:tcPr>
          <w:p>
            <w:pPr/>
          </w:p>
        </w:tc>
        <w:tc>
          <w:tcPr>
            <w:tcW w:w="1777" w:type="dxa"/>
            <w:shd w:val="clear" w:color="auto" w:fill="D9E6EB"/>
          </w:tcPr>
          <w:p>
            <w:pPr>
              <w:pStyle w:val="TableParagraph"/>
              <w:rPr>
                <w:i/>
                <w:sz w:val="14"/>
              </w:rPr>
            </w:pPr>
          </w:p>
          <w:p>
            <w:pPr>
              <w:pStyle w:val="TableParagraph"/>
              <w:spacing w:before="2"/>
              <w:rPr>
                <w:i/>
                <w:sz w:val="15"/>
              </w:rPr>
            </w:pPr>
          </w:p>
          <w:p>
            <w:pPr>
              <w:pStyle w:val="TableParagraph"/>
              <w:spacing w:line="154" w:lineRule="exact"/>
              <w:ind w:left="470" w:right="472"/>
              <w:jc w:val="center"/>
              <w:rPr>
                <w:sz w:val="15"/>
              </w:rPr>
            </w:pPr>
            <w:r>
              <w:rPr>
                <w:sz w:val="15"/>
              </w:rPr>
              <w:t>Heterotheca </w:t>
            </w:r>
            <w:r>
              <w:rPr>
                <w:w w:val="105"/>
                <w:sz w:val="15"/>
              </w:rPr>
              <w:t>inuloides a 20</w:t>
            </w:r>
          </w:p>
          <w:p>
            <w:pPr>
              <w:pStyle w:val="TableParagraph"/>
              <w:spacing w:line="154" w:lineRule="exact"/>
              <w:ind w:left="470" w:right="469"/>
              <w:jc w:val="center"/>
              <w:rPr>
                <w:sz w:val="15"/>
              </w:rPr>
            </w:pPr>
            <w:r>
              <w:rPr>
                <w:w w:val="105"/>
                <w:sz w:val="15"/>
              </w:rPr>
              <w:t>microlitros</w:t>
            </w:r>
          </w:p>
        </w:tc>
        <w:tc>
          <w:tcPr>
            <w:tcW w:w="1777" w:type="dxa"/>
            <w:shd w:val="clear" w:color="auto" w:fill="FFFFFF"/>
          </w:tcPr>
          <w:p>
            <w:pPr/>
          </w:p>
        </w:tc>
      </w:tr>
      <w:tr>
        <w:trPr>
          <w:trHeight w:val="1266" w:hRule="exact"/>
        </w:trPr>
        <w:tc>
          <w:tcPr>
            <w:tcW w:w="1775" w:type="dxa"/>
            <w:tcBorders>
              <w:bottom w:val="single" w:sz="20" w:space="0" w:color="000000"/>
            </w:tcBorders>
            <w:shd w:val="clear" w:color="auto" w:fill="FFFFFF"/>
          </w:tcPr>
          <w:p>
            <w:pPr/>
          </w:p>
        </w:tc>
        <w:tc>
          <w:tcPr>
            <w:tcW w:w="1777" w:type="dxa"/>
            <w:shd w:val="clear" w:color="auto" w:fill="FFFFFF"/>
          </w:tcPr>
          <w:p>
            <w:pPr/>
          </w:p>
        </w:tc>
        <w:tc>
          <w:tcPr>
            <w:tcW w:w="1777" w:type="dxa"/>
            <w:tcBorders>
              <w:bottom w:val="single" w:sz="20" w:space="0" w:color="000000"/>
            </w:tcBorders>
            <w:shd w:val="clear" w:color="auto" w:fill="D9E6EB"/>
          </w:tcPr>
          <w:p>
            <w:pPr>
              <w:pStyle w:val="TableParagraph"/>
              <w:rPr>
                <w:i/>
                <w:sz w:val="14"/>
              </w:rPr>
            </w:pPr>
          </w:p>
          <w:p>
            <w:pPr>
              <w:pStyle w:val="TableParagraph"/>
              <w:rPr>
                <w:i/>
                <w:sz w:val="14"/>
              </w:rPr>
            </w:pPr>
          </w:p>
          <w:p>
            <w:pPr>
              <w:pStyle w:val="TableParagraph"/>
              <w:spacing w:line="211" w:lineRule="auto" w:before="93"/>
              <w:ind w:left="457" w:right="457"/>
              <w:jc w:val="center"/>
              <w:rPr>
                <w:sz w:val="15"/>
              </w:rPr>
            </w:pPr>
            <w:r>
              <w:rPr>
                <w:sz w:val="15"/>
              </w:rPr>
              <w:t>Clorhexidina </w:t>
            </w:r>
            <w:r>
              <w:rPr>
                <w:w w:val="105"/>
                <w:sz w:val="15"/>
              </w:rPr>
              <w:t>a 20 microlitros</w:t>
            </w:r>
          </w:p>
        </w:tc>
      </w:tr>
    </w:tbl>
    <w:p>
      <w:pPr>
        <w:pStyle w:val="BodyText"/>
        <w:rPr>
          <w:i/>
          <w:sz w:val="22"/>
        </w:rPr>
      </w:pPr>
    </w:p>
    <w:p>
      <w:pPr>
        <w:pStyle w:val="BodyText"/>
        <w:spacing w:before="10"/>
        <w:rPr>
          <w:i/>
          <w:sz w:val="30"/>
        </w:rPr>
      </w:pPr>
    </w:p>
    <w:p>
      <w:pPr>
        <w:spacing w:before="0"/>
        <w:ind w:left="0" w:right="12" w:firstLine="0"/>
        <w:jc w:val="center"/>
        <w:rPr>
          <w:i/>
          <w:sz w:val="22"/>
        </w:rPr>
      </w:pPr>
      <w:r>
        <w:rPr>
          <w:sz w:val="22"/>
        </w:rPr>
        <w:t>Figura 20. Matriz de dimensiones de halos inhibitorios sobre </w:t>
      </w:r>
      <w:r>
        <w:rPr>
          <w:i/>
          <w:sz w:val="22"/>
        </w:rPr>
        <w:t>Lactobacillus casei</w:t>
      </w:r>
    </w:p>
    <w:p>
      <w:pPr>
        <w:spacing w:after="0"/>
        <w:jc w:val="center"/>
        <w:rPr>
          <w:sz w:val="22"/>
        </w:rPr>
        <w:sectPr>
          <w:pgSz w:w="12240" w:h="15840"/>
          <w:pgMar w:header="736" w:footer="1024" w:top="1180" w:bottom="1220" w:left="1280" w:right="1260"/>
        </w:sectPr>
      </w:pPr>
    </w:p>
    <w:p>
      <w:pPr>
        <w:pStyle w:val="BodyText"/>
        <w:spacing w:before="2"/>
        <w:rPr>
          <w:i/>
          <w:sz w:val="17"/>
        </w:rPr>
      </w:pPr>
    </w:p>
    <w:p>
      <w:pPr>
        <w:pStyle w:val="Heading2"/>
        <w:ind w:left="2786" w:right="270"/>
      </w:pPr>
      <w:r>
        <w:rPr/>
        <w:t>PONENCIAS Y RECONOCIMIENTOS</w:t>
      </w:r>
    </w:p>
    <w:p>
      <w:pPr>
        <w:pStyle w:val="BodyText"/>
        <w:rPr>
          <w:b/>
        </w:rPr>
      </w:pPr>
    </w:p>
    <w:p>
      <w:pPr>
        <w:pStyle w:val="BodyText"/>
        <w:rPr>
          <w:b/>
        </w:rPr>
      </w:pPr>
    </w:p>
    <w:p>
      <w:pPr>
        <w:pStyle w:val="ListParagraph"/>
        <w:numPr>
          <w:ilvl w:val="1"/>
          <w:numId w:val="21"/>
        </w:numPr>
        <w:tabs>
          <w:tab w:pos="881" w:val="left" w:leader="none"/>
        </w:tabs>
        <w:spacing w:line="357" w:lineRule="auto" w:before="207" w:after="0"/>
        <w:ind w:left="880" w:right="174" w:hanging="360"/>
        <w:jc w:val="both"/>
        <w:rPr>
          <w:sz w:val="24"/>
        </w:rPr>
      </w:pPr>
      <w:r>
        <w:rPr>
          <w:sz w:val="24"/>
        </w:rPr>
        <w:t>Ponente en el XXIV Congreso Nacional e Internacional de Posgrado e Investigación en Odontología y en el Congreso Anual de alumnos de  Diplomados de la IADR-UNAM con el tema “Nanopartículas de Plata </w:t>
      </w:r>
      <w:r>
        <w:rPr>
          <w:i/>
          <w:sz w:val="24"/>
        </w:rPr>
        <w:t>versus </w:t>
      </w:r>
      <w:r>
        <w:rPr>
          <w:sz w:val="24"/>
        </w:rPr>
        <w:t>clorhexidina en dientes temporales” llevado a cabo </w:t>
      </w:r>
      <w:r>
        <w:rPr>
          <w:spacing w:val="4"/>
          <w:sz w:val="24"/>
        </w:rPr>
        <w:t>en </w:t>
      </w:r>
      <w:r>
        <w:rPr>
          <w:sz w:val="24"/>
        </w:rPr>
        <w:t>Cancún México, del 3 al 7 de Junio de</w:t>
      </w:r>
      <w:r>
        <w:rPr>
          <w:spacing w:val="-7"/>
          <w:sz w:val="24"/>
        </w:rPr>
        <w:t> </w:t>
      </w:r>
      <w:r>
        <w:rPr>
          <w:sz w:val="24"/>
        </w:rPr>
        <w:t>2012</w:t>
      </w:r>
    </w:p>
    <w:p>
      <w:pPr>
        <w:pStyle w:val="BodyText"/>
      </w:pPr>
    </w:p>
    <w:p>
      <w:pPr>
        <w:pStyle w:val="ListParagraph"/>
        <w:numPr>
          <w:ilvl w:val="1"/>
          <w:numId w:val="21"/>
        </w:numPr>
        <w:tabs>
          <w:tab w:pos="881" w:val="left" w:leader="none"/>
        </w:tabs>
        <w:spacing w:line="355" w:lineRule="auto" w:before="146" w:after="0"/>
        <w:ind w:left="880" w:right="175" w:hanging="360"/>
        <w:jc w:val="both"/>
        <w:rPr>
          <w:sz w:val="24"/>
        </w:rPr>
      </w:pPr>
      <w:r>
        <w:rPr>
          <w:sz w:val="24"/>
        </w:rPr>
        <w:t>Ponente en el XV Foro Interinstitucional de Investigación en Salud realizado en el ITESM Campus Toluca, en la modalidad cartel con el tema “Efecto antibacteriano de las Nanopartículas de Plata </w:t>
      </w:r>
      <w:r>
        <w:rPr>
          <w:i/>
          <w:sz w:val="24"/>
        </w:rPr>
        <w:t>versus </w:t>
      </w:r>
      <w:r>
        <w:rPr>
          <w:sz w:val="24"/>
        </w:rPr>
        <w:t>clorhexidina sobre </w:t>
      </w:r>
      <w:r>
        <w:rPr>
          <w:i/>
          <w:sz w:val="24"/>
        </w:rPr>
        <w:t>Streptococcus mutans </w:t>
      </w:r>
      <w:r>
        <w:rPr>
          <w:sz w:val="24"/>
        </w:rPr>
        <w:t>y </w:t>
      </w:r>
      <w:r>
        <w:rPr>
          <w:i/>
          <w:sz w:val="24"/>
        </w:rPr>
        <w:t>Lactobacillus casei” </w:t>
      </w:r>
      <w:r>
        <w:rPr>
          <w:sz w:val="24"/>
        </w:rPr>
        <w:t>los días 4 y 5 de Octubre de</w:t>
      </w:r>
      <w:r>
        <w:rPr>
          <w:spacing w:val="-23"/>
          <w:sz w:val="24"/>
        </w:rPr>
        <w:t> </w:t>
      </w:r>
      <w:r>
        <w:rPr>
          <w:sz w:val="24"/>
        </w:rPr>
        <w:t>2012</w:t>
      </w:r>
    </w:p>
    <w:p>
      <w:pPr>
        <w:pStyle w:val="BodyText"/>
      </w:pPr>
    </w:p>
    <w:p>
      <w:pPr>
        <w:pStyle w:val="BodyText"/>
      </w:pPr>
    </w:p>
    <w:p>
      <w:pPr>
        <w:pStyle w:val="ListParagraph"/>
        <w:numPr>
          <w:ilvl w:val="1"/>
          <w:numId w:val="21"/>
        </w:numPr>
        <w:tabs>
          <w:tab w:pos="881" w:val="left" w:leader="none"/>
        </w:tabs>
        <w:spacing w:line="357" w:lineRule="auto" w:before="191" w:after="0"/>
        <w:ind w:left="880" w:right="176" w:hanging="360"/>
        <w:jc w:val="both"/>
        <w:rPr>
          <w:sz w:val="24"/>
        </w:rPr>
      </w:pPr>
      <w:r>
        <w:rPr>
          <w:sz w:val="24"/>
        </w:rPr>
        <w:t>Ponente en el XXI Congreso Nacional e Internacional de la Asociación Dental Mexicana, llevado a cabo en la expo AMIC en el WTC Ciudad de México, en la modalidad cartel con el tema “Efecto antibacteriano de las Nanopartículas de Plata </w:t>
      </w:r>
      <w:r>
        <w:rPr>
          <w:i/>
          <w:sz w:val="24"/>
        </w:rPr>
        <w:t>versus </w:t>
      </w:r>
      <w:r>
        <w:rPr>
          <w:sz w:val="24"/>
        </w:rPr>
        <w:t>clorhexidina sobre </w:t>
      </w:r>
      <w:r>
        <w:rPr>
          <w:i/>
          <w:sz w:val="24"/>
        </w:rPr>
        <w:t>Streptococcus mutans </w:t>
      </w:r>
      <w:r>
        <w:rPr>
          <w:sz w:val="24"/>
        </w:rPr>
        <w:t>y </w:t>
      </w:r>
      <w:r>
        <w:rPr>
          <w:i/>
          <w:sz w:val="24"/>
        </w:rPr>
        <w:t>Lactobacillus casei” </w:t>
      </w:r>
      <w:r>
        <w:rPr>
          <w:sz w:val="24"/>
        </w:rPr>
        <w:t>los días 15 y 16 de Noviembre de</w:t>
      </w:r>
      <w:r>
        <w:rPr>
          <w:spacing w:val="-15"/>
          <w:sz w:val="24"/>
        </w:rPr>
        <w:t> </w:t>
      </w:r>
      <w:r>
        <w:rPr>
          <w:sz w:val="24"/>
        </w:rPr>
        <w:t>2012</w:t>
      </w:r>
    </w:p>
    <w:p>
      <w:pPr>
        <w:pStyle w:val="BodyText"/>
      </w:pPr>
    </w:p>
    <w:p>
      <w:pPr>
        <w:pStyle w:val="ListParagraph"/>
        <w:numPr>
          <w:ilvl w:val="1"/>
          <w:numId w:val="21"/>
        </w:numPr>
        <w:tabs>
          <w:tab w:pos="881" w:val="left" w:leader="none"/>
        </w:tabs>
        <w:spacing w:line="355" w:lineRule="auto" w:before="145" w:after="0"/>
        <w:ind w:left="880" w:right="175" w:hanging="360"/>
        <w:jc w:val="both"/>
        <w:rPr>
          <w:sz w:val="24"/>
        </w:rPr>
      </w:pPr>
      <w:r>
        <w:rPr>
          <w:sz w:val="24"/>
        </w:rPr>
        <w:t>Reconocimiento por haber obtenido el 1er lugar a Nivel Estatal en el XV Foro Interinstitucional de Investigación en Salud en el ITESM Campus Toluca, en la modalidad cartel, los días 4 y 5 de Octubre de</w:t>
      </w:r>
      <w:r>
        <w:rPr>
          <w:spacing w:val="-14"/>
          <w:sz w:val="24"/>
        </w:rPr>
        <w:t> </w:t>
      </w:r>
      <w:r>
        <w:rPr>
          <w:sz w:val="24"/>
        </w:rPr>
        <w:t>2012</w:t>
      </w:r>
    </w:p>
    <w:p>
      <w:pPr>
        <w:pStyle w:val="BodyText"/>
      </w:pPr>
    </w:p>
    <w:p>
      <w:pPr>
        <w:pStyle w:val="ListParagraph"/>
        <w:numPr>
          <w:ilvl w:val="1"/>
          <w:numId w:val="21"/>
        </w:numPr>
        <w:tabs>
          <w:tab w:pos="881" w:val="left" w:leader="none"/>
        </w:tabs>
        <w:spacing w:line="357" w:lineRule="auto" w:before="148" w:after="0"/>
        <w:ind w:left="880" w:right="174" w:hanging="360"/>
        <w:jc w:val="both"/>
        <w:rPr>
          <w:sz w:val="24"/>
        </w:rPr>
      </w:pPr>
      <w:r>
        <w:rPr>
          <w:sz w:val="24"/>
        </w:rPr>
        <w:t>Reconocimiento por haber obtenido el 1er lugar a Nivel Nacional en el XXI Congreso Nacional e Internacional de la Asociación Dental Mexicana, llevado a cabo en la expo AMIC en el </w:t>
      </w:r>
      <w:r>
        <w:rPr>
          <w:spacing w:val="2"/>
          <w:sz w:val="24"/>
        </w:rPr>
        <w:t>WTC </w:t>
      </w:r>
      <w:r>
        <w:rPr>
          <w:sz w:val="24"/>
        </w:rPr>
        <w:t>Ciudad de México, en la modalidad cartel, los días 15 y 16 de Noviembre de</w:t>
      </w:r>
      <w:r>
        <w:rPr>
          <w:spacing w:val="-15"/>
          <w:sz w:val="24"/>
        </w:rPr>
        <w:t> </w:t>
      </w:r>
      <w:r>
        <w:rPr>
          <w:sz w:val="24"/>
        </w:rPr>
        <w:t>2012</w:t>
      </w:r>
    </w:p>
    <w:p>
      <w:pPr>
        <w:spacing w:after="0" w:line="357" w:lineRule="auto"/>
        <w:jc w:val="both"/>
        <w:rPr>
          <w:sz w:val="24"/>
        </w:rPr>
        <w:sectPr>
          <w:pgSz w:w="12240" w:h="15840"/>
          <w:pgMar w:header="736" w:footer="1024" w:top="1180" w:bottom="1220" w:left="1280" w:right="1260"/>
        </w:sectPr>
      </w:pPr>
    </w:p>
    <w:p>
      <w:pPr>
        <w:pStyle w:val="BodyText"/>
        <w:spacing w:before="4"/>
        <w:rPr>
          <w:rFonts w:ascii="Times New Roman"/>
          <w:sz w:val="23"/>
        </w:rPr>
      </w:pPr>
    </w:p>
    <w:p>
      <w:pPr>
        <w:pStyle w:val="BodyText"/>
        <w:ind w:left="160"/>
        <w:rPr>
          <w:rFonts w:ascii="Times New Roman"/>
          <w:sz w:val="20"/>
        </w:rPr>
      </w:pPr>
      <w:r>
        <w:rPr>
          <w:rFonts w:ascii="Times New Roman"/>
          <w:sz w:val="20"/>
        </w:rPr>
        <w:drawing>
          <wp:inline distT="0" distB="0" distL="0" distR="0">
            <wp:extent cx="5942700" cy="7548372"/>
            <wp:effectExtent l="0" t="0" r="0" b="0"/>
            <wp:docPr id="23" name="image175.jpeg" descr=""/>
            <wp:cNvGraphicFramePr>
              <a:graphicFrameLocks noChangeAspect="1"/>
            </wp:cNvGraphicFramePr>
            <a:graphic>
              <a:graphicData uri="http://schemas.openxmlformats.org/drawingml/2006/picture">
                <pic:pic>
                  <pic:nvPicPr>
                    <pic:cNvPr id="24" name="image175.jpeg"/>
                    <pic:cNvPicPr/>
                  </pic:nvPicPr>
                  <pic:blipFill>
                    <a:blip r:embed="rId240" cstate="print"/>
                    <a:stretch>
                      <a:fillRect/>
                    </a:stretch>
                  </pic:blipFill>
                  <pic:spPr>
                    <a:xfrm>
                      <a:off x="0" y="0"/>
                      <a:ext cx="5942700" cy="754837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6" w:footer="1024" w:top="1180" w:bottom="1220" w:left="1280" w:right="1260"/>
        </w:sectPr>
      </w:pPr>
    </w:p>
    <w:p>
      <w:pPr>
        <w:pStyle w:val="BodyText"/>
        <w:spacing w:before="4"/>
        <w:rPr>
          <w:rFonts w:ascii="Times New Roman"/>
          <w:sz w:val="23"/>
        </w:rPr>
      </w:pPr>
    </w:p>
    <w:p>
      <w:pPr>
        <w:pStyle w:val="BodyText"/>
        <w:ind w:left="160"/>
        <w:rPr>
          <w:rFonts w:ascii="Times New Roman"/>
          <w:sz w:val="20"/>
        </w:rPr>
      </w:pPr>
      <w:r>
        <w:rPr>
          <w:rFonts w:ascii="Times New Roman"/>
          <w:sz w:val="20"/>
        </w:rPr>
        <w:drawing>
          <wp:inline distT="0" distB="0" distL="0" distR="0">
            <wp:extent cx="6213875" cy="7333488"/>
            <wp:effectExtent l="0" t="0" r="0" b="0"/>
            <wp:docPr id="25" name="image176.png" descr=""/>
            <wp:cNvGraphicFramePr>
              <a:graphicFrameLocks noChangeAspect="1"/>
            </wp:cNvGraphicFramePr>
            <a:graphic>
              <a:graphicData uri="http://schemas.openxmlformats.org/drawingml/2006/picture">
                <pic:pic>
                  <pic:nvPicPr>
                    <pic:cNvPr id="26" name="image176.png"/>
                    <pic:cNvPicPr/>
                  </pic:nvPicPr>
                  <pic:blipFill>
                    <a:blip r:embed="rId241" cstate="print"/>
                    <a:stretch>
                      <a:fillRect/>
                    </a:stretch>
                  </pic:blipFill>
                  <pic:spPr>
                    <a:xfrm>
                      <a:off x="0" y="0"/>
                      <a:ext cx="6213875" cy="733348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6" w:footer="1024" w:top="1180" w:bottom="1220" w:left="1280" w:right="900"/>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28"/>
        </w:rPr>
      </w:pPr>
    </w:p>
    <w:p>
      <w:pPr>
        <w:pStyle w:val="BodyText"/>
        <w:ind w:left="565"/>
        <w:rPr>
          <w:rFonts w:ascii="Times New Roman"/>
          <w:sz w:val="20"/>
        </w:rPr>
      </w:pPr>
      <w:r>
        <w:rPr>
          <w:rFonts w:ascii="Times New Roman"/>
          <w:sz w:val="20"/>
        </w:rPr>
        <w:drawing>
          <wp:inline distT="0" distB="0" distL="0" distR="0">
            <wp:extent cx="5353290" cy="7364158"/>
            <wp:effectExtent l="0" t="0" r="0" b="0"/>
            <wp:docPr id="27" name="image177.jpeg" descr=""/>
            <wp:cNvGraphicFramePr>
              <a:graphicFrameLocks noChangeAspect="1"/>
            </wp:cNvGraphicFramePr>
            <a:graphic>
              <a:graphicData uri="http://schemas.openxmlformats.org/drawingml/2006/picture">
                <pic:pic>
                  <pic:nvPicPr>
                    <pic:cNvPr id="28" name="image177.jpeg"/>
                    <pic:cNvPicPr/>
                  </pic:nvPicPr>
                  <pic:blipFill>
                    <a:blip r:embed="rId242" cstate="print"/>
                    <a:stretch>
                      <a:fillRect/>
                    </a:stretch>
                  </pic:blipFill>
                  <pic:spPr>
                    <a:xfrm>
                      <a:off x="0" y="0"/>
                      <a:ext cx="5353290" cy="736415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6" w:footer="1024" w:top="1180" w:bottom="1220" w:left="1280" w:right="1260"/>
        </w:sectPr>
      </w:pPr>
    </w:p>
    <w:p>
      <w:pPr>
        <w:pStyle w:val="BodyText"/>
        <w:rPr>
          <w:rFonts w:ascii="Times New Roman"/>
          <w:sz w:val="20"/>
        </w:rPr>
      </w:pPr>
    </w:p>
    <w:p>
      <w:pPr>
        <w:pStyle w:val="BodyText"/>
        <w:spacing w:before="6"/>
        <w:rPr>
          <w:rFonts w:ascii="Times New Roman"/>
          <w:sz w:val="23"/>
        </w:rPr>
      </w:pPr>
    </w:p>
    <w:p>
      <w:pPr>
        <w:pStyle w:val="BodyText"/>
        <w:ind w:left="359"/>
        <w:rPr>
          <w:rFonts w:ascii="Times New Roman"/>
          <w:sz w:val="20"/>
        </w:rPr>
      </w:pPr>
      <w:r>
        <w:rPr>
          <w:rFonts w:ascii="Times New Roman"/>
          <w:sz w:val="20"/>
        </w:rPr>
        <w:drawing>
          <wp:inline distT="0" distB="0" distL="0" distR="0">
            <wp:extent cx="5421250" cy="7458360"/>
            <wp:effectExtent l="0" t="0" r="0" b="0"/>
            <wp:docPr id="29" name="image178.jpeg" descr=""/>
            <wp:cNvGraphicFramePr>
              <a:graphicFrameLocks noChangeAspect="1"/>
            </wp:cNvGraphicFramePr>
            <a:graphic>
              <a:graphicData uri="http://schemas.openxmlformats.org/drawingml/2006/picture">
                <pic:pic>
                  <pic:nvPicPr>
                    <pic:cNvPr id="30" name="image178.jpeg"/>
                    <pic:cNvPicPr/>
                  </pic:nvPicPr>
                  <pic:blipFill>
                    <a:blip r:embed="rId243" cstate="print"/>
                    <a:stretch>
                      <a:fillRect/>
                    </a:stretch>
                  </pic:blipFill>
                  <pic:spPr>
                    <a:xfrm>
                      <a:off x="0" y="0"/>
                      <a:ext cx="5421250" cy="745836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6" w:footer="1024" w:top="1180" w:bottom="1220" w:left="1280" w:right="1260"/>
        </w:sectPr>
      </w:pPr>
    </w:p>
    <w:p>
      <w:pPr>
        <w:pStyle w:val="BodyText"/>
        <w:spacing w:before="4"/>
        <w:rPr>
          <w:rFonts w:ascii="Times New Roman"/>
          <w:sz w:val="23"/>
        </w:rPr>
      </w:pPr>
    </w:p>
    <w:p>
      <w:pPr>
        <w:pStyle w:val="BodyText"/>
        <w:ind w:left="160"/>
        <w:rPr>
          <w:rFonts w:ascii="Times New Roman"/>
          <w:sz w:val="20"/>
        </w:rPr>
      </w:pPr>
      <w:r>
        <w:rPr>
          <w:rFonts w:ascii="Times New Roman"/>
          <w:sz w:val="20"/>
        </w:rPr>
        <w:drawing>
          <wp:inline distT="0" distB="0" distL="0" distR="0">
            <wp:extent cx="5860215" cy="7794212"/>
            <wp:effectExtent l="0" t="0" r="0" b="0"/>
            <wp:docPr id="31" name="image179.jpeg" descr=""/>
            <wp:cNvGraphicFramePr>
              <a:graphicFrameLocks noChangeAspect="1"/>
            </wp:cNvGraphicFramePr>
            <a:graphic>
              <a:graphicData uri="http://schemas.openxmlformats.org/drawingml/2006/picture">
                <pic:pic>
                  <pic:nvPicPr>
                    <pic:cNvPr id="32" name="image179.jpeg"/>
                    <pic:cNvPicPr/>
                  </pic:nvPicPr>
                  <pic:blipFill>
                    <a:blip r:embed="rId245" cstate="print"/>
                    <a:stretch>
                      <a:fillRect/>
                    </a:stretch>
                  </pic:blipFill>
                  <pic:spPr>
                    <a:xfrm>
                      <a:off x="0" y="0"/>
                      <a:ext cx="5860215" cy="7794212"/>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244"/>
          <w:pgSz w:w="12240" w:h="15840"/>
          <w:pgMar w:footer="1024" w:header="736" w:top="1180" w:bottom="1220" w:left="1280" w:right="12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8"/>
        </w:rPr>
      </w:pPr>
    </w:p>
    <w:p>
      <w:pPr>
        <w:pStyle w:val="BodyText"/>
        <w:ind w:left="111"/>
        <w:rPr>
          <w:rFonts w:ascii="Times New Roman"/>
          <w:sz w:val="20"/>
        </w:rPr>
      </w:pPr>
      <w:r>
        <w:rPr>
          <w:rFonts w:ascii="Times New Roman"/>
          <w:sz w:val="20"/>
        </w:rPr>
        <w:drawing>
          <wp:inline distT="0" distB="0" distL="0" distR="0">
            <wp:extent cx="6337239" cy="7622285"/>
            <wp:effectExtent l="0" t="0" r="0" b="0"/>
            <wp:docPr id="33" name="image180.jpeg" descr=""/>
            <wp:cNvGraphicFramePr>
              <a:graphicFrameLocks noChangeAspect="1"/>
            </wp:cNvGraphicFramePr>
            <a:graphic>
              <a:graphicData uri="http://schemas.openxmlformats.org/drawingml/2006/picture">
                <pic:pic>
                  <pic:nvPicPr>
                    <pic:cNvPr id="34" name="image180.jpeg"/>
                    <pic:cNvPicPr/>
                  </pic:nvPicPr>
                  <pic:blipFill>
                    <a:blip r:embed="rId247" cstate="print"/>
                    <a:stretch>
                      <a:fillRect/>
                    </a:stretch>
                  </pic:blipFill>
                  <pic:spPr>
                    <a:xfrm>
                      <a:off x="0" y="0"/>
                      <a:ext cx="6337239" cy="7622285"/>
                    </a:xfrm>
                    <a:prstGeom prst="rect">
                      <a:avLst/>
                    </a:prstGeom>
                  </pic:spPr>
                </pic:pic>
              </a:graphicData>
            </a:graphic>
          </wp:inline>
        </w:drawing>
      </w:r>
      <w:r>
        <w:rPr>
          <w:rFonts w:ascii="Times New Roman"/>
          <w:sz w:val="20"/>
        </w:rPr>
      </w:r>
    </w:p>
    <w:sectPr>
      <w:footerReference w:type="default" r:id="rId246"/>
      <w:pgSz w:w="12240" w:h="15840"/>
      <w:pgMar w:footer="1024" w:header="736" w:top="1180" w:bottom="1220" w:left="940" w:right="10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33.219604pt;width:137.3pt;height:10.050pt;mso-position-horizontal-relative:page;mso-position-vertical-relative:page;z-index:-193624"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9.940002pt;margin-top:733.219604pt;width:32.3pt;height:10.050pt;mso-position-horizontal-relative:page;mso-position-vertical-relative:page;z-index:-193600"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2808" from="70.584pt,731.856018pt" to="541.534pt,731.856018pt" stroked="true" strokeweight=".71997pt" strokecolor="#612322">
          <w10:wrap type="none"/>
        </v:line>
      </w:pict>
    </w:r>
    <w:r>
      <w:rPr/>
      <w:pict>
        <v:line style="position:absolute;mso-position-horizontal-relative:page;mso-position-vertical-relative:page;z-index:-192784"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2760"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6.75pt;height:10.050pt;mso-position-horizontal-relative:page;mso-position-vertical-relative:page;z-index:-192736"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41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2712" from="70.584pt,731.856018pt" to="541.534pt,731.856018pt" stroked="true" strokeweight=".71997pt" strokecolor="#612322">
          <w10:wrap type="none"/>
        </v:line>
      </w:pict>
    </w:r>
    <w:r>
      <w:rPr/>
      <w:pict>
        <v:line style="position:absolute;mso-position-horizontal-relative:page;mso-position-vertical-relative:page;z-index:-192688"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2664"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5.75pt;height:10.050pt;mso-position-horizontal-relative:page;mso-position-vertical-relative:page;z-index:-192640"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50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2616" from="70.584pt,731.856018pt" to="541.534pt,731.856018pt" stroked="true" strokeweight=".71997pt" strokecolor="#612322">
          <w10:wrap type="none"/>
        </v:line>
      </w:pict>
    </w:r>
    <w:r>
      <w:rPr/>
      <w:pict>
        <v:line style="position:absolute;mso-position-horizontal-relative:page;mso-position-vertical-relative:page;z-index:-192592"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2568"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6.75pt;height:10.050pt;mso-position-horizontal-relative:page;mso-position-vertical-relative:page;z-index:-192544"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51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2448" from="70.559998pt,551.856018pt" to="721.539998pt,551.856018pt" stroked="true" strokeweight=".71997pt" strokecolor="#612322">
          <w10:wrap type="none"/>
        </v:line>
      </w:pict>
    </w:r>
    <w:r>
      <w:rPr/>
      <w:pict>
        <v:line style="position:absolute;mso-position-horizontal-relative:page;mso-position-vertical-relative:page;z-index:-192424" from="70.559998pt,549.276001pt" to="721.539998pt,549.276001pt" stroked="true" strokeweight="3.0pt" strokecolor="#612322">
          <w10:wrap type="none"/>
        </v:line>
      </w:pict>
    </w:r>
    <w:r>
      <w:rPr/>
      <w:pict>
        <v:shape style="position:absolute;margin-left:71pt;margin-top:553.219604pt;width:137.3pt;height:10.050pt;mso-position-horizontal-relative:page;mso-position-vertical-relative:page;z-index:-192400"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685.5pt;margin-top:553.219604pt;width:36.75pt;height:10.050pt;mso-position-horizontal-relative:page;mso-position-vertical-relative:page;z-index:-192376"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56</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2280" from="70.584pt,731.856018pt" to="541.534pt,731.856018pt" stroked="true" strokeweight=".71997pt" strokecolor="#612322">
          <w10:wrap type="none"/>
        </v:line>
      </w:pict>
    </w:r>
    <w:r>
      <w:rPr/>
      <w:pict>
        <v:line style="position:absolute;mso-position-horizontal-relative:page;mso-position-vertical-relative:page;z-index:-192256"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2232"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6.75pt;height:10.050pt;mso-position-horizontal-relative:page;mso-position-vertical-relative:page;z-index:-192208"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60</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2088" from="70.584pt,731.856018pt" to="541.534pt,731.856018pt" stroked="true" strokeweight=".71997pt" strokecolor="#612322">
          <w10:wrap type="none"/>
        </v:line>
      </w:pict>
    </w:r>
    <w:r>
      <w:rPr/>
      <w:pict>
        <v:line style="position:absolute;mso-position-horizontal-relative:page;mso-position-vertical-relative:page;z-index:-192064"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2040"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5.75pt;height:10.050pt;mso-position-horizontal-relative:page;mso-position-vertical-relative:page;z-index:-192016"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70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992" from="70.584pt,731.856018pt" to="541.534pt,731.856018pt" stroked="true" strokeweight=".71997pt" strokecolor="#612322">
          <w10:wrap type="none"/>
        </v:line>
      </w:pict>
    </w:r>
    <w:r>
      <w:rPr/>
      <w:pict>
        <v:line style="position:absolute;mso-position-horizontal-relative:page;mso-position-vertical-relative:page;z-index:-191968"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1944"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6.75pt;height:10.050pt;mso-position-horizontal-relative:page;mso-position-vertical-relative:page;z-index:-191920"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71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896" from="70.584pt,731.856018pt" to="541.534pt,731.856018pt" stroked="true" strokeweight=".71997pt" strokecolor="#612322">
          <w10:wrap type="none"/>
        </v:line>
      </w:pict>
    </w:r>
    <w:r>
      <w:rPr/>
      <w:pict>
        <v:line style="position:absolute;mso-position-horizontal-relative:page;mso-position-vertical-relative:page;z-index:-191872"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1848"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5.75pt;height:10.050pt;mso-position-horizontal-relative:page;mso-position-vertical-relative:page;z-index:-191824"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80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800" from="70.584pt,731.856018pt" to="541.534pt,731.856018pt" stroked="true" strokeweight=".71997pt" strokecolor="#612322">
          <w10:wrap type="none"/>
        </v:line>
      </w:pict>
    </w:r>
    <w:r>
      <w:rPr/>
      <w:pict>
        <v:line style="position:absolute;mso-position-horizontal-relative:page;mso-position-vertical-relative:page;z-index:-191776"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1752"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6.75pt;height:10.050pt;mso-position-horizontal-relative:page;mso-position-vertical-relative:page;z-index:-191728"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81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704" from="70.584pt,731.856018pt" to="541.534pt,731.856018pt" stroked="true" strokeweight=".71997pt" strokecolor="#612322">
          <w10:wrap type="none"/>
        </v:line>
      </w:pict>
    </w:r>
    <w:r>
      <w:rPr/>
      <w:pict>
        <v:line style="position:absolute;mso-position-horizontal-relative:page;mso-position-vertical-relative:page;z-index:-191680"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1656"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5.75pt;height:10.050pt;mso-position-horizontal-relative:page;mso-position-vertical-relative:page;z-index:-191632"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90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576" from="70.584pt,731.856018pt" to="541.534pt,731.856018pt" stroked="true" strokeweight=".71997pt" strokecolor="#612322">
          <w10:wrap type="none"/>
        </v:line>
      </w:pict>
    </w:r>
    <w:r>
      <w:rPr/>
      <w:pict>
        <v:line style="position:absolute;mso-position-horizontal-relative:page;mso-position-vertical-relative:page;z-index:-193552"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3528"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9.940002pt;margin-top:733.219604pt;width:32.3pt;height:10.050pt;mso-position-horizontal-relative:page;mso-position-vertical-relative:page;z-index:-193504"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2</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608" from="70.584pt,731.856018pt" to="541.534pt,731.856018pt" stroked="true" strokeweight=".71997pt" strokecolor="#612322">
          <w10:wrap type="none"/>
        </v:line>
      </w:pict>
    </w:r>
    <w:r>
      <w:rPr/>
      <w:pict>
        <v:line style="position:absolute;mso-position-horizontal-relative:page;mso-position-vertical-relative:page;z-index:-191584"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1560"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6.75pt;height:10.050pt;mso-position-horizontal-relative:page;mso-position-vertical-relative:page;z-index:-191536"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91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512" from="70.584pt,731.856018pt" to="541.534pt,731.856018pt" stroked="true" strokeweight=".71997pt" strokecolor="#612322">
          <w10:wrap type="none"/>
        </v:line>
      </w:pict>
    </w:r>
    <w:r>
      <w:rPr/>
      <w:pict>
        <v:line style="position:absolute;mso-position-horizontal-relative:page;mso-position-vertical-relative:page;z-index:-191488"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1464"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1.059998pt;margin-top:733.219604pt;width:40.2pt;height:10.050pt;mso-position-horizontal-relative:page;mso-position-vertical-relative:page;z-index:-191440"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100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416" from="70.584pt,731.856018pt" to="541.534pt,731.856018pt" stroked="true" strokeweight=".71997pt" strokecolor="#612322">
          <w10:wrap type="none"/>
        </v:line>
      </w:pict>
    </w:r>
    <w:r>
      <w:rPr/>
      <w:pict>
        <v:line style="position:absolute;mso-position-horizontal-relative:page;mso-position-vertical-relative:page;z-index:-191392"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1368"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1.059998pt;margin-top:733.219604pt;width:41.2pt;height:10.050pt;mso-position-horizontal-relative:page;mso-position-vertical-relative:page;z-index:-191344"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101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320" from="70.584pt,731.856018pt" to="541.534pt,731.856018pt" stroked="true" strokeweight=".71997pt" strokecolor="#612322">
          <w10:wrap type="none"/>
        </v:line>
      </w:pict>
    </w:r>
    <w:r>
      <w:rPr/>
      <w:pict>
        <v:line style="position:absolute;mso-position-horizontal-relative:page;mso-position-vertical-relative:page;z-index:-191296"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1272"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1.059998pt;margin-top:733.219604pt;width:40.2pt;height:10.050pt;mso-position-horizontal-relative:page;mso-position-vertical-relative:page;z-index:-191248"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110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224" from="70.584pt,731.856018pt" to="541.534pt,731.856018pt" stroked="true" strokeweight=".71997pt" strokecolor="#612322">
          <w10:wrap type="none"/>
        </v:line>
      </w:pict>
    </w:r>
    <w:r>
      <w:rPr/>
      <w:pict>
        <v:line style="position:absolute;mso-position-horizontal-relative:page;mso-position-vertical-relative:page;z-index:-191200"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1176"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1.059998pt;margin-top:733.219604pt;width:40.2pt;height:10.050pt;mso-position-horizontal-relative:page;mso-position-vertical-relative:page;z-index:-191152"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111</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pt;margin-top:553.219604pt;width:137.3pt;height:10.050pt;mso-position-horizontal-relative:page;mso-position-vertical-relative:page;z-index:-191128"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681.059998pt;margin-top:553.219604pt;width:40.2pt;height:10.050pt;mso-position-horizontal-relative:page;mso-position-vertical-relative:page;z-index:-191104"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112</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008" from="70.584pt,731.856018pt" to="541.534pt,731.856018pt" stroked="true" strokeweight=".71997pt" strokecolor="#612322">
          <w10:wrap type="none"/>
        </v:line>
      </w:pict>
    </w:r>
    <w:r>
      <w:rPr/>
      <w:pict>
        <v:line style="position:absolute;mso-position-horizontal-relative:page;mso-position-vertical-relative:page;z-index:-190984"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0960"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1.059998pt;margin-top:733.219604pt;width:41.2pt;height:10.050pt;mso-position-horizontal-relative:page;mso-position-vertical-relative:page;z-index:-190936"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113</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0912" from="70.584pt,731.856018pt" to="541.534pt,731.856018pt" stroked="true" strokeweight=".71997pt" strokecolor="#612322">
          <w10:wrap type="none"/>
        </v:line>
      </w:pict>
    </w:r>
    <w:r>
      <w:rPr/>
      <w:pict>
        <v:line style="position:absolute;mso-position-horizontal-relative:page;mso-position-vertical-relative:page;z-index:-190888"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0864"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1.059998pt;margin-top:733.219604pt;width:40.2pt;height:10.050pt;mso-position-horizontal-relative:page;mso-position-vertical-relative:page;z-index:-190840"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120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0816" from="70.584pt,731.856018pt" to="541.534pt,731.856018pt" stroked="true" strokeweight=".71997pt" strokecolor="#612322">
          <w10:wrap type="none"/>
        </v:line>
      </w:pict>
    </w:r>
    <w:r>
      <w:rPr/>
      <w:pict>
        <v:line style="position:absolute;mso-position-horizontal-relative:page;mso-position-vertical-relative:page;z-index:-190792"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0768"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1.059998pt;margin-top:733.219604pt;width:41.2pt;height:10.050pt;mso-position-horizontal-relative:page;mso-position-vertical-relative:page;z-index:-190744"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121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0720" from="70.584pt,731.856018pt" to="541.534pt,731.856018pt" stroked="true" strokeweight=".71997pt" strokecolor="#612322">
          <w10:wrap type="none"/>
        </v:line>
      </w:pict>
    </w:r>
    <w:r>
      <w:rPr/>
      <w:pict>
        <v:line style="position:absolute;mso-position-horizontal-relative:page;mso-position-vertical-relative:page;z-index:-190696"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0672"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1.059998pt;margin-top:733.219604pt;width:40.2pt;height:10.050pt;mso-position-horizontal-relative:page;mso-position-vertical-relative:page;z-index:-190648"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130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480" from="70.584pt,731.856018pt" to="541.534pt,731.856018pt" stroked="true" strokeweight=".71997pt" strokecolor="#612322">
          <w10:wrap type="none"/>
        </v:line>
      </w:pict>
    </w:r>
    <w:r>
      <w:rPr/>
      <w:pict>
        <v:line style="position:absolute;mso-position-horizontal-relative:page;mso-position-vertical-relative:page;z-index:-193456"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3432"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5.75pt;height:10.050pt;mso-position-horizontal-relative:page;mso-position-vertical-relative:page;z-index:-193408"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10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0624" from="70.584pt,731.856018pt" to="541.534pt,731.856018pt" stroked="true" strokeweight=".71997pt" strokecolor="#612322">
          <w10:wrap type="none"/>
        </v:line>
      </w:pict>
    </w:r>
    <w:r>
      <w:rPr/>
      <w:pict>
        <v:line style="position:absolute;mso-position-horizontal-relative:page;mso-position-vertical-relative:page;z-index:-190600"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0576"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1.059998pt;margin-top:733.219604pt;width:41.2pt;height:10.050pt;mso-position-horizontal-relative:page;mso-position-vertical-relative:page;z-index:-190552"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131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0528" from="70.584pt,731.856018pt" to="541.534pt,731.856018pt" stroked="true" strokeweight=".71997pt" strokecolor="#612322">
          <w10:wrap type="none"/>
        </v:line>
      </w:pict>
    </w:r>
    <w:r>
      <w:rPr/>
      <w:pict>
        <v:line style="position:absolute;mso-position-horizontal-relative:page;mso-position-vertical-relative:page;z-index:-190504"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0480"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1.059998pt;margin-top:733.219604pt;width:40.2pt;height:10.050pt;mso-position-horizontal-relative:page;mso-position-vertical-relative:page;z-index:-190456"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140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0432" from="70.584pt,731.856018pt" to="541.534pt,731.856018pt" stroked="true" strokeweight=".71997pt" strokecolor="#612322">
          <w10:wrap type="none"/>
        </v:line>
      </w:pict>
    </w:r>
    <w:r>
      <w:rPr/>
      <w:pict>
        <v:line style="position:absolute;mso-position-horizontal-relative:page;mso-position-vertical-relative:page;z-index:-190408"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0384"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1.059998pt;margin-top:733.219604pt;width:41.2pt;height:10.050pt;mso-position-horizontal-relative:page;mso-position-vertical-relative:page;z-index:-190360"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141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0336" from="70.584pt,731.856018pt" to="541.534pt,731.856018pt" stroked="true" strokeweight=".71997pt" strokecolor="#612322">
          <w10:wrap type="none"/>
        </v:line>
      </w:pict>
    </w:r>
    <w:r>
      <w:rPr/>
      <w:pict>
        <v:line style="position:absolute;mso-position-horizontal-relative:page;mso-position-vertical-relative:page;z-index:-190312"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0288"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1.059998pt;margin-top:733.219604pt;width:40.2pt;height:10.050pt;mso-position-horizontal-relative:page;mso-position-vertical-relative:page;z-index:-190264"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150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0240" from="70.584pt,731.856018pt" to="541.534pt,731.856018pt" stroked="true" strokeweight=".71997pt" strokecolor="#612322">
          <w10:wrap type="none"/>
        </v:line>
      </w:pict>
    </w:r>
    <w:r>
      <w:rPr/>
      <w:pict>
        <v:line style="position:absolute;mso-position-horizontal-relative:page;mso-position-vertical-relative:page;z-index:-190216"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0192"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1.059998pt;margin-top:733.219604pt;width:40.2pt;height:10.050pt;mso-position-horizontal-relative:page;mso-position-vertical-relative:page;z-index:-190168"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151</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384" from="70.584pt,731.856018pt" to="541.534pt,731.856018pt" stroked="true" strokeweight=".71997pt" strokecolor="#612322">
          <w10:wrap type="none"/>
        </v:line>
      </w:pict>
    </w:r>
    <w:r>
      <w:rPr/>
      <w:pict>
        <v:line style="position:absolute;mso-position-horizontal-relative:page;mso-position-vertical-relative:page;z-index:-193360"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3336"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6.75pt;height:10.050pt;mso-position-horizontal-relative:page;mso-position-vertical-relative:page;z-index:-193312"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11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288" from="70.584pt,731.856018pt" to="541.534pt,731.856018pt" stroked="true" strokeweight=".71997pt" strokecolor="#612322">
          <w10:wrap type="none"/>
        </v:line>
      </w:pict>
    </w:r>
    <w:r>
      <w:rPr/>
      <w:pict>
        <v:line style="position:absolute;mso-position-horizontal-relative:page;mso-position-vertical-relative:page;z-index:-193264"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3240"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5.75pt;height:10.050pt;mso-position-horizontal-relative:page;mso-position-vertical-relative:page;z-index:-193216"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20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192" from="70.584pt,731.856018pt" to="541.534pt,731.856018pt" stroked="true" strokeweight=".71997pt" strokecolor="#612322">
          <w10:wrap type="none"/>
        </v:line>
      </w:pict>
    </w:r>
    <w:r>
      <w:rPr/>
      <w:pict>
        <v:line style="position:absolute;mso-position-horizontal-relative:page;mso-position-vertical-relative:page;z-index:-193168"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3144"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6.75pt;height:10.050pt;mso-position-horizontal-relative:page;mso-position-vertical-relative:page;z-index:-193120"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096" from="70.584pt,731.856018pt" to="541.534pt,731.856018pt" stroked="true" strokeweight=".71997pt" strokecolor="#612322">
          <w10:wrap type="none"/>
        </v:line>
      </w:pict>
    </w:r>
    <w:r>
      <w:rPr/>
      <w:pict>
        <v:line style="position:absolute;mso-position-horizontal-relative:page;mso-position-vertical-relative:page;z-index:-193072"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3048"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5.75pt;height:10.050pt;mso-position-horizontal-relative:page;mso-position-vertical-relative:page;z-index:-193024"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000" from="70.584pt,731.856018pt" to="541.534pt,731.856018pt" stroked="true" strokeweight=".71997pt" strokecolor="#612322">
          <w10:wrap type="none"/>
        </v:line>
      </w:pict>
    </w:r>
    <w:r>
      <w:rPr/>
      <w:pict>
        <v:line style="position:absolute;mso-position-horizontal-relative:page;mso-position-vertical-relative:page;z-index:-192976"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2952"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6.75pt;height:10.050pt;mso-position-horizontal-relative:page;mso-position-vertical-relative:page;z-index:-192928"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w:t>
                </w:r>
                <w:r>
                  <w:rPr/>
                  <w:fldChar w:fldCharType="begin"/>
                </w:r>
                <w:r>
                  <w:rPr>
                    <w:rFonts w:ascii="Cambria" w:hAnsi="Cambria"/>
                    <w:sz w:val="16"/>
                  </w:rPr>
                  <w:instrText> PAGE </w:instrText>
                </w:r>
                <w:r>
                  <w:rPr/>
                  <w:fldChar w:fldCharType="separate"/>
                </w:r>
                <w:r>
                  <w:rPr/>
                  <w:t>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2904" from="70.584pt,731.856018pt" to="541.534pt,731.856018pt" stroked="true" strokeweight=".71997pt" strokecolor="#612322">
          <w10:wrap type="none"/>
        </v:line>
      </w:pict>
    </w:r>
    <w:r>
      <w:rPr/>
      <w:pict>
        <v:line style="position:absolute;mso-position-horizontal-relative:page;mso-position-vertical-relative:page;z-index:-192880" from="70.584pt,729.276001pt" to="541.534pt,729.276001pt" stroked="true" strokeweight="3.0pt" strokecolor="#612322">
          <w10:wrap type="none"/>
        </v:line>
      </w:pict>
    </w:r>
    <w:r>
      <w:rPr/>
      <w:pict>
        <v:shape style="position:absolute;margin-left:71.024002pt;margin-top:733.219604pt;width:137.3pt;height:10.050pt;mso-position-horizontal-relative:page;mso-position-vertical-relative:page;z-index:-192856" type="#_x0000_t202" filled="false" stroked="false">
          <v:textbox inset="0,0,0,0">
            <w:txbxContent>
              <w:p>
                <w:pPr>
                  <w:spacing w:line="186" w:lineRule="exact" w:before="0"/>
                  <w:ind w:left="20" w:right="0" w:firstLine="0"/>
                  <w:jc w:val="left"/>
                  <w:rPr>
                    <w:rFonts w:ascii="Cambria"/>
                    <w:sz w:val="16"/>
                  </w:rPr>
                </w:pPr>
                <w:r>
                  <w:rPr>
                    <w:rFonts w:ascii="Cambria"/>
                    <w:sz w:val="16"/>
                  </w:rPr>
                  <w:t>SARAI CARMINA GUADARRAMA REYES</w:t>
                </w:r>
              </w:p>
            </w:txbxContent>
          </v:textbox>
          <w10:wrap type="none"/>
        </v:shape>
      </w:pict>
    </w:r>
    <w:r>
      <w:rPr/>
      <w:pict>
        <v:shape style="position:absolute;margin-left:505.5pt;margin-top:733.219604pt;width:35.75pt;height:10.050pt;mso-position-horizontal-relative:page;mso-position-vertical-relative:page;z-index:-192832" type="#_x0000_t202" filled="false" stroked="false">
          <v:textbox inset="0,0,0,0">
            <w:txbxContent>
              <w:p>
                <w:pPr>
                  <w:spacing w:line="186" w:lineRule="exact" w:before="0"/>
                  <w:ind w:left="20" w:right="0" w:firstLine="0"/>
                  <w:jc w:val="left"/>
                  <w:rPr>
                    <w:rFonts w:ascii="Cambria" w:hAnsi="Cambria"/>
                    <w:sz w:val="16"/>
                  </w:rPr>
                </w:pPr>
                <w:r>
                  <w:rPr>
                    <w:rFonts w:ascii="Cambria" w:hAnsi="Cambria"/>
                    <w:sz w:val="16"/>
                  </w:rPr>
                  <w:t>Página 40</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696" from="70.584pt,55.799999pt" to="541.534pt,55.799999pt" stroked="true" strokeweight=".72pt" strokecolor="#612322">
          <w10:wrap type="none"/>
        </v:line>
      </w:pict>
    </w:r>
    <w:r>
      <w:rPr/>
      <w:pict>
        <v:line style="position:absolute;mso-position-horizontal-relative:page;mso-position-vertical-relative:page;z-index:-193672" from="70.584pt,58.380001pt" to="541.534pt,58.380001pt" stroked="true" strokeweight="3pt" strokecolor="#612322">
          <w10:wrap type="none"/>
        </v:line>
      </w:pict>
    </w:r>
    <w:r>
      <w:rPr/>
      <w:pict>
        <v:shapetype id="_x0000_t202" o:spt="202" coordsize="21600,21600" path="m,l,21600r21600,l21600,xe">
          <v:stroke joinstyle="miter"/>
          <v:path gradientshapeok="t" o:connecttype="rect"/>
        </v:shapetype>
        <v:shape style="position:absolute;margin-left:77.744003pt;margin-top:35.805069pt;width:456.45pt;height:19.4pt;mso-position-horizontal-relative:page;mso-position-vertical-relative:page;z-index:-193648" type="#_x0000_t202" filled="false" stroked="false">
          <v:textbox inset="0,0,0,0">
            <w:txbxContent>
              <w:p>
                <w:pPr>
                  <w:spacing w:line="244" w:lineRule="auto" w:before="0"/>
                  <w:ind w:left="3214" w:right="3" w:hanging="3195"/>
                  <w:jc w:val="left"/>
                  <w:rPr>
                    <w:sz w:val="16"/>
                  </w:rPr>
                </w:pPr>
                <w:r>
                  <w:rPr>
                    <w:sz w:val="16"/>
                  </w:rPr>
                  <w:t>EFECTO ANTIBACTERIANO DE LAS NANOPARTÍCULAS DE PLATA VERSUS CLORHEXIDINA SOBRE STREPTOCOCCUS MUTANS Y LACTOBACILLUS CASEI</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2520" from="70.559998pt,46.560001pt" to="721.539998pt,46.560001pt" stroked="true" strokeweight=".72pt" strokecolor="#612322">
          <w10:wrap type="none"/>
        </v:line>
      </w:pict>
    </w:r>
    <w:r>
      <w:rPr/>
      <w:pict>
        <v:line style="position:absolute;mso-position-horizontal-relative:page;mso-position-vertical-relative:page;z-index:-192496" from="70.559998pt,49.139999pt" to="721.539998pt,49.139999pt" stroked="true" strokeweight="3pt" strokecolor="#612322">
          <w10:wrap type="none"/>
        </v:line>
      </w:pict>
    </w:r>
    <w:r>
      <w:rPr/>
      <w:pict>
        <v:shape style="position:absolute;margin-left:99.099998pt;margin-top:35.925072pt;width:593.75pt;height:10.050pt;mso-position-horizontal-relative:page;mso-position-vertical-relative:page;z-index:-192472" type="#_x0000_t202" filled="false" stroked="false">
          <v:textbox inset="0,0,0,0">
            <w:txbxContent>
              <w:p>
                <w:pPr>
                  <w:spacing w:before="0"/>
                  <w:ind w:left="20" w:right="0" w:firstLine="0"/>
                  <w:jc w:val="left"/>
                  <w:rPr>
                    <w:sz w:val="16"/>
                  </w:rPr>
                </w:pPr>
                <w:r>
                  <w:rPr>
                    <w:sz w:val="16"/>
                  </w:rPr>
                  <w:t>EFECTO ANTIBACTERIANO DE LAS NANOPARTÍCULAS DE PLATA VERSUS CLORHEXIDINA SOBRE STREPTOCOCCUS MUTANS Y LACTOBACILLUS CASEI</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2352" from="70.584pt,55.799999pt" to="541.534pt,55.799999pt" stroked="true" strokeweight=".72pt" strokecolor="#612322">
          <w10:wrap type="none"/>
        </v:line>
      </w:pict>
    </w:r>
    <w:r>
      <w:rPr/>
      <w:pict>
        <v:line style="position:absolute;mso-position-horizontal-relative:page;mso-position-vertical-relative:page;z-index:-192328" from="70.584pt,58.380001pt" to="541.534pt,58.380001pt" stroked="true" strokeweight="3pt" strokecolor="#612322">
          <w10:wrap type="none"/>
        </v:line>
      </w:pict>
    </w:r>
    <w:r>
      <w:rPr/>
      <w:pict>
        <v:shape style="position:absolute;margin-left:77.744003pt;margin-top:35.805069pt;width:456.45pt;height:19.4pt;mso-position-horizontal-relative:page;mso-position-vertical-relative:page;z-index:-192304" type="#_x0000_t202" filled="false" stroked="false">
          <v:textbox inset="0,0,0,0">
            <w:txbxContent>
              <w:p>
                <w:pPr>
                  <w:spacing w:line="244" w:lineRule="auto" w:before="0"/>
                  <w:ind w:left="3214" w:right="3" w:hanging="3195"/>
                  <w:jc w:val="left"/>
                  <w:rPr>
                    <w:sz w:val="16"/>
                  </w:rPr>
                </w:pPr>
                <w:r>
                  <w:rPr>
                    <w:sz w:val="16"/>
                  </w:rPr>
                  <w:t>EFECTO ANTIBACTERIANO DE LAS NANOPARTÍCULAS DE PLATA VERSUS CLORHEXIDINA SOBRE STREPTOCOCCUS MUTANS Y LACTOBACILLUS CASEI</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4003pt;margin-top:35.805069pt;width:456.45pt;height:19.4pt;mso-position-horizontal-relative:page;mso-position-vertical-relative:page;z-index:-192184" type="#_x0000_t202" filled="false" stroked="false">
          <v:textbox inset="0,0,0,0">
            <w:txbxContent>
              <w:p>
                <w:pPr>
                  <w:spacing w:line="244" w:lineRule="auto" w:before="0"/>
                  <w:ind w:left="3214" w:right="3" w:hanging="3195"/>
                  <w:jc w:val="left"/>
                  <w:rPr>
                    <w:sz w:val="16"/>
                  </w:rPr>
                </w:pPr>
                <w:r>
                  <w:rPr>
                    <w:sz w:val="16"/>
                  </w:rPr>
                  <w:t>EFECTO ANTIBACTERIANO DE LAS NANOPARTÍCULAS DE PLATA VERSUS CLORHEXIDINA SOBRE STREPTOCOCCUS MUTANS Y LACTOBACILLUS CASEI</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2160" from="70.584pt,55.799999pt" to="541.534pt,55.799999pt" stroked="true" strokeweight=".72pt" strokecolor="#612322">
          <w10:wrap type="none"/>
        </v:line>
      </w:pict>
    </w:r>
    <w:r>
      <w:rPr/>
      <w:pict>
        <v:line style="position:absolute;mso-position-horizontal-relative:page;mso-position-vertical-relative:page;z-index:-192136" from="70.584pt,58.380001pt" to="541.534pt,58.380001pt" stroked="true" strokeweight="3pt" strokecolor="#612322">
          <w10:wrap type="none"/>
        </v:line>
      </w:pict>
    </w:r>
    <w:r>
      <w:rPr/>
      <w:pict>
        <v:shape style="position:absolute;margin-left:77.744003pt;margin-top:35.805069pt;width:456.45pt;height:19.4pt;mso-position-horizontal-relative:page;mso-position-vertical-relative:page;z-index:-192112" type="#_x0000_t202" filled="false" stroked="false">
          <v:textbox inset="0,0,0,0">
            <w:txbxContent>
              <w:p>
                <w:pPr>
                  <w:spacing w:line="244" w:lineRule="auto" w:before="0"/>
                  <w:ind w:left="3214" w:right="3" w:hanging="3195"/>
                  <w:jc w:val="left"/>
                  <w:rPr>
                    <w:sz w:val="16"/>
                  </w:rPr>
                </w:pPr>
                <w:r>
                  <w:rPr>
                    <w:sz w:val="16"/>
                  </w:rPr>
                  <w:t>EFECTO ANTIBACTERIANO DE LAS NANOPARTÍCULAS DE PLATA VERSUS CLORHEXIDINA SOBRE STREPTOCOCCUS MUTANS Y LACTOBACILLUS CASEI</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080" from="70.584pt,55.799999pt" to="541.534pt,55.799999pt" stroked="true" strokeweight=".72pt" strokecolor="#612322">
          <w10:wrap type="none"/>
        </v:line>
      </w:pict>
    </w:r>
    <w:r>
      <w:rPr/>
      <w:pict>
        <v:line style="position:absolute;mso-position-horizontal-relative:page;mso-position-vertical-relative:page;z-index:-191056" from="70.584pt,58.380001pt" to="541.534pt,58.380001pt" stroked="true" strokeweight="3pt" strokecolor="#612322">
          <w10:wrap type="none"/>
        </v:line>
      </w:pict>
    </w:r>
    <w:r>
      <w:rPr/>
      <w:pict>
        <v:shape style="position:absolute;margin-left:77.744003pt;margin-top:35.805069pt;width:456.45pt;height:19.4pt;mso-position-horizontal-relative:page;mso-position-vertical-relative:page;z-index:-191032" type="#_x0000_t202" filled="false" stroked="false">
          <v:textbox inset="0,0,0,0">
            <w:txbxContent>
              <w:p>
                <w:pPr>
                  <w:spacing w:line="244" w:lineRule="auto" w:before="0"/>
                  <w:ind w:left="3214" w:right="3" w:hanging="3195"/>
                  <w:jc w:val="left"/>
                  <w:rPr>
                    <w:sz w:val="16"/>
                  </w:rPr>
                </w:pPr>
                <w:r>
                  <w:rPr>
                    <w:sz w:val="16"/>
                  </w:rPr>
                  <w:t>EFECTO ANTIBACTERIANO DE LAS NANOPARTÍCULAS DE PLATA VERSUS CLORHEXIDINA SOBRE STREPTOCOCCUS MUTANS Y LACTOBACILLUS CASEI</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0">
    <w:multiLevelType w:val="hybridMultilevel"/>
    <w:lvl w:ilvl="0">
      <w:start w:val="1"/>
      <w:numFmt w:val="decimal"/>
      <w:lvlText w:val="%1."/>
      <w:lvlJc w:val="left"/>
      <w:pPr>
        <w:ind w:left="464" w:hanging="361"/>
        <w:jc w:val="left"/>
      </w:pPr>
      <w:rPr>
        <w:rFonts w:hint="default" w:ascii="Arial" w:hAnsi="Arial" w:eastAsia="Arial" w:cs="Arial"/>
        <w:spacing w:val="-3"/>
        <w:w w:val="99"/>
        <w:sz w:val="24"/>
        <w:szCs w:val="24"/>
      </w:rPr>
    </w:lvl>
    <w:lvl w:ilvl="1">
      <w:start w:val="1"/>
      <w:numFmt w:val="bullet"/>
      <w:lvlText w:val=""/>
      <w:lvlJc w:val="left"/>
      <w:pPr>
        <w:ind w:left="880" w:hanging="360"/>
      </w:pPr>
      <w:rPr>
        <w:rFonts w:hint="default" w:ascii="Symbol" w:hAnsi="Symbol" w:eastAsia="Symbol" w:cs="Symbol"/>
        <w:w w:val="100"/>
        <w:sz w:val="24"/>
        <w:szCs w:val="24"/>
      </w:rPr>
    </w:lvl>
    <w:lvl w:ilvl="2">
      <w:start w:val="1"/>
      <w:numFmt w:val="bullet"/>
      <w:lvlText w:val="•"/>
      <w:lvlJc w:val="left"/>
      <w:pPr>
        <w:ind w:left="4600" w:hanging="360"/>
      </w:pPr>
      <w:rPr>
        <w:rFonts w:hint="default"/>
      </w:rPr>
    </w:lvl>
    <w:lvl w:ilvl="3">
      <w:start w:val="1"/>
      <w:numFmt w:val="bullet"/>
      <w:lvlText w:val="•"/>
      <w:lvlJc w:val="left"/>
      <w:pPr>
        <w:ind w:left="5237" w:hanging="360"/>
      </w:pPr>
      <w:rPr>
        <w:rFonts w:hint="default"/>
      </w:rPr>
    </w:lvl>
    <w:lvl w:ilvl="4">
      <w:start w:val="1"/>
      <w:numFmt w:val="bullet"/>
      <w:lvlText w:val="•"/>
      <w:lvlJc w:val="left"/>
      <w:pPr>
        <w:ind w:left="5875" w:hanging="360"/>
      </w:pPr>
      <w:rPr>
        <w:rFonts w:hint="default"/>
      </w:rPr>
    </w:lvl>
    <w:lvl w:ilvl="5">
      <w:start w:val="1"/>
      <w:numFmt w:val="bullet"/>
      <w:lvlText w:val="•"/>
      <w:lvlJc w:val="left"/>
      <w:pPr>
        <w:ind w:left="6512" w:hanging="360"/>
      </w:pPr>
      <w:rPr>
        <w:rFonts w:hint="default"/>
      </w:rPr>
    </w:lvl>
    <w:lvl w:ilvl="6">
      <w:start w:val="1"/>
      <w:numFmt w:val="bullet"/>
      <w:lvlText w:val="•"/>
      <w:lvlJc w:val="left"/>
      <w:pPr>
        <w:ind w:left="7150" w:hanging="360"/>
      </w:pPr>
      <w:rPr>
        <w:rFonts w:hint="default"/>
      </w:rPr>
    </w:lvl>
    <w:lvl w:ilvl="7">
      <w:start w:val="1"/>
      <w:numFmt w:val="bullet"/>
      <w:lvlText w:val="•"/>
      <w:lvlJc w:val="left"/>
      <w:pPr>
        <w:ind w:left="7787" w:hanging="360"/>
      </w:pPr>
      <w:rPr>
        <w:rFonts w:hint="default"/>
      </w:rPr>
    </w:lvl>
    <w:lvl w:ilvl="8">
      <w:start w:val="1"/>
      <w:numFmt w:val="bullet"/>
      <w:lvlText w:val="•"/>
      <w:lvlJc w:val="left"/>
      <w:pPr>
        <w:ind w:left="8425" w:hanging="360"/>
      </w:pPr>
      <w:rPr>
        <w:rFonts w:hint="default"/>
      </w:rPr>
    </w:lvl>
  </w:abstractNum>
  <w:abstractNum w:abstractNumId="19">
    <w:multiLevelType w:val="hybridMultilevel"/>
    <w:lvl w:ilvl="0">
      <w:start w:val="10"/>
      <w:numFmt w:val="decimal"/>
      <w:lvlText w:val="%1."/>
      <w:lvlJc w:val="left"/>
      <w:pPr>
        <w:ind w:left="4058" w:hanging="1441"/>
        <w:jc w:val="right"/>
      </w:pPr>
      <w:rPr>
        <w:rFonts w:hint="default" w:ascii="Times New Roman" w:hAnsi="Times New Roman" w:eastAsia="Times New Roman" w:cs="Times New Roman"/>
        <w:b/>
        <w:bCs/>
        <w:spacing w:val="0"/>
        <w:w w:val="99"/>
        <w:sz w:val="80"/>
        <w:szCs w:val="80"/>
      </w:rPr>
    </w:lvl>
    <w:lvl w:ilvl="1">
      <w:start w:val="1"/>
      <w:numFmt w:val="bullet"/>
      <w:lvlText w:val="•"/>
      <w:lvlJc w:val="left"/>
      <w:pPr>
        <w:ind w:left="4624" w:hanging="1441"/>
      </w:pPr>
      <w:rPr>
        <w:rFonts w:hint="default"/>
      </w:rPr>
    </w:lvl>
    <w:lvl w:ilvl="2">
      <w:start w:val="1"/>
      <w:numFmt w:val="bullet"/>
      <w:lvlText w:val="•"/>
      <w:lvlJc w:val="left"/>
      <w:pPr>
        <w:ind w:left="5188" w:hanging="1441"/>
      </w:pPr>
      <w:rPr>
        <w:rFonts w:hint="default"/>
      </w:rPr>
    </w:lvl>
    <w:lvl w:ilvl="3">
      <w:start w:val="1"/>
      <w:numFmt w:val="bullet"/>
      <w:lvlText w:val="•"/>
      <w:lvlJc w:val="left"/>
      <w:pPr>
        <w:ind w:left="5752" w:hanging="1441"/>
      </w:pPr>
      <w:rPr>
        <w:rFonts w:hint="default"/>
      </w:rPr>
    </w:lvl>
    <w:lvl w:ilvl="4">
      <w:start w:val="1"/>
      <w:numFmt w:val="bullet"/>
      <w:lvlText w:val="•"/>
      <w:lvlJc w:val="left"/>
      <w:pPr>
        <w:ind w:left="6316" w:hanging="1441"/>
      </w:pPr>
      <w:rPr>
        <w:rFonts w:hint="default"/>
      </w:rPr>
    </w:lvl>
    <w:lvl w:ilvl="5">
      <w:start w:val="1"/>
      <w:numFmt w:val="bullet"/>
      <w:lvlText w:val="•"/>
      <w:lvlJc w:val="left"/>
      <w:pPr>
        <w:ind w:left="6880" w:hanging="1441"/>
      </w:pPr>
      <w:rPr>
        <w:rFonts w:hint="default"/>
      </w:rPr>
    </w:lvl>
    <w:lvl w:ilvl="6">
      <w:start w:val="1"/>
      <w:numFmt w:val="bullet"/>
      <w:lvlText w:val="•"/>
      <w:lvlJc w:val="left"/>
      <w:pPr>
        <w:ind w:left="7444" w:hanging="1441"/>
      </w:pPr>
      <w:rPr>
        <w:rFonts w:hint="default"/>
      </w:rPr>
    </w:lvl>
    <w:lvl w:ilvl="7">
      <w:start w:val="1"/>
      <w:numFmt w:val="bullet"/>
      <w:lvlText w:val="•"/>
      <w:lvlJc w:val="left"/>
      <w:pPr>
        <w:ind w:left="8008" w:hanging="1441"/>
      </w:pPr>
      <w:rPr>
        <w:rFonts w:hint="default"/>
      </w:rPr>
    </w:lvl>
    <w:lvl w:ilvl="8">
      <w:start w:val="1"/>
      <w:numFmt w:val="bullet"/>
      <w:lvlText w:val="•"/>
      <w:lvlJc w:val="left"/>
      <w:pPr>
        <w:ind w:left="8572" w:hanging="1441"/>
      </w:pPr>
      <w:rPr>
        <w:rFonts w:hint="default"/>
      </w:rPr>
    </w:lvl>
  </w:abstractNum>
  <w:abstractNum w:abstractNumId="18">
    <w:multiLevelType w:val="hybridMultilevel"/>
    <w:lvl w:ilvl="0">
      <w:start w:val="1"/>
      <w:numFmt w:val="decimal"/>
      <w:lvlText w:val="%1."/>
      <w:lvlJc w:val="left"/>
      <w:pPr>
        <w:ind w:left="880" w:hanging="360"/>
        <w:jc w:val="left"/>
      </w:pPr>
      <w:rPr>
        <w:rFonts w:hint="default" w:ascii="Arial" w:hAnsi="Arial" w:eastAsia="Arial" w:cs="Arial"/>
        <w:spacing w:val="-7"/>
        <w:w w:val="99"/>
        <w:sz w:val="24"/>
        <w:szCs w:val="24"/>
      </w:rPr>
    </w:lvl>
    <w:lvl w:ilvl="1">
      <w:start w:val="1"/>
      <w:numFmt w:val="bullet"/>
      <w:lvlText w:val="•"/>
      <w:lvlJc w:val="left"/>
      <w:pPr>
        <w:ind w:left="1762" w:hanging="360"/>
      </w:pPr>
      <w:rPr>
        <w:rFonts w:hint="default"/>
      </w:rPr>
    </w:lvl>
    <w:lvl w:ilvl="2">
      <w:start w:val="1"/>
      <w:numFmt w:val="bullet"/>
      <w:lvlText w:val="•"/>
      <w:lvlJc w:val="left"/>
      <w:pPr>
        <w:ind w:left="2644" w:hanging="360"/>
      </w:pPr>
      <w:rPr>
        <w:rFonts w:hint="default"/>
      </w:rPr>
    </w:lvl>
    <w:lvl w:ilvl="3">
      <w:start w:val="1"/>
      <w:numFmt w:val="bullet"/>
      <w:lvlText w:val="•"/>
      <w:lvlJc w:val="left"/>
      <w:pPr>
        <w:ind w:left="3526" w:hanging="360"/>
      </w:pPr>
      <w:rPr>
        <w:rFonts w:hint="default"/>
      </w:rPr>
    </w:lvl>
    <w:lvl w:ilvl="4">
      <w:start w:val="1"/>
      <w:numFmt w:val="bullet"/>
      <w:lvlText w:val="•"/>
      <w:lvlJc w:val="left"/>
      <w:pPr>
        <w:ind w:left="4408" w:hanging="360"/>
      </w:pPr>
      <w:rPr>
        <w:rFonts w:hint="default"/>
      </w:rPr>
    </w:lvl>
    <w:lvl w:ilvl="5">
      <w:start w:val="1"/>
      <w:numFmt w:val="bullet"/>
      <w:lvlText w:val="•"/>
      <w:lvlJc w:val="left"/>
      <w:pPr>
        <w:ind w:left="5290" w:hanging="360"/>
      </w:pPr>
      <w:rPr>
        <w:rFonts w:hint="default"/>
      </w:rPr>
    </w:lvl>
    <w:lvl w:ilvl="6">
      <w:start w:val="1"/>
      <w:numFmt w:val="bullet"/>
      <w:lvlText w:val="•"/>
      <w:lvlJc w:val="left"/>
      <w:pPr>
        <w:ind w:left="6172" w:hanging="360"/>
      </w:pPr>
      <w:rPr>
        <w:rFonts w:hint="default"/>
      </w:rPr>
    </w:lvl>
    <w:lvl w:ilvl="7">
      <w:start w:val="1"/>
      <w:numFmt w:val="bullet"/>
      <w:lvlText w:val="•"/>
      <w:lvlJc w:val="left"/>
      <w:pPr>
        <w:ind w:left="7054" w:hanging="360"/>
      </w:pPr>
      <w:rPr>
        <w:rFonts w:hint="default"/>
      </w:rPr>
    </w:lvl>
    <w:lvl w:ilvl="8">
      <w:start w:val="1"/>
      <w:numFmt w:val="bullet"/>
      <w:lvlText w:val="•"/>
      <w:lvlJc w:val="left"/>
      <w:pPr>
        <w:ind w:left="7936" w:hanging="360"/>
      </w:pPr>
      <w:rPr>
        <w:rFonts w:hint="default"/>
      </w:rPr>
    </w:lvl>
  </w:abstractNum>
  <w:abstractNum w:abstractNumId="17">
    <w:multiLevelType w:val="hybridMultilevel"/>
    <w:lvl w:ilvl="0">
      <w:start w:val="12"/>
      <w:numFmt w:val="upperLetter"/>
      <w:lvlText w:val="%1."/>
      <w:lvlJc w:val="left"/>
      <w:pPr>
        <w:ind w:left="160" w:hanging="276"/>
        <w:jc w:val="left"/>
      </w:pPr>
      <w:rPr>
        <w:rFonts w:hint="default" w:ascii="Arial" w:hAnsi="Arial" w:eastAsia="Arial" w:cs="Arial"/>
        <w:i/>
        <w:w w:val="99"/>
        <w:sz w:val="24"/>
        <w:szCs w:val="24"/>
      </w:rPr>
    </w:lvl>
    <w:lvl w:ilvl="1">
      <w:start w:val="1"/>
      <w:numFmt w:val="decimal"/>
      <w:lvlText w:val="%2."/>
      <w:lvlJc w:val="left"/>
      <w:pPr>
        <w:ind w:left="880" w:hanging="360"/>
        <w:jc w:val="left"/>
      </w:pPr>
      <w:rPr>
        <w:rFonts w:hint="default" w:ascii="Arial" w:hAnsi="Arial" w:eastAsia="Arial" w:cs="Arial"/>
        <w:spacing w:val="-25"/>
        <w:w w:val="99"/>
        <w:sz w:val="24"/>
        <w:szCs w:val="24"/>
      </w:rPr>
    </w:lvl>
    <w:lvl w:ilvl="2">
      <w:start w:val="1"/>
      <w:numFmt w:val="bullet"/>
      <w:lvlText w:val="•"/>
      <w:lvlJc w:val="left"/>
      <w:pPr>
        <w:ind w:left="1860" w:hanging="360"/>
      </w:pPr>
      <w:rPr>
        <w:rFonts w:hint="default"/>
      </w:rPr>
    </w:lvl>
    <w:lvl w:ilvl="3">
      <w:start w:val="1"/>
      <w:numFmt w:val="bullet"/>
      <w:lvlText w:val="•"/>
      <w:lvlJc w:val="left"/>
      <w:pPr>
        <w:ind w:left="284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780" w:hanging="360"/>
      </w:pPr>
      <w:rPr>
        <w:rFonts w:hint="default"/>
      </w:rPr>
    </w:lvl>
    <w:lvl w:ilvl="7">
      <w:start w:val="1"/>
      <w:numFmt w:val="bullet"/>
      <w:lvlText w:val="•"/>
      <w:lvlJc w:val="left"/>
      <w:pPr>
        <w:ind w:left="6760" w:hanging="360"/>
      </w:pPr>
      <w:rPr>
        <w:rFonts w:hint="default"/>
      </w:rPr>
    </w:lvl>
    <w:lvl w:ilvl="8">
      <w:start w:val="1"/>
      <w:numFmt w:val="bullet"/>
      <w:lvlText w:val="•"/>
      <w:lvlJc w:val="left"/>
      <w:pPr>
        <w:ind w:left="7740" w:hanging="360"/>
      </w:pPr>
      <w:rPr>
        <w:rFonts w:hint="default"/>
      </w:rPr>
    </w:lvl>
  </w:abstractNum>
  <w:abstractNum w:abstractNumId="16">
    <w:multiLevelType w:val="hybridMultilevel"/>
    <w:lvl w:ilvl="0">
      <w:start w:val="1"/>
      <w:numFmt w:val="decimal"/>
      <w:lvlText w:val="%1."/>
      <w:lvlJc w:val="left"/>
      <w:pPr>
        <w:ind w:left="880" w:hanging="360"/>
        <w:jc w:val="left"/>
      </w:pPr>
      <w:rPr>
        <w:rFonts w:hint="default" w:ascii="Arial" w:hAnsi="Arial" w:eastAsia="Arial" w:cs="Arial"/>
        <w:spacing w:val="-4"/>
        <w:w w:val="99"/>
        <w:sz w:val="24"/>
        <w:szCs w:val="24"/>
      </w:rPr>
    </w:lvl>
    <w:lvl w:ilvl="1">
      <w:start w:val="1"/>
      <w:numFmt w:val="bullet"/>
      <w:lvlText w:val="•"/>
      <w:lvlJc w:val="left"/>
      <w:pPr>
        <w:ind w:left="1762" w:hanging="360"/>
      </w:pPr>
      <w:rPr>
        <w:rFonts w:hint="default"/>
      </w:rPr>
    </w:lvl>
    <w:lvl w:ilvl="2">
      <w:start w:val="1"/>
      <w:numFmt w:val="bullet"/>
      <w:lvlText w:val="•"/>
      <w:lvlJc w:val="left"/>
      <w:pPr>
        <w:ind w:left="2644" w:hanging="360"/>
      </w:pPr>
      <w:rPr>
        <w:rFonts w:hint="default"/>
      </w:rPr>
    </w:lvl>
    <w:lvl w:ilvl="3">
      <w:start w:val="1"/>
      <w:numFmt w:val="bullet"/>
      <w:lvlText w:val="•"/>
      <w:lvlJc w:val="left"/>
      <w:pPr>
        <w:ind w:left="3526" w:hanging="360"/>
      </w:pPr>
      <w:rPr>
        <w:rFonts w:hint="default"/>
      </w:rPr>
    </w:lvl>
    <w:lvl w:ilvl="4">
      <w:start w:val="1"/>
      <w:numFmt w:val="bullet"/>
      <w:lvlText w:val="•"/>
      <w:lvlJc w:val="left"/>
      <w:pPr>
        <w:ind w:left="4408" w:hanging="360"/>
      </w:pPr>
      <w:rPr>
        <w:rFonts w:hint="default"/>
      </w:rPr>
    </w:lvl>
    <w:lvl w:ilvl="5">
      <w:start w:val="1"/>
      <w:numFmt w:val="bullet"/>
      <w:lvlText w:val="•"/>
      <w:lvlJc w:val="left"/>
      <w:pPr>
        <w:ind w:left="5290" w:hanging="360"/>
      </w:pPr>
      <w:rPr>
        <w:rFonts w:hint="default"/>
      </w:rPr>
    </w:lvl>
    <w:lvl w:ilvl="6">
      <w:start w:val="1"/>
      <w:numFmt w:val="bullet"/>
      <w:lvlText w:val="•"/>
      <w:lvlJc w:val="left"/>
      <w:pPr>
        <w:ind w:left="6172" w:hanging="360"/>
      </w:pPr>
      <w:rPr>
        <w:rFonts w:hint="default"/>
      </w:rPr>
    </w:lvl>
    <w:lvl w:ilvl="7">
      <w:start w:val="1"/>
      <w:numFmt w:val="bullet"/>
      <w:lvlText w:val="•"/>
      <w:lvlJc w:val="left"/>
      <w:pPr>
        <w:ind w:left="7054" w:hanging="360"/>
      </w:pPr>
      <w:rPr>
        <w:rFonts w:hint="default"/>
      </w:rPr>
    </w:lvl>
    <w:lvl w:ilvl="8">
      <w:start w:val="1"/>
      <w:numFmt w:val="bullet"/>
      <w:lvlText w:val="•"/>
      <w:lvlJc w:val="left"/>
      <w:pPr>
        <w:ind w:left="7936" w:hanging="360"/>
      </w:pPr>
      <w:rPr>
        <w:rFonts w:hint="default"/>
      </w:rPr>
    </w:lvl>
  </w:abstractNum>
  <w:abstractNum w:abstractNumId="15">
    <w:multiLevelType w:val="hybridMultilevel"/>
    <w:lvl w:ilvl="0">
      <w:start w:val="1"/>
      <w:numFmt w:val="decimal"/>
      <w:lvlText w:val="%1."/>
      <w:lvlJc w:val="left"/>
      <w:pPr>
        <w:ind w:left="880" w:hanging="360"/>
        <w:jc w:val="right"/>
      </w:pPr>
      <w:rPr>
        <w:rFonts w:hint="default" w:ascii="Arial" w:hAnsi="Arial" w:eastAsia="Arial" w:cs="Arial"/>
        <w:spacing w:val="-3"/>
        <w:w w:val="99"/>
        <w:sz w:val="24"/>
        <w:szCs w:val="24"/>
      </w:rPr>
    </w:lvl>
    <w:lvl w:ilvl="1">
      <w:start w:val="1"/>
      <w:numFmt w:val="bullet"/>
      <w:lvlText w:val="•"/>
      <w:lvlJc w:val="left"/>
      <w:pPr>
        <w:ind w:left="2320" w:hanging="360"/>
      </w:pPr>
      <w:rPr>
        <w:rFonts w:hint="default"/>
      </w:rPr>
    </w:lvl>
    <w:lvl w:ilvl="2">
      <w:start w:val="1"/>
      <w:numFmt w:val="bullet"/>
      <w:lvlText w:val="•"/>
      <w:lvlJc w:val="left"/>
      <w:pPr>
        <w:ind w:left="3140" w:hanging="360"/>
      </w:pPr>
      <w:rPr>
        <w:rFonts w:hint="default"/>
      </w:rPr>
    </w:lvl>
    <w:lvl w:ilvl="3">
      <w:start w:val="1"/>
      <w:numFmt w:val="bullet"/>
      <w:lvlText w:val="•"/>
      <w:lvlJc w:val="left"/>
      <w:pPr>
        <w:ind w:left="3960" w:hanging="360"/>
      </w:pPr>
      <w:rPr>
        <w:rFonts w:hint="default"/>
      </w:rPr>
    </w:lvl>
    <w:lvl w:ilvl="4">
      <w:start w:val="1"/>
      <w:numFmt w:val="bullet"/>
      <w:lvlText w:val="•"/>
      <w:lvlJc w:val="left"/>
      <w:pPr>
        <w:ind w:left="4780" w:hanging="360"/>
      </w:pPr>
      <w:rPr>
        <w:rFonts w:hint="default"/>
      </w:rPr>
    </w:lvl>
    <w:lvl w:ilvl="5">
      <w:start w:val="1"/>
      <w:numFmt w:val="bullet"/>
      <w:lvlText w:val="•"/>
      <w:lvlJc w:val="left"/>
      <w:pPr>
        <w:ind w:left="5600" w:hanging="360"/>
      </w:pPr>
      <w:rPr>
        <w:rFonts w:hint="default"/>
      </w:rPr>
    </w:lvl>
    <w:lvl w:ilvl="6">
      <w:start w:val="1"/>
      <w:numFmt w:val="bullet"/>
      <w:lvlText w:val="•"/>
      <w:lvlJc w:val="left"/>
      <w:pPr>
        <w:ind w:left="6420" w:hanging="360"/>
      </w:pPr>
      <w:rPr>
        <w:rFonts w:hint="default"/>
      </w:rPr>
    </w:lvl>
    <w:lvl w:ilvl="7">
      <w:start w:val="1"/>
      <w:numFmt w:val="bullet"/>
      <w:lvlText w:val="•"/>
      <w:lvlJc w:val="left"/>
      <w:pPr>
        <w:ind w:left="7240" w:hanging="360"/>
      </w:pPr>
      <w:rPr>
        <w:rFonts w:hint="default"/>
      </w:rPr>
    </w:lvl>
    <w:lvl w:ilvl="8">
      <w:start w:val="1"/>
      <w:numFmt w:val="bullet"/>
      <w:lvlText w:val="•"/>
      <w:lvlJc w:val="left"/>
      <w:pPr>
        <w:ind w:left="8060" w:hanging="360"/>
      </w:pPr>
      <w:rPr>
        <w:rFonts w:hint="default"/>
      </w:rPr>
    </w:lvl>
  </w:abstractNum>
  <w:abstractNum w:abstractNumId="14">
    <w:multiLevelType w:val="hybridMultilevel"/>
    <w:lvl w:ilvl="0">
      <w:start w:val="1"/>
      <w:numFmt w:val="upperRoman"/>
      <w:lvlText w:val="%1."/>
      <w:lvlJc w:val="left"/>
      <w:pPr>
        <w:ind w:left="1600" w:hanging="720"/>
        <w:jc w:val="left"/>
      </w:pPr>
      <w:rPr>
        <w:rFonts w:hint="default" w:ascii="Arial" w:hAnsi="Arial" w:eastAsia="Arial" w:cs="Arial"/>
        <w:w w:val="100"/>
        <w:sz w:val="24"/>
        <w:szCs w:val="24"/>
      </w:rPr>
    </w:lvl>
    <w:lvl w:ilvl="1">
      <w:start w:val="1"/>
      <w:numFmt w:val="bullet"/>
      <w:lvlText w:val="•"/>
      <w:lvlJc w:val="left"/>
      <w:pPr>
        <w:ind w:left="2410" w:hanging="720"/>
      </w:pPr>
      <w:rPr>
        <w:rFonts w:hint="default"/>
      </w:rPr>
    </w:lvl>
    <w:lvl w:ilvl="2">
      <w:start w:val="1"/>
      <w:numFmt w:val="bullet"/>
      <w:lvlText w:val="•"/>
      <w:lvlJc w:val="left"/>
      <w:pPr>
        <w:ind w:left="3220" w:hanging="720"/>
      </w:pPr>
      <w:rPr>
        <w:rFonts w:hint="default"/>
      </w:rPr>
    </w:lvl>
    <w:lvl w:ilvl="3">
      <w:start w:val="1"/>
      <w:numFmt w:val="bullet"/>
      <w:lvlText w:val="•"/>
      <w:lvlJc w:val="left"/>
      <w:pPr>
        <w:ind w:left="4030" w:hanging="720"/>
      </w:pPr>
      <w:rPr>
        <w:rFonts w:hint="default"/>
      </w:rPr>
    </w:lvl>
    <w:lvl w:ilvl="4">
      <w:start w:val="1"/>
      <w:numFmt w:val="bullet"/>
      <w:lvlText w:val="•"/>
      <w:lvlJc w:val="left"/>
      <w:pPr>
        <w:ind w:left="4840" w:hanging="720"/>
      </w:pPr>
      <w:rPr>
        <w:rFonts w:hint="default"/>
      </w:rPr>
    </w:lvl>
    <w:lvl w:ilvl="5">
      <w:start w:val="1"/>
      <w:numFmt w:val="bullet"/>
      <w:lvlText w:val="•"/>
      <w:lvlJc w:val="left"/>
      <w:pPr>
        <w:ind w:left="5650" w:hanging="720"/>
      </w:pPr>
      <w:rPr>
        <w:rFonts w:hint="default"/>
      </w:rPr>
    </w:lvl>
    <w:lvl w:ilvl="6">
      <w:start w:val="1"/>
      <w:numFmt w:val="bullet"/>
      <w:lvlText w:val="•"/>
      <w:lvlJc w:val="left"/>
      <w:pPr>
        <w:ind w:left="6460" w:hanging="720"/>
      </w:pPr>
      <w:rPr>
        <w:rFonts w:hint="default"/>
      </w:rPr>
    </w:lvl>
    <w:lvl w:ilvl="7">
      <w:start w:val="1"/>
      <w:numFmt w:val="bullet"/>
      <w:lvlText w:val="•"/>
      <w:lvlJc w:val="left"/>
      <w:pPr>
        <w:ind w:left="7270" w:hanging="720"/>
      </w:pPr>
      <w:rPr>
        <w:rFonts w:hint="default"/>
      </w:rPr>
    </w:lvl>
    <w:lvl w:ilvl="8">
      <w:start w:val="1"/>
      <w:numFmt w:val="bullet"/>
      <w:lvlText w:val="•"/>
      <w:lvlJc w:val="left"/>
      <w:pPr>
        <w:ind w:left="8080" w:hanging="720"/>
      </w:pPr>
      <w:rPr>
        <w:rFonts w:hint="default"/>
      </w:rPr>
    </w:lvl>
  </w:abstractNum>
  <w:abstractNum w:abstractNumId="13">
    <w:multiLevelType w:val="hybridMultilevel"/>
    <w:lvl w:ilvl="0">
      <w:start w:val="1"/>
      <w:numFmt w:val="bullet"/>
      <w:lvlText w:val=""/>
      <w:lvlJc w:val="left"/>
      <w:pPr>
        <w:ind w:left="880" w:hanging="360"/>
      </w:pPr>
      <w:rPr>
        <w:rFonts w:hint="default" w:ascii="Symbol" w:hAnsi="Symbol" w:eastAsia="Symbol" w:cs="Symbol"/>
        <w:w w:val="100"/>
        <w:sz w:val="24"/>
        <w:szCs w:val="24"/>
      </w:rPr>
    </w:lvl>
    <w:lvl w:ilvl="1">
      <w:start w:val="1"/>
      <w:numFmt w:val="bullet"/>
      <w:lvlText w:val="•"/>
      <w:lvlJc w:val="left"/>
      <w:pPr>
        <w:ind w:left="1762" w:hanging="360"/>
      </w:pPr>
      <w:rPr>
        <w:rFonts w:hint="default"/>
      </w:rPr>
    </w:lvl>
    <w:lvl w:ilvl="2">
      <w:start w:val="1"/>
      <w:numFmt w:val="bullet"/>
      <w:lvlText w:val="•"/>
      <w:lvlJc w:val="left"/>
      <w:pPr>
        <w:ind w:left="2644" w:hanging="360"/>
      </w:pPr>
      <w:rPr>
        <w:rFonts w:hint="default"/>
      </w:rPr>
    </w:lvl>
    <w:lvl w:ilvl="3">
      <w:start w:val="1"/>
      <w:numFmt w:val="bullet"/>
      <w:lvlText w:val="•"/>
      <w:lvlJc w:val="left"/>
      <w:pPr>
        <w:ind w:left="3526" w:hanging="360"/>
      </w:pPr>
      <w:rPr>
        <w:rFonts w:hint="default"/>
      </w:rPr>
    </w:lvl>
    <w:lvl w:ilvl="4">
      <w:start w:val="1"/>
      <w:numFmt w:val="bullet"/>
      <w:lvlText w:val="•"/>
      <w:lvlJc w:val="left"/>
      <w:pPr>
        <w:ind w:left="4408" w:hanging="360"/>
      </w:pPr>
      <w:rPr>
        <w:rFonts w:hint="default"/>
      </w:rPr>
    </w:lvl>
    <w:lvl w:ilvl="5">
      <w:start w:val="1"/>
      <w:numFmt w:val="bullet"/>
      <w:lvlText w:val="•"/>
      <w:lvlJc w:val="left"/>
      <w:pPr>
        <w:ind w:left="5290" w:hanging="360"/>
      </w:pPr>
      <w:rPr>
        <w:rFonts w:hint="default"/>
      </w:rPr>
    </w:lvl>
    <w:lvl w:ilvl="6">
      <w:start w:val="1"/>
      <w:numFmt w:val="bullet"/>
      <w:lvlText w:val="•"/>
      <w:lvlJc w:val="left"/>
      <w:pPr>
        <w:ind w:left="6172" w:hanging="360"/>
      </w:pPr>
      <w:rPr>
        <w:rFonts w:hint="default"/>
      </w:rPr>
    </w:lvl>
    <w:lvl w:ilvl="7">
      <w:start w:val="1"/>
      <w:numFmt w:val="bullet"/>
      <w:lvlText w:val="•"/>
      <w:lvlJc w:val="left"/>
      <w:pPr>
        <w:ind w:left="7054" w:hanging="360"/>
      </w:pPr>
      <w:rPr>
        <w:rFonts w:hint="default"/>
      </w:rPr>
    </w:lvl>
    <w:lvl w:ilvl="8">
      <w:start w:val="1"/>
      <w:numFmt w:val="bullet"/>
      <w:lvlText w:val="•"/>
      <w:lvlJc w:val="left"/>
      <w:pPr>
        <w:ind w:left="7936" w:hanging="360"/>
      </w:pPr>
      <w:rPr>
        <w:rFonts w:hint="default"/>
      </w:rPr>
    </w:lvl>
  </w:abstractNum>
  <w:abstractNum w:abstractNumId="12">
    <w:multiLevelType w:val="hybridMultilevel"/>
    <w:lvl w:ilvl="0">
      <w:start w:val="8"/>
      <w:numFmt w:val="lowerLetter"/>
      <w:lvlText w:val="%1."/>
      <w:lvlJc w:val="left"/>
      <w:pPr>
        <w:ind w:left="1415" w:hanging="242"/>
        <w:jc w:val="right"/>
      </w:pPr>
      <w:rPr>
        <w:rFonts w:hint="default"/>
        <w:w w:val="99"/>
      </w:rPr>
    </w:lvl>
    <w:lvl w:ilvl="1">
      <w:start w:val="1"/>
      <w:numFmt w:val="bullet"/>
      <w:lvlText w:val=""/>
      <w:lvlJc w:val="left"/>
      <w:pPr>
        <w:ind w:left="880" w:hanging="360"/>
      </w:pPr>
      <w:rPr>
        <w:rFonts w:hint="default" w:ascii="Symbol" w:hAnsi="Symbol" w:eastAsia="Symbol" w:cs="Symbol"/>
        <w:w w:val="100"/>
        <w:sz w:val="24"/>
        <w:szCs w:val="24"/>
      </w:rPr>
    </w:lvl>
    <w:lvl w:ilvl="2">
      <w:start w:val="1"/>
      <w:numFmt w:val="bullet"/>
      <w:lvlText w:val="•"/>
      <w:lvlJc w:val="left"/>
      <w:pPr>
        <w:ind w:left="1792" w:hanging="360"/>
      </w:pPr>
      <w:rPr>
        <w:rFonts w:hint="default"/>
      </w:rPr>
    </w:lvl>
    <w:lvl w:ilvl="3">
      <w:start w:val="1"/>
      <w:numFmt w:val="bullet"/>
      <w:lvlText w:val="•"/>
      <w:lvlJc w:val="left"/>
      <w:pPr>
        <w:ind w:left="2164" w:hanging="360"/>
      </w:pPr>
      <w:rPr>
        <w:rFonts w:hint="default"/>
      </w:rPr>
    </w:lvl>
    <w:lvl w:ilvl="4">
      <w:start w:val="1"/>
      <w:numFmt w:val="bullet"/>
      <w:lvlText w:val="•"/>
      <w:lvlJc w:val="left"/>
      <w:pPr>
        <w:ind w:left="2536" w:hanging="360"/>
      </w:pPr>
      <w:rPr>
        <w:rFonts w:hint="default"/>
      </w:rPr>
    </w:lvl>
    <w:lvl w:ilvl="5">
      <w:start w:val="1"/>
      <w:numFmt w:val="bullet"/>
      <w:lvlText w:val="•"/>
      <w:lvlJc w:val="left"/>
      <w:pPr>
        <w:ind w:left="2908" w:hanging="360"/>
      </w:pPr>
      <w:rPr>
        <w:rFonts w:hint="default"/>
      </w:rPr>
    </w:lvl>
    <w:lvl w:ilvl="6">
      <w:start w:val="1"/>
      <w:numFmt w:val="bullet"/>
      <w:lvlText w:val="•"/>
      <w:lvlJc w:val="left"/>
      <w:pPr>
        <w:ind w:left="3280" w:hanging="360"/>
      </w:pPr>
      <w:rPr>
        <w:rFonts w:hint="default"/>
      </w:rPr>
    </w:lvl>
    <w:lvl w:ilvl="7">
      <w:start w:val="1"/>
      <w:numFmt w:val="bullet"/>
      <w:lvlText w:val="•"/>
      <w:lvlJc w:val="left"/>
      <w:pPr>
        <w:ind w:left="3652" w:hanging="360"/>
      </w:pPr>
      <w:rPr>
        <w:rFonts w:hint="default"/>
      </w:rPr>
    </w:lvl>
    <w:lvl w:ilvl="8">
      <w:start w:val="1"/>
      <w:numFmt w:val="bullet"/>
      <w:lvlText w:val="•"/>
      <w:lvlJc w:val="left"/>
      <w:pPr>
        <w:ind w:left="4024" w:hanging="360"/>
      </w:pPr>
      <w:rPr>
        <w:rFonts w:hint="default"/>
      </w:rPr>
    </w:lvl>
  </w:abstractNum>
  <w:abstractNum w:abstractNumId="11">
    <w:multiLevelType w:val="hybridMultilevel"/>
    <w:lvl w:ilvl="0">
      <w:start w:val="4"/>
      <w:numFmt w:val="lowerLetter"/>
      <w:lvlText w:val="%1."/>
      <w:lvlJc w:val="left"/>
      <w:pPr>
        <w:ind w:left="348" w:hanging="242"/>
        <w:jc w:val="right"/>
      </w:pPr>
      <w:rPr>
        <w:rFonts w:hint="default" w:ascii="Calibri" w:hAnsi="Calibri" w:eastAsia="Calibri" w:cs="Calibri"/>
        <w:w w:val="99"/>
        <w:sz w:val="24"/>
        <w:szCs w:val="24"/>
      </w:rPr>
    </w:lvl>
    <w:lvl w:ilvl="1">
      <w:start w:val="1"/>
      <w:numFmt w:val="bullet"/>
      <w:lvlText w:val="•"/>
      <w:lvlJc w:val="left"/>
      <w:pPr>
        <w:ind w:left="1330" w:hanging="242"/>
      </w:pPr>
      <w:rPr>
        <w:rFonts w:hint="default"/>
      </w:rPr>
    </w:lvl>
    <w:lvl w:ilvl="2">
      <w:start w:val="1"/>
      <w:numFmt w:val="bullet"/>
      <w:lvlText w:val="•"/>
      <w:lvlJc w:val="left"/>
      <w:pPr>
        <w:ind w:left="2320" w:hanging="242"/>
      </w:pPr>
      <w:rPr>
        <w:rFonts w:hint="default"/>
      </w:rPr>
    </w:lvl>
    <w:lvl w:ilvl="3">
      <w:start w:val="1"/>
      <w:numFmt w:val="bullet"/>
      <w:lvlText w:val="•"/>
      <w:lvlJc w:val="left"/>
      <w:pPr>
        <w:ind w:left="3310" w:hanging="242"/>
      </w:pPr>
      <w:rPr>
        <w:rFonts w:hint="default"/>
      </w:rPr>
    </w:lvl>
    <w:lvl w:ilvl="4">
      <w:start w:val="1"/>
      <w:numFmt w:val="bullet"/>
      <w:lvlText w:val="•"/>
      <w:lvlJc w:val="left"/>
      <w:pPr>
        <w:ind w:left="4300" w:hanging="242"/>
      </w:pPr>
      <w:rPr>
        <w:rFonts w:hint="default"/>
      </w:rPr>
    </w:lvl>
    <w:lvl w:ilvl="5">
      <w:start w:val="1"/>
      <w:numFmt w:val="bullet"/>
      <w:lvlText w:val="•"/>
      <w:lvlJc w:val="left"/>
      <w:pPr>
        <w:ind w:left="5290" w:hanging="242"/>
      </w:pPr>
      <w:rPr>
        <w:rFonts w:hint="default"/>
      </w:rPr>
    </w:lvl>
    <w:lvl w:ilvl="6">
      <w:start w:val="1"/>
      <w:numFmt w:val="bullet"/>
      <w:lvlText w:val="•"/>
      <w:lvlJc w:val="left"/>
      <w:pPr>
        <w:ind w:left="6280" w:hanging="242"/>
      </w:pPr>
      <w:rPr>
        <w:rFonts w:hint="default"/>
      </w:rPr>
    </w:lvl>
    <w:lvl w:ilvl="7">
      <w:start w:val="1"/>
      <w:numFmt w:val="bullet"/>
      <w:lvlText w:val="•"/>
      <w:lvlJc w:val="left"/>
      <w:pPr>
        <w:ind w:left="7270" w:hanging="242"/>
      </w:pPr>
      <w:rPr>
        <w:rFonts w:hint="default"/>
      </w:rPr>
    </w:lvl>
    <w:lvl w:ilvl="8">
      <w:start w:val="1"/>
      <w:numFmt w:val="bullet"/>
      <w:lvlText w:val="•"/>
      <w:lvlJc w:val="left"/>
      <w:pPr>
        <w:ind w:left="8260" w:hanging="242"/>
      </w:pPr>
      <w:rPr>
        <w:rFonts w:hint="default"/>
      </w:rPr>
    </w:lvl>
  </w:abstractNum>
  <w:abstractNum w:abstractNumId="10">
    <w:multiLevelType w:val="hybridMultilevel"/>
    <w:lvl w:ilvl="0">
      <w:start w:val="8"/>
      <w:numFmt w:val="decimal"/>
      <w:lvlText w:val="%1"/>
      <w:lvlJc w:val="left"/>
      <w:pPr>
        <w:ind w:left="1642" w:hanging="403"/>
        <w:jc w:val="left"/>
      </w:pPr>
      <w:rPr>
        <w:rFonts w:hint="default"/>
      </w:rPr>
    </w:lvl>
    <w:lvl w:ilvl="1">
      <w:start w:val="1"/>
      <w:numFmt w:val="decimal"/>
      <w:lvlText w:val="%1.%2"/>
      <w:lvlJc w:val="left"/>
      <w:pPr>
        <w:ind w:left="1642" w:hanging="403"/>
        <w:jc w:val="left"/>
      </w:pPr>
      <w:rPr>
        <w:rFonts w:hint="default" w:ascii="Arial" w:hAnsi="Arial" w:eastAsia="Arial" w:cs="Arial"/>
        <w:b/>
        <w:bCs/>
        <w:w w:val="99"/>
        <w:sz w:val="24"/>
        <w:szCs w:val="24"/>
      </w:rPr>
    </w:lvl>
    <w:lvl w:ilvl="2">
      <w:start w:val="1"/>
      <w:numFmt w:val="bullet"/>
      <w:lvlText w:val="•"/>
      <w:lvlJc w:val="left"/>
      <w:pPr>
        <w:ind w:left="2820" w:hanging="403"/>
      </w:pPr>
      <w:rPr>
        <w:rFonts w:hint="default"/>
      </w:rPr>
    </w:lvl>
    <w:lvl w:ilvl="3">
      <w:start w:val="1"/>
      <w:numFmt w:val="bullet"/>
      <w:lvlText w:val="•"/>
      <w:lvlJc w:val="left"/>
      <w:pPr>
        <w:ind w:left="3680" w:hanging="403"/>
      </w:pPr>
      <w:rPr>
        <w:rFonts w:hint="default"/>
      </w:rPr>
    </w:lvl>
    <w:lvl w:ilvl="4">
      <w:start w:val="1"/>
      <w:numFmt w:val="bullet"/>
      <w:lvlText w:val="•"/>
      <w:lvlJc w:val="left"/>
      <w:pPr>
        <w:ind w:left="4540" w:hanging="403"/>
      </w:pPr>
      <w:rPr>
        <w:rFonts w:hint="default"/>
      </w:rPr>
    </w:lvl>
    <w:lvl w:ilvl="5">
      <w:start w:val="1"/>
      <w:numFmt w:val="bullet"/>
      <w:lvlText w:val="•"/>
      <w:lvlJc w:val="left"/>
      <w:pPr>
        <w:ind w:left="5400" w:hanging="403"/>
      </w:pPr>
      <w:rPr>
        <w:rFonts w:hint="default"/>
      </w:rPr>
    </w:lvl>
    <w:lvl w:ilvl="6">
      <w:start w:val="1"/>
      <w:numFmt w:val="bullet"/>
      <w:lvlText w:val="•"/>
      <w:lvlJc w:val="left"/>
      <w:pPr>
        <w:ind w:left="6260" w:hanging="403"/>
      </w:pPr>
      <w:rPr>
        <w:rFonts w:hint="default"/>
      </w:rPr>
    </w:lvl>
    <w:lvl w:ilvl="7">
      <w:start w:val="1"/>
      <w:numFmt w:val="bullet"/>
      <w:lvlText w:val="•"/>
      <w:lvlJc w:val="left"/>
      <w:pPr>
        <w:ind w:left="7120" w:hanging="403"/>
      </w:pPr>
      <w:rPr>
        <w:rFonts w:hint="default"/>
      </w:rPr>
    </w:lvl>
    <w:lvl w:ilvl="8">
      <w:start w:val="1"/>
      <w:numFmt w:val="bullet"/>
      <w:lvlText w:val="•"/>
      <w:lvlJc w:val="left"/>
      <w:pPr>
        <w:ind w:left="7980" w:hanging="403"/>
      </w:pPr>
      <w:rPr>
        <w:rFonts w:hint="default"/>
      </w:rPr>
    </w:lvl>
  </w:abstractNum>
  <w:abstractNum w:abstractNumId="9">
    <w:multiLevelType w:val="hybridMultilevel"/>
    <w:lvl w:ilvl="0">
      <w:start w:val="3"/>
      <w:numFmt w:val="decimal"/>
      <w:lvlText w:val="%1"/>
      <w:lvlJc w:val="left"/>
      <w:pPr>
        <w:ind w:left="1226" w:hanging="526"/>
        <w:jc w:val="left"/>
      </w:pPr>
      <w:rPr>
        <w:rFonts w:hint="default"/>
      </w:rPr>
    </w:lvl>
    <w:lvl w:ilvl="1">
      <w:start w:val="4"/>
      <w:numFmt w:val="decimal"/>
      <w:lvlText w:val="%1.%2"/>
      <w:lvlJc w:val="left"/>
      <w:pPr>
        <w:ind w:left="1226" w:hanging="526"/>
        <w:jc w:val="left"/>
      </w:pPr>
      <w:rPr>
        <w:rFonts w:hint="default" w:ascii="Arial" w:hAnsi="Arial" w:eastAsia="Arial" w:cs="Arial"/>
        <w:b/>
        <w:bCs/>
        <w:w w:val="99"/>
        <w:sz w:val="24"/>
        <w:szCs w:val="24"/>
      </w:rPr>
    </w:lvl>
    <w:lvl w:ilvl="2">
      <w:start w:val="2"/>
      <w:numFmt w:val="decimal"/>
      <w:lvlText w:val="%1.%2.%3"/>
      <w:lvlJc w:val="left"/>
      <w:pPr>
        <w:ind w:left="1600" w:hanging="720"/>
        <w:jc w:val="left"/>
      </w:pPr>
      <w:rPr>
        <w:rFonts w:hint="default" w:ascii="Arial" w:hAnsi="Arial" w:eastAsia="Arial" w:cs="Arial"/>
        <w:spacing w:val="-2"/>
        <w:w w:val="99"/>
        <w:sz w:val="24"/>
        <w:szCs w:val="24"/>
      </w:rPr>
    </w:lvl>
    <w:lvl w:ilvl="3">
      <w:start w:val="1"/>
      <w:numFmt w:val="bullet"/>
      <w:lvlText w:val="•"/>
      <w:lvlJc w:val="left"/>
      <w:pPr>
        <w:ind w:left="3400" w:hanging="720"/>
      </w:pPr>
      <w:rPr>
        <w:rFonts w:hint="default"/>
      </w:rPr>
    </w:lvl>
    <w:lvl w:ilvl="4">
      <w:start w:val="1"/>
      <w:numFmt w:val="bullet"/>
      <w:lvlText w:val="•"/>
      <w:lvlJc w:val="left"/>
      <w:pPr>
        <w:ind w:left="4300" w:hanging="720"/>
      </w:pPr>
      <w:rPr>
        <w:rFonts w:hint="default"/>
      </w:rPr>
    </w:lvl>
    <w:lvl w:ilvl="5">
      <w:start w:val="1"/>
      <w:numFmt w:val="bullet"/>
      <w:lvlText w:val="•"/>
      <w:lvlJc w:val="left"/>
      <w:pPr>
        <w:ind w:left="5200" w:hanging="720"/>
      </w:pPr>
      <w:rPr>
        <w:rFonts w:hint="default"/>
      </w:rPr>
    </w:lvl>
    <w:lvl w:ilvl="6">
      <w:start w:val="1"/>
      <w:numFmt w:val="bullet"/>
      <w:lvlText w:val="•"/>
      <w:lvlJc w:val="left"/>
      <w:pPr>
        <w:ind w:left="6100" w:hanging="720"/>
      </w:pPr>
      <w:rPr>
        <w:rFonts w:hint="default"/>
      </w:rPr>
    </w:lvl>
    <w:lvl w:ilvl="7">
      <w:start w:val="1"/>
      <w:numFmt w:val="bullet"/>
      <w:lvlText w:val="•"/>
      <w:lvlJc w:val="left"/>
      <w:pPr>
        <w:ind w:left="7000" w:hanging="720"/>
      </w:pPr>
      <w:rPr>
        <w:rFonts w:hint="default"/>
      </w:rPr>
    </w:lvl>
    <w:lvl w:ilvl="8">
      <w:start w:val="1"/>
      <w:numFmt w:val="bullet"/>
      <w:lvlText w:val="•"/>
      <w:lvlJc w:val="left"/>
      <w:pPr>
        <w:ind w:left="7900" w:hanging="720"/>
      </w:pPr>
      <w:rPr>
        <w:rFonts w:hint="default"/>
      </w:rPr>
    </w:lvl>
  </w:abstractNum>
  <w:abstractNum w:abstractNumId="8">
    <w:multiLevelType w:val="hybridMultilevel"/>
    <w:lvl w:ilvl="0">
      <w:start w:val="3"/>
      <w:numFmt w:val="decimal"/>
      <w:lvlText w:val="%1"/>
      <w:lvlJc w:val="left"/>
      <w:pPr>
        <w:ind w:left="1488" w:hanging="803"/>
        <w:jc w:val="left"/>
      </w:pPr>
      <w:rPr>
        <w:rFonts w:hint="default"/>
      </w:rPr>
    </w:lvl>
    <w:lvl w:ilvl="1">
      <w:start w:val="3"/>
      <w:numFmt w:val="decimal"/>
      <w:lvlText w:val="%1.%2"/>
      <w:lvlJc w:val="left"/>
      <w:pPr>
        <w:ind w:left="1488" w:hanging="803"/>
        <w:jc w:val="left"/>
      </w:pPr>
      <w:rPr>
        <w:rFonts w:hint="default"/>
      </w:rPr>
    </w:lvl>
    <w:lvl w:ilvl="2">
      <w:start w:val="4"/>
      <w:numFmt w:val="decimal"/>
      <w:lvlText w:val="%1.%2.%3"/>
      <w:lvlJc w:val="left"/>
      <w:pPr>
        <w:ind w:left="1488" w:hanging="803"/>
        <w:jc w:val="left"/>
      </w:pPr>
      <w:rPr>
        <w:rFonts w:hint="default"/>
      </w:rPr>
    </w:lvl>
    <w:lvl w:ilvl="3">
      <w:start w:val="1"/>
      <w:numFmt w:val="decimal"/>
      <w:lvlText w:val="%1.%2.%3.%4"/>
      <w:lvlJc w:val="left"/>
      <w:pPr>
        <w:ind w:left="1488" w:hanging="803"/>
        <w:jc w:val="right"/>
      </w:pPr>
      <w:rPr>
        <w:rFonts w:hint="default" w:ascii="Arial" w:hAnsi="Arial" w:eastAsia="Arial" w:cs="Arial"/>
        <w:spacing w:val="-2"/>
        <w:w w:val="99"/>
        <w:sz w:val="24"/>
        <w:szCs w:val="24"/>
      </w:rPr>
    </w:lvl>
    <w:lvl w:ilvl="4">
      <w:start w:val="1"/>
      <w:numFmt w:val="bullet"/>
      <w:lvlText w:val="•"/>
      <w:lvlJc w:val="left"/>
      <w:pPr>
        <w:ind w:left="4768" w:hanging="803"/>
      </w:pPr>
      <w:rPr>
        <w:rFonts w:hint="default"/>
      </w:rPr>
    </w:lvl>
    <w:lvl w:ilvl="5">
      <w:start w:val="1"/>
      <w:numFmt w:val="bullet"/>
      <w:lvlText w:val="•"/>
      <w:lvlJc w:val="left"/>
      <w:pPr>
        <w:ind w:left="5590" w:hanging="803"/>
      </w:pPr>
      <w:rPr>
        <w:rFonts w:hint="default"/>
      </w:rPr>
    </w:lvl>
    <w:lvl w:ilvl="6">
      <w:start w:val="1"/>
      <w:numFmt w:val="bullet"/>
      <w:lvlText w:val="•"/>
      <w:lvlJc w:val="left"/>
      <w:pPr>
        <w:ind w:left="6412" w:hanging="803"/>
      </w:pPr>
      <w:rPr>
        <w:rFonts w:hint="default"/>
      </w:rPr>
    </w:lvl>
    <w:lvl w:ilvl="7">
      <w:start w:val="1"/>
      <w:numFmt w:val="bullet"/>
      <w:lvlText w:val="•"/>
      <w:lvlJc w:val="left"/>
      <w:pPr>
        <w:ind w:left="7234" w:hanging="803"/>
      </w:pPr>
      <w:rPr>
        <w:rFonts w:hint="default"/>
      </w:rPr>
    </w:lvl>
    <w:lvl w:ilvl="8">
      <w:start w:val="1"/>
      <w:numFmt w:val="bullet"/>
      <w:lvlText w:val="•"/>
      <w:lvlJc w:val="left"/>
      <w:pPr>
        <w:ind w:left="8056" w:hanging="803"/>
      </w:pPr>
      <w:rPr>
        <w:rFonts w:hint="default"/>
      </w:rPr>
    </w:lvl>
  </w:abstractNum>
  <w:abstractNum w:abstractNumId="7">
    <w:multiLevelType w:val="hybridMultilevel"/>
    <w:lvl w:ilvl="0">
      <w:start w:val="7"/>
      <w:numFmt w:val="upperLetter"/>
      <w:lvlText w:val="%1."/>
      <w:lvlJc w:val="left"/>
      <w:pPr>
        <w:ind w:left="160" w:hanging="331"/>
        <w:jc w:val="left"/>
      </w:pPr>
      <w:rPr>
        <w:rFonts w:hint="default" w:ascii="Arial" w:hAnsi="Arial" w:eastAsia="Arial" w:cs="Arial"/>
        <w:w w:val="100"/>
        <w:sz w:val="24"/>
        <w:szCs w:val="24"/>
      </w:rPr>
    </w:lvl>
    <w:lvl w:ilvl="1">
      <w:start w:val="1"/>
      <w:numFmt w:val="bullet"/>
      <w:lvlText w:val=""/>
      <w:lvlJc w:val="left"/>
      <w:pPr>
        <w:ind w:left="880" w:hanging="360"/>
      </w:pPr>
      <w:rPr>
        <w:rFonts w:hint="default"/>
        <w:w w:val="99"/>
      </w:rPr>
    </w:lvl>
    <w:lvl w:ilvl="2">
      <w:start w:val="1"/>
      <w:numFmt w:val="bullet"/>
      <w:lvlText w:val="•"/>
      <w:lvlJc w:val="left"/>
      <w:pPr>
        <w:ind w:left="1860" w:hanging="360"/>
      </w:pPr>
      <w:rPr>
        <w:rFonts w:hint="default"/>
      </w:rPr>
    </w:lvl>
    <w:lvl w:ilvl="3">
      <w:start w:val="1"/>
      <w:numFmt w:val="bullet"/>
      <w:lvlText w:val="•"/>
      <w:lvlJc w:val="left"/>
      <w:pPr>
        <w:ind w:left="284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780" w:hanging="360"/>
      </w:pPr>
      <w:rPr>
        <w:rFonts w:hint="default"/>
      </w:rPr>
    </w:lvl>
    <w:lvl w:ilvl="7">
      <w:start w:val="1"/>
      <w:numFmt w:val="bullet"/>
      <w:lvlText w:val="•"/>
      <w:lvlJc w:val="left"/>
      <w:pPr>
        <w:ind w:left="6760" w:hanging="360"/>
      </w:pPr>
      <w:rPr>
        <w:rFonts w:hint="default"/>
      </w:rPr>
    </w:lvl>
    <w:lvl w:ilvl="8">
      <w:start w:val="1"/>
      <w:numFmt w:val="bullet"/>
      <w:lvlText w:val="•"/>
      <w:lvlJc w:val="left"/>
      <w:pPr>
        <w:ind w:left="7740" w:hanging="360"/>
      </w:pPr>
      <w:rPr>
        <w:rFonts w:hint="default"/>
      </w:rPr>
    </w:lvl>
  </w:abstractNum>
  <w:abstractNum w:abstractNumId="6">
    <w:multiLevelType w:val="hybridMultilevel"/>
    <w:lvl w:ilvl="0">
      <w:start w:val="3"/>
      <w:numFmt w:val="decimal"/>
      <w:lvlText w:val="%1"/>
      <w:lvlJc w:val="left"/>
      <w:pPr>
        <w:ind w:left="2861" w:hanging="1081"/>
        <w:jc w:val="left"/>
      </w:pPr>
      <w:rPr>
        <w:rFonts w:hint="default"/>
      </w:rPr>
    </w:lvl>
    <w:lvl w:ilvl="1">
      <w:start w:val="2"/>
      <w:numFmt w:val="decimal"/>
      <w:lvlText w:val="%1.%2"/>
      <w:lvlJc w:val="left"/>
      <w:pPr>
        <w:ind w:left="2861" w:hanging="1081"/>
        <w:jc w:val="right"/>
      </w:pPr>
      <w:rPr>
        <w:rFonts w:hint="default"/>
      </w:rPr>
    </w:lvl>
    <w:lvl w:ilvl="2">
      <w:start w:val="1"/>
      <w:numFmt w:val="decimal"/>
      <w:lvlText w:val="%1.%2.%3"/>
      <w:lvlJc w:val="left"/>
      <w:pPr>
        <w:ind w:left="1481" w:hanging="602"/>
        <w:jc w:val="right"/>
      </w:pPr>
      <w:rPr>
        <w:rFonts w:hint="default"/>
        <w:spacing w:val="-2"/>
        <w:w w:val="99"/>
      </w:rPr>
    </w:lvl>
    <w:lvl w:ilvl="3">
      <w:start w:val="4"/>
      <w:numFmt w:val="decimal"/>
      <w:lvlText w:val="%1.%2.%3.%4"/>
      <w:lvlJc w:val="left"/>
      <w:pPr>
        <w:ind w:left="2861" w:hanging="602"/>
        <w:jc w:val="left"/>
      </w:pPr>
      <w:rPr>
        <w:rFonts w:hint="default" w:ascii="Arial" w:hAnsi="Arial" w:eastAsia="Arial" w:cs="Arial"/>
        <w:spacing w:val="-3"/>
        <w:w w:val="99"/>
        <w:sz w:val="24"/>
        <w:szCs w:val="24"/>
      </w:rPr>
    </w:lvl>
    <w:lvl w:ilvl="4">
      <w:start w:val="1"/>
      <w:numFmt w:val="bullet"/>
      <w:lvlText w:val="•"/>
      <w:lvlJc w:val="left"/>
      <w:pPr>
        <w:ind w:left="5140" w:hanging="602"/>
      </w:pPr>
      <w:rPr>
        <w:rFonts w:hint="default"/>
      </w:rPr>
    </w:lvl>
    <w:lvl w:ilvl="5">
      <w:start w:val="1"/>
      <w:numFmt w:val="bullet"/>
      <w:lvlText w:val="•"/>
      <w:lvlJc w:val="left"/>
      <w:pPr>
        <w:ind w:left="5900" w:hanging="602"/>
      </w:pPr>
      <w:rPr>
        <w:rFonts w:hint="default"/>
      </w:rPr>
    </w:lvl>
    <w:lvl w:ilvl="6">
      <w:start w:val="1"/>
      <w:numFmt w:val="bullet"/>
      <w:lvlText w:val="•"/>
      <w:lvlJc w:val="left"/>
      <w:pPr>
        <w:ind w:left="6660" w:hanging="602"/>
      </w:pPr>
      <w:rPr>
        <w:rFonts w:hint="default"/>
      </w:rPr>
    </w:lvl>
    <w:lvl w:ilvl="7">
      <w:start w:val="1"/>
      <w:numFmt w:val="bullet"/>
      <w:lvlText w:val="•"/>
      <w:lvlJc w:val="left"/>
      <w:pPr>
        <w:ind w:left="7420" w:hanging="602"/>
      </w:pPr>
      <w:rPr>
        <w:rFonts w:hint="default"/>
      </w:rPr>
    </w:lvl>
    <w:lvl w:ilvl="8">
      <w:start w:val="1"/>
      <w:numFmt w:val="bullet"/>
      <w:lvlText w:val="•"/>
      <w:lvlJc w:val="left"/>
      <w:pPr>
        <w:ind w:left="8180" w:hanging="602"/>
      </w:pPr>
      <w:rPr>
        <w:rFonts w:hint="default"/>
      </w:rPr>
    </w:lvl>
  </w:abstractNum>
  <w:abstractNum w:abstractNumId="5">
    <w:multiLevelType w:val="hybridMultilevel"/>
    <w:lvl w:ilvl="0">
      <w:start w:val="3"/>
      <w:numFmt w:val="decimal"/>
      <w:lvlText w:val="%1"/>
      <w:lvlJc w:val="left"/>
      <w:pPr>
        <w:ind w:left="1842" w:hanging="603"/>
        <w:jc w:val="left"/>
      </w:pPr>
      <w:rPr>
        <w:rFonts w:hint="default"/>
      </w:rPr>
    </w:lvl>
    <w:lvl w:ilvl="1">
      <w:start w:val="1"/>
      <w:numFmt w:val="decimal"/>
      <w:lvlText w:val="%1.%2"/>
      <w:lvlJc w:val="left"/>
      <w:pPr>
        <w:ind w:left="1240" w:hanging="603"/>
        <w:jc w:val="left"/>
      </w:pPr>
      <w:rPr>
        <w:rFonts w:hint="default"/>
      </w:rPr>
    </w:lvl>
    <w:lvl w:ilvl="2">
      <w:start w:val="2"/>
      <w:numFmt w:val="decimal"/>
      <w:lvlText w:val="%1.%2.%3"/>
      <w:lvlJc w:val="left"/>
      <w:pPr>
        <w:ind w:left="1842" w:hanging="603"/>
        <w:jc w:val="left"/>
      </w:pPr>
      <w:rPr>
        <w:rFonts w:hint="default"/>
        <w:b/>
        <w:bCs/>
        <w:spacing w:val="-2"/>
        <w:w w:val="99"/>
      </w:rPr>
    </w:lvl>
    <w:lvl w:ilvl="3">
      <w:start w:val="1"/>
      <w:numFmt w:val="decimal"/>
      <w:lvlText w:val="%1.%2.%3.%4"/>
      <w:lvlJc w:val="left"/>
      <w:pPr>
        <w:ind w:left="2401" w:hanging="801"/>
        <w:jc w:val="left"/>
      </w:pPr>
      <w:rPr>
        <w:rFonts w:hint="default" w:ascii="Arial" w:hAnsi="Arial" w:eastAsia="Arial" w:cs="Arial"/>
        <w:spacing w:val="-2"/>
        <w:w w:val="99"/>
        <w:sz w:val="24"/>
        <w:szCs w:val="24"/>
      </w:rPr>
    </w:lvl>
    <w:lvl w:ilvl="4">
      <w:start w:val="1"/>
      <w:numFmt w:val="bullet"/>
      <w:lvlText w:val="•"/>
      <w:lvlJc w:val="left"/>
      <w:pPr>
        <w:ind w:left="4225" w:hanging="801"/>
      </w:pPr>
      <w:rPr>
        <w:rFonts w:hint="default"/>
      </w:rPr>
    </w:lvl>
    <w:lvl w:ilvl="5">
      <w:start w:val="1"/>
      <w:numFmt w:val="bullet"/>
      <w:lvlText w:val="•"/>
      <w:lvlJc w:val="left"/>
      <w:pPr>
        <w:ind w:left="5137" w:hanging="801"/>
      </w:pPr>
      <w:rPr>
        <w:rFonts w:hint="default"/>
      </w:rPr>
    </w:lvl>
    <w:lvl w:ilvl="6">
      <w:start w:val="1"/>
      <w:numFmt w:val="bullet"/>
      <w:lvlText w:val="•"/>
      <w:lvlJc w:val="left"/>
      <w:pPr>
        <w:ind w:left="6050" w:hanging="801"/>
      </w:pPr>
      <w:rPr>
        <w:rFonts w:hint="default"/>
      </w:rPr>
    </w:lvl>
    <w:lvl w:ilvl="7">
      <w:start w:val="1"/>
      <w:numFmt w:val="bullet"/>
      <w:lvlText w:val="•"/>
      <w:lvlJc w:val="left"/>
      <w:pPr>
        <w:ind w:left="6962" w:hanging="801"/>
      </w:pPr>
      <w:rPr>
        <w:rFonts w:hint="default"/>
      </w:rPr>
    </w:lvl>
    <w:lvl w:ilvl="8">
      <w:start w:val="1"/>
      <w:numFmt w:val="bullet"/>
      <w:lvlText w:val="•"/>
      <w:lvlJc w:val="left"/>
      <w:pPr>
        <w:ind w:left="7875" w:hanging="801"/>
      </w:pPr>
      <w:rPr>
        <w:rFonts w:hint="default"/>
      </w:rPr>
    </w:lvl>
  </w:abstractNum>
  <w:abstractNum w:abstractNumId="4">
    <w:multiLevelType w:val="hybridMultilevel"/>
    <w:lvl w:ilvl="0">
      <w:start w:val="1"/>
      <w:numFmt w:val="decimal"/>
      <w:lvlText w:val="%1."/>
      <w:lvlJc w:val="left"/>
      <w:pPr>
        <w:ind w:left="3206" w:hanging="1081"/>
        <w:jc w:val="right"/>
      </w:pPr>
      <w:rPr>
        <w:rFonts w:hint="default"/>
        <w:b/>
        <w:bCs/>
        <w:spacing w:val="-1"/>
        <w:w w:val="99"/>
      </w:rPr>
    </w:lvl>
    <w:lvl w:ilvl="1">
      <w:start w:val="1"/>
      <w:numFmt w:val="decimal"/>
      <w:lvlText w:val="%1.%2"/>
      <w:lvlJc w:val="left"/>
      <w:pPr>
        <w:ind w:left="1600" w:hanging="360"/>
        <w:jc w:val="left"/>
      </w:pPr>
      <w:rPr>
        <w:rFonts w:hint="default" w:ascii="Arial" w:hAnsi="Arial" w:eastAsia="Arial" w:cs="Arial"/>
        <w:b/>
        <w:bCs/>
        <w:w w:val="99"/>
        <w:sz w:val="24"/>
        <w:szCs w:val="24"/>
      </w:rPr>
    </w:lvl>
    <w:lvl w:ilvl="2">
      <w:start w:val="1"/>
      <w:numFmt w:val="decimal"/>
      <w:lvlText w:val="%1.%2.%3"/>
      <w:lvlJc w:val="left"/>
      <w:pPr>
        <w:ind w:left="1842" w:hanging="603"/>
        <w:jc w:val="left"/>
      </w:pPr>
      <w:rPr>
        <w:rFonts w:hint="default" w:ascii="Arial" w:hAnsi="Arial" w:eastAsia="Arial" w:cs="Arial"/>
        <w:spacing w:val="-2"/>
        <w:w w:val="99"/>
        <w:sz w:val="24"/>
        <w:szCs w:val="24"/>
      </w:rPr>
    </w:lvl>
    <w:lvl w:ilvl="3">
      <w:start w:val="1"/>
      <w:numFmt w:val="decimal"/>
      <w:lvlText w:val="%1.%2.%3.%4"/>
      <w:lvlJc w:val="left"/>
      <w:pPr>
        <w:ind w:left="2320" w:hanging="1080"/>
        <w:jc w:val="left"/>
      </w:pPr>
      <w:rPr>
        <w:rFonts w:hint="default" w:ascii="Arial" w:hAnsi="Arial" w:eastAsia="Arial" w:cs="Arial"/>
        <w:spacing w:val="-3"/>
        <w:w w:val="99"/>
        <w:sz w:val="24"/>
        <w:szCs w:val="24"/>
      </w:rPr>
    </w:lvl>
    <w:lvl w:ilvl="4">
      <w:start w:val="1"/>
      <w:numFmt w:val="bullet"/>
      <w:lvlText w:val="•"/>
      <w:lvlJc w:val="left"/>
      <w:pPr>
        <w:ind w:left="4128" w:hanging="1080"/>
      </w:pPr>
      <w:rPr>
        <w:rFonts w:hint="default"/>
      </w:rPr>
    </w:lvl>
    <w:lvl w:ilvl="5">
      <w:start w:val="1"/>
      <w:numFmt w:val="bullet"/>
      <w:lvlText w:val="•"/>
      <w:lvlJc w:val="left"/>
      <w:pPr>
        <w:ind w:left="5057" w:hanging="1080"/>
      </w:pPr>
      <w:rPr>
        <w:rFonts w:hint="default"/>
      </w:rPr>
    </w:lvl>
    <w:lvl w:ilvl="6">
      <w:start w:val="1"/>
      <w:numFmt w:val="bullet"/>
      <w:lvlText w:val="•"/>
      <w:lvlJc w:val="left"/>
      <w:pPr>
        <w:ind w:left="5985" w:hanging="1080"/>
      </w:pPr>
      <w:rPr>
        <w:rFonts w:hint="default"/>
      </w:rPr>
    </w:lvl>
    <w:lvl w:ilvl="7">
      <w:start w:val="1"/>
      <w:numFmt w:val="bullet"/>
      <w:lvlText w:val="•"/>
      <w:lvlJc w:val="left"/>
      <w:pPr>
        <w:ind w:left="6914" w:hanging="1080"/>
      </w:pPr>
      <w:rPr>
        <w:rFonts w:hint="default"/>
      </w:rPr>
    </w:lvl>
    <w:lvl w:ilvl="8">
      <w:start w:val="1"/>
      <w:numFmt w:val="bullet"/>
      <w:lvlText w:val="•"/>
      <w:lvlJc w:val="left"/>
      <w:pPr>
        <w:ind w:left="7842" w:hanging="1080"/>
      </w:pPr>
      <w:rPr>
        <w:rFonts w:hint="default"/>
      </w:rPr>
    </w:lvl>
  </w:abstractNum>
  <w:abstractNum w:abstractNumId="3">
    <w:multiLevelType w:val="hybridMultilevel"/>
    <w:lvl w:ilvl="0">
      <w:start w:val="3"/>
      <w:numFmt w:val="decimal"/>
      <w:lvlText w:val="%1"/>
      <w:lvlJc w:val="left"/>
      <w:pPr>
        <w:ind w:left="1600" w:hanging="720"/>
        <w:jc w:val="left"/>
      </w:pPr>
      <w:rPr>
        <w:rFonts w:hint="default"/>
      </w:rPr>
    </w:lvl>
    <w:lvl w:ilvl="1">
      <w:start w:val="4"/>
      <w:numFmt w:val="decimal"/>
      <w:lvlText w:val="%1.%2"/>
      <w:lvlJc w:val="left"/>
      <w:pPr>
        <w:ind w:left="1600" w:hanging="720"/>
        <w:jc w:val="left"/>
      </w:pPr>
      <w:rPr>
        <w:rFonts w:hint="default"/>
      </w:rPr>
    </w:lvl>
    <w:lvl w:ilvl="2">
      <w:start w:val="1"/>
      <w:numFmt w:val="decimal"/>
      <w:lvlText w:val="%1.%2.%3"/>
      <w:lvlJc w:val="left"/>
      <w:pPr>
        <w:ind w:left="1600" w:hanging="720"/>
        <w:jc w:val="left"/>
      </w:pPr>
      <w:rPr>
        <w:rFonts w:hint="default" w:ascii="Arial" w:hAnsi="Arial" w:eastAsia="Arial" w:cs="Arial"/>
        <w:spacing w:val="-2"/>
        <w:w w:val="99"/>
        <w:sz w:val="24"/>
        <w:szCs w:val="24"/>
      </w:rPr>
    </w:lvl>
    <w:lvl w:ilvl="3">
      <w:start w:val="1"/>
      <w:numFmt w:val="bullet"/>
      <w:lvlText w:val="•"/>
      <w:lvlJc w:val="left"/>
      <w:pPr>
        <w:ind w:left="4030" w:hanging="720"/>
      </w:pPr>
      <w:rPr>
        <w:rFonts w:hint="default"/>
      </w:rPr>
    </w:lvl>
    <w:lvl w:ilvl="4">
      <w:start w:val="1"/>
      <w:numFmt w:val="bullet"/>
      <w:lvlText w:val="•"/>
      <w:lvlJc w:val="left"/>
      <w:pPr>
        <w:ind w:left="4840" w:hanging="720"/>
      </w:pPr>
      <w:rPr>
        <w:rFonts w:hint="default"/>
      </w:rPr>
    </w:lvl>
    <w:lvl w:ilvl="5">
      <w:start w:val="1"/>
      <w:numFmt w:val="bullet"/>
      <w:lvlText w:val="•"/>
      <w:lvlJc w:val="left"/>
      <w:pPr>
        <w:ind w:left="5650" w:hanging="720"/>
      </w:pPr>
      <w:rPr>
        <w:rFonts w:hint="default"/>
      </w:rPr>
    </w:lvl>
    <w:lvl w:ilvl="6">
      <w:start w:val="1"/>
      <w:numFmt w:val="bullet"/>
      <w:lvlText w:val="•"/>
      <w:lvlJc w:val="left"/>
      <w:pPr>
        <w:ind w:left="6460" w:hanging="720"/>
      </w:pPr>
      <w:rPr>
        <w:rFonts w:hint="default"/>
      </w:rPr>
    </w:lvl>
    <w:lvl w:ilvl="7">
      <w:start w:val="1"/>
      <w:numFmt w:val="bullet"/>
      <w:lvlText w:val="•"/>
      <w:lvlJc w:val="left"/>
      <w:pPr>
        <w:ind w:left="7270" w:hanging="720"/>
      </w:pPr>
      <w:rPr>
        <w:rFonts w:hint="default"/>
      </w:rPr>
    </w:lvl>
    <w:lvl w:ilvl="8">
      <w:start w:val="1"/>
      <w:numFmt w:val="bullet"/>
      <w:lvlText w:val="•"/>
      <w:lvlJc w:val="left"/>
      <w:pPr>
        <w:ind w:left="8080" w:hanging="720"/>
      </w:pPr>
      <w:rPr>
        <w:rFonts w:hint="default"/>
      </w:rPr>
    </w:lvl>
  </w:abstractNum>
  <w:abstractNum w:abstractNumId="2">
    <w:multiLevelType w:val="hybridMultilevel"/>
    <w:lvl w:ilvl="0">
      <w:start w:val="3"/>
      <w:numFmt w:val="decimal"/>
      <w:lvlText w:val="%1"/>
      <w:lvlJc w:val="left"/>
      <w:pPr>
        <w:ind w:left="2468" w:hanging="801"/>
        <w:jc w:val="left"/>
      </w:pPr>
      <w:rPr>
        <w:rFonts w:hint="default"/>
      </w:rPr>
    </w:lvl>
    <w:lvl w:ilvl="1">
      <w:start w:val="3"/>
      <w:numFmt w:val="decimal"/>
      <w:lvlText w:val="%1.%2"/>
      <w:lvlJc w:val="left"/>
      <w:pPr>
        <w:ind w:left="2468" w:hanging="801"/>
        <w:jc w:val="right"/>
      </w:pPr>
      <w:rPr>
        <w:rFonts w:hint="default"/>
      </w:rPr>
    </w:lvl>
    <w:lvl w:ilvl="2">
      <w:start w:val="4"/>
      <w:numFmt w:val="decimal"/>
      <w:lvlText w:val="%1.%2.%3"/>
      <w:lvlJc w:val="left"/>
      <w:pPr>
        <w:ind w:left="2468" w:hanging="801"/>
        <w:jc w:val="left"/>
      </w:pPr>
      <w:rPr>
        <w:rFonts w:hint="default"/>
      </w:rPr>
    </w:lvl>
    <w:lvl w:ilvl="3">
      <w:start w:val="1"/>
      <w:numFmt w:val="decimal"/>
      <w:lvlText w:val="%1.%2.%3.%4"/>
      <w:lvlJc w:val="left"/>
      <w:pPr>
        <w:ind w:left="2468" w:hanging="801"/>
        <w:jc w:val="left"/>
      </w:pPr>
      <w:rPr>
        <w:rFonts w:hint="default" w:ascii="Arial" w:hAnsi="Arial" w:eastAsia="Arial" w:cs="Arial"/>
        <w:spacing w:val="-2"/>
        <w:w w:val="99"/>
        <w:sz w:val="24"/>
        <w:szCs w:val="24"/>
      </w:rPr>
    </w:lvl>
    <w:lvl w:ilvl="4">
      <w:start w:val="1"/>
      <w:numFmt w:val="bullet"/>
      <w:lvlText w:val="•"/>
      <w:lvlJc w:val="left"/>
      <w:pPr>
        <w:ind w:left="5356" w:hanging="801"/>
      </w:pPr>
      <w:rPr>
        <w:rFonts w:hint="default"/>
      </w:rPr>
    </w:lvl>
    <w:lvl w:ilvl="5">
      <w:start w:val="1"/>
      <w:numFmt w:val="bullet"/>
      <w:lvlText w:val="•"/>
      <w:lvlJc w:val="left"/>
      <w:pPr>
        <w:ind w:left="6080" w:hanging="801"/>
      </w:pPr>
      <w:rPr>
        <w:rFonts w:hint="default"/>
      </w:rPr>
    </w:lvl>
    <w:lvl w:ilvl="6">
      <w:start w:val="1"/>
      <w:numFmt w:val="bullet"/>
      <w:lvlText w:val="•"/>
      <w:lvlJc w:val="left"/>
      <w:pPr>
        <w:ind w:left="6804" w:hanging="801"/>
      </w:pPr>
      <w:rPr>
        <w:rFonts w:hint="default"/>
      </w:rPr>
    </w:lvl>
    <w:lvl w:ilvl="7">
      <w:start w:val="1"/>
      <w:numFmt w:val="bullet"/>
      <w:lvlText w:val="•"/>
      <w:lvlJc w:val="left"/>
      <w:pPr>
        <w:ind w:left="7528" w:hanging="801"/>
      </w:pPr>
      <w:rPr>
        <w:rFonts w:hint="default"/>
      </w:rPr>
    </w:lvl>
    <w:lvl w:ilvl="8">
      <w:start w:val="1"/>
      <w:numFmt w:val="bullet"/>
      <w:lvlText w:val="•"/>
      <w:lvlJc w:val="left"/>
      <w:pPr>
        <w:ind w:left="8252" w:hanging="801"/>
      </w:pPr>
      <w:rPr>
        <w:rFonts w:hint="default"/>
      </w:rPr>
    </w:lvl>
  </w:abstractNum>
  <w:abstractNum w:abstractNumId="1">
    <w:multiLevelType w:val="hybridMultilevel"/>
    <w:lvl w:ilvl="0">
      <w:start w:val="3"/>
      <w:numFmt w:val="decimal"/>
      <w:lvlText w:val="%1"/>
      <w:lvlJc w:val="left"/>
      <w:pPr>
        <w:ind w:left="1569" w:hanging="401"/>
        <w:jc w:val="left"/>
      </w:pPr>
      <w:rPr>
        <w:rFonts w:hint="default"/>
      </w:rPr>
    </w:lvl>
    <w:lvl w:ilvl="1">
      <w:start w:val="3"/>
      <w:numFmt w:val="decimal"/>
      <w:lvlText w:val="%1.%2"/>
      <w:lvlJc w:val="left"/>
      <w:pPr>
        <w:ind w:left="1569" w:hanging="401"/>
        <w:jc w:val="left"/>
      </w:pPr>
      <w:rPr>
        <w:rFonts w:hint="default" w:ascii="Arial" w:hAnsi="Arial" w:eastAsia="Arial" w:cs="Arial"/>
        <w:b/>
        <w:bCs/>
        <w:w w:val="99"/>
        <w:sz w:val="24"/>
        <w:szCs w:val="24"/>
      </w:rPr>
    </w:lvl>
    <w:lvl w:ilvl="2">
      <w:start w:val="1"/>
      <w:numFmt w:val="decimal"/>
      <w:lvlText w:val="%1.%2.%3"/>
      <w:lvlJc w:val="left"/>
      <w:pPr>
        <w:ind w:left="1748" w:hanging="600"/>
        <w:jc w:val="right"/>
      </w:pPr>
      <w:rPr>
        <w:rFonts w:hint="default" w:ascii="Arial" w:hAnsi="Arial" w:eastAsia="Arial" w:cs="Arial"/>
        <w:spacing w:val="-2"/>
        <w:w w:val="99"/>
        <w:sz w:val="24"/>
        <w:szCs w:val="24"/>
      </w:rPr>
    </w:lvl>
    <w:lvl w:ilvl="3">
      <w:start w:val="1"/>
      <w:numFmt w:val="decimal"/>
      <w:lvlText w:val="%1.%2.%3.%4."/>
      <w:lvlJc w:val="left"/>
      <w:pPr>
        <w:ind w:left="2536" w:hanging="869"/>
        <w:jc w:val="left"/>
      </w:pPr>
      <w:rPr>
        <w:rFonts w:hint="default" w:ascii="Arial" w:hAnsi="Arial" w:eastAsia="Arial" w:cs="Arial"/>
        <w:spacing w:val="-2"/>
        <w:w w:val="99"/>
        <w:sz w:val="24"/>
        <w:szCs w:val="24"/>
      </w:rPr>
    </w:lvl>
    <w:lvl w:ilvl="4">
      <w:start w:val="1"/>
      <w:numFmt w:val="bullet"/>
      <w:lvlText w:val="•"/>
      <w:lvlJc w:val="left"/>
      <w:pPr>
        <w:ind w:left="4330" w:hanging="869"/>
      </w:pPr>
      <w:rPr>
        <w:rFonts w:hint="default"/>
      </w:rPr>
    </w:lvl>
    <w:lvl w:ilvl="5">
      <w:start w:val="1"/>
      <w:numFmt w:val="bullet"/>
      <w:lvlText w:val="•"/>
      <w:lvlJc w:val="left"/>
      <w:pPr>
        <w:ind w:left="5225" w:hanging="869"/>
      </w:pPr>
      <w:rPr>
        <w:rFonts w:hint="default"/>
      </w:rPr>
    </w:lvl>
    <w:lvl w:ilvl="6">
      <w:start w:val="1"/>
      <w:numFmt w:val="bullet"/>
      <w:lvlText w:val="•"/>
      <w:lvlJc w:val="left"/>
      <w:pPr>
        <w:ind w:left="6120" w:hanging="869"/>
      </w:pPr>
      <w:rPr>
        <w:rFonts w:hint="default"/>
      </w:rPr>
    </w:lvl>
    <w:lvl w:ilvl="7">
      <w:start w:val="1"/>
      <w:numFmt w:val="bullet"/>
      <w:lvlText w:val="•"/>
      <w:lvlJc w:val="left"/>
      <w:pPr>
        <w:ind w:left="7015" w:hanging="869"/>
      </w:pPr>
      <w:rPr>
        <w:rFonts w:hint="default"/>
      </w:rPr>
    </w:lvl>
    <w:lvl w:ilvl="8">
      <w:start w:val="1"/>
      <w:numFmt w:val="bullet"/>
      <w:lvlText w:val="•"/>
      <w:lvlJc w:val="left"/>
      <w:pPr>
        <w:ind w:left="7910" w:hanging="869"/>
      </w:pPr>
      <w:rPr>
        <w:rFonts w:hint="default"/>
      </w:rPr>
    </w:lvl>
  </w:abstractNum>
  <w:abstractNum w:abstractNumId="0">
    <w:multiLevelType w:val="hybridMultilevel"/>
    <w:lvl w:ilvl="0">
      <w:start w:val="1"/>
      <w:numFmt w:val="decimal"/>
      <w:lvlText w:val="%1."/>
      <w:lvlJc w:val="left"/>
      <w:pPr>
        <w:ind w:left="1240" w:hanging="720"/>
        <w:jc w:val="left"/>
      </w:pPr>
      <w:rPr>
        <w:rFonts w:hint="default" w:ascii="Arial" w:hAnsi="Arial" w:eastAsia="Arial" w:cs="Arial"/>
        <w:b/>
        <w:bCs/>
        <w:w w:val="99"/>
        <w:sz w:val="24"/>
        <w:szCs w:val="24"/>
      </w:rPr>
    </w:lvl>
    <w:lvl w:ilvl="1">
      <w:start w:val="1"/>
      <w:numFmt w:val="decimal"/>
      <w:lvlText w:val="%1.%2"/>
      <w:lvlJc w:val="left"/>
      <w:pPr>
        <w:ind w:left="1600" w:hanging="360"/>
        <w:jc w:val="left"/>
      </w:pPr>
      <w:rPr>
        <w:rFonts w:hint="default"/>
        <w:w w:val="99"/>
      </w:rPr>
    </w:lvl>
    <w:lvl w:ilvl="2">
      <w:start w:val="1"/>
      <w:numFmt w:val="decimal"/>
      <w:lvlText w:val="%1.%2.%3"/>
      <w:lvlJc w:val="left"/>
      <w:pPr>
        <w:ind w:left="1842" w:hanging="360"/>
        <w:jc w:val="left"/>
      </w:pPr>
      <w:rPr>
        <w:rFonts w:hint="default" w:ascii="Arial" w:hAnsi="Arial" w:eastAsia="Arial" w:cs="Arial"/>
        <w:spacing w:val="-2"/>
        <w:w w:val="99"/>
        <w:sz w:val="24"/>
        <w:szCs w:val="24"/>
      </w:rPr>
    </w:lvl>
    <w:lvl w:ilvl="3">
      <w:start w:val="1"/>
      <w:numFmt w:val="decimal"/>
      <w:lvlText w:val="%1.%2.%3.%4"/>
      <w:lvlJc w:val="left"/>
      <w:pPr>
        <w:ind w:left="2401" w:hanging="360"/>
        <w:jc w:val="left"/>
      </w:pPr>
      <w:rPr>
        <w:rFonts w:hint="default" w:ascii="Arial" w:hAnsi="Arial" w:eastAsia="Arial" w:cs="Arial"/>
        <w:spacing w:val="-2"/>
        <w:w w:val="99"/>
        <w:sz w:val="24"/>
        <w:szCs w:val="24"/>
      </w:rPr>
    </w:lvl>
    <w:lvl w:ilvl="4">
      <w:start w:val="1"/>
      <w:numFmt w:val="bullet"/>
      <w:lvlText w:val="•"/>
      <w:lvlJc w:val="left"/>
      <w:pPr>
        <w:ind w:left="2400" w:hanging="360"/>
      </w:pPr>
      <w:rPr>
        <w:rFonts w:hint="default"/>
      </w:rPr>
    </w:lvl>
    <w:lvl w:ilvl="5">
      <w:start w:val="1"/>
      <w:numFmt w:val="bullet"/>
      <w:lvlText w:val="•"/>
      <w:lvlJc w:val="left"/>
      <w:pPr>
        <w:ind w:left="2860" w:hanging="360"/>
      </w:pPr>
      <w:rPr>
        <w:rFonts w:hint="default"/>
      </w:rPr>
    </w:lvl>
    <w:lvl w:ilvl="6">
      <w:start w:val="1"/>
      <w:numFmt w:val="bullet"/>
      <w:lvlText w:val="•"/>
      <w:lvlJc w:val="left"/>
      <w:pPr>
        <w:ind w:left="4228" w:hanging="360"/>
      </w:pPr>
      <w:rPr>
        <w:rFonts w:hint="default"/>
      </w:rPr>
    </w:lvl>
    <w:lvl w:ilvl="7">
      <w:start w:val="1"/>
      <w:numFmt w:val="bullet"/>
      <w:lvlText w:val="•"/>
      <w:lvlJc w:val="left"/>
      <w:pPr>
        <w:ind w:left="5596" w:hanging="360"/>
      </w:pPr>
      <w:rPr>
        <w:rFonts w:hint="default"/>
      </w:rPr>
    </w:lvl>
    <w:lvl w:ilvl="8">
      <w:start w:val="1"/>
      <w:numFmt w:val="bullet"/>
      <w:lvlText w:val="•"/>
      <w:lvlJc w:val="left"/>
      <w:pPr>
        <w:ind w:left="6964" w:hanging="360"/>
      </w:pPr>
      <w:rPr>
        <w:rFonts w:hint="default"/>
      </w:rPr>
    </w:lvl>
  </w:abstract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1240" w:hanging="720"/>
    </w:pPr>
    <w:rPr>
      <w:rFonts w:ascii="Arial" w:hAnsi="Arial" w:eastAsia="Arial" w:cs="Arial"/>
      <w:b/>
      <w:bCs/>
      <w:sz w:val="24"/>
      <w:szCs w:val="24"/>
    </w:rPr>
  </w:style>
  <w:style w:styleId="TOC2" w:type="paragraph">
    <w:name w:val="TOC 2"/>
    <w:basedOn w:val="Normal"/>
    <w:uiPriority w:val="1"/>
    <w:qFormat/>
    <w:pPr>
      <w:spacing w:before="137"/>
      <w:ind w:left="1240" w:hanging="720"/>
    </w:pPr>
    <w:rPr>
      <w:rFonts w:ascii="Arial" w:hAnsi="Arial" w:eastAsia="Arial" w:cs="Arial"/>
      <w:b/>
      <w:bCs/>
      <w:i/>
    </w:rPr>
  </w:style>
  <w:style w:styleId="TOC3" w:type="paragraph">
    <w:name w:val="TOC 3"/>
    <w:basedOn w:val="Normal"/>
    <w:uiPriority w:val="1"/>
    <w:qFormat/>
    <w:pPr>
      <w:spacing w:before="276"/>
      <w:ind w:left="1282" w:hanging="402"/>
    </w:pPr>
    <w:rPr>
      <w:rFonts w:ascii="Arial" w:hAnsi="Arial" w:eastAsia="Arial" w:cs="Arial"/>
      <w:b/>
      <w:bCs/>
      <w:sz w:val="24"/>
      <w:szCs w:val="24"/>
    </w:rPr>
  </w:style>
  <w:style w:styleId="TOC4" w:type="paragraph">
    <w:name w:val="TOC 4"/>
    <w:basedOn w:val="Normal"/>
    <w:uiPriority w:val="1"/>
    <w:qFormat/>
    <w:pPr>
      <w:spacing w:before="276"/>
      <w:ind w:left="1482" w:hanging="720"/>
    </w:pPr>
    <w:rPr>
      <w:rFonts w:ascii="Arial" w:hAnsi="Arial" w:eastAsia="Arial" w:cs="Arial"/>
      <w:sz w:val="24"/>
      <w:szCs w:val="24"/>
    </w:rPr>
  </w:style>
  <w:style w:styleId="TOC5" w:type="paragraph">
    <w:name w:val="TOC 5"/>
    <w:basedOn w:val="Normal"/>
    <w:uiPriority w:val="1"/>
    <w:qFormat/>
    <w:pPr>
      <w:spacing w:before="276"/>
      <w:ind w:left="1569" w:hanging="401"/>
    </w:pPr>
    <w:rPr>
      <w:rFonts w:ascii="Arial" w:hAnsi="Arial" w:eastAsia="Arial" w:cs="Arial"/>
      <w:b/>
      <w:bCs/>
      <w:sz w:val="24"/>
      <w:szCs w:val="24"/>
    </w:rPr>
  </w:style>
  <w:style w:styleId="TOC6" w:type="paragraph">
    <w:name w:val="TOC 6"/>
    <w:basedOn w:val="Normal"/>
    <w:uiPriority w:val="1"/>
    <w:qFormat/>
    <w:pPr>
      <w:spacing w:before="264"/>
      <w:ind w:left="1748" w:hanging="599"/>
    </w:pPr>
    <w:rPr>
      <w:rFonts w:ascii="Arial" w:hAnsi="Arial" w:eastAsia="Arial" w:cs="Arial"/>
      <w:sz w:val="24"/>
      <w:szCs w:val="24"/>
    </w:rPr>
  </w:style>
  <w:style w:styleId="TOC7" w:type="paragraph">
    <w:name w:val="TOC 7"/>
    <w:basedOn w:val="Normal"/>
    <w:uiPriority w:val="1"/>
    <w:qFormat/>
    <w:pPr>
      <w:spacing w:before="276"/>
      <w:ind w:left="1240"/>
    </w:pPr>
    <w:rPr>
      <w:rFonts w:ascii="Arial" w:hAnsi="Arial" w:eastAsia="Arial" w:cs="Arial"/>
      <w:b/>
      <w:bCs/>
      <w:sz w:val="24"/>
      <w:szCs w:val="24"/>
    </w:rPr>
  </w:style>
  <w:style w:styleId="TOC8" w:type="paragraph">
    <w:name w:val="TOC 8"/>
    <w:basedOn w:val="Normal"/>
    <w:uiPriority w:val="1"/>
    <w:qFormat/>
    <w:pPr>
      <w:spacing w:before="276"/>
      <w:ind w:left="1600" w:hanging="360"/>
    </w:pPr>
    <w:rPr>
      <w:rFonts w:ascii="Arial" w:hAnsi="Arial" w:eastAsia="Arial" w:cs="Arial"/>
      <w:sz w:val="24"/>
      <w:szCs w:val="24"/>
    </w:rPr>
  </w:style>
  <w:style w:styleId="TOC9" w:type="paragraph">
    <w:name w:val="TOC 9"/>
    <w:basedOn w:val="Normal"/>
    <w:uiPriority w:val="1"/>
    <w:qFormat/>
    <w:pPr>
      <w:spacing w:before="273"/>
      <w:ind w:left="1842" w:hanging="602"/>
    </w:pPr>
    <w:rPr>
      <w:rFonts w:ascii="Arial" w:hAnsi="Arial" w:eastAsia="Arial" w:cs="Arial"/>
      <w:i/>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line="921" w:lineRule="exact"/>
      <w:ind w:left="3041" w:hanging="720"/>
      <w:outlineLvl w:val="1"/>
    </w:pPr>
    <w:rPr>
      <w:rFonts w:ascii="Arial" w:hAnsi="Arial" w:eastAsia="Arial" w:cs="Arial"/>
      <w:b/>
      <w:bCs/>
      <w:sz w:val="80"/>
      <w:szCs w:val="80"/>
    </w:rPr>
  </w:style>
  <w:style w:styleId="Heading2" w:type="paragraph">
    <w:name w:val="Heading 2"/>
    <w:basedOn w:val="Normal"/>
    <w:uiPriority w:val="1"/>
    <w:qFormat/>
    <w:pPr>
      <w:spacing w:before="69"/>
      <w:outlineLvl w:val="2"/>
    </w:pPr>
    <w:rPr>
      <w:rFonts w:ascii="Arial" w:hAnsi="Arial" w:eastAsia="Arial" w:cs="Arial"/>
      <w:b/>
      <w:bCs/>
      <w:sz w:val="24"/>
      <w:szCs w:val="24"/>
    </w:rPr>
  </w:style>
  <w:style w:styleId="ListParagraph" w:type="paragraph">
    <w:name w:val="List Paragraph"/>
    <w:basedOn w:val="Normal"/>
    <w:uiPriority w:val="1"/>
    <w:qFormat/>
    <w:pPr>
      <w:ind w:left="880"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image" Target="media/image2.jpe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image" Target="media/image3.png"/><Relationship Id="rId15" Type="http://schemas.openxmlformats.org/officeDocument/2006/relationships/hyperlink" Target="http://es.wikipedia.org/wiki/Biguanidas" TargetMode="External"/><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footer" Target="footer7.xml"/><Relationship Id="rId19" Type="http://schemas.openxmlformats.org/officeDocument/2006/relationships/footer" Target="footer8.xml"/><Relationship Id="rId20" Type="http://schemas.openxmlformats.org/officeDocument/2006/relationships/footer" Target="footer9.xml"/><Relationship Id="rId21" Type="http://schemas.openxmlformats.org/officeDocument/2006/relationships/footer" Target="footer10.xml"/><Relationship Id="rId22" Type="http://schemas.openxmlformats.org/officeDocument/2006/relationships/image" Target="media/image6.jpeg"/><Relationship Id="rId23" Type="http://schemas.openxmlformats.org/officeDocument/2006/relationships/footer" Target="footer11.xml"/><Relationship Id="rId24" Type="http://schemas.openxmlformats.org/officeDocument/2006/relationships/footer" Target="footer12.xml"/><Relationship Id="rId25" Type="http://schemas.openxmlformats.org/officeDocument/2006/relationships/header" Target="header2.xml"/><Relationship Id="rId26" Type="http://schemas.openxmlformats.org/officeDocument/2006/relationships/footer" Target="footer13.xml"/><Relationship Id="rId27" Type="http://schemas.openxmlformats.org/officeDocument/2006/relationships/header" Target="header3.xml"/><Relationship Id="rId28" Type="http://schemas.openxmlformats.org/officeDocument/2006/relationships/footer" Target="footer14.xml"/><Relationship Id="rId29" Type="http://schemas.openxmlformats.org/officeDocument/2006/relationships/hyperlink" Target="http://es.wikipedia.org/wiki/Cantidad_de_sustancia" TargetMode="External"/><Relationship Id="rId30" Type="http://schemas.openxmlformats.org/officeDocument/2006/relationships/hyperlink" Target="http://es.wikipedia.org/wiki/Soluto" TargetMode="External"/><Relationship Id="rId31" Type="http://schemas.openxmlformats.org/officeDocument/2006/relationships/hyperlink" Target="http://es.wikipedia.org/wiki/Disoluci%C3%B3n" TargetMode="External"/><Relationship Id="rId32" Type="http://schemas.openxmlformats.org/officeDocument/2006/relationships/image" Target="media/image7.jpeg"/><Relationship Id="rId33" Type="http://schemas.openxmlformats.org/officeDocument/2006/relationships/image" Target="media/image8.jpeg"/><Relationship Id="rId34" Type="http://schemas.openxmlformats.org/officeDocument/2006/relationships/image" Target="media/image9.jpeg"/><Relationship Id="rId35" Type="http://schemas.openxmlformats.org/officeDocument/2006/relationships/image" Target="media/image10.jpeg"/><Relationship Id="rId36" Type="http://schemas.openxmlformats.org/officeDocument/2006/relationships/image" Target="media/image11.jpeg"/><Relationship Id="rId37" Type="http://schemas.openxmlformats.org/officeDocument/2006/relationships/image" Target="media/image12.jpeg"/><Relationship Id="rId38" Type="http://schemas.openxmlformats.org/officeDocument/2006/relationships/header" Target="header4.xml"/><Relationship Id="rId39" Type="http://schemas.openxmlformats.org/officeDocument/2006/relationships/image" Target="media/image13.jpeg"/><Relationship Id="rId40" Type="http://schemas.openxmlformats.org/officeDocument/2006/relationships/image" Target="media/image14.jpeg"/><Relationship Id="rId41" Type="http://schemas.openxmlformats.org/officeDocument/2006/relationships/image" Target="media/image15.jpeg"/><Relationship Id="rId42" Type="http://schemas.openxmlformats.org/officeDocument/2006/relationships/image" Target="media/image16.jpeg"/><Relationship Id="rId43" Type="http://schemas.openxmlformats.org/officeDocument/2006/relationships/image" Target="media/image17.png"/><Relationship Id="rId44" Type="http://schemas.openxmlformats.org/officeDocument/2006/relationships/header" Target="header5.xml"/><Relationship Id="rId45" Type="http://schemas.openxmlformats.org/officeDocument/2006/relationships/image" Target="media/image18.jpeg"/><Relationship Id="rId46" Type="http://schemas.openxmlformats.org/officeDocument/2006/relationships/image" Target="media/image19.jpeg"/><Relationship Id="rId47" Type="http://schemas.openxmlformats.org/officeDocument/2006/relationships/image" Target="media/image20.jpeg"/><Relationship Id="rId48" Type="http://schemas.openxmlformats.org/officeDocument/2006/relationships/image" Target="media/image21.jpeg"/><Relationship Id="rId49" Type="http://schemas.openxmlformats.org/officeDocument/2006/relationships/footer" Target="footer15.xml"/><Relationship Id="rId50" Type="http://schemas.openxmlformats.org/officeDocument/2006/relationships/image" Target="media/image22.jpeg"/><Relationship Id="rId51" Type="http://schemas.openxmlformats.org/officeDocument/2006/relationships/image" Target="media/image23.jpeg"/><Relationship Id="rId52" Type="http://schemas.openxmlformats.org/officeDocument/2006/relationships/image" Target="media/image24.jpeg"/><Relationship Id="rId53" Type="http://schemas.openxmlformats.org/officeDocument/2006/relationships/image" Target="media/image25.png"/><Relationship Id="rId54" Type="http://schemas.openxmlformats.org/officeDocument/2006/relationships/image" Target="media/image26.png"/><Relationship Id="rId55" Type="http://schemas.openxmlformats.org/officeDocument/2006/relationships/image" Target="media/image27.png"/><Relationship Id="rId56" Type="http://schemas.openxmlformats.org/officeDocument/2006/relationships/image" Target="media/image28.png"/><Relationship Id="rId57" Type="http://schemas.openxmlformats.org/officeDocument/2006/relationships/image" Target="media/image29.png"/><Relationship Id="rId58" Type="http://schemas.openxmlformats.org/officeDocument/2006/relationships/image" Target="media/image30.jpeg"/><Relationship Id="rId59" Type="http://schemas.openxmlformats.org/officeDocument/2006/relationships/image" Target="media/image31.jpeg"/><Relationship Id="rId60" Type="http://schemas.openxmlformats.org/officeDocument/2006/relationships/image" Target="media/image32.png"/><Relationship Id="rId61" Type="http://schemas.openxmlformats.org/officeDocument/2006/relationships/image" Target="media/image33.png"/><Relationship Id="rId62" Type="http://schemas.openxmlformats.org/officeDocument/2006/relationships/footer" Target="footer16.xml"/><Relationship Id="rId63" Type="http://schemas.openxmlformats.org/officeDocument/2006/relationships/image" Target="media/image34.jpeg"/><Relationship Id="rId64" Type="http://schemas.openxmlformats.org/officeDocument/2006/relationships/image" Target="media/image35.jpeg"/><Relationship Id="rId65" Type="http://schemas.openxmlformats.org/officeDocument/2006/relationships/image" Target="media/image36.jpeg"/><Relationship Id="rId66" Type="http://schemas.openxmlformats.org/officeDocument/2006/relationships/image" Target="media/image37.jpeg"/><Relationship Id="rId67" Type="http://schemas.openxmlformats.org/officeDocument/2006/relationships/image" Target="media/image38.png"/><Relationship Id="rId68" Type="http://schemas.openxmlformats.org/officeDocument/2006/relationships/image" Target="media/image39.jpeg"/><Relationship Id="rId69" Type="http://schemas.openxmlformats.org/officeDocument/2006/relationships/image" Target="media/image40.jpeg"/><Relationship Id="rId70" Type="http://schemas.openxmlformats.org/officeDocument/2006/relationships/image" Target="media/image41.png"/><Relationship Id="rId71" Type="http://schemas.openxmlformats.org/officeDocument/2006/relationships/image" Target="media/image42.jpeg"/><Relationship Id="rId72" Type="http://schemas.openxmlformats.org/officeDocument/2006/relationships/image" Target="media/image43.jpeg"/><Relationship Id="rId73" Type="http://schemas.openxmlformats.org/officeDocument/2006/relationships/image" Target="media/image44.jpeg"/><Relationship Id="rId74" Type="http://schemas.openxmlformats.org/officeDocument/2006/relationships/image" Target="media/image45.jpeg"/><Relationship Id="rId75" Type="http://schemas.openxmlformats.org/officeDocument/2006/relationships/image" Target="media/image46.jpeg"/><Relationship Id="rId76" Type="http://schemas.openxmlformats.org/officeDocument/2006/relationships/image" Target="media/image47.jpeg"/><Relationship Id="rId77" Type="http://schemas.openxmlformats.org/officeDocument/2006/relationships/image" Target="media/image48.jpeg"/><Relationship Id="rId78" Type="http://schemas.openxmlformats.org/officeDocument/2006/relationships/image" Target="media/image49.jpeg"/><Relationship Id="rId79" Type="http://schemas.openxmlformats.org/officeDocument/2006/relationships/image" Target="media/image50.png"/><Relationship Id="rId80" Type="http://schemas.openxmlformats.org/officeDocument/2006/relationships/image" Target="media/image51.jpeg"/><Relationship Id="rId81" Type="http://schemas.openxmlformats.org/officeDocument/2006/relationships/image" Target="media/image52.jpeg"/><Relationship Id="rId82" Type="http://schemas.openxmlformats.org/officeDocument/2006/relationships/image" Target="media/image53.png"/><Relationship Id="rId83" Type="http://schemas.openxmlformats.org/officeDocument/2006/relationships/image" Target="media/image54.jpeg"/><Relationship Id="rId84" Type="http://schemas.openxmlformats.org/officeDocument/2006/relationships/image" Target="media/image55.jpeg"/><Relationship Id="rId85" Type="http://schemas.openxmlformats.org/officeDocument/2006/relationships/image" Target="media/image56.png"/><Relationship Id="rId86" Type="http://schemas.openxmlformats.org/officeDocument/2006/relationships/image" Target="media/image57.jpeg"/><Relationship Id="rId87" Type="http://schemas.openxmlformats.org/officeDocument/2006/relationships/hyperlink" Target="http://es.wikipedia.org/wiki/Idioma_franc%C3%A9s" TargetMode="External"/><Relationship Id="rId88" Type="http://schemas.openxmlformats.org/officeDocument/2006/relationships/image" Target="media/image58.jpeg"/><Relationship Id="rId89" Type="http://schemas.openxmlformats.org/officeDocument/2006/relationships/image" Target="media/image59.jpeg"/><Relationship Id="rId90" Type="http://schemas.openxmlformats.org/officeDocument/2006/relationships/image" Target="media/image60.jpeg"/><Relationship Id="rId91" Type="http://schemas.openxmlformats.org/officeDocument/2006/relationships/image" Target="media/image61.png"/><Relationship Id="rId92" Type="http://schemas.openxmlformats.org/officeDocument/2006/relationships/footer" Target="footer17.xml"/><Relationship Id="rId93" Type="http://schemas.openxmlformats.org/officeDocument/2006/relationships/image" Target="media/image62.png"/><Relationship Id="rId94" Type="http://schemas.openxmlformats.org/officeDocument/2006/relationships/image" Target="media/image63.jpeg"/><Relationship Id="rId95" Type="http://schemas.openxmlformats.org/officeDocument/2006/relationships/image" Target="media/image64.jpeg"/><Relationship Id="rId96" Type="http://schemas.openxmlformats.org/officeDocument/2006/relationships/image" Target="media/image65.jpeg"/><Relationship Id="rId97" Type="http://schemas.openxmlformats.org/officeDocument/2006/relationships/image" Target="media/image66.jpeg"/><Relationship Id="rId98" Type="http://schemas.openxmlformats.org/officeDocument/2006/relationships/image" Target="media/image67.jpeg"/><Relationship Id="rId99" Type="http://schemas.openxmlformats.org/officeDocument/2006/relationships/image" Target="media/image68.jpeg"/><Relationship Id="rId100" Type="http://schemas.openxmlformats.org/officeDocument/2006/relationships/image" Target="media/image69.jpeg"/><Relationship Id="rId101" Type="http://schemas.openxmlformats.org/officeDocument/2006/relationships/image" Target="media/image70.jpeg"/><Relationship Id="rId102" Type="http://schemas.openxmlformats.org/officeDocument/2006/relationships/image" Target="media/image71.png"/><Relationship Id="rId103" Type="http://schemas.openxmlformats.org/officeDocument/2006/relationships/footer" Target="footer18.xml"/><Relationship Id="rId104" Type="http://schemas.openxmlformats.org/officeDocument/2006/relationships/image" Target="media/image72.jpeg"/><Relationship Id="rId105" Type="http://schemas.openxmlformats.org/officeDocument/2006/relationships/image" Target="media/image73.jpeg"/><Relationship Id="rId106" Type="http://schemas.openxmlformats.org/officeDocument/2006/relationships/image" Target="media/image74.jpeg"/><Relationship Id="rId107" Type="http://schemas.openxmlformats.org/officeDocument/2006/relationships/image" Target="media/image75.png"/><Relationship Id="rId108" Type="http://schemas.openxmlformats.org/officeDocument/2006/relationships/image" Target="media/image76.jpeg"/><Relationship Id="rId109" Type="http://schemas.openxmlformats.org/officeDocument/2006/relationships/image" Target="media/image77.jpeg"/><Relationship Id="rId110" Type="http://schemas.openxmlformats.org/officeDocument/2006/relationships/image" Target="media/image78.jpeg"/><Relationship Id="rId111" Type="http://schemas.openxmlformats.org/officeDocument/2006/relationships/image" Target="media/image79.png"/><Relationship Id="rId112" Type="http://schemas.openxmlformats.org/officeDocument/2006/relationships/image" Target="media/image80.jpeg"/><Relationship Id="rId113" Type="http://schemas.openxmlformats.org/officeDocument/2006/relationships/image" Target="media/image81.png"/><Relationship Id="rId114" Type="http://schemas.openxmlformats.org/officeDocument/2006/relationships/image" Target="media/image82.jpeg"/><Relationship Id="rId115" Type="http://schemas.openxmlformats.org/officeDocument/2006/relationships/image" Target="media/image83.jpeg"/><Relationship Id="rId116" Type="http://schemas.openxmlformats.org/officeDocument/2006/relationships/image" Target="media/image84.png"/><Relationship Id="rId117" Type="http://schemas.openxmlformats.org/officeDocument/2006/relationships/image" Target="media/image85.png"/><Relationship Id="rId118" Type="http://schemas.openxmlformats.org/officeDocument/2006/relationships/image" Target="media/image86.png"/><Relationship Id="rId119" Type="http://schemas.openxmlformats.org/officeDocument/2006/relationships/image" Target="media/image87.png"/><Relationship Id="rId120" Type="http://schemas.openxmlformats.org/officeDocument/2006/relationships/image" Target="media/image88.png"/><Relationship Id="rId121" Type="http://schemas.openxmlformats.org/officeDocument/2006/relationships/image" Target="media/image89.png"/><Relationship Id="rId122" Type="http://schemas.openxmlformats.org/officeDocument/2006/relationships/image" Target="media/image90.png"/><Relationship Id="rId123" Type="http://schemas.openxmlformats.org/officeDocument/2006/relationships/image" Target="media/image91.png"/><Relationship Id="rId124" Type="http://schemas.openxmlformats.org/officeDocument/2006/relationships/image" Target="media/image92.png"/><Relationship Id="rId125" Type="http://schemas.openxmlformats.org/officeDocument/2006/relationships/image" Target="media/image93.png"/><Relationship Id="rId126" Type="http://schemas.openxmlformats.org/officeDocument/2006/relationships/image" Target="media/image94.png"/><Relationship Id="rId127" Type="http://schemas.openxmlformats.org/officeDocument/2006/relationships/image" Target="media/image95.png"/><Relationship Id="rId128" Type="http://schemas.openxmlformats.org/officeDocument/2006/relationships/image" Target="media/image96.png"/><Relationship Id="rId129" Type="http://schemas.openxmlformats.org/officeDocument/2006/relationships/image" Target="media/image97.png"/><Relationship Id="rId130" Type="http://schemas.openxmlformats.org/officeDocument/2006/relationships/image" Target="media/image98.png"/><Relationship Id="rId131" Type="http://schemas.openxmlformats.org/officeDocument/2006/relationships/image" Target="media/image99.png"/><Relationship Id="rId132" Type="http://schemas.openxmlformats.org/officeDocument/2006/relationships/image" Target="media/image100.png"/><Relationship Id="rId133" Type="http://schemas.openxmlformats.org/officeDocument/2006/relationships/image" Target="media/image101.png"/><Relationship Id="rId134" Type="http://schemas.openxmlformats.org/officeDocument/2006/relationships/image" Target="media/image102.png"/><Relationship Id="rId135" Type="http://schemas.openxmlformats.org/officeDocument/2006/relationships/image" Target="media/image103.png"/><Relationship Id="rId136" Type="http://schemas.openxmlformats.org/officeDocument/2006/relationships/image" Target="media/image104.png"/><Relationship Id="rId137" Type="http://schemas.openxmlformats.org/officeDocument/2006/relationships/image" Target="media/image105.png"/><Relationship Id="rId138" Type="http://schemas.openxmlformats.org/officeDocument/2006/relationships/image" Target="media/image106.png"/><Relationship Id="rId139" Type="http://schemas.openxmlformats.org/officeDocument/2006/relationships/image" Target="media/image107.png"/><Relationship Id="rId140" Type="http://schemas.openxmlformats.org/officeDocument/2006/relationships/image" Target="media/image108.png"/><Relationship Id="rId141" Type="http://schemas.openxmlformats.org/officeDocument/2006/relationships/image" Target="media/image109.png"/><Relationship Id="rId142" Type="http://schemas.openxmlformats.org/officeDocument/2006/relationships/image" Target="media/image110.png"/><Relationship Id="rId143" Type="http://schemas.openxmlformats.org/officeDocument/2006/relationships/image" Target="media/image111.png"/><Relationship Id="rId144" Type="http://schemas.openxmlformats.org/officeDocument/2006/relationships/image" Target="media/image112.png"/><Relationship Id="rId145" Type="http://schemas.openxmlformats.org/officeDocument/2006/relationships/image" Target="media/image113.png"/><Relationship Id="rId146" Type="http://schemas.openxmlformats.org/officeDocument/2006/relationships/image" Target="media/image114.png"/><Relationship Id="rId147" Type="http://schemas.openxmlformats.org/officeDocument/2006/relationships/image" Target="media/image115.png"/><Relationship Id="rId148" Type="http://schemas.openxmlformats.org/officeDocument/2006/relationships/image" Target="media/image116.png"/><Relationship Id="rId149" Type="http://schemas.openxmlformats.org/officeDocument/2006/relationships/image" Target="media/image117.png"/><Relationship Id="rId150" Type="http://schemas.openxmlformats.org/officeDocument/2006/relationships/image" Target="media/image118.png"/><Relationship Id="rId151" Type="http://schemas.openxmlformats.org/officeDocument/2006/relationships/hyperlink" Target="mailto:scguadarramar@uaemex.mx" TargetMode="External"/><Relationship Id="rId152" Type="http://schemas.openxmlformats.org/officeDocument/2006/relationships/footer" Target="footer19.xml"/><Relationship Id="rId153" Type="http://schemas.openxmlformats.org/officeDocument/2006/relationships/footer" Target="footer20.xml"/><Relationship Id="rId154" Type="http://schemas.openxmlformats.org/officeDocument/2006/relationships/hyperlink" Target="http://www.jendodon.com/article/S0099-2399(05)60924-7/abstract" TargetMode="External"/><Relationship Id="rId155" Type="http://schemas.openxmlformats.org/officeDocument/2006/relationships/hyperlink" Target="http://www.jendodon.com/issues?issue_key=S0099-2399(05)X6061-7" TargetMode="External"/><Relationship Id="rId156" Type="http://schemas.openxmlformats.org/officeDocument/2006/relationships/hyperlink" Target="mailto:ees.dema.0.1e8e38.6d3a576b@eesmail.elsevier.com" TargetMode="External"/><Relationship Id="rId157" Type="http://schemas.openxmlformats.org/officeDocument/2006/relationships/hyperlink" Target="mailto:dentistry.dentmatj@manchester.ac.uk" TargetMode="External"/><Relationship Id="rId158" Type="http://schemas.openxmlformats.org/officeDocument/2006/relationships/hyperlink" Target="mailto:ramluckie@gmail.com" TargetMode="External"/><Relationship Id="rId159" Type="http://schemas.openxmlformats.org/officeDocument/2006/relationships/hyperlink" Target="http://ees.elsevier.com/dema/" TargetMode="External"/><Relationship Id="rId160" Type="http://schemas.openxmlformats.org/officeDocument/2006/relationships/hyperlink" Target="mailto:rmoralesl@uaemex.mx" TargetMode="External"/><Relationship Id="rId161" Type="http://schemas.openxmlformats.org/officeDocument/2006/relationships/hyperlink" Target="http://ees.elsevier.com/dema/automail_query.asp" TargetMode="External"/><Relationship Id="rId162" Type="http://schemas.openxmlformats.org/officeDocument/2006/relationships/image" Target="media/image119.png"/><Relationship Id="rId163" Type="http://schemas.openxmlformats.org/officeDocument/2006/relationships/image" Target="media/image120.png"/><Relationship Id="rId164" Type="http://schemas.openxmlformats.org/officeDocument/2006/relationships/footer" Target="footer21.xml"/><Relationship Id="rId165" Type="http://schemas.openxmlformats.org/officeDocument/2006/relationships/image" Target="media/image121.png"/><Relationship Id="rId166" Type="http://schemas.openxmlformats.org/officeDocument/2006/relationships/image" Target="media/image122.png"/><Relationship Id="rId167" Type="http://schemas.openxmlformats.org/officeDocument/2006/relationships/footer" Target="footer22.xml"/><Relationship Id="rId168" Type="http://schemas.openxmlformats.org/officeDocument/2006/relationships/image" Target="media/image123.png"/><Relationship Id="rId169" Type="http://schemas.openxmlformats.org/officeDocument/2006/relationships/image" Target="media/image124.png"/><Relationship Id="rId170" Type="http://schemas.openxmlformats.org/officeDocument/2006/relationships/image" Target="media/image125.png"/><Relationship Id="rId171" Type="http://schemas.openxmlformats.org/officeDocument/2006/relationships/image" Target="media/image126.png"/><Relationship Id="rId172" Type="http://schemas.openxmlformats.org/officeDocument/2006/relationships/image" Target="media/image127.jpeg"/><Relationship Id="rId173" Type="http://schemas.openxmlformats.org/officeDocument/2006/relationships/image" Target="media/image128.png"/><Relationship Id="rId174" Type="http://schemas.openxmlformats.org/officeDocument/2006/relationships/image" Target="media/image129.png"/><Relationship Id="rId175" Type="http://schemas.openxmlformats.org/officeDocument/2006/relationships/image" Target="media/image130.png"/><Relationship Id="rId176" Type="http://schemas.openxmlformats.org/officeDocument/2006/relationships/image" Target="media/image131.png"/><Relationship Id="rId177" Type="http://schemas.openxmlformats.org/officeDocument/2006/relationships/image" Target="media/image132.png"/><Relationship Id="rId178" Type="http://schemas.openxmlformats.org/officeDocument/2006/relationships/image" Target="media/image133.jpeg"/><Relationship Id="rId179" Type="http://schemas.openxmlformats.org/officeDocument/2006/relationships/image" Target="media/image134.png"/><Relationship Id="rId180" Type="http://schemas.openxmlformats.org/officeDocument/2006/relationships/image" Target="media/image135.jpeg"/><Relationship Id="rId181" Type="http://schemas.openxmlformats.org/officeDocument/2006/relationships/image" Target="media/image136.jpeg"/><Relationship Id="rId182" Type="http://schemas.openxmlformats.org/officeDocument/2006/relationships/image" Target="media/image137.jpeg"/><Relationship Id="rId183" Type="http://schemas.openxmlformats.org/officeDocument/2006/relationships/image" Target="media/image138.jpeg"/><Relationship Id="rId184" Type="http://schemas.openxmlformats.org/officeDocument/2006/relationships/image" Target="media/image139.jpeg"/><Relationship Id="rId185" Type="http://schemas.openxmlformats.org/officeDocument/2006/relationships/image" Target="media/image140.jpeg"/><Relationship Id="rId186" Type="http://schemas.openxmlformats.org/officeDocument/2006/relationships/image" Target="media/image141.png"/><Relationship Id="rId187" Type="http://schemas.openxmlformats.org/officeDocument/2006/relationships/image" Target="media/image142.png"/><Relationship Id="rId188" Type="http://schemas.openxmlformats.org/officeDocument/2006/relationships/image" Target="media/image143.png"/><Relationship Id="rId189" Type="http://schemas.openxmlformats.org/officeDocument/2006/relationships/image" Target="media/image144.png"/><Relationship Id="rId190" Type="http://schemas.openxmlformats.org/officeDocument/2006/relationships/image" Target="media/image145.png"/><Relationship Id="rId191" Type="http://schemas.openxmlformats.org/officeDocument/2006/relationships/image" Target="media/image146.png"/><Relationship Id="rId192" Type="http://schemas.openxmlformats.org/officeDocument/2006/relationships/image" Target="media/image147.png"/><Relationship Id="rId193" Type="http://schemas.openxmlformats.org/officeDocument/2006/relationships/image" Target="media/image148.png"/><Relationship Id="rId194" Type="http://schemas.openxmlformats.org/officeDocument/2006/relationships/image" Target="media/image149.jpeg"/><Relationship Id="rId195" Type="http://schemas.openxmlformats.org/officeDocument/2006/relationships/image" Target="media/image150.png"/><Relationship Id="rId196" Type="http://schemas.openxmlformats.org/officeDocument/2006/relationships/image" Target="media/image151.jpeg"/><Relationship Id="rId197" Type="http://schemas.openxmlformats.org/officeDocument/2006/relationships/image" Target="media/image152.png"/><Relationship Id="rId198" Type="http://schemas.openxmlformats.org/officeDocument/2006/relationships/image" Target="media/image153.png"/><Relationship Id="rId199" Type="http://schemas.openxmlformats.org/officeDocument/2006/relationships/image" Target="media/image154.png"/><Relationship Id="rId200" Type="http://schemas.openxmlformats.org/officeDocument/2006/relationships/image" Target="media/image155.png"/><Relationship Id="rId201" Type="http://schemas.openxmlformats.org/officeDocument/2006/relationships/image" Target="media/image156.png"/><Relationship Id="rId202" Type="http://schemas.openxmlformats.org/officeDocument/2006/relationships/image" Target="media/image157.png"/><Relationship Id="rId203" Type="http://schemas.openxmlformats.org/officeDocument/2006/relationships/image" Target="media/image158.png"/><Relationship Id="rId204" Type="http://schemas.openxmlformats.org/officeDocument/2006/relationships/image" Target="media/image159.png"/><Relationship Id="rId205" Type="http://schemas.openxmlformats.org/officeDocument/2006/relationships/image" Target="media/image160.png"/><Relationship Id="rId206" Type="http://schemas.openxmlformats.org/officeDocument/2006/relationships/image" Target="media/image161.png"/><Relationship Id="rId207" Type="http://schemas.openxmlformats.org/officeDocument/2006/relationships/image" Target="media/image162.png"/><Relationship Id="rId208" Type="http://schemas.openxmlformats.org/officeDocument/2006/relationships/image" Target="media/image163.png"/><Relationship Id="rId209" Type="http://schemas.openxmlformats.org/officeDocument/2006/relationships/image" Target="media/image164.png"/><Relationship Id="rId210" Type="http://schemas.openxmlformats.org/officeDocument/2006/relationships/image" Target="media/image165.png"/><Relationship Id="rId211" Type="http://schemas.openxmlformats.org/officeDocument/2006/relationships/image" Target="media/image166.png"/><Relationship Id="rId212" Type="http://schemas.openxmlformats.org/officeDocument/2006/relationships/image" Target="media/image167.png"/><Relationship Id="rId213" Type="http://schemas.openxmlformats.org/officeDocument/2006/relationships/image" Target="media/image168.png"/><Relationship Id="rId214" Type="http://schemas.openxmlformats.org/officeDocument/2006/relationships/image" Target="media/image169.png"/><Relationship Id="rId215" Type="http://schemas.openxmlformats.org/officeDocument/2006/relationships/image" Target="media/image170.png"/><Relationship Id="rId216" Type="http://schemas.openxmlformats.org/officeDocument/2006/relationships/image" Target="media/image171.png"/><Relationship Id="rId217" Type="http://schemas.openxmlformats.org/officeDocument/2006/relationships/footer" Target="footer23.xml"/><Relationship Id="rId218" Type="http://schemas.openxmlformats.org/officeDocument/2006/relationships/footer" Target="footer24.xml"/><Relationship Id="rId219" Type="http://schemas.openxmlformats.org/officeDocument/2006/relationships/header" Target="header6.xml"/><Relationship Id="rId220" Type="http://schemas.openxmlformats.org/officeDocument/2006/relationships/footer" Target="footer25.xml"/><Relationship Id="rId221" Type="http://schemas.openxmlformats.org/officeDocument/2006/relationships/header" Target="header7.xml"/><Relationship Id="rId222" Type="http://schemas.openxmlformats.org/officeDocument/2006/relationships/footer" Target="footer26.xml"/><Relationship Id="rId223" Type="http://schemas.openxmlformats.org/officeDocument/2006/relationships/image" Target="media/image172.png"/><Relationship Id="rId224" Type="http://schemas.openxmlformats.org/officeDocument/2006/relationships/footer" Target="footer27.xml"/><Relationship Id="rId225" Type="http://schemas.openxmlformats.org/officeDocument/2006/relationships/footer" Target="footer28.xml"/><Relationship Id="rId226" Type="http://schemas.openxmlformats.org/officeDocument/2006/relationships/hyperlink" Target="http://www.cenave.gob.mx/progaccion/saludbucal.pdf" TargetMode="External"/><Relationship Id="rId227" Type="http://schemas.openxmlformats.org/officeDocument/2006/relationships/hyperlink" Target="http://www.who.int/oral_health/media/en/orh_report03_en.pdf" TargetMode="External"/><Relationship Id="rId228" Type="http://schemas.openxmlformats.org/officeDocument/2006/relationships/hyperlink" Target="http://www.google.com.mx/search?tbo=p&amp;amp;tbm=bks&amp;amp;q=inauthor%3A%22Geoffrey%2BA.%2BOzin%22" TargetMode="External"/><Relationship Id="rId229" Type="http://schemas.openxmlformats.org/officeDocument/2006/relationships/hyperlink" Target="http://www.google.com.mx/search?tbo=p&amp;amp;tbm=bks&amp;amp;q=inauthor%3A%22Andr%C3%A9%2BC.%2BArsenault%22" TargetMode="External"/><Relationship Id="rId230" Type="http://schemas.openxmlformats.org/officeDocument/2006/relationships/hyperlink" Target="http://www.google.com.mx/search?tbo=p&amp;amp;tbm=bks&amp;amp;q=inauthor%3A%22Ludovico%2BCademartiri%22" TargetMode="External"/><Relationship Id="rId231" Type="http://schemas.openxmlformats.org/officeDocument/2006/relationships/footer" Target="footer29.xml"/><Relationship Id="rId232" Type="http://schemas.openxmlformats.org/officeDocument/2006/relationships/footer" Target="footer30.xml"/><Relationship Id="rId233" Type="http://schemas.openxmlformats.org/officeDocument/2006/relationships/hyperlink" Target="http://www.knovel.com/web/portal/browse/display?_EXT_KNOVEL_DISPLAY_bookid=1703&amp;amp;VerticalID=0" TargetMode="External"/><Relationship Id="rId234" Type="http://schemas.openxmlformats.org/officeDocument/2006/relationships/hyperlink" Target="http://www.epa.gov/greenchemistry/" TargetMode="External"/><Relationship Id="rId235" Type="http://schemas.openxmlformats.org/officeDocument/2006/relationships/hyperlink" Target="http://www.tropicos.org/" TargetMode="External"/><Relationship Id="rId236" Type="http://schemas.openxmlformats.org/officeDocument/2006/relationships/footer" Target="footer31.xml"/><Relationship Id="rId237" Type="http://schemas.openxmlformats.org/officeDocument/2006/relationships/image" Target="media/image173.jpeg"/><Relationship Id="rId238" Type="http://schemas.openxmlformats.org/officeDocument/2006/relationships/image" Target="media/image174.jpeg"/><Relationship Id="rId239" Type="http://schemas.openxmlformats.org/officeDocument/2006/relationships/footer" Target="footer32.xml"/><Relationship Id="rId240" Type="http://schemas.openxmlformats.org/officeDocument/2006/relationships/image" Target="media/image175.jpeg"/><Relationship Id="rId241" Type="http://schemas.openxmlformats.org/officeDocument/2006/relationships/image" Target="media/image176.png"/><Relationship Id="rId242" Type="http://schemas.openxmlformats.org/officeDocument/2006/relationships/image" Target="media/image177.jpeg"/><Relationship Id="rId243" Type="http://schemas.openxmlformats.org/officeDocument/2006/relationships/image" Target="media/image178.jpeg"/><Relationship Id="rId244" Type="http://schemas.openxmlformats.org/officeDocument/2006/relationships/footer" Target="footer33.xml"/><Relationship Id="rId245" Type="http://schemas.openxmlformats.org/officeDocument/2006/relationships/image" Target="media/image179.jpeg"/><Relationship Id="rId246" Type="http://schemas.openxmlformats.org/officeDocument/2006/relationships/footer" Target="footer34.xml"/><Relationship Id="rId247" Type="http://schemas.openxmlformats.org/officeDocument/2006/relationships/image" Target="media/image180.jpeg"/><Relationship Id="rId24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Sarai Carmina</dc:creator>
  <dc:title>EFECTO ANTIBACTERIANO DE LAS NANOPARTÍCULAS DE PLATA VERSUS CLORHEXIDINA SOBRE STREPTOCOCCUS MUTANS Y LACTOBACILLUS CASEI</dc:title>
  <dcterms:created xsi:type="dcterms:W3CDTF">2017-05-22T23:12:47Z</dcterms:created>
  <dcterms:modified xsi:type="dcterms:W3CDTF">2017-05-22T23:12:47Z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2013-01-24T00:00:00Z</vt:filetime>
  </property>
  <property fmtid="{D5CDD505-2E9C-101B-9397-08002B2CF9AE}" pid="3" name="Creator">
    <vt:lpwstr>Microsoft® Word 2010</vt:lpwstr>
  </property>
  <property fmtid="{D5CDD505-2E9C-101B-9397-08002B2CF9AE}" pid="4" name="LastSaved">
    <vt:filetime>2017-05-22T00:00:00Z</vt:filetime>
  </property>
</Properties>
</file>