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Default Extension="png" ContentType="image/png"/>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12.9pt;margin-top:37.900002pt;width:112.2pt;height:711.7pt;mso-position-horizontal-relative:page;mso-position-vertical-relative:page;z-index:-152728" coordorigin="258,758" coordsize="2244,14234">
            <v:shape style="position:absolute;left:258;top:758;width:2244;height:2008" type="#_x0000_t75" stroked="false">
              <v:imagedata r:id="rId5" o:title=""/>
            </v:shape>
            <v:shape style="position:absolute;left:853;top:13290;width:942;height:1702" type="#_x0000_t75" stroked="false">
              <v:imagedata r:id="rId6" o:title=""/>
            </v:shape>
            <v:line style="position:absolute" from="1327,2430" to="1328,13290" stroked="true" strokeweight="1.5pt" strokecolor="#000000"/>
            <v:shape style="position:absolute;left:1080;top:2850;width:480;height:9990" coordorigin="1080,2850" coordsize="480,9990" path="m1080,2850l1080,12840m1560,2850l1560,12840e" filled="false" stroked="true" strokeweight=".75pt" strokecolor="#000000">
              <v:path arrowok="t"/>
            </v:shape>
            <w10:wrap type="none"/>
          </v:group>
        </w:pict>
      </w:r>
    </w:p>
    <w:p>
      <w:pPr>
        <w:pStyle w:val="BodyText"/>
        <w:rPr>
          <w:rFonts w:ascii="Times New Roman"/>
          <w:sz w:val="20"/>
        </w:rPr>
      </w:pPr>
    </w:p>
    <w:p>
      <w:pPr>
        <w:pStyle w:val="BodyText"/>
        <w:rPr>
          <w:rFonts w:ascii="Times New Roman"/>
          <w:sz w:val="20"/>
        </w:rPr>
      </w:pPr>
    </w:p>
    <w:p>
      <w:pPr>
        <w:pStyle w:val="BodyText"/>
        <w:spacing w:before="5"/>
        <w:rPr>
          <w:rFonts w:ascii="Times New Roman"/>
          <w:sz w:val="23"/>
        </w:rPr>
      </w:pPr>
    </w:p>
    <w:p>
      <w:pPr>
        <w:pStyle w:val="Heading1"/>
        <w:ind w:left="2385"/>
      </w:pPr>
      <w:r>
        <w:rPr/>
        <w:t>UNIVERSIDAD AUTÓNOMA DEL ESTADO DE MÉXICO</w:t>
      </w:r>
    </w:p>
    <w:p>
      <w:pPr>
        <w:pStyle w:val="BodyText"/>
        <w:rPr>
          <w:b/>
          <w:sz w:val="28"/>
        </w:rPr>
      </w:pPr>
    </w:p>
    <w:p>
      <w:pPr>
        <w:pStyle w:val="BodyText"/>
        <w:spacing w:before="10"/>
        <w:rPr>
          <w:b/>
          <w:sz w:val="27"/>
        </w:rPr>
      </w:pPr>
    </w:p>
    <w:p>
      <w:pPr>
        <w:spacing w:before="0"/>
        <w:ind w:left="2740" w:right="967" w:firstLine="0"/>
        <w:jc w:val="center"/>
        <w:rPr>
          <w:b/>
          <w:sz w:val="28"/>
        </w:rPr>
      </w:pPr>
      <w:r>
        <w:rPr>
          <w:b/>
          <w:sz w:val="28"/>
        </w:rPr>
        <w:t>FACULTAD DE ODONTOLOGÍA</w:t>
      </w:r>
    </w:p>
    <w:p>
      <w:pPr>
        <w:pStyle w:val="Heading2"/>
        <w:spacing w:before="159"/>
        <w:ind w:left="2740" w:right="1157"/>
        <w:jc w:val="center"/>
      </w:pPr>
      <w:r>
        <w:rPr/>
        <w:t>CENTRO DE INVESTIGACIÓN Y ESTUDIOS AVANZADOS EN ODONTOLOGÍA</w:t>
      </w:r>
    </w:p>
    <w:p>
      <w:pPr>
        <w:spacing w:before="0"/>
        <w:ind w:left="2732" w:right="1157" w:firstLine="0"/>
        <w:jc w:val="center"/>
        <w:rPr>
          <w:b/>
          <w:sz w:val="24"/>
        </w:rPr>
      </w:pPr>
      <w:r>
        <w:rPr>
          <w:b/>
          <w:sz w:val="24"/>
        </w:rPr>
        <w:t>“DR. KEISABURO MIYATA”</w:t>
      </w:r>
    </w:p>
    <w:p>
      <w:pPr>
        <w:pStyle w:val="BodyText"/>
        <w:rPr>
          <w:b/>
        </w:rPr>
      </w:pPr>
    </w:p>
    <w:p>
      <w:pPr>
        <w:pStyle w:val="BodyText"/>
        <w:spacing w:before="2"/>
        <w:rPr>
          <w:b/>
          <w:sz w:val="32"/>
        </w:rPr>
      </w:pPr>
    </w:p>
    <w:p>
      <w:pPr>
        <w:spacing w:before="0"/>
        <w:ind w:left="3165" w:right="1563" w:firstLine="528"/>
        <w:jc w:val="left"/>
        <w:rPr>
          <w:b/>
          <w:sz w:val="28"/>
        </w:rPr>
      </w:pPr>
      <w:r>
        <w:rPr>
          <w:b/>
          <w:sz w:val="28"/>
        </w:rPr>
        <w:t>DETECCIÓN DE POLIMORFISMOS DEL GEN GLUTATIÓN S-TRANSFERANSA</w:t>
      </w:r>
    </w:p>
    <w:p>
      <w:pPr>
        <w:spacing w:before="0"/>
        <w:ind w:left="2409" w:right="810" w:firstLine="1603"/>
        <w:jc w:val="left"/>
        <w:rPr>
          <w:b/>
          <w:sz w:val="28"/>
        </w:rPr>
      </w:pPr>
      <w:r>
        <w:rPr>
          <w:b/>
          <w:sz w:val="28"/>
        </w:rPr>
        <w:t>EN INDIVIDUOS CON CARIES EXPUESTOS OCUPACIONALMENTE A PLAGUICIDAS</w:t>
      </w:r>
    </w:p>
    <w:p>
      <w:pPr>
        <w:pStyle w:val="BodyText"/>
        <w:rPr>
          <w:b/>
          <w:sz w:val="28"/>
        </w:rPr>
      </w:pPr>
    </w:p>
    <w:p>
      <w:pPr>
        <w:tabs>
          <w:tab w:pos="1990" w:val="left" w:leader="none"/>
          <w:tab w:pos="2410" w:val="left" w:leader="none"/>
          <w:tab w:pos="2830" w:val="left" w:leader="none"/>
          <w:tab w:pos="3142" w:val="left" w:leader="none"/>
        </w:tabs>
        <w:spacing w:before="201"/>
        <w:ind w:left="1584" w:right="0" w:firstLine="0"/>
        <w:jc w:val="center"/>
        <w:rPr>
          <w:b/>
          <w:sz w:val="28"/>
        </w:rPr>
      </w:pPr>
      <w:r>
        <w:rPr>
          <w:b/>
          <w:sz w:val="28"/>
        </w:rPr>
        <w:t>T</w:t>
        <w:tab/>
        <w:t>E</w:t>
        <w:tab/>
        <w:t>S</w:t>
        <w:tab/>
        <w:t>I</w:t>
        <w:tab/>
        <w:t>S</w:t>
      </w:r>
    </w:p>
    <w:p>
      <w:pPr>
        <w:pStyle w:val="BodyText"/>
        <w:spacing w:before="10"/>
        <w:rPr>
          <w:b/>
          <w:sz w:val="27"/>
        </w:rPr>
      </w:pPr>
    </w:p>
    <w:p>
      <w:pPr>
        <w:spacing w:before="0"/>
        <w:ind w:left="3016" w:right="1436" w:hanging="1"/>
        <w:jc w:val="center"/>
        <w:rPr>
          <w:b/>
          <w:sz w:val="28"/>
        </w:rPr>
      </w:pPr>
      <w:r>
        <w:rPr>
          <w:b/>
          <w:sz w:val="28"/>
        </w:rPr>
        <w:t>QUE PARA OBTENER EL GRADO DE MAESTRÍA EN CIENCIAS ODONTOLÓGICAS</w:t>
      </w:r>
    </w:p>
    <w:p>
      <w:pPr>
        <w:pStyle w:val="BodyText"/>
        <w:rPr>
          <w:b/>
          <w:sz w:val="28"/>
        </w:rPr>
      </w:pPr>
    </w:p>
    <w:p>
      <w:pPr>
        <w:pStyle w:val="BodyText"/>
        <w:spacing w:before="5"/>
        <w:rPr>
          <w:b/>
          <w:sz w:val="31"/>
        </w:rPr>
      </w:pPr>
    </w:p>
    <w:p>
      <w:pPr>
        <w:tabs>
          <w:tab w:pos="2010" w:val="left" w:leader="none"/>
          <w:tab w:pos="2445" w:val="left" w:leader="none"/>
          <w:tab w:pos="2865" w:val="left" w:leader="none"/>
          <w:tab w:pos="3364" w:val="left" w:leader="none"/>
          <w:tab w:pos="3784" w:val="left" w:leader="none"/>
          <w:tab w:pos="4219" w:val="left" w:leader="none"/>
          <w:tab w:pos="4627" w:val="left" w:leader="none"/>
        </w:tabs>
        <w:spacing w:before="0"/>
        <w:ind w:left="1588" w:right="0" w:firstLine="0"/>
        <w:jc w:val="center"/>
        <w:rPr>
          <w:b/>
          <w:sz w:val="28"/>
        </w:rPr>
      </w:pPr>
      <w:r>
        <w:rPr>
          <w:b/>
          <w:sz w:val="28"/>
        </w:rPr>
        <w:t>P</w:t>
        <w:tab/>
        <w:t>R</w:t>
        <w:tab/>
        <w:t>E</w:t>
        <w:tab/>
        <w:t>S</w:t>
        <w:tab/>
        <w:t>E</w:t>
        <w:tab/>
        <w:t>N</w:t>
        <w:tab/>
        <w:t>T</w:t>
        <w:tab/>
        <w:t>A</w:t>
      </w:r>
    </w:p>
    <w:p>
      <w:pPr>
        <w:pStyle w:val="BodyText"/>
        <w:spacing w:before="10"/>
        <w:rPr>
          <w:b/>
          <w:sz w:val="27"/>
        </w:rPr>
      </w:pPr>
    </w:p>
    <w:p>
      <w:pPr>
        <w:spacing w:before="0"/>
        <w:ind w:left="2145" w:right="0" w:firstLine="0"/>
        <w:jc w:val="left"/>
        <w:rPr>
          <w:b/>
          <w:sz w:val="28"/>
        </w:rPr>
      </w:pPr>
      <w:r>
        <w:rPr>
          <w:b/>
          <w:sz w:val="28"/>
        </w:rPr>
        <w:t>E. EN E. MARIANA GABRIELA LECOURTOIS AMÉZQUITA</w:t>
      </w:r>
    </w:p>
    <w:p>
      <w:pPr>
        <w:pStyle w:val="BodyText"/>
        <w:rPr>
          <w:b/>
          <w:sz w:val="28"/>
        </w:rPr>
      </w:pPr>
    </w:p>
    <w:p>
      <w:pPr>
        <w:pStyle w:val="BodyText"/>
        <w:spacing w:before="5"/>
        <w:rPr>
          <w:b/>
          <w:sz w:val="31"/>
        </w:rPr>
      </w:pPr>
    </w:p>
    <w:p>
      <w:pPr>
        <w:spacing w:before="0"/>
        <w:ind w:left="2738" w:right="1157" w:firstLine="0"/>
        <w:jc w:val="center"/>
        <w:rPr>
          <w:b/>
          <w:sz w:val="28"/>
        </w:rPr>
      </w:pPr>
      <w:r>
        <w:rPr>
          <w:b/>
          <w:sz w:val="28"/>
        </w:rPr>
        <w:t>TUTOR ACADÉMICO</w:t>
      </w:r>
    </w:p>
    <w:p>
      <w:pPr>
        <w:pStyle w:val="BodyText"/>
        <w:spacing w:before="10"/>
        <w:rPr>
          <w:b/>
          <w:sz w:val="27"/>
        </w:rPr>
      </w:pPr>
    </w:p>
    <w:p>
      <w:pPr>
        <w:spacing w:before="0"/>
        <w:ind w:left="2735" w:right="1157" w:firstLine="0"/>
        <w:jc w:val="center"/>
        <w:rPr>
          <w:b/>
          <w:sz w:val="28"/>
        </w:rPr>
      </w:pPr>
      <w:r>
        <w:rPr>
          <w:b/>
          <w:sz w:val="28"/>
        </w:rPr>
        <w:t>DR. EN E. P. ALBERTO SALGADO VALDÉS</w:t>
      </w:r>
    </w:p>
    <w:p>
      <w:pPr>
        <w:pStyle w:val="BodyText"/>
        <w:rPr>
          <w:b/>
          <w:sz w:val="28"/>
        </w:rPr>
      </w:pPr>
    </w:p>
    <w:p>
      <w:pPr>
        <w:spacing w:line="322" w:lineRule="exact" w:before="249"/>
        <w:ind w:left="2736" w:right="1157" w:firstLine="0"/>
        <w:jc w:val="center"/>
        <w:rPr>
          <w:b/>
          <w:sz w:val="28"/>
        </w:rPr>
      </w:pPr>
      <w:r>
        <w:rPr>
          <w:b/>
          <w:sz w:val="28"/>
        </w:rPr>
        <w:t>TUTOR ADJUNTO</w:t>
      </w:r>
    </w:p>
    <w:p>
      <w:pPr>
        <w:spacing w:before="0"/>
        <w:ind w:left="2735" w:right="1157" w:firstLine="0"/>
        <w:jc w:val="center"/>
        <w:rPr>
          <w:b/>
          <w:sz w:val="28"/>
        </w:rPr>
      </w:pPr>
      <w:r>
        <w:rPr>
          <w:b/>
          <w:sz w:val="28"/>
        </w:rPr>
        <w:t>DRA EN C.Q.B JULIETA CASTILLO CADENA</w:t>
      </w:r>
    </w:p>
    <w:p>
      <w:pPr>
        <w:pStyle w:val="BodyText"/>
        <w:rPr>
          <w:b/>
          <w:sz w:val="28"/>
        </w:rPr>
      </w:pPr>
    </w:p>
    <w:p>
      <w:pPr>
        <w:pStyle w:val="BodyText"/>
        <w:rPr>
          <w:b/>
          <w:sz w:val="28"/>
        </w:rPr>
      </w:pPr>
    </w:p>
    <w:p>
      <w:pPr>
        <w:pStyle w:val="BodyText"/>
        <w:rPr>
          <w:b/>
          <w:sz w:val="28"/>
        </w:rPr>
      </w:pPr>
    </w:p>
    <w:p>
      <w:pPr>
        <w:pStyle w:val="BodyText"/>
        <w:spacing w:before="10"/>
        <w:rPr>
          <w:b/>
          <w:sz w:val="28"/>
        </w:rPr>
      </w:pPr>
    </w:p>
    <w:p>
      <w:pPr>
        <w:spacing w:before="0"/>
        <w:ind w:left="2738" w:right="1157" w:firstLine="0"/>
        <w:jc w:val="center"/>
        <w:rPr>
          <w:b/>
          <w:sz w:val="28"/>
        </w:rPr>
      </w:pPr>
      <w:r>
        <w:rPr>
          <w:b/>
          <w:sz w:val="28"/>
        </w:rPr>
        <w:t>TOLUCA, ESTADO DE MÉXICO. AGOSTO 2013</w:t>
      </w:r>
    </w:p>
    <w:p>
      <w:pPr>
        <w:spacing w:after="0"/>
        <w:jc w:val="center"/>
        <w:rPr>
          <w:sz w:val="28"/>
        </w:rPr>
        <w:sectPr>
          <w:type w:val="continuous"/>
          <w:pgSz w:w="12240" w:h="15840"/>
          <w:pgMar w:top="760" w:bottom="280" w:left="140" w:right="1720"/>
        </w:sectPr>
      </w:pPr>
    </w:p>
    <w:p>
      <w:pPr>
        <w:pStyle w:val="BodyText"/>
        <w:rPr>
          <w:b/>
          <w:sz w:val="20"/>
        </w:rPr>
      </w:pPr>
    </w:p>
    <w:p>
      <w:pPr>
        <w:pStyle w:val="BodyText"/>
        <w:rPr>
          <w:b/>
          <w:sz w:val="20"/>
        </w:rPr>
      </w:pPr>
    </w:p>
    <w:p>
      <w:pPr>
        <w:pStyle w:val="BodyText"/>
        <w:spacing w:before="5"/>
        <w:rPr>
          <w:b/>
          <w:sz w:val="20"/>
        </w:rPr>
      </w:pPr>
    </w:p>
    <w:p>
      <w:pPr>
        <w:pStyle w:val="Heading1"/>
        <w:ind w:right="748"/>
        <w:jc w:val="center"/>
      </w:pPr>
      <w:r>
        <w:rPr/>
        <w:t>DEDICATORIA</w:t>
      </w:r>
    </w:p>
    <w:p>
      <w:pPr>
        <w:pStyle w:val="BodyText"/>
        <w:spacing w:before="9"/>
        <w:rPr>
          <w:b/>
          <w:sz w:val="27"/>
        </w:rPr>
      </w:pPr>
    </w:p>
    <w:p>
      <w:pPr>
        <w:spacing w:before="0"/>
        <w:ind w:left="735" w:right="757" w:firstLine="0"/>
        <w:jc w:val="center"/>
        <w:rPr>
          <w:rFonts w:ascii="Palatino Linotype" w:hAnsi="Palatino Linotype"/>
          <w:i/>
          <w:sz w:val="24"/>
        </w:rPr>
      </w:pPr>
      <w:r>
        <w:rPr>
          <w:rFonts w:ascii="Palatino Linotype" w:hAnsi="Palatino Linotype"/>
          <w:i/>
          <w:w w:val="135"/>
          <w:sz w:val="24"/>
        </w:rPr>
        <w:t>Para empezar un gran proyecto, hace falta</w:t>
      </w:r>
      <w:r>
        <w:rPr>
          <w:rFonts w:ascii="Palatino Linotype" w:hAnsi="Palatino Linotype"/>
          <w:i/>
          <w:spacing w:val="61"/>
          <w:w w:val="135"/>
          <w:sz w:val="24"/>
        </w:rPr>
        <w:t> </w:t>
      </w:r>
      <w:r>
        <w:rPr>
          <w:rFonts w:ascii="Palatino Linotype" w:hAnsi="Palatino Linotype"/>
          <w:i/>
          <w:w w:val="135"/>
          <w:sz w:val="24"/>
        </w:rPr>
        <w:t>valentía.</w:t>
      </w:r>
    </w:p>
    <w:p>
      <w:pPr>
        <w:spacing w:before="2"/>
        <w:ind w:left="735" w:right="677" w:firstLine="0"/>
        <w:jc w:val="center"/>
        <w:rPr>
          <w:rFonts w:ascii="Palatino Linotype"/>
          <w:i/>
          <w:sz w:val="24"/>
        </w:rPr>
      </w:pPr>
      <w:r>
        <w:rPr>
          <w:rFonts w:ascii="Palatino Linotype"/>
          <w:i/>
          <w:w w:val="135"/>
          <w:sz w:val="24"/>
        </w:rPr>
        <w:t>Para terminar un gran proyecto, hace falta</w:t>
      </w:r>
      <w:r>
        <w:rPr>
          <w:rFonts w:ascii="Palatino Linotype"/>
          <w:i/>
          <w:spacing w:val="73"/>
          <w:w w:val="135"/>
          <w:sz w:val="24"/>
        </w:rPr>
        <w:t> </w:t>
      </w:r>
      <w:r>
        <w:rPr>
          <w:rFonts w:ascii="Palatino Linotype"/>
          <w:i/>
          <w:w w:val="135"/>
          <w:sz w:val="24"/>
        </w:rPr>
        <w:t>perseverancia.</w:t>
      </w:r>
    </w:p>
    <w:p>
      <w:pPr>
        <w:pStyle w:val="BodyText"/>
        <w:rPr>
          <w:rFonts w:ascii="Palatino Linotype"/>
          <w:i/>
        </w:rPr>
      </w:pPr>
    </w:p>
    <w:p>
      <w:pPr>
        <w:pStyle w:val="BodyText"/>
        <w:spacing w:before="5"/>
        <w:rPr>
          <w:rFonts w:ascii="Palatino Linotype"/>
          <w:i/>
          <w:sz w:val="31"/>
        </w:rPr>
      </w:pPr>
    </w:p>
    <w:p>
      <w:pPr>
        <w:pStyle w:val="Heading2"/>
      </w:pPr>
      <w:r>
        <w:rPr/>
        <w:t>A mis padres.</w:t>
      </w:r>
    </w:p>
    <w:p>
      <w:pPr>
        <w:pStyle w:val="BodyText"/>
        <w:spacing w:line="360" w:lineRule="auto" w:before="137"/>
        <w:ind w:left="162" w:right="181"/>
        <w:jc w:val="both"/>
      </w:pPr>
      <w:r>
        <w:rPr/>
        <w:t>Con mucho cariño por ser el pilar fundamental en todo lo que soy, en toda mi educación, sobre todo la espiritual. Con sus ejemplos de perseverancia me han enseñado seguir adelante, pero más que nada, por su amor incondicional. Los admiro por ser unos grandes luchadores</w:t>
      </w:r>
    </w:p>
    <w:p>
      <w:pPr>
        <w:pStyle w:val="BodyText"/>
      </w:pPr>
    </w:p>
    <w:p>
      <w:pPr>
        <w:pStyle w:val="Heading2"/>
        <w:spacing w:before="142"/>
      </w:pPr>
      <w:r>
        <w:rPr/>
        <w:t>A mi esposo.</w:t>
      </w:r>
    </w:p>
    <w:p>
      <w:pPr>
        <w:pStyle w:val="BodyText"/>
        <w:spacing w:line="360" w:lineRule="auto" w:before="137"/>
        <w:ind w:left="162" w:right="179"/>
        <w:jc w:val="both"/>
      </w:pPr>
      <w:r>
        <w:rPr/>
        <w:t>Por siempre estar a mi lado, brindándome todo su amor, y siempre motivándome nunca me dejaste caes y sobre todo por tenerme mucha comprensión y paciencia durante estos años de mi vida. Mil gracias porque siempre estas a mi lado sin condiciones.</w:t>
      </w:r>
    </w:p>
    <w:p>
      <w:pPr>
        <w:pStyle w:val="BodyText"/>
      </w:pPr>
    </w:p>
    <w:p>
      <w:pPr>
        <w:pStyle w:val="Heading2"/>
        <w:spacing w:before="142"/>
      </w:pPr>
      <w:r>
        <w:rPr/>
        <w:t>Mis maestros.</w:t>
      </w:r>
    </w:p>
    <w:p>
      <w:pPr>
        <w:pStyle w:val="BodyText"/>
        <w:spacing w:line="360" w:lineRule="auto" w:before="137"/>
        <w:ind w:left="162" w:right="176"/>
        <w:jc w:val="both"/>
      </w:pPr>
      <w:r>
        <w:rPr/>
        <w:t>Dra. Julieta Castillo Cadena por su gran apoyo, motivación y paciencia </w:t>
      </w:r>
      <w:r>
        <w:rPr>
          <w:spacing w:val="-2"/>
        </w:rPr>
        <w:t>que </w:t>
      </w:r>
      <w:r>
        <w:rPr/>
        <w:t>siempre me ofreció, fue un gusto y honor haber trabajado con usted. Dr. Alberto Salgado Valdés por su disponibilidad en todo momento y por impulsar el desarrollo de esta investigación. Dr. Angel Visoso Salgado por su tiempo compartido y apoyo ofrecido en este trabajo e impulsar el desarrollo de nuestra formación</w:t>
      </w:r>
      <w:r>
        <w:rPr>
          <w:spacing w:val="-22"/>
        </w:rPr>
        <w:t> </w:t>
      </w:r>
      <w:r>
        <w:rPr/>
        <w:t>profesional.</w:t>
      </w:r>
    </w:p>
    <w:p>
      <w:pPr>
        <w:spacing w:after="0" w:line="360" w:lineRule="auto"/>
        <w:jc w:val="both"/>
        <w:sectPr>
          <w:headerReference w:type="default" r:id="rId7"/>
          <w:footerReference w:type="default" r:id="rId8"/>
          <w:pgSz w:w="12240" w:h="15840"/>
          <w:pgMar w:header="733" w:footer="1039" w:top="1020" w:bottom="1220" w:left="1540" w:right="1520"/>
          <w:pgNumType w:start="1"/>
        </w:sectPr>
      </w:pPr>
    </w:p>
    <w:p>
      <w:pPr>
        <w:pStyle w:val="BodyText"/>
        <w:rPr>
          <w:sz w:val="20"/>
        </w:rPr>
      </w:pPr>
    </w:p>
    <w:p>
      <w:pPr>
        <w:pStyle w:val="BodyText"/>
        <w:rPr>
          <w:sz w:val="20"/>
        </w:rPr>
      </w:pPr>
    </w:p>
    <w:p>
      <w:pPr>
        <w:pStyle w:val="BodyText"/>
        <w:spacing w:before="11"/>
        <w:rPr>
          <w:sz w:val="27"/>
        </w:rPr>
      </w:pPr>
    </w:p>
    <w:p>
      <w:pPr>
        <w:pStyle w:val="Heading1"/>
        <w:ind w:right="751"/>
        <w:jc w:val="center"/>
      </w:pPr>
      <w:r>
        <w:rPr/>
        <w:t>INDICE</w:t>
      </w:r>
    </w:p>
    <w:p>
      <w:pPr>
        <w:pStyle w:val="BodyText"/>
        <w:rPr>
          <w:b/>
          <w:sz w:val="28"/>
        </w:rPr>
      </w:pPr>
    </w:p>
    <w:p>
      <w:pPr>
        <w:pStyle w:val="BodyText"/>
        <w:rPr>
          <w:b/>
          <w:sz w:val="28"/>
        </w:rPr>
      </w:pPr>
    </w:p>
    <w:p>
      <w:pPr>
        <w:pStyle w:val="BodyText"/>
        <w:rPr>
          <w:b/>
          <w:sz w:val="28"/>
        </w:rPr>
      </w:pPr>
    </w:p>
    <w:p>
      <w:pPr>
        <w:pStyle w:val="BodyText"/>
        <w:spacing w:before="10"/>
        <w:rPr>
          <w:b/>
          <w:sz w:val="27"/>
        </w:rPr>
      </w:pPr>
    </w:p>
    <w:p>
      <w:pPr>
        <w:spacing w:after="0"/>
        <w:rPr>
          <w:sz w:val="27"/>
        </w:rPr>
        <w:sectPr>
          <w:pgSz w:w="12240" w:h="15840"/>
          <w:pgMar w:header="733" w:footer="1039" w:top="1020" w:bottom="1433" w:left="1540" w:right="1520"/>
        </w:sectPr>
      </w:pPr>
    </w:p>
    <w:sdt>
      <w:sdtPr>
        <w:docPartObj>
          <w:docPartGallery w:val="Table of Contents"/>
          <w:docPartUnique/>
        </w:docPartObj>
      </w:sdtPr>
      <w:sdtEndPr/>
      <w:sdtContent>
        <w:p>
          <w:pPr>
            <w:pStyle w:val="TOC1"/>
            <w:numPr>
              <w:ilvl w:val="0"/>
              <w:numId w:val="1"/>
            </w:numPr>
            <w:tabs>
              <w:tab w:pos="347" w:val="left" w:leader="none"/>
              <w:tab w:pos="8877" w:val="left" w:leader="dot"/>
            </w:tabs>
            <w:spacing w:line="240" w:lineRule="auto" w:before="0" w:after="0"/>
            <w:ind w:left="346" w:right="0" w:hanging="184"/>
            <w:jc w:val="left"/>
          </w:pPr>
          <w:hyperlink w:history="true" w:anchor="_TOC_250040">
            <w:r>
              <w:rPr/>
              <w:t>RESUMEN</w:t>
              <w:tab/>
              <w:t>4</w:t>
            </w:r>
          </w:hyperlink>
        </w:p>
        <w:p>
          <w:pPr>
            <w:pStyle w:val="TOC1"/>
            <w:numPr>
              <w:ilvl w:val="0"/>
              <w:numId w:val="1"/>
            </w:numPr>
            <w:tabs>
              <w:tab w:pos="407" w:val="left" w:leader="none"/>
              <w:tab w:pos="8877" w:val="left" w:leader="dot"/>
            </w:tabs>
            <w:spacing w:line="240" w:lineRule="auto" w:before="138" w:after="0"/>
            <w:ind w:left="406" w:right="0" w:hanging="244"/>
            <w:jc w:val="left"/>
          </w:pPr>
          <w:hyperlink w:history="true" w:anchor="_TOC_250039">
            <w:r>
              <w:rPr/>
              <w:t>INTRODUCCIÓN</w:t>
              <w:tab/>
              <w:t>7</w:t>
            </w:r>
          </w:hyperlink>
        </w:p>
        <w:p>
          <w:pPr>
            <w:pStyle w:val="TOC1"/>
            <w:numPr>
              <w:ilvl w:val="0"/>
              <w:numId w:val="1"/>
            </w:numPr>
            <w:tabs>
              <w:tab w:pos="470" w:val="left" w:leader="none"/>
              <w:tab w:pos="8877" w:val="left" w:leader="dot"/>
            </w:tabs>
            <w:spacing w:line="240" w:lineRule="auto" w:before="140" w:after="0"/>
            <w:ind w:left="469" w:right="0" w:hanging="307"/>
            <w:jc w:val="left"/>
          </w:pPr>
          <w:hyperlink w:history="true" w:anchor="_TOC_250038">
            <w:r>
              <w:rPr/>
              <w:t>ANTECEDENTES</w:t>
              <w:tab/>
              <w:t>7</w:t>
            </w:r>
          </w:hyperlink>
        </w:p>
        <w:p>
          <w:pPr>
            <w:pStyle w:val="TOC2"/>
            <w:numPr>
              <w:ilvl w:val="1"/>
              <w:numId w:val="1"/>
            </w:numPr>
            <w:tabs>
              <w:tab w:pos="599" w:val="left" w:leader="none"/>
              <w:tab w:pos="8877" w:val="left" w:leader="dot"/>
            </w:tabs>
            <w:spacing w:line="240" w:lineRule="auto" w:before="126" w:after="0"/>
            <w:ind w:left="598" w:right="0" w:hanging="220"/>
            <w:jc w:val="left"/>
            <w:rPr>
              <w:sz w:val="22"/>
            </w:rPr>
          </w:pPr>
          <w:hyperlink w:history="true" w:anchor="_TOC_250037">
            <w:r>
              <w:rPr/>
              <w:t>La Caries</w:t>
            </w:r>
            <w:r>
              <w:rPr>
                <w:sz w:val="22"/>
              </w:rPr>
              <w:tab/>
              <w:t>7</w:t>
            </w:r>
          </w:hyperlink>
        </w:p>
        <w:p>
          <w:pPr>
            <w:pStyle w:val="TOC4"/>
            <w:numPr>
              <w:ilvl w:val="2"/>
              <w:numId w:val="1"/>
            </w:numPr>
            <w:tabs>
              <w:tab w:pos="933" w:val="left" w:leader="none"/>
              <w:tab w:pos="8877" w:val="left" w:leader="dot"/>
            </w:tabs>
            <w:spacing w:line="240" w:lineRule="auto" w:before="127" w:after="0"/>
            <w:ind w:left="932" w:right="0" w:hanging="331"/>
            <w:jc w:val="left"/>
            <w:rPr>
              <w:sz w:val="22"/>
            </w:rPr>
          </w:pPr>
          <w:hyperlink w:history="true" w:anchor="_TOC_250036">
            <w:r>
              <w:rPr/>
              <w:t>Factores</w:t>
            </w:r>
            <w:r>
              <w:rPr>
                <w:spacing w:val="-2"/>
              </w:rPr>
              <w:t> </w:t>
            </w:r>
            <w:r>
              <w:rPr/>
              <w:t>etiológicos</w:t>
            </w:r>
            <w:r>
              <w:rPr>
                <w:sz w:val="22"/>
              </w:rPr>
              <w:tab/>
              <w:t>8</w:t>
            </w:r>
          </w:hyperlink>
        </w:p>
        <w:p>
          <w:pPr>
            <w:pStyle w:val="TOC4"/>
            <w:numPr>
              <w:ilvl w:val="2"/>
              <w:numId w:val="1"/>
            </w:numPr>
            <w:tabs>
              <w:tab w:pos="924" w:val="left" w:leader="none"/>
              <w:tab w:pos="8720" w:val="left" w:leader="dot"/>
            </w:tabs>
            <w:spacing w:line="240" w:lineRule="auto" w:before="126" w:after="0"/>
            <w:ind w:left="923" w:right="0" w:hanging="332"/>
            <w:jc w:val="left"/>
            <w:rPr>
              <w:sz w:val="22"/>
            </w:rPr>
          </w:pPr>
          <w:hyperlink w:history="true" w:anchor="_TOC_250035">
            <w:r>
              <w:rPr/>
              <w:t>Clasificación</w:t>
            </w:r>
            <w:r>
              <w:rPr>
                <w:spacing w:val="-1"/>
              </w:rPr>
              <w:t> </w:t>
            </w:r>
            <w:r>
              <w:rPr/>
              <w:t>de</w:t>
            </w:r>
            <w:r>
              <w:rPr>
                <w:spacing w:val="-2"/>
              </w:rPr>
              <w:t> </w:t>
            </w:r>
            <w:r>
              <w:rPr/>
              <w:t>caries</w:t>
            </w:r>
            <w:r>
              <w:rPr>
                <w:rFonts w:ascii="Times New Roman" w:hAnsi="Times New Roman"/>
                <w:sz w:val="22"/>
              </w:rPr>
              <w:tab/>
            </w:r>
            <w:r>
              <w:rPr>
                <w:sz w:val="22"/>
              </w:rPr>
              <w:t>15</w:t>
            </w:r>
          </w:hyperlink>
        </w:p>
        <w:p>
          <w:pPr>
            <w:pStyle w:val="TOC4"/>
            <w:numPr>
              <w:ilvl w:val="2"/>
              <w:numId w:val="1"/>
            </w:numPr>
            <w:tabs>
              <w:tab w:pos="882" w:val="left" w:leader="none"/>
              <w:tab w:pos="8735" w:val="left" w:leader="dot"/>
            </w:tabs>
            <w:spacing w:line="240" w:lineRule="auto" w:before="128" w:after="0"/>
            <w:ind w:left="882" w:right="0" w:hanging="334"/>
            <w:jc w:val="left"/>
            <w:rPr>
              <w:sz w:val="22"/>
            </w:rPr>
          </w:pPr>
          <w:hyperlink w:history="true" w:anchor="_TOC_250034">
            <w:r>
              <w:rPr/>
              <w:t>Diagnóstico de</w:t>
            </w:r>
            <w:r>
              <w:rPr>
                <w:spacing w:val="-3"/>
              </w:rPr>
              <w:t> </w:t>
            </w:r>
            <w:r>
              <w:rPr/>
              <w:t>caries</w:t>
            </w:r>
            <w:r>
              <w:rPr>
                <w:spacing w:val="-2"/>
              </w:rPr>
              <w:t> </w:t>
            </w:r>
            <w:r>
              <w:rPr/>
              <w:t>dental</w:t>
            </w:r>
            <w:r>
              <w:rPr>
                <w:rFonts w:ascii="Times New Roman" w:hAnsi="Times New Roman"/>
                <w:sz w:val="22"/>
              </w:rPr>
              <w:tab/>
            </w:r>
            <w:r>
              <w:rPr>
                <w:sz w:val="22"/>
              </w:rPr>
              <w:t>16</w:t>
            </w:r>
          </w:hyperlink>
        </w:p>
        <w:p>
          <w:pPr>
            <w:pStyle w:val="TOC3"/>
            <w:numPr>
              <w:ilvl w:val="1"/>
              <w:numId w:val="1"/>
            </w:numPr>
            <w:tabs>
              <w:tab w:pos="606" w:val="left" w:leader="none"/>
              <w:tab w:pos="8524" w:val="left" w:leader="dot"/>
            </w:tabs>
            <w:spacing w:line="240" w:lineRule="auto" w:before="126" w:after="0"/>
            <w:ind w:left="605" w:right="0" w:hanging="223"/>
            <w:jc w:val="center"/>
            <w:rPr>
              <w:sz w:val="22"/>
            </w:rPr>
          </w:pPr>
          <w:r>
            <w:rPr/>
            <w:t>Los</w:t>
          </w:r>
          <w:r>
            <w:rPr>
              <w:spacing w:val="-3"/>
            </w:rPr>
            <w:t> </w:t>
          </w:r>
          <w:r>
            <w:rPr/>
            <w:t>Plaguicidas</w:t>
          </w:r>
          <w:r>
            <w:rPr>
              <w:rFonts w:ascii="Times New Roman"/>
              <w:sz w:val="22"/>
            </w:rPr>
            <w:tab/>
          </w:r>
          <w:r>
            <w:rPr>
              <w:sz w:val="22"/>
            </w:rPr>
            <w:t>16</w:t>
          </w:r>
        </w:p>
        <w:p>
          <w:pPr>
            <w:pStyle w:val="TOC4"/>
            <w:numPr>
              <w:ilvl w:val="1"/>
              <w:numId w:val="2"/>
            </w:numPr>
            <w:tabs>
              <w:tab w:pos="938" w:val="left" w:leader="none"/>
              <w:tab w:pos="8723" w:val="left" w:leader="dot"/>
            </w:tabs>
            <w:spacing w:line="240" w:lineRule="auto" w:before="126" w:after="0"/>
            <w:ind w:left="937" w:right="0" w:hanging="389"/>
            <w:jc w:val="left"/>
            <w:rPr>
              <w:sz w:val="22"/>
            </w:rPr>
          </w:pPr>
          <w:hyperlink w:history="true" w:anchor="_TOC_250033">
            <w:r>
              <w:rPr/>
              <w:t>Toxicidad de</w:t>
            </w:r>
            <w:r>
              <w:rPr>
                <w:spacing w:val="-6"/>
              </w:rPr>
              <w:t> </w:t>
            </w:r>
            <w:r>
              <w:rPr/>
              <w:t>los</w:t>
            </w:r>
            <w:r>
              <w:rPr>
                <w:spacing w:val="-2"/>
              </w:rPr>
              <w:t> </w:t>
            </w:r>
            <w:r>
              <w:rPr/>
              <w:t>plaguicidas</w:t>
            </w:r>
            <w:r>
              <w:rPr>
                <w:rFonts w:ascii="Times New Roman"/>
                <w:sz w:val="22"/>
              </w:rPr>
              <w:tab/>
            </w:r>
            <w:r>
              <w:rPr>
                <w:sz w:val="22"/>
              </w:rPr>
              <w:t>17</w:t>
            </w:r>
          </w:hyperlink>
        </w:p>
        <w:p>
          <w:pPr>
            <w:pStyle w:val="TOC4"/>
            <w:numPr>
              <w:ilvl w:val="1"/>
              <w:numId w:val="2"/>
            </w:numPr>
            <w:tabs>
              <w:tab w:pos="995" w:val="left" w:leader="none"/>
              <w:tab w:pos="8727" w:val="left" w:leader="dot"/>
            </w:tabs>
            <w:spacing w:line="240" w:lineRule="auto" w:before="126" w:after="0"/>
            <w:ind w:left="994" w:right="0" w:hanging="388"/>
            <w:jc w:val="left"/>
            <w:rPr>
              <w:sz w:val="22"/>
            </w:rPr>
          </w:pPr>
          <w:hyperlink w:history="true" w:anchor="_TOC_250032">
            <w:r>
              <w:rPr/>
              <w:t>Clasificación de</w:t>
            </w:r>
            <w:r>
              <w:rPr>
                <w:spacing w:val="-2"/>
              </w:rPr>
              <w:t> </w:t>
            </w:r>
            <w:r>
              <w:rPr/>
              <w:t>los</w:t>
            </w:r>
            <w:r>
              <w:rPr>
                <w:spacing w:val="-2"/>
              </w:rPr>
              <w:t> </w:t>
            </w:r>
            <w:r>
              <w:rPr/>
              <w:t>plaguicidas</w:t>
            </w:r>
            <w:r>
              <w:rPr>
                <w:rFonts w:ascii="Times New Roman" w:hAnsi="Times New Roman"/>
                <w:sz w:val="22"/>
              </w:rPr>
              <w:tab/>
            </w:r>
            <w:r>
              <w:rPr>
                <w:sz w:val="22"/>
              </w:rPr>
              <w:t>17</w:t>
            </w:r>
          </w:hyperlink>
        </w:p>
        <w:p>
          <w:pPr>
            <w:pStyle w:val="TOC4"/>
            <w:numPr>
              <w:ilvl w:val="1"/>
              <w:numId w:val="2"/>
            </w:numPr>
            <w:tabs>
              <w:tab w:pos="995" w:val="left" w:leader="none"/>
              <w:tab w:pos="8739" w:val="left" w:leader="dot"/>
            </w:tabs>
            <w:spacing w:line="240" w:lineRule="auto" w:before="126" w:after="0"/>
            <w:ind w:left="994" w:right="0" w:hanging="388"/>
            <w:jc w:val="left"/>
            <w:rPr>
              <w:sz w:val="22"/>
            </w:rPr>
          </w:pPr>
          <w:hyperlink w:history="true" w:anchor="_TOC_250031">
            <w:r>
              <w:rPr/>
              <w:t>Uso de plaguicidas en</w:t>
            </w:r>
            <w:r>
              <w:rPr>
                <w:spacing w:val="-5"/>
              </w:rPr>
              <w:t> </w:t>
            </w:r>
            <w:r>
              <w:rPr/>
              <w:t>la</w:t>
            </w:r>
            <w:r>
              <w:rPr>
                <w:spacing w:val="-2"/>
              </w:rPr>
              <w:t> </w:t>
            </w:r>
            <w:r>
              <w:rPr/>
              <w:t>floricultura</w:t>
            </w:r>
            <w:r>
              <w:rPr>
                <w:rFonts w:ascii="Times New Roman"/>
                <w:sz w:val="22"/>
              </w:rPr>
              <w:tab/>
            </w:r>
            <w:r>
              <w:rPr>
                <w:sz w:val="22"/>
              </w:rPr>
              <w:t>19</w:t>
            </w:r>
          </w:hyperlink>
        </w:p>
        <w:p>
          <w:pPr>
            <w:pStyle w:val="TOC4"/>
            <w:numPr>
              <w:ilvl w:val="1"/>
              <w:numId w:val="2"/>
            </w:numPr>
            <w:tabs>
              <w:tab w:pos="993" w:val="left" w:leader="none"/>
              <w:tab w:pos="8738" w:val="left" w:leader="dot"/>
            </w:tabs>
            <w:spacing w:line="240" w:lineRule="auto" w:before="126" w:after="0"/>
            <w:ind w:left="992" w:right="0" w:hanging="386"/>
            <w:jc w:val="left"/>
            <w:rPr>
              <w:sz w:val="22"/>
            </w:rPr>
          </w:pPr>
          <w:hyperlink w:history="true" w:anchor="_TOC_250030">
            <w:r>
              <w:rPr/>
              <w:t>Genotoxicidad</w:t>
            </w:r>
            <w:r>
              <w:rPr>
                <w:spacing w:val="-2"/>
              </w:rPr>
              <w:t> </w:t>
            </w:r>
            <w:r>
              <w:rPr/>
              <w:t>por</w:t>
            </w:r>
            <w:r>
              <w:rPr>
                <w:spacing w:val="-3"/>
              </w:rPr>
              <w:t> </w:t>
            </w:r>
            <w:r>
              <w:rPr/>
              <w:t>plaguicidas</w:t>
            </w:r>
            <w:r>
              <w:rPr>
                <w:sz w:val="22"/>
              </w:rPr>
              <w:tab/>
              <w:t>20</w:t>
            </w:r>
          </w:hyperlink>
        </w:p>
        <w:p>
          <w:pPr>
            <w:pStyle w:val="TOC4"/>
            <w:numPr>
              <w:ilvl w:val="1"/>
              <w:numId w:val="2"/>
            </w:numPr>
            <w:tabs>
              <w:tab w:pos="995" w:val="left" w:leader="none"/>
              <w:tab w:pos="8711" w:val="left" w:leader="dot"/>
            </w:tabs>
            <w:spacing w:line="240" w:lineRule="auto" w:before="126" w:after="0"/>
            <w:ind w:left="994" w:right="0" w:hanging="388"/>
            <w:jc w:val="left"/>
            <w:rPr>
              <w:sz w:val="22"/>
            </w:rPr>
          </w:pPr>
          <w:hyperlink w:history="true" w:anchor="_TOC_250029">
            <w:r>
              <w:rPr/>
              <w:t>Susceptibilidad por exposición</w:t>
            </w:r>
            <w:r>
              <w:rPr>
                <w:spacing w:val="-8"/>
              </w:rPr>
              <w:t> </w:t>
            </w:r>
            <w:r>
              <w:rPr/>
              <w:t>a</w:t>
            </w:r>
            <w:r>
              <w:rPr>
                <w:spacing w:val="-3"/>
              </w:rPr>
              <w:t> </w:t>
            </w:r>
            <w:r>
              <w:rPr/>
              <w:t>plaguicidas</w:t>
            </w:r>
            <w:r>
              <w:rPr>
                <w:rFonts w:ascii="Times New Roman" w:hAnsi="Times New Roman"/>
                <w:sz w:val="22"/>
              </w:rPr>
              <w:tab/>
            </w:r>
            <w:r>
              <w:rPr>
                <w:sz w:val="22"/>
              </w:rPr>
              <w:t>22</w:t>
            </w:r>
          </w:hyperlink>
        </w:p>
        <w:p>
          <w:pPr>
            <w:pStyle w:val="TOC3"/>
            <w:numPr>
              <w:ilvl w:val="1"/>
              <w:numId w:val="1"/>
            </w:numPr>
            <w:tabs>
              <w:tab w:pos="661" w:val="left" w:leader="none"/>
              <w:tab w:pos="8718" w:val="left" w:leader="dot"/>
            </w:tabs>
            <w:spacing w:line="240" w:lineRule="auto" w:before="126" w:after="0"/>
            <w:ind w:left="661" w:right="0" w:hanging="223"/>
            <w:jc w:val="left"/>
            <w:rPr>
              <w:sz w:val="22"/>
            </w:rPr>
          </w:pPr>
          <w:r>
            <w:rPr/>
            <w:t>Polimorfismos</w:t>
          </w:r>
          <w:r>
            <w:rPr>
              <w:spacing w:val="-2"/>
            </w:rPr>
            <w:t> </w:t>
          </w:r>
          <w:r>
            <w:rPr/>
            <w:t>Genéticos</w:t>
          </w:r>
          <w:r>
            <w:rPr>
              <w:rFonts w:ascii="Times New Roman" w:hAnsi="Times New Roman"/>
              <w:sz w:val="22"/>
            </w:rPr>
            <w:tab/>
          </w:r>
          <w:r>
            <w:rPr>
              <w:sz w:val="22"/>
            </w:rPr>
            <w:t>23</w:t>
          </w:r>
        </w:p>
        <w:p>
          <w:pPr>
            <w:pStyle w:val="TOC5"/>
            <w:numPr>
              <w:ilvl w:val="2"/>
              <w:numId w:val="1"/>
            </w:numPr>
            <w:tabs>
              <w:tab w:pos="995" w:val="left" w:leader="none"/>
              <w:tab w:pos="8751" w:val="left" w:leader="dot"/>
            </w:tabs>
            <w:spacing w:line="240" w:lineRule="auto" w:before="128" w:after="0"/>
            <w:ind w:left="994" w:right="0" w:hanging="333"/>
            <w:jc w:val="left"/>
            <w:rPr>
              <w:sz w:val="22"/>
            </w:rPr>
          </w:pPr>
          <w:hyperlink w:history="true" w:anchor="_TOC_250028">
            <w:r>
              <w:rPr/>
              <w:t>Polimorfismos de Nucleótido</w:t>
            </w:r>
            <w:r>
              <w:rPr>
                <w:spacing w:val="-6"/>
              </w:rPr>
              <w:t> </w:t>
            </w:r>
            <w:r>
              <w:rPr/>
              <w:t>Sencillo</w:t>
            </w:r>
            <w:r>
              <w:rPr>
                <w:spacing w:val="-3"/>
              </w:rPr>
              <w:t> </w:t>
            </w:r>
            <w:r>
              <w:rPr/>
              <w:t>(SNP)</w:t>
            </w:r>
            <w:r>
              <w:rPr>
                <w:rFonts w:ascii="Times New Roman" w:hAnsi="Times New Roman"/>
                <w:sz w:val="22"/>
              </w:rPr>
              <w:tab/>
            </w:r>
            <w:r>
              <w:rPr>
                <w:sz w:val="22"/>
              </w:rPr>
              <w:t>23</w:t>
            </w:r>
          </w:hyperlink>
        </w:p>
        <w:p>
          <w:pPr>
            <w:pStyle w:val="TOC5"/>
            <w:numPr>
              <w:ilvl w:val="2"/>
              <w:numId w:val="1"/>
            </w:numPr>
            <w:tabs>
              <w:tab w:pos="995" w:val="left" w:leader="none"/>
              <w:tab w:pos="8735" w:val="left" w:leader="dot"/>
            </w:tabs>
            <w:spacing w:line="240" w:lineRule="auto" w:before="126" w:after="0"/>
            <w:ind w:left="994" w:right="0" w:hanging="333"/>
            <w:jc w:val="left"/>
            <w:rPr>
              <w:sz w:val="22"/>
            </w:rPr>
          </w:pPr>
          <w:hyperlink w:history="true" w:anchor="_TOC_250027">
            <w:r>
              <w:rPr/>
              <w:t>Polimorfismos de Secuencias</w:t>
            </w:r>
            <w:r>
              <w:rPr>
                <w:spacing w:val="-5"/>
              </w:rPr>
              <w:t> </w:t>
            </w:r>
            <w:r>
              <w:rPr/>
              <w:t>Repetidas</w:t>
            </w:r>
            <w:r>
              <w:rPr>
                <w:spacing w:val="-2"/>
              </w:rPr>
              <w:t> </w:t>
            </w:r>
            <w:r>
              <w:rPr/>
              <w:t>(VNTR)</w:t>
            </w:r>
            <w:r>
              <w:rPr>
                <w:rFonts w:ascii="Times New Roman"/>
                <w:sz w:val="22"/>
              </w:rPr>
              <w:tab/>
            </w:r>
            <w:r>
              <w:rPr>
                <w:sz w:val="22"/>
              </w:rPr>
              <w:t>23</w:t>
            </w:r>
          </w:hyperlink>
        </w:p>
        <w:p>
          <w:pPr>
            <w:pStyle w:val="TOC5"/>
            <w:tabs>
              <w:tab w:pos="8730" w:val="left" w:leader="dot"/>
            </w:tabs>
            <w:rPr>
              <w:sz w:val="22"/>
            </w:rPr>
          </w:pPr>
          <w:hyperlink w:history="true" w:anchor="_TOC_250026">
            <w:r>
              <w:rPr/>
              <w:t>3.3. Polimorfismos de la</w:t>
            </w:r>
            <w:r>
              <w:rPr>
                <w:spacing w:val="-6"/>
              </w:rPr>
              <w:t> </w:t>
            </w:r>
            <w:r>
              <w:rPr/>
              <w:t>glutatión</w:t>
            </w:r>
            <w:r>
              <w:rPr>
                <w:spacing w:val="-1"/>
              </w:rPr>
              <w:t> </w:t>
            </w:r>
            <w:r>
              <w:rPr/>
              <w:t>S-transferasa</w:t>
            </w:r>
            <w:r>
              <w:rPr>
                <w:rFonts w:ascii="Times New Roman" w:hAnsi="Times New Roman"/>
                <w:sz w:val="22"/>
              </w:rPr>
              <w:tab/>
            </w:r>
            <w:r>
              <w:rPr>
                <w:sz w:val="22"/>
              </w:rPr>
              <w:t>24</w:t>
            </w:r>
          </w:hyperlink>
        </w:p>
        <w:p>
          <w:pPr>
            <w:pStyle w:val="TOC5"/>
            <w:tabs>
              <w:tab w:pos="8725" w:val="left" w:leader="dot"/>
            </w:tabs>
            <w:rPr>
              <w:sz w:val="22"/>
            </w:rPr>
          </w:pPr>
          <w:hyperlink w:history="true" w:anchor="_TOC_250025">
            <w:r>
              <w:rPr/>
              <w:t>3.4 Identificación de</w:t>
            </w:r>
            <w:r>
              <w:rPr>
                <w:spacing w:val="-8"/>
              </w:rPr>
              <w:t> </w:t>
            </w:r>
            <w:r>
              <w:rPr/>
              <w:t>polimorfismos</w:t>
            </w:r>
            <w:r>
              <w:rPr>
                <w:spacing w:val="-3"/>
              </w:rPr>
              <w:t> </w:t>
            </w:r>
            <w:r>
              <w:rPr/>
              <w:t>genéticos</w:t>
            </w:r>
            <w:r>
              <w:rPr>
                <w:rFonts w:ascii="Times New Roman" w:hAnsi="Times New Roman"/>
                <w:sz w:val="22"/>
              </w:rPr>
              <w:tab/>
            </w:r>
            <w:r>
              <w:rPr>
                <w:sz w:val="22"/>
              </w:rPr>
              <w:t>28</w:t>
            </w:r>
          </w:hyperlink>
        </w:p>
        <w:p>
          <w:pPr>
            <w:pStyle w:val="TOC5"/>
            <w:tabs>
              <w:tab w:pos="8726" w:val="left" w:leader="dot"/>
            </w:tabs>
            <w:rPr>
              <w:sz w:val="22"/>
            </w:rPr>
          </w:pPr>
          <w:r>
            <w:rPr/>
            <w:t>3.5. Polimorfismos de la GST y exposición</w:t>
          </w:r>
          <w:r>
            <w:rPr>
              <w:spacing w:val="-9"/>
            </w:rPr>
            <w:t> </w:t>
          </w:r>
          <w:r>
            <w:rPr/>
            <w:t>a</w:t>
          </w:r>
          <w:r>
            <w:rPr>
              <w:spacing w:val="-3"/>
            </w:rPr>
            <w:t> </w:t>
          </w:r>
          <w:r>
            <w:rPr/>
            <w:t>plaguicidas</w:t>
          </w:r>
          <w:r>
            <w:rPr>
              <w:rFonts w:ascii="Times New Roman" w:hAnsi="Times New Roman"/>
              <w:sz w:val="22"/>
            </w:rPr>
            <w:tab/>
          </w:r>
          <w:r>
            <w:rPr>
              <w:sz w:val="22"/>
            </w:rPr>
            <w:t>29</w:t>
          </w:r>
        </w:p>
        <w:p>
          <w:pPr>
            <w:pStyle w:val="TOC1"/>
            <w:numPr>
              <w:ilvl w:val="0"/>
              <w:numId w:val="1"/>
            </w:numPr>
            <w:tabs>
              <w:tab w:pos="496" w:val="left" w:leader="none"/>
              <w:tab w:pos="8718" w:val="left" w:leader="dot"/>
            </w:tabs>
            <w:spacing w:line="240" w:lineRule="auto" w:before="126" w:after="0"/>
            <w:ind w:left="495" w:right="0" w:hanging="333"/>
            <w:jc w:val="left"/>
          </w:pPr>
          <w:hyperlink w:history="true" w:anchor="_TOC_250024">
            <w:r>
              <w:rPr/>
              <w:t>PLANTEAMIENTO</w:t>
            </w:r>
            <w:r>
              <w:rPr>
                <w:spacing w:val="-5"/>
              </w:rPr>
              <w:t> </w:t>
            </w:r>
            <w:r>
              <w:rPr/>
              <w:t>DEL</w:t>
            </w:r>
            <w:r>
              <w:rPr>
                <w:spacing w:val="-4"/>
              </w:rPr>
              <w:t> </w:t>
            </w:r>
            <w:r>
              <w:rPr/>
              <w:t>PROBLEMA</w:t>
            </w:r>
            <w:r>
              <w:rPr>
                <w:rFonts w:ascii="Times New Roman"/>
              </w:rPr>
              <w:tab/>
            </w:r>
            <w:r>
              <w:rPr/>
              <w:t>31</w:t>
            </w:r>
          </w:hyperlink>
        </w:p>
        <w:p>
          <w:pPr>
            <w:pStyle w:val="TOC1"/>
            <w:numPr>
              <w:ilvl w:val="0"/>
              <w:numId w:val="1"/>
            </w:numPr>
            <w:tabs>
              <w:tab w:pos="433" w:val="left" w:leader="none"/>
              <w:tab w:pos="8692" w:val="left" w:leader="dot"/>
            </w:tabs>
            <w:spacing w:line="240" w:lineRule="auto" w:before="126" w:after="0"/>
            <w:ind w:left="433" w:right="0" w:hanging="271"/>
            <w:jc w:val="left"/>
          </w:pPr>
          <w:hyperlink w:history="true" w:anchor="_TOC_250023">
            <w:r>
              <w:rPr/>
              <w:t>JUSTIFICACIÓN</w:t>
            </w:r>
            <w:r>
              <w:rPr>
                <w:rFonts w:ascii="Times New Roman" w:hAnsi="Times New Roman"/>
              </w:rPr>
              <w:tab/>
            </w:r>
            <w:r>
              <w:rPr/>
              <w:t>32</w:t>
            </w:r>
          </w:hyperlink>
        </w:p>
        <w:p>
          <w:pPr>
            <w:pStyle w:val="TOC1"/>
            <w:numPr>
              <w:ilvl w:val="0"/>
              <w:numId w:val="1"/>
            </w:numPr>
            <w:tabs>
              <w:tab w:pos="496" w:val="left" w:leader="none"/>
              <w:tab w:pos="8671" w:val="left" w:leader="dot"/>
            </w:tabs>
            <w:spacing w:line="240" w:lineRule="auto" w:before="126" w:after="0"/>
            <w:ind w:left="495" w:right="0" w:hanging="333"/>
            <w:jc w:val="left"/>
          </w:pPr>
          <w:r>
            <w:rPr/>
            <w:t>HIPÓTESIS</w:t>
            <w:tab/>
            <w:t>33</w:t>
          </w:r>
        </w:p>
        <w:p>
          <w:pPr>
            <w:pStyle w:val="TOC1"/>
            <w:numPr>
              <w:ilvl w:val="0"/>
              <w:numId w:val="1"/>
            </w:numPr>
            <w:tabs>
              <w:tab w:pos="554" w:val="left" w:leader="none"/>
              <w:tab w:pos="8695" w:val="left" w:leader="dot"/>
            </w:tabs>
            <w:spacing w:line="240" w:lineRule="auto" w:before="127" w:after="0"/>
            <w:ind w:left="553" w:right="0" w:hanging="391"/>
            <w:jc w:val="left"/>
          </w:pPr>
          <w:hyperlink w:history="true" w:anchor="_TOC_250022">
            <w:r>
              <w:rPr/>
              <w:t>OBJETIVOS</w:t>
            </w:r>
            <w:r>
              <w:rPr>
                <w:rFonts w:ascii="Times New Roman"/>
              </w:rPr>
              <w:tab/>
            </w:r>
            <w:r>
              <w:rPr/>
              <w:t>34</w:t>
            </w:r>
          </w:hyperlink>
        </w:p>
        <w:p>
          <w:pPr>
            <w:pStyle w:val="TOC1"/>
            <w:numPr>
              <w:ilvl w:val="0"/>
              <w:numId w:val="1"/>
            </w:numPr>
            <w:tabs>
              <w:tab w:pos="616" w:val="left" w:leader="none"/>
              <w:tab w:pos="8708" w:val="left" w:leader="dot"/>
            </w:tabs>
            <w:spacing w:line="240" w:lineRule="auto" w:before="128" w:after="0"/>
            <w:ind w:left="615" w:right="0" w:hanging="453"/>
            <w:jc w:val="left"/>
          </w:pPr>
          <w:r>
            <w:rPr/>
            <w:t>DISEÑO</w:t>
          </w:r>
          <w:r>
            <w:rPr>
              <w:spacing w:val="-3"/>
            </w:rPr>
            <w:t> </w:t>
          </w:r>
          <w:r>
            <w:rPr/>
            <w:t>METODOLÓGICO</w:t>
          </w:r>
          <w:r>
            <w:rPr>
              <w:rFonts w:ascii="Times New Roman" w:hAnsi="Times New Roman"/>
            </w:rPr>
            <w:tab/>
          </w:r>
          <w:r>
            <w:rPr/>
            <w:t>35</w:t>
          </w:r>
        </w:p>
        <w:p>
          <w:pPr>
            <w:pStyle w:val="TOC6"/>
            <w:numPr>
              <w:ilvl w:val="1"/>
              <w:numId w:val="3"/>
            </w:numPr>
            <w:tabs>
              <w:tab w:pos="1106" w:val="left" w:leader="none"/>
              <w:tab w:pos="8723" w:val="left" w:leader="dot"/>
            </w:tabs>
            <w:spacing w:line="240" w:lineRule="auto" w:before="126" w:after="0"/>
            <w:ind w:left="1105" w:right="0" w:hanging="389"/>
            <w:jc w:val="left"/>
            <w:rPr>
              <w:sz w:val="22"/>
            </w:rPr>
          </w:pPr>
          <w:hyperlink w:history="true" w:anchor="_TOC_250021">
            <w:r>
              <w:rPr/>
              <w:t>Diseño de</w:t>
            </w:r>
            <w:r>
              <w:rPr>
                <w:spacing w:val="-2"/>
              </w:rPr>
              <w:t> </w:t>
            </w:r>
            <w:r>
              <w:rPr/>
              <w:t>la</w:t>
            </w:r>
            <w:r>
              <w:rPr>
                <w:spacing w:val="-3"/>
              </w:rPr>
              <w:t> </w:t>
            </w:r>
            <w:r>
              <w:rPr/>
              <w:t>Investigación</w:t>
            </w:r>
            <w:r>
              <w:rPr>
                <w:rFonts w:ascii="Times New Roman" w:hAnsi="Times New Roman"/>
                <w:sz w:val="22"/>
              </w:rPr>
              <w:tab/>
            </w:r>
            <w:r>
              <w:rPr>
                <w:sz w:val="22"/>
              </w:rPr>
              <w:t>35</w:t>
            </w:r>
          </w:hyperlink>
        </w:p>
        <w:p>
          <w:pPr>
            <w:pStyle w:val="TOC6"/>
            <w:numPr>
              <w:ilvl w:val="1"/>
              <w:numId w:val="3"/>
            </w:numPr>
            <w:tabs>
              <w:tab w:pos="1106" w:val="left" w:leader="none"/>
              <w:tab w:pos="8744" w:val="left" w:leader="dot"/>
            </w:tabs>
            <w:spacing w:line="240" w:lineRule="auto" w:before="126" w:after="0"/>
            <w:ind w:left="1105" w:right="0" w:hanging="389"/>
            <w:jc w:val="left"/>
            <w:rPr>
              <w:sz w:val="22"/>
            </w:rPr>
          </w:pPr>
          <w:r>
            <w:rPr/>
            <w:t>Población</w:t>
          </w:r>
          <w:r>
            <w:rPr>
              <w:spacing w:val="1"/>
            </w:rPr>
            <w:t> </w:t>
          </w:r>
          <w:r>
            <w:rPr/>
            <w:t>y/o</w:t>
          </w:r>
          <w:r>
            <w:rPr>
              <w:spacing w:val="-1"/>
            </w:rPr>
            <w:t> </w:t>
          </w:r>
          <w:r>
            <w:rPr/>
            <w:t>universo</w:t>
          </w:r>
          <w:r>
            <w:rPr>
              <w:rFonts w:ascii="Times New Roman" w:hAnsi="Times New Roman"/>
              <w:sz w:val="22"/>
            </w:rPr>
            <w:tab/>
          </w:r>
          <w:r>
            <w:rPr>
              <w:sz w:val="22"/>
            </w:rPr>
            <w:t>35</w:t>
          </w:r>
        </w:p>
        <w:p>
          <w:pPr>
            <w:pStyle w:val="TOC6"/>
            <w:numPr>
              <w:ilvl w:val="1"/>
              <w:numId w:val="3"/>
            </w:numPr>
            <w:tabs>
              <w:tab w:pos="1106" w:val="left" w:leader="none"/>
              <w:tab w:pos="8697" w:val="left" w:leader="dot"/>
            </w:tabs>
            <w:spacing w:line="240" w:lineRule="auto" w:before="126" w:after="0"/>
            <w:ind w:left="1105" w:right="0" w:hanging="389"/>
            <w:jc w:val="left"/>
            <w:rPr>
              <w:sz w:val="22"/>
            </w:rPr>
          </w:pPr>
          <w:hyperlink w:history="true" w:anchor="_TOC_250020">
            <w:r>
              <w:rPr/>
              <w:t>Limites de espacio</w:t>
            </w:r>
            <w:r>
              <w:rPr>
                <w:spacing w:val="1"/>
              </w:rPr>
              <w:t> </w:t>
            </w:r>
            <w:r>
              <w:rPr/>
              <w:t>y</w:t>
            </w:r>
            <w:r>
              <w:rPr>
                <w:spacing w:val="-5"/>
              </w:rPr>
              <w:t> </w:t>
            </w:r>
            <w:r>
              <w:rPr/>
              <w:t>tiempo</w:t>
            </w:r>
            <w:r>
              <w:rPr>
                <w:sz w:val="22"/>
              </w:rPr>
              <w:tab/>
              <w:t>35</w:t>
            </w:r>
          </w:hyperlink>
        </w:p>
        <w:p>
          <w:pPr>
            <w:pStyle w:val="TOC7"/>
            <w:numPr>
              <w:ilvl w:val="1"/>
              <w:numId w:val="3"/>
            </w:numPr>
            <w:tabs>
              <w:tab w:pos="1106" w:val="left" w:leader="none"/>
              <w:tab w:pos="8724" w:val="left" w:leader="dot"/>
            </w:tabs>
            <w:spacing w:line="240" w:lineRule="auto" w:before="126" w:after="0"/>
            <w:ind w:left="1105" w:right="0" w:hanging="389"/>
            <w:jc w:val="left"/>
            <w:rPr>
              <w:b w:val="0"/>
              <w:i w:val="0"/>
              <w:sz w:val="22"/>
            </w:rPr>
          </w:pPr>
          <w:hyperlink w:history="true" w:anchor="_TOC_250019">
            <w:r>
              <w:rPr>
                <w:b w:val="0"/>
                <w:i w:val="0"/>
                <w:sz w:val="20"/>
              </w:rPr>
              <w:t>Muestreo</w:t>
            </w:r>
            <w:r>
              <w:rPr>
                <w:rFonts w:ascii="Times New Roman"/>
                <w:b w:val="0"/>
                <w:i w:val="0"/>
                <w:sz w:val="22"/>
              </w:rPr>
              <w:tab/>
            </w:r>
            <w:r>
              <w:rPr>
                <w:b w:val="0"/>
                <w:i w:val="0"/>
                <w:sz w:val="22"/>
              </w:rPr>
              <w:t>35</w:t>
            </w:r>
          </w:hyperlink>
        </w:p>
        <w:p>
          <w:pPr>
            <w:pStyle w:val="TOC6"/>
            <w:numPr>
              <w:ilvl w:val="1"/>
              <w:numId w:val="3"/>
            </w:numPr>
            <w:tabs>
              <w:tab w:pos="1106" w:val="left" w:leader="none"/>
              <w:tab w:pos="8742" w:val="left" w:leader="dot"/>
            </w:tabs>
            <w:spacing w:line="240" w:lineRule="auto" w:before="126" w:after="0"/>
            <w:ind w:left="1105" w:right="0" w:hanging="389"/>
            <w:jc w:val="left"/>
            <w:rPr>
              <w:sz w:val="22"/>
            </w:rPr>
          </w:pPr>
          <w:hyperlink w:history="true" w:anchor="_TOC_250018">
            <w:r>
              <w:rPr/>
              <w:t>Criterios</w:t>
            </w:r>
            <w:r>
              <w:rPr>
                <w:spacing w:val="-2"/>
              </w:rPr>
              <w:t> </w:t>
            </w:r>
            <w:r>
              <w:rPr/>
              <w:t>de</w:t>
            </w:r>
            <w:r>
              <w:rPr>
                <w:spacing w:val="-3"/>
              </w:rPr>
              <w:t> </w:t>
            </w:r>
            <w:r>
              <w:rPr/>
              <w:t>selección</w:t>
            </w:r>
            <w:r>
              <w:rPr>
                <w:rFonts w:ascii="Times New Roman" w:hAnsi="Times New Roman"/>
                <w:sz w:val="22"/>
              </w:rPr>
              <w:tab/>
            </w:r>
            <w:r>
              <w:rPr>
                <w:sz w:val="22"/>
              </w:rPr>
              <w:t>35</w:t>
            </w:r>
          </w:hyperlink>
        </w:p>
        <w:p>
          <w:pPr>
            <w:pStyle w:val="TOC6"/>
            <w:numPr>
              <w:ilvl w:val="1"/>
              <w:numId w:val="3"/>
            </w:numPr>
            <w:tabs>
              <w:tab w:pos="1106" w:val="left" w:leader="none"/>
              <w:tab w:pos="8751" w:val="left" w:leader="dot"/>
            </w:tabs>
            <w:spacing w:line="240" w:lineRule="auto" w:before="276" w:after="0"/>
            <w:ind w:left="1105" w:right="0" w:hanging="389"/>
            <w:jc w:val="left"/>
            <w:rPr>
              <w:sz w:val="22"/>
            </w:rPr>
          </w:pPr>
          <w:r>
            <w:rPr/>
            <w:t>Operación</w:t>
          </w:r>
          <w:r>
            <w:rPr>
              <w:spacing w:val="-1"/>
            </w:rPr>
            <w:t> </w:t>
          </w:r>
          <w:r>
            <w:rPr/>
            <w:t>de</w:t>
          </w:r>
          <w:r>
            <w:rPr>
              <w:spacing w:val="-2"/>
            </w:rPr>
            <w:t> </w:t>
          </w:r>
          <w:r>
            <w:rPr/>
            <w:t>variables</w:t>
          </w:r>
          <w:r>
            <w:rPr>
              <w:rFonts w:ascii="Times New Roman" w:hAnsi="Times New Roman"/>
              <w:sz w:val="22"/>
            </w:rPr>
            <w:tab/>
          </w:r>
          <w:r>
            <w:rPr>
              <w:sz w:val="22"/>
            </w:rPr>
            <w:t>37</w:t>
          </w:r>
        </w:p>
        <w:p>
          <w:pPr>
            <w:pStyle w:val="TOC7"/>
            <w:numPr>
              <w:ilvl w:val="1"/>
              <w:numId w:val="3"/>
            </w:numPr>
            <w:tabs>
              <w:tab w:pos="1106" w:val="left" w:leader="none"/>
              <w:tab w:pos="8751" w:val="left" w:leader="dot"/>
            </w:tabs>
            <w:spacing w:line="240" w:lineRule="auto" w:before="126" w:after="0"/>
            <w:ind w:left="1105" w:right="0" w:hanging="389"/>
            <w:jc w:val="left"/>
            <w:rPr>
              <w:b w:val="0"/>
              <w:i w:val="0"/>
              <w:sz w:val="22"/>
            </w:rPr>
          </w:pPr>
          <w:hyperlink w:history="true" w:anchor="_TOC_250017">
            <w:r>
              <w:rPr>
                <w:b w:val="0"/>
                <w:i w:val="0"/>
                <w:sz w:val="20"/>
              </w:rPr>
              <w:t>Materiales</w:t>
            </w:r>
            <w:r>
              <w:rPr>
                <w:rFonts w:ascii="Times New Roman"/>
                <w:b w:val="0"/>
                <w:i w:val="0"/>
                <w:sz w:val="22"/>
              </w:rPr>
              <w:tab/>
            </w:r>
            <w:r>
              <w:rPr>
                <w:b w:val="0"/>
                <w:i w:val="0"/>
                <w:sz w:val="22"/>
              </w:rPr>
              <w:t>42</w:t>
            </w:r>
          </w:hyperlink>
        </w:p>
        <w:p>
          <w:pPr>
            <w:pStyle w:val="TOC7"/>
            <w:numPr>
              <w:ilvl w:val="1"/>
              <w:numId w:val="3"/>
            </w:numPr>
            <w:tabs>
              <w:tab w:pos="1106" w:val="left" w:leader="none"/>
              <w:tab w:pos="8753" w:val="left" w:leader="dot"/>
            </w:tabs>
            <w:spacing w:line="240" w:lineRule="auto" w:before="128" w:after="0"/>
            <w:ind w:left="1105" w:right="0" w:hanging="389"/>
            <w:jc w:val="left"/>
            <w:rPr>
              <w:b w:val="0"/>
              <w:i w:val="0"/>
              <w:sz w:val="22"/>
            </w:rPr>
          </w:pPr>
          <w:r>
            <w:rPr>
              <w:b w:val="0"/>
              <w:i w:val="0"/>
              <w:sz w:val="20"/>
            </w:rPr>
            <w:t>Métodos</w:t>
          </w:r>
          <w:r>
            <w:rPr>
              <w:rFonts w:ascii="Times New Roman" w:hAnsi="Times New Roman"/>
              <w:b w:val="0"/>
              <w:i w:val="0"/>
              <w:sz w:val="22"/>
            </w:rPr>
            <w:tab/>
          </w:r>
          <w:r>
            <w:rPr>
              <w:b w:val="0"/>
              <w:i w:val="0"/>
              <w:sz w:val="22"/>
            </w:rPr>
            <w:t>43</w:t>
          </w:r>
        </w:p>
        <w:p>
          <w:pPr>
            <w:pStyle w:val="TOC8"/>
            <w:numPr>
              <w:ilvl w:val="2"/>
              <w:numId w:val="3"/>
            </w:numPr>
            <w:tabs>
              <w:tab w:pos="1662" w:val="left" w:leader="none"/>
              <w:tab w:pos="8730" w:val="left" w:leader="dot"/>
            </w:tabs>
            <w:spacing w:line="240" w:lineRule="auto" w:before="126" w:after="0"/>
            <w:ind w:left="1661" w:right="0" w:hanging="556"/>
            <w:jc w:val="left"/>
            <w:rPr>
              <w:sz w:val="22"/>
            </w:rPr>
          </w:pPr>
          <w:hyperlink w:history="true" w:anchor="_TOC_250016">
            <w:r>
              <w:rPr/>
              <w:t>Aplicación</w:t>
            </w:r>
            <w:r>
              <w:rPr>
                <w:spacing w:val="-1"/>
              </w:rPr>
              <w:t> </w:t>
            </w:r>
            <w:r>
              <w:rPr/>
              <w:t>de</w:t>
            </w:r>
            <w:r>
              <w:rPr>
                <w:spacing w:val="-3"/>
              </w:rPr>
              <w:t> </w:t>
            </w:r>
            <w:r>
              <w:rPr/>
              <w:t>cuestionario</w:t>
            </w:r>
            <w:r>
              <w:rPr>
                <w:rFonts w:ascii="Times New Roman" w:hAnsi="Times New Roman"/>
                <w:sz w:val="22"/>
              </w:rPr>
              <w:tab/>
            </w:r>
            <w:r>
              <w:rPr>
                <w:sz w:val="22"/>
              </w:rPr>
              <w:t>43</w:t>
            </w:r>
          </w:hyperlink>
        </w:p>
        <w:p>
          <w:pPr>
            <w:pStyle w:val="TOC8"/>
            <w:numPr>
              <w:ilvl w:val="2"/>
              <w:numId w:val="3"/>
            </w:numPr>
            <w:tabs>
              <w:tab w:pos="1660" w:val="left" w:leader="none"/>
              <w:tab w:pos="8732" w:val="left" w:leader="dot"/>
            </w:tabs>
            <w:spacing w:line="240" w:lineRule="auto" w:before="126" w:after="0"/>
            <w:ind w:left="1659" w:right="0" w:hanging="554"/>
            <w:jc w:val="left"/>
            <w:rPr>
              <w:sz w:val="22"/>
            </w:rPr>
          </w:pPr>
          <w:hyperlink w:history="true" w:anchor="_TOC_250015">
            <w:r>
              <w:rPr/>
              <w:t>Toma</w:t>
            </w:r>
            <w:r>
              <w:rPr>
                <w:spacing w:val="-1"/>
              </w:rPr>
              <w:t> </w:t>
            </w:r>
            <w:r>
              <w:rPr/>
              <w:t>de</w:t>
            </w:r>
            <w:r>
              <w:rPr>
                <w:spacing w:val="-1"/>
              </w:rPr>
              <w:t> </w:t>
            </w:r>
            <w:r>
              <w:rPr/>
              <w:t>muestras</w:t>
            </w:r>
            <w:r>
              <w:rPr>
                <w:rFonts w:ascii="Times New Roman"/>
                <w:sz w:val="22"/>
              </w:rPr>
              <w:tab/>
            </w:r>
            <w:r>
              <w:rPr>
                <w:sz w:val="22"/>
              </w:rPr>
              <w:t>43</w:t>
            </w:r>
          </w:hyperlink>
        </w:p>
        <w:p>
          <w:pPr>
            <w:pStyle w:val="TOC8"/>
            <w:numPr>
              <w:ilvl w:val="2"/>
              <w:numId w:val="3"/>
            </w:numPr>
            <w:tabs>
              <w:tab w:pos="1660" w:val="left" w:leader="none"/>
              <w:tab w:pos="8722" w:val="left" w:leader="dot"/>
            </w:tabs>
            <w:spacing w:line="240" w:lineRule="auto" w:before="126" w:after="0"/>
            <w:ind w:left="1659" w:right="0" w:hanging="554"/>
            <w:jc w:val="left"/>
            <w:rPr>
              <w:sz w:val="22"/>
            </w:rPr>
          </w:pPr>
          <w:hyperlink w:history="true" w:anchor="_TOC_250014">
            <w:r>
              <w:rPr/>
              <w:t>Identificación</w:t>
            </w:r>
            <w:r>
              <w:rPr>
                <w:spacing w:val="-3"/>
              </w:rPr>
              <w:t> </w:t>
            </w:r>
            <w:r>
              <w:rPr/>
              <w:t>de</w:t>
            </w:r>
            <w:r>
              <w:rPr>
                <w:spacing w:val="-3"/>
              </w:rPr>
              <w:t> </w:t>
            </w:r>
            <w:r>
              <w:rPr/>
              <w:t>caries</w:t>
            </w:r>
            <w:r>
              <w:rPr>
                <w:rFonts w:ascii="Times New Roman" w:hAnsi="Times New Roman"/>
                <w:sz w:val="22"/>
              </w:rPr>
              <w:tab/>
            </w:r>
            <w:r>
              <w:rPr>
                <w:sz w:val="22"/>
              </w:rPr>
              <w:t>43</w:t>
            </w:r>
          </w:hyperlink>
        </w:p>
        <w:p>
          <w:pPr>
            <w:pStyle w:val="TOC8"/>
            <w:numPr>
              <w:ilvl w:val="2"/>
              <w:numId w:val="3"/>
            </w:numPr>
            <w:tabs>
              <w:tab w:pos="1660" w:val="left" w:leader="none"/>
              <w:tab w:pos="8711" w:val="left" w:leader="dot"/>
            </w:tabs>
            <w:spacing w:line="240" w:lineRule="auto" w:before="126" w:after="0"/>
            <w:ind w:left="1659" w:right="0" w:hanging="554"/>
            <w:jc w:val="left"/>
            <w:rPr>
              <w:sz w:val="22"/>
            </w:rPr>
          </w:pPr>
          <w:hyperlink w:history="true" w:anchor="_TOC_250013">
            <w:r>
              <w:rPr/>
              <w:t>Genotipificación</w:t>
            </w:r>
            <w:r>
              <w:rPr>
                <w:rFonts w:ascii="Times New Roman" w:hAnsi="Times New Roman"/>
                <w:sz w:val="22"/>
              </w:rPr>
              <w:tab/>
            </w:r>
            <w:r>
              <w:rPr>
                <w:sz w:val="22"/>
              </w:rPr>
              <w:t>44</w:t>
            </w:r>
          </w:hyperlink>
        </w:p>
        <w:p>
          <w:pPr>
            <w:pStyle w:val="TOC8"/>
            <w:numPr>
              <w:ilvl w:val="2"/>
              <w:numId w:val="3"/>
            </w:numPr>
            <w:tabs>
              <w:tab w:pos="1660" w:val="left" w:leader="none"/>
              <w:tab w:pos="8742" w:val="left" w:leader="dot"/>
            </w:tabs>
            <w:spacing w:line="240" w:lineRule="auto" w:before="126" w:after="0"/>
            <w:ind w:left="1659" w:right="0" w:hanging="554"/>
            <w:jc w:val="left"/>
            <w:rPr>
              <w:sz w:val="22"/>
            </w:rPr>
          </w:pPr>
          <w:hyperlink w:history="true" w:anchor="_TOC_250012">
            <w:r>
              <w:rPr/>
              <w:t>Detección de</w:t>
            </w:r>
            <w:r>
              <w:rPr>
                <w:spacing w:val="-2"/>
              </w:rPr>
              <w:t> </w:t>
            </w:r>
            <w:r>
              <w:rPr/>
              <w:t>polimorfismos</w:t>
            </w:r>
            <w:r>
              <w:rPr>
                <w:rFonts w:ascii="Times New Roman" w:hAnsi="Times New Roman"/>
                <w:sz w:val="22"/>
              </w:rPr>
              <w:tab/>
            </w:r>
            <w:r>
              <w:rPr>
                <w:sz w:val="22"/>
              </w:rPr>
              <w:t>44</w:t>
            </w:r>
          </w:hyperlink>
        </w:p>
        <w:p>
          <w:pPr>
            <w:pStyle w:val="TOC6"/>
            <w:numPr>
              <w:ilvl w:val="1"/>
              <w:numId w:val="3"/>
            </w:numPr>
            <w:tabs>
              <w:tab w:pos="1161" w:val="left" w:leader="none"/>
              <w:tab w:pos="8735" w:val="left" w:leader="dot"/>
            </w:tabs>
            <w:spacing w:line="240" w:lineRule="auto" w:before="126" w:after="0"/>
            <w:ind w:left="1160" w:right="0" w:hanging="389"/>
            <w:jc w:val="left"/>
            <w:rPr>
              <w:sz w:val="22"/>
            </w:rPr>
          </w:pPr>
          <w:r>
            <w:rPr/>
            <w:t>Instrumentos de recolección</w:t>
          </w:r>
          <w:r>
            <w:rPr>
              <w:spacing w:val="-5"/>
            </w:rPr>
            <w:t> </w:t>
          </w:r>
          <w:r>
            <w:rPr/>
            <w:t>de</w:t>
          </w:r>
          <w:r>
            <w:rPr>
              <w:spacing w:val="-3"/>
            </w:rPr>
            <w:t> </w:t>
          </w:r>
          <w:r>
            <w:rPr/>
            <w:t>información</w:t>
          </w:r>
          <w:r>
            <w:rPr>
              <w:rFonts w:ascii="Times New Roman" w:hAnsi="Times New Roman"/>
              <w:sz w:val="22"/>
            </w:rPr>
            <w:tab/>
          </w:r>
          <w:r>
            <w:rPr>
              <w:sz w:val="22"/>
            </w:rPr>
            <w:t>48</w:t>
          </w:r>
        </w:p>
        <w:p>
          <w:pPr>
            <w:pStyle w:val="TOC6"/>
            <w:numPr>
              <w:ilvl w:val="1"/>
              <w:numId w:val="3"/>
            </w:numPr>
            <w:tabs>
              <w:tab w:pos="1273" w:val="left" w:leader="none"/>
              <w:tab w:pos="8750" w:val="left" w:leader="dot"/>
            </w:tabs>
            <w:spacing w:line="240" w:lineRule="auto" w:before="126" w:after="0"/>
            <w:ind w:left="1272" w:right="0" w:hanging="501"/>
            <w:jc w:val="left"/>
            <w:rPr>
              <w:sz w:val="22"/>
            </w:rPr>
          </w:pPr>
          <w:hyperlink w:history="true" w:anchor="_TOC_250011">
            <w:r>
              <w:rPr/>
              <w:t>Levantamiento y análisis de</w:t>
            </w:r>
            <w:r>
              <w:rPr>
                <w:spacing w:val="-8"/>
              </w:rPr>
              <w:t> </w:t>
            </w:r>
            <w:r>
              <w:rPr/>
              <w:t>la</w:t>
            </w:r>
            <w:r>
              <w:rPr>
                <w:spacing w:val="-3"/>
              </w:rPr>
              <w:t> </w:t>
            </w:r>
            <w:r>
              <w:rPr/>
              <w:t>información</w:t>
            </w:r>
            <w:r>
              <w:rPr>
                <w:rFonts w:ascii="Times New Roman" w:hAnsi="Times New Roman"/>
                <w:sz w:val="22"/>
              </w:rPr>
              <w:tab/>
            </w:r>
            <w:r>
              <w:rPr>
                <w:sz w:val="22"/>
              </w:rPr>
              <w:t>49</w:t>
            </w:r>
          </w:hyperlink>
        </w:p>
        <w:p>
          <w:pPr>
            <w:pStyle w:val="TOC1"/>
            <w:numPr>
              <w:ilvl w:val="0"/>
              <w:numId w:val="1"/>
            </w:numPr>
            <w:tabs>
              <w:tab w:pos="496" w:val="left" w:leader="none"/>
              <w:tab w:pos="8706" w:val="left" w:leader="dot"/>
            </w:tabs>
            <w:spacing w:line="240" w:lineRule="auto" w:before="127" w:after="0"/>
            <w:ind w:left="495" w:right="0" w:hanging="333"/>
            <w:jc w:val="left"/>
          </w:pPr>
          <w:hyperlink w:history="true" w:anchor="_TOC_250010">
            <w:r>
              <w:rPr/>
              <w:t>RESULTADOS</w:t>
            </w:r>
            <w:r>
              <w:rPr>
                <w:rFonts w:ascii="Times New Roman"/>
              </w:rPr>
              <w:tab/>
            </w:r>
            <w:r>
              <w:rPr/>
              <w:t>50</w:t>
            </w:r>
          </w:hyperlink>
        </w:p>
        <w:p>
          <w:pPr>
            <w:pStyle w:val="TOC6"/>
            <w:numPr>
              <w:ilvl w:val="1"/>
              <w:numId w:val="4"/>
            </w:numPr>
            <w:tabs>
              <w:tab w:pos="1106" w:val="left" w:leader="none"/>
              <w:tab w:pos="8721" w:val="left" w:leader="dot"/>
            </w:tabs>
            <w:spacing w:line="240" w:lineRule="auto" w:before="128" w:after="0"/>
            <w:ind w:left="1105" w:right="0" w:hanging="389"/>
            <w:jc w:val="left"/>
            <w:rPr>
              <w:sz w:val="22"/>
            </w:rPr>
          </w:pPr>
          <w:hyperlink w:history="true" w:anchor="_TOC_250009">
            <w:r>
              <w:rPr/>
              <w:t>Artículo</w:t>
            </w:r>
            <w:r>
              <w:rPr>
                <w:spacing w:val="-2"/>
              </w:rPr>
              <w:t> </w:t>
            </w:r>
            <w:r>
              <w:rPr/>
              <w:t>científico</w:t>
            </w:r>
            <w:r>
              <w:rPr>
                <w:rFonts w:ascii="Times New Roman" w:hAnsi="Times New Roman"/>
                <w:sz w:val="22"/>
              </w:rPr>
              <w:tab/>
            </w:r>
            <w:r>
              <w:rPr>
                <w:sz w:val="22"/>
              </w:rPr>
              <w:t>50</w:t>
            </w:r>
          </w:hyperlink>
        </w:p>
        <w:p>
          <w:pPr>
            <w:pStyle w:val="TOC6"/>
            <w:numPr>
              <w:ilvl w:val="1"/>
              <w:numId w:val="4"/>
            </w:numPr>
            <w:tabs>
              <w:tab w:pos="1106" w:val="left" w:leader="none"/>
              <w:tab w:pos="8721" w:val="left" w:leader="dot"/>
            </w:tabs>
            <w:spacing w:line="240" w:lineRule="auto" w:before="126" w:after="0"/>
            <w:ind w:left="1105" w:right="0" w:hanging="389"/>
            <w:jc w:val="left"/>
            <w:rPr>
              <w:sz w:val="22"/>
            </w:rPr>
          </w:pPr>
          <w:hyperlink w:history="true" w:anchor="_TOC_250008">
            <w:r>
              <w:rPr/>
              <w:t>Resultados</w:t>
            </w:r>
            <w:r>
              <w:rPr>
                <w:spacing w:val="-3"/>
              </w:rPr>
              <w:t> </w:t>
            </w:r>
            <w:r>
              <w:rPr/>
              <w:t>Generales</w:t>
            </w:r>
            <w:r>
              <w:rPr>
                <w:sz w:val="22"/>
              </w:rPr>
              <w:tab/>
              <w:t>72</w:t>
            </w:r>
          </w:hyperlink>
        </w:p>
        <w:p>
          <w:pPr>
            <w:pStyle w:val="TOC9"/>
            <w:numPr>
              <w:ilvl w:val="2"/>
              <w:numId w:val="4"/>
            </w:numPr>
            <w:tabs>
              <w:tab w:pos="1938" w:val="left" w:leader="none"/>
              <w:tab w:pos="8760" w:val="left" w:leader="dot"/>
            </w:tabs>
            <w:spacing w:line="240" w:lineRule="auto" w:before="126" w:after="0"/>
            <w:ind w:left="1938" w:right="0" w:hanging="555"/>
            <w:jc w:val="left"/>
            <w:rPr>
              <w:sz w:val="22"/>
            </w:rPr>
          </w:pPr>
          <w:hyperlink w:history="true" w:anchor="_TOC_250007">
            <w:r>
              <w:rPr/>
              <w:t>Características</w:t>
            </w:r>
            <w:r>
              <w:rPr>
                <w:spacing w:val="-2"/>
              </w:rPr>
              <w:t> </w:t>
            </w:r>
            <w:r>
              <w:rPr/>
              <w:t>sociodemográficas</w:t>
            </w:r>
            <w:r>
              <w:rPr>
                <w:sz w:val="22"/>
              </w:rPr>
              <w:tab/>
              <w:t>72</w:t>
            </w:r>
          </w:hyperlink>
        </w:p>
        <w:p>
          <w:pPr>
            <w:pStyle w:val="TOC9"/>
            <w:numPr>
              <w:ilvl w:val="2"/>
              <w:numId w:val="4"/>
            </w:numPr>
            <w:tabs>
              <w:tab w:pos="1938" w:val="left" w:leader="none"/>
              <w:tab w:pos="8738" w:val="left" w:leader="dot"/>
            </w:tabs>
            <w:spacing w:line="240" w:lineRule="auto" w:before="126" w:after="0"/>
            <w:ind w:left="1938" w:right="0" w:hanging="555"/>
            <w:jc w:val="left"/>
            <w:rPr>
              <w:sz w:val="22"/>
            </w:rPr>
          </w:pPr>
          <w:r>
            <w:rPr/>
            <w:t>Hábitos higiénicos y</w:t>
          </w:r>
          <w:r>
            <w:rPr>
              <w:spacing w:val="-5"/>
            </w:rPr>
            <w:t> </w:t>
          </w:r>
          <w:r>
            <w:rPr/>
            <w:t>dieta</w:t>
          </w:r>
          <w:r>
            <w:rPr>
              <w:spacing w:val="-3"/>
            </w:rPr>
            <w:t> </w:t>
          </w:r>
          <w:r>
            <w:rPr/>
            <w:t>cariogénica</w:t>
          </w:r>
          <w:r>
            <w:rPr>
              <w:rFonts w:ascii="Times New Roman" w:hAnsi="Times New Roman"/>
              <w:sz w:val="22"/>
            </w:rPr>
            <w:tab/>
          </w:r>
          <w:r>
            <w:rPr>
              <w:sz w:val="22"/>
            </w:rPr>
            <w:t>72</w:t>
          </w:r>
        </w:p>
        <w:p>
          <w:pPr>
            <w:pStyle w:val="TOC9"/>
            <w:numPr>
              <w:ilvl w:val="2"/>
              <w:numId w:val="4"/>
            </w:numPr>
            <w:tabs>
              <w:tab w:pos="1938" w:val="left" w:leader="none"/>
              <w:tab w:pos="8707" w:val="left" w:leader="dot"/>
            </w:tabs>
            <w:spacing w:line="240" w:lineRule="auto" w:before="126" w:after="0"/>
            <w:ind w:left="1938" w:right="0" w:hanging="555"/>
            <w:jc w:val="left"/>
            <w:rPr>
              <w:sz w:val="22"/>
            </w:rPr>
          </w:pPr>
          <w:hyperlink w:history="true" w:anchor="_TOC_250006">
            <w:r>
              <w:rPr/>
              <w:t>Determinación de</w:t>
            </w:r>
            <w:r>
              <w:rPr>
                <w:spacing w:val="-2"/>
              </w:rPr>
              <w:t> </w:t>
            </w:r>
            <w:r>
              <w:rPr/>
              <w:t>caries</w:t>
            </w:r>
            <w:r>
              <w:rPr>
                <w:sz w:val="22"/>
              </w:rPr>
              <w:tab/>
              <w:t>74</w:t>
            </w:r>
          </w:hyperlink>
        </w:p>
        <w:p>
          <w:pPr>
            <w:pStyle w:val="TOC9"/>
            <w:numPr>
              <w:ilvl w:val="2"/>
              <w:numId w:val="4"/>
            </w:numPr>
            <w:tabs>
              <w:tab w:pos="1939" w:val="left" w:leader="none"/>
              <w:tab w:pos="8741" w:val="left" w:leader="dot"/>
            </w:tabs>
            <w:spacing w:line="240" w:lineRule="auto" w:before="126" w:after="0"/>
            <w:ind w:left="1938" w:right="0" w:hanging="555"/>
            <w:jc w:val="left"/>
            <w:rPr>
              <w:sz w:val="22"/>
            </w:rPr>
          </w:pPr>
          <w:r>
            <w:rPr/>
            <w:t>Determinación de los polimorfismos</w:t>
          </w:r>
          <w:r>
            <w:rPr>
              <w:spacing w:val="-5"/>
            </w:rPr>
            <w:t> </w:t>
          </w:r>
          <w:r>
            <w:rPr/>
            <w:t>de</w:t>
          </w:r>
          <w:r>
            <w:rPr>
              <w:spacing w:val="-3"/>
            </w:rPr>
            <w:t> </w:t>
          </w:r>
          <w:r>
            <w:rPr/>
            <w:t>GST</w:t>
          </w:r>
          <w:r>
            <w:rPr>
              <w:sz w:val="22"/>
            </w:rPr>
            <w:tab/>
            <w:t>74</w:t>
          </w:r>
        </w:p>
        <w:p>
          <w:pPr>
            <w:pStyle w:val="TOC9"/>
            <w:numPr>
              <w:ilvl w:val="2"/>
              <w:numId w:val="4"/>
            </w:numPr>
            <w:tabs>
              <w:tab w:pos="1931" w:val="left" w:leader="none"/>
              <w:tab w:pos="8738" w:val="left" w:leader="dot"/>
            </w:tabs>
            <w:spacing w:line="240" w:lineRule="auto" w:before="126" w:after="0"/>
            <w:ind w:left="1930" w:right="0" w:hanging="554"/>
            <w:jc w:val="left"/>
            <w:rPr>
              <w:sz w:val="22"/>
            </w:rPr>
          </w:pPr>
          <w:hyperlink w:history="true" w:anchor="_TOC_250005">
            <w:r>
              <w:rPr/>
              <w:t>Resultados del uso</w:t>
            </w:r>
            <w:r>
              <w:rPr>
                <w:spacing w:val="-7"/>
              </w:rPr>
              <w:t> </w:t>
            </w:r>
            <w:r>
              <w:rPr/>
              <w:t>de</w:t>
            </w:r>
            <w:r>
              <w:rPr>
                <w:spacing w:val="-1"/>
              </w:rPr>
              <w:t> </w:t>
            </w:r>
            <w:r>
              <w:rPr/>
              <w:t>plaguicidas</w:t>
            </w:r>
            <w:r>
              <w:rPr>
                <w:sz w:val="22"/>
              </w:rPr>
              <w:tab/>
              <w:t>76</w:t>
            </w:r>
          </w:hyperlink>
        </w:p>
        <w:p>
          <w:pPr>
            <w:pStyle w:val="TOC9"/>
            <w:numPr>
              <w:ilvl w:val="2"/>
              <w:numId w:val="4"/>
            </w:numPr>
            <w:tabs>
              <w:tab w:pos="1938" w:val="left" w:leader="none"/>
              <w:tab w:pos="8726" w:val="left" w:leader="dot"/>
            </w:tabs>
            <w:spacing w:line="240" w:lineRule="auto" w:before="126" w:after="0"/>
            <w:ind w:left="1938" w:right="0" w:hanging="555"/>
            <w:jc w:val="left"/>
            <w:rPr>
              <w:sz w:val="22"/>
            </w:rPr>
          </w:pPr>
          <w:hyperlink w:history="true" w:anchor="_TOC_250004">
            <w:r>
              <w:rPr/>
              <w:t>Correlación</w:t>
            </w:r>
            <w:r>
              <w:rPr>
                <w:spacing w:val="52"/>
              </w:rPr>
              <w:t> </w:t>
            </w:r>
            <w:r>
              <w:rPr/>
              <w:t>de</w:t>
            </w:r>
            <w:r>
              <w:rPr>
                <w:spacing w:val="-1"/>
              </w:rPr>
              <w:t> </w:t>
            </w:r>
            <w:r>
              <w:rPr/>
              <w:t>variables</w:t>
            </w:r>
            <w:r>
              <w:rPr>
                <w:sz w:val="22"/>
              </w:rPr>
              <w:tab/>
              <w:t>78</w:t>
            </w:r>
          </w:hyperlink>
        </w:p>
        <w:p>
          <w:pPr>
            <w:pStyle w:val="TOC9"/>
            <w:numPr>
              <w:ilvl w:val="2"/>
              <w:numId w:val="4"/>
            </w:numPr>
            <w:tabs>
              <w:tab w:pos="1938" w:val="left" w:leader="none"/>
              <w:tab w:pos="8755" w:val="left" w:leader="dot"/>
            </w:tabs>
            <w:spacing w:line="240" w:lineRule="auto" w:before="126" w:after="0"/>
            <w:ind w:left="1938" w:right="0" w:hanging="555"/>
            <w:jc w:val="left"/>
            <w:rPr>
              <w:sz w:val="22"/>
            </w:rPr>
          </w:pPr>
          <w:hyperlink w:history="true" w:anchor="_TOC_250003">
            <w:r>
              <w:rPr/>
              <w:t>Modelo</w:t>
            </w:r>
            <w:r>
              <w:rPr>
                <w:spacing w:val="-1"/>
              </w:rPr>
              <w:t> </w:t>
            </w:r>
            <w:r>
              <w:rPr/>
              <w:t>de</w:t>
            </w:r>
            <w:r>
              <w:rPr>
                <w:spacing w:val="-2"/>
              </w:rPr>
              <w:t> </w:t>
            </w:r>
            <w:r>
              <w:rPr/>
              <w:t>regresión</w:t>
            </w:r>
            <w:r>
              <w:rPr>
                <w:sz w:val="22"/>
              </w:rPr>
              <w:tab/>
              <w:t>79</w:t>
            </w:r>
          </w:hyperlink>
        </w:p>
        <w:p>
          <w:pPr>
            <w:pStyle w:val="TOC1"/>
            <w:numPr>
              <w:ilvl w:val="0"/>
              <w:numId w:val="1"/>
            </w:numPr>
            <w:tabs>
              <w:tab w:pos="433" w:val="left" w:leader="none"/>
              <w:tab w:pos="8757" w:val="left" w:leader="dot"/>
            </w:tabs>
            <w:spacing w:line="240" w:lineRule="auto" w:before="128" w:after="0"/>
            <w:ind w:left="433" w:right="0" w:hanging="271"/>
            <w:jc w:val="left"/>
          </w:pPr>
          <w:hyperlink w:history="true" w:anchor="_TOC_250002">
            <w:r>
              <w:rPr/>
              <w:t>DISCUSIÓN</w:t>
            </w:r>
            <w:r>
              <w:rPr>
                <w:rFonts w:ascii="Times New Roman" w:hAnsi="Times New Roman"/>
              </w:rPr>
              <w:tab/>
            </w:r>
            <w:r>
              <w:rPr/>
              <w:t>81</w:t>
            </w:r>
          </w:hyperlink>
        </w:p>
        <w:p>
          <w:pPr>
            <w:pStyle w:val="TOC1"/>
            <w:numPr>
              <w:ilvl w:val="0"/>
              <w:numId w:val="1"/>
            </w:numPr>
            <w:tabs>
              <w:tab w:pos="496" w:val="left" w:leader="none"/>
              <w:tab w:pos="8709" w:val="left" w:leader="dot"/>
            </w:tabs>
            <w:spacing w:line="240" w:lineRule="auto" w:before="126" w:after="0"/>
            <w:ind w:left="495" w:right="0" w:hanging="333"/>
            <w:jc w:val="left"/>
          </w:pPr>
          <w:r>
            <w:rPr/>
            <w:t>CONCLUSION</w:t>
            <w:tab/>
            <w:t>86</w:t>
          </w:r>
        </w:p>
        <w:p>
          <w:pPr>
            <w:pStyle w:val="TOC1"/>
            <w:numPr>
              <w:ilvl w:val="0"/>
              <w:numId w:val="1"/>
            </w:numPr>
            <w:tabs>
              <w:tab w:pos="556" w:val="left" w:leader="none"/>
              <w:tab w:pos="8745" w:val="left" w:leader="dot"/>
            </w:tabs>
            <w:spacing w:line="240" w:lineRule="auto" w:before="126" w:after="0"/>
            <w:ind w:left="555" w:right="0" w:hanging="393"/>
            <w:jc w:val="left"/>
          </w:pPr>
          <w:hyperlink w:history="true" w:anchor="_TOC_250001">
            <w:r>
              <w:rPr/>
              <w:t>BIBLIOGRAFÍA</w:t>
              <w:tab/>
              <w:t>87</w:t>
            </w:r>
          </w:hyperlink>
        </w:p>
        <w:p>
          <w:pPr>
            <w:pStyle w:val="TOC1"/>
            <w:numPr>
              <w:ilvl w:val="0"/>
              <w:numId w:val="1"/>
            </w:numPr>
            <w:tabs>
              <w:tab w:pos="616" w:val="left" w:leader="none"/>
              <w:tab w:pos="8757" w:val="left" w:leader="dot"/>
            </w:tabs>
            <w:spacing w:line="240" w:lineRule="auto" w:before="126" w:after="0"/>
            <w:ind w:left="615" w:right="0" w:hanging="453"/>
            <w:jc w:val="left"/>
          </w:pPr>
          <w:hyperlink w:history="true" w:anchor="_TOC_250000">
            <w:r>
              <w:rPr/>
              <w:t>ANEXOS</w:t>
              <w:tab/>
              <w:t>95</w:t>
            </w:r>
          </w:hyperlink>
        </w:p>
      </w:sdtContent>
    </w:sdt>
    <w:p>
      <w:pPr>
        <w:spacing w:after="0" w:line="240" w:lineRule="auto"/>
        <w:jc w:val="left"/>
        <w:sectPr>
          <w:type w:val="continuous"/>
          <w:pgSz w:w="12240" w:h="15840"/>
          <w:pgMar w:top="1024" w:bottom="1433" w:left="1540" w:right="1520"/>
        </w:sectPr>
      </w:pPr>
    </w:p>
    <w:p>
      <w:pPr>
        <w:pStyle w:val="BodyText"/>
        <w:rPr>
          <w:sz w:val="28"/>
        </w:rPr>
      </w:pPr>
    </w:p>
    <w:p>
      <w:pPr>
        <w:pStyle w:val="BodyText"/>
        <w:rPr>
          <w:sz w:val="28"/>
        </w:rPr>
      </w:pPr>
    </w:p>
    <w:p>
      <w:pPr>
        <w:pStyle w:val="BodyText"/>
        <w:spacing w:before="1"/>
        <w:rPr>
          <w:sz w:val="34"/>
        </w:rPr>
      </w:pPr>
    </w:p>
    <w:p>
      <w:pPr>
        <w:pStyle w:val="Heading1"/>
        <w:numPr>
          <w:ilvl w:val="0"/>
          <w:numId w:val="5"/>
        </w:numPr>
        <w:tabs>
          <w:tab w:pos="3998" w:val="left" w:leader="none"/>
        </w:tabs>
        <w:spacing w:line="240" w:lineRule="auto" w:before="0" w:after="0"/>
        <w:ind w:left="3997" w:right="0" w:hanging="235"/>
        <w:jc w:val="left"/>
      </w:pPr>
      <w:bookmarkStart w:name="_TOC_250040" w:id="1"/>
      <w:bookmarkEnd w:id="1"/>
      <w:r>
        <w:rPr/>
        <w:t>RESUMEN</w:t>
      </w:r>
    </w:p>
    <w:p>
      <w:pPr>
        <w:pStyle w:val="BodyText"/>
        <w:rPr>
          <w:b/>
          <w:sz w:val="28"/>
        </w:rPr>
      </w:pPr>
    </w:p>
    <w:p>
      <w:pPr>
        <w:pStyle w:val="BodyText"/>
        <w:rPr>
          <w:b/>
          <w:sz w:val="28"/>
        </w:rPr>
      </w:pPr>
    </w:p>
    <w:p>
      <w:pPr>
        <w:pStyle w:val="BodyText"/>
        <w:spacing w:line="360" w:lineRule="auto"/>
        <w:ind w:left="162" w:right="180"/>
        <w:jc w:val="both"/>
      </w:pPr>
      <w:r>
        <w:rPr/>
        <w:t>Se realizó un estudio transversal comparativo para identificar los Polimorfismos de la glutatión S-transferasa que presentan los floricultores expuestos ocupacionalmente a plaguicidas y conocer si existe alguna asociación con la presencia de caries dental.</w:t>
      </w:r>
    </w:p>
    <w:p>
      <w:pPr>
        <w:pStyle w:val="BodyText"/>
      </w:pPr>
    </w:p>
    <w:p>
      <w:pPr>
        <w:pStyle w:val="BodyText"/>
        <w:spacing w:line="360" w:lineRule="auto" w:before="142"/>
        <w:ind w:left="162" w:right="181"/>
        <w:jc w:val="both"/>
      </w:pPr>
      <w:r>
        <w:rPr/>
        <w:t>La ocurrencia y progresión de la caries, es influenciada tanto por factores ambientales como por genéticos, sin embargo, es habitual que la atención se centre en los ambientales y los debidos a la carga génica, que eventualmente pueden explicar las diferencias individuales, han sido poco explorados.</w:t>
      </w:r>
    </w:p>
    <w:p>
      <w:pPr>
        <w:pStyle w:val="BodyText"/>
      </w:pPr>
    </w:p>
    <w:p>
      <w:pPr>
        <w:pStyle w:val="BodyText"/>
        <w:spacing w:line="360" w:lineRule="auto" w:before="142"/>
        <w:ind w:left="162" w:right="175"/>
        <w:jc w:val="both"/>
      </w:pPr>
      <w:r>
        <w:rPr/>
        <w:t>Los individuos se ven expuestos diariamente a múltiples compuestos que representan un factor de riesgo para la salud, como son los plaguicidas, los cuales se emplean para la prevención, control y destrucción de plagas, erradicación de vectores propagadores de enfermedades, etc. Sin embargo, también se les ha asociado con  daños a la salud, como  genotoxicidad e inmunotoxicidad.</w:t>
      </w:r>
    </w:p>
    <w:p>
      <w:pPr>
        <w:pStyle w:val="BodyText"/>
      </w:pPr>
    </w:p>
    <w:p>
      <w:pPr>
        <w:pStyle w:val="BodyText"/>
        <w:spacing w:line="360" w:lineRule="auto" w:before="142"/>
        <w:ind w:left="162" w:right="180"/>
        <w:jc w:val="both"/>
      </w:pPr>
      <w:r>
        <w:rPr/>
        <w:t>Se invitó a participar voluntariamente a floricultores de Villa Guerrero (expuestos), y a la comunidad de Toluca, México (no expuestos). Quienes aceptaron, firmaron un consentimiento informado. Se realizo diagnóstico de caries e identificación de los polimorfismos GSTM1, GSTT1, GSTP1b y GSTP1c con una PCR de punto final y enzimas de</w:t>
      </w:r>
      <w:r>
        <w:rPr>
          <w:spacing w:val="-10"/>
        </w:rPr>
        <w:t> </w:t>
      </w:r>
      <w:r>
        <w:rPr/>
        <w:t>restricción.</w:t>
      </w:r>
    </w:p>
    <w:p>
      <w:pPr>
        <w:pStyle w:val="BodyText"/>
      </w:pPr>
    </w:p>
    <w:p>
      <w:pPr>
        <w:pStyle w:val="BodyText"/>
        <w:spacing w:line="360" w:lineRule="auto" w:before="142"/>
        <w:ind w:left="162" w:right="176"/>
        <w:jc w:val="both"/>
      </w:pPr>
      <w:r>
        <w:rPr/>
        <w:t>Se encontró que en el grupo expuesto a plaguicidas la presencia del polimorfismo GSTM1 (+/+) se encuentra asociado a menor frecuencia de caries dental en 49% (p=0.01); así como en el grupo de los no expuestos, con 38% (p=0.02). En el  grupo no expuesto a plaguicidas, la presencia del polimorfismo GSTT1 (+/+) se encontró asociado a menor frecuencia de caries en 38% (p=0.05). También se encontró asociación entre  la presencia del polimorfismo silvestre      </w:t>
      </w:r>
      <w:r>
        <w:rPr>
          <w:spacing w:val="48"/>
        </w:rPr>
        <w:t> </w:t>
      </w:r>
      <w:r>
        <w:rPr/>
        <w:t>GSTP1c con</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60" w:lineRule="auto" w:before="69"/>
        <w:ind w:left="162" w:right="178"/>
        <w:jc w:val="both"/>
      </w:pPr>
      <w:r>
        <w:rPr/>
        <w:t>menor frecuencia de caries en 39% (p=0.05) en el grupo expuesto; y en el grupo de los no expuestos la asociación fue del 41% (p=0.04). El polimorfismo GSTP1b no tuvo asociación alguna en ambos grupos con la</w:t>
      </w:r>
      <w:r>
        <w:rPr>
          <w:spacing w:val="-23"/>
        </w:rPr>
        <w:t> </w:t>
      </w:r>
      <w:r>
        <w:rPr/>
        <w:t>caries.</w:t>
      </w:r>
    </w:p>
    <w:p>
      <w:pPr>
        <w:pStyle w:val="BodyText"/>
      </w:pPr>
    </w:p>
    <w:p>
      <w:pPr>
        <w:pStyle w:val="BodyText"/>
        <w:spacing w:line="360" w:lineRule="auto" w:before="142"/>
        <w:ind w:left="162" w:right="178"/>
        <w:jc w:val="both"/>
      </w:pPr>
      <w:r>
        <w:rPr/>
        <w:t>Se realizo una correlación bivariada donde se encontró que el presentar caries en los individuos del </w:t>
      </w:r>
      <w:r>
        <w:rPr>
          <w:i/>
        </w:rPr>
        <w:t>grupo de los expuestos</w:t>
      </w:r>
      <w:r>
        <w:rPr/>
        <w:t>, tuvo una correlación netamente positiva con el tiempo exposición a los plaguicidas (0.217).</w:t>
      </w:r>
    </w:p>
    <w:p>
      <w:pPr>
        <w:pStyle w:val="BodyText"/>
      </w:pPr>
    </w:p>
    <w:p>
      <w:pPr>
        <w:pStyle w:val="BodyText"/>
        <w:spacing w:line="360" w:lineRule="auto" w:before="142"/>
        <w:ind w:left="162" w:right="179"/>
        <w:jc w:val="both"/>
      </w:pPr>
      <w:r>
        <w:rPr/>
        <w:t>El presente estudio demuestra el papel genético que juegan los polimorfismos de la GST en la caries dental, pudiendo ser utilizados como biomarcadores de susceptibilidad.</w:t>
      </w:r>
    </w:p>
    <w:p>
      <w:pPr>
        <w:spacing w:after="0" w:line="360" w:lineRule="auto"/>
        <w:jc w:val="both"/>
        <w:sectPr>
          <w:pgSz w:w="12240" w:h="15840"/>
          <w:pgMar w:header="733" w:footer="1039" w:top="1020" w:bottom="1220" w:left="1540" w:right="1520"/>
        </w:sectPr>
      </w:pPr>
    </w:p>
    <w:p>
      <w:pPr>
        <w:pStyle w:val="BodyText"/>
        <w:rPr>
          <w:sz w:val="20"/>
        </w:rPr>
      </w:pPr>
    </w:p>
    <w:p>
      <w:pPr>
        <w:pStyle w:val="BodyText"/>
        <w:rPr>
          <w:sz w:val="20"/>
        </w:rPr>
      </w:pPr>
    </w:p>
    <w:p>
      <w:pPr>
        <w:pStyle w:val="BodyText"/>
        <w:spacing w:before="11"/>
        <w:rPr>
          <w:sz w:val="27"/>
        </w:rPr>
      </w:pPr>
    </w:p>
    <w:p>
      <w:pPr>
        <w:pStyle w:val="Heading1"/>
        <w:numPr>
          <w:ilvl w:val="0"/>
          <w:numId w:val="5"/>
        </w:numPr>
        <w:tabs>
          <w:tab w:pos="3648" w:val="left" w:leader="none"/>
        </w:tabs>
        <w:spacing w:line="240" w:lineRule="auto" w:before="65" w:after="0"/>
        <w:ind w:left="3647" w:right="0" w:hanging="312"/>
        <w:jc w:val="left"/>
      </w:pPr>
      <w:bookmarkStart w:name="_TOC_250039" w:id="2"/>
      <w:bookmarkEnd w:id="2"/>
      <w:r>
        <w:rPr/>
        <w:t>INTRODUCCIÓN</w:t>
      </w:r>
    </w:p>
    <w:p>
      <w:pPr>
        <w:pStyle w:val="BodyText"/>
        <w:spacing w:line="360" w:lineRule="auto" w:before="250"/>
        <w:ind w:left="162" w:right="183"/>
        <w:jc w:val="both"/>
      </w:pPr>
      <w:r>
        <w:rPr/>
        <w:t>La Organización Mundial de la Salud define la caries dental como un proceso patológico de origen externo que se inicia después de la erupción y ocasiona un reblandecimiento del tejido duro del diente, evolucionando hacia la formación de una cavidad.</w:t>
      </w:r>
    </w:p>
    <w:p>
      <w:pPr>
        <w:pStyle w:val="BodyText"/>
      </w:pPr>
    </w:p>
    <w:p>
      <w:pPr>
        <w:pStyle w:val="BodyText"/>
        <w:spacing w:line="360" w:lineRule="auto" w:before="142"/>
        <w:ind w:left="162" w:right="177"/>
        <w:jc w:val="both"/>
      </w:pPr>
      <w:r>
        <w:rPr/>
        <w:t>La aparición de caries dental no depende de manera exclusiva de los factores etiológicos que inciden en la cavidad bucal, sino también de la intervención adicional de otros factores que influyen definitivamente en el surgimiento y evolución de una lesión cariosa. Entre estos factores se encuentran: la salud general, nivel socioeconómico, experiencia pasada de caries, grupo epidemiológico, carga genética y contaminantes ambientales.</w:t>
      </w:r>
    </w:p>
    <w:p>
      <w:pPr>
        <w:pStyle w:val="BodyText"/>
      </w:pPr>
    </w:p>
    <w:p>
      <w:pPr>
        <w:pStyle w:val="BodyText"/>
        <w:spacing w:line="360" w:lineRule="auto" w:before="142"/>
        <w:ind w:left="162" w:right="176"/>
        <w:jc w:val="both"/>
      </w:pPr>
      <w:r>
        <w:rPr/>
        <w:t>Por otro lado, el ser humano tiene mecanismos de protección de manera individual, de tal forma, que cada persona detoxifica del organismo  los xenobióticos de forma particular, tales como las isoenzimas codificadas por los genes de susceptibilidad Glutatión S-transferasa M1,T1 y P1 que son altamente polimórficos.</w:t>
      </w:r>
    </w:p>
    <w:p>
      <w:pPr>
        <w:pStyle w:val="BodyText"/>
      </w:pPr>
    </w:p>
    <w:p>
      <w:pPr>
        <w:pStyle w:val="BodyText"/>
        <w:rPr>
          <w:sz w:val="19"/>
        </w:rPr>
      </w:pPr>
    </w:p>
    <w:p>
      <w:pPr>
        <w:pStyle w:val="BodyText"/>
        <w:spacing w:line="360" w:lineRule="auto"/>
        <w:ind w:left="162" w:right="179"/>
        <w:jc w:val="both"/>
      </w:pPr>
      <w:r>
        <w:rPr/>
        <w:t>La presencia de polimorfismos en los genes que codifican para GST pueden  alterar su función y el estudio de estos puede ayudar al entendimiento del riesgo de exposición a diferentes xenobióticos en la población. Además la presencia de polimorfismos en estas enzimas explica en parte las diferencias en cuanto a la susceptibilidad</w:t>
      </w:r>
      <w:r>
        <w:rPr>
          <w:spacing w:val="-8"/>
        </w:rPr>
        <w:t> </w:t>
      </w:r>
      <w:r>
        <w:rPr/>
        <w:t>individual.</w:t>
      </w:r>
    </w:p>
    <w:p>
      <w:pPr>
        <w:spacing w:after="0" w:line="360" w:lineRule="auto"/>
        <w:jc w:val="both"/>
        <w:sectPr>
          <w:pgSz w:w="12240" w:h="15840"/>
          <w:pgMar w:header="733" w:footer="1039" w:top="1020" w:bottom="1220" w:left="1540" w:right="1520"/>
        </w:sectPr>
      </w:pPr>
    </w:p>
    <w:p>
      <w:pPr>
        <w:pStyle w:val="BodyText"/>
        <w:rPr>
          <w:sz w:val="20"/>
        </w:rPr>
      </w:pPr>
    </w:p>
    <w:p>
      <w:pPr>
        <w:pStyle w:val="BodyText"/>
        <w:rPr>
          <w:sz w:val="20"/>
        </w:rPr>
      </w:pPr>
    </w:p>
    <w:p>
      <w:pPr>
        <w:pStyle w:val="BodyText"/>
        <w:spacing w:before="1"/>
        <w:rPr>
          <w:sz w:val="21"/>
        </w:rPr>
      </w:pPr>
    </w:p>
    <w:p>
      <w:pPr>
        <w:pStyle w:val="Heading1"/>
        <w:numPr>
          <w:ilvl w:val="0"/>
          <w:numId w:val="5"/>
        </w:numPr>
        <w:tabs>
          <w:tab w:pos="3636" w:val="left" w:leader="none"/>
        </w:tabs>
        <w:spacing w:line="240" w:lineRule="auto" w:before="65" w:after="0"/>
        <w:ind w:left="3635" w:right="0" w:hanging="394"/>
        <w:jc w:val="left"/>
      </w:pPr>
      <w:bookmarkStart w:name="_TOC_250038" w:id="3"/>
      <w:bookmarkEnd w:id="3"/>
      <w:r>
        <w:rPr/>
        <w:t>ANTECEDENTES</w:t>
      </w:r>
    </w:p>
    <w:p>
      <w:pPr>
        <w:pStyle w:val="BodyText"/>
        <w:rPr>
          <w:b/>
          <w:sz w:val="20"/>
        </w:rPr>
      </w:pPr>
    </w:p>
    <w:p>
      <w:pPr>
        <w:pStyle w:val="BodyText"/>
        <w:rPr>
          <w:b/>
          <w:sz w:val="20"/>
        </w:rPr>
      </w:pPr>
    </w:p>
    <w:p>
      <w:pPr>
        <w:pStyle w:val="BodyText"/>
        <w:spacing w:before="7"/>
        <w:rPr>
          <w:b/>
          <w:sz w:val="20"/>
        </w:rPr>
      </w:pPr>
    </w:p>
    <w:p>
      <w:pPr>
        <w:pStyle w:val="Heading2"/>
        <w:numPr>
          <w:ilvl w:val="0"/>
          <w:numId w:val="6"/>
        </w:numPr>
        <w:tabs>
          <w:tab w:pos="431" w:val="left" w:leader="none"/>
        </w:tabs>
        <w:spacing w:line="240" w:lineRule="auto" w:before="70" w:after="0"/>
        <w:ind w:left="430" w:right="0" w:hanging="268"/>
        <w:jc w:val="both"/>
      </w:pPr>
      <w:bookmarkStart w:name="_TOC_250037" w:id="4"/>
      <w:r>
        <w:rPr/>
        <w:t>LA</w:t>
      </w:r>
      <w:r>
        <w:rPr>
          <w:spacing w:val="-6"/>
        </w:rPr>
        <w:t> </w:t>
      </w:r>
      <w:bookmarkEnd w:id="4"/>
      <w:r>
        <w:rPr/>
        <w:t>CARIES</w:t>
      </w:r>
    </w:p>
    <w:p>
      <w:pPr>
        <w:pStyle w:val="BodyText"/>
        <w:rPr>
          <w:b/>
          <w:sz w:val="21"/>
        </w:rPr>
      </w:pPr>
    </w:p>
    <w:p>
      <w:pPr>
        <w:pStyle w:val="BodyText"/>
        <w:spacing w:line="352" w:lineRule="auto" w:before="1"/>
        <w:ind w:left="162" w:right="181"/>
        <w:jc w:val="both"/>
        <w:rPr>
          <w:sz w:val="16"/>
        </w:rPr>
      </w:pPr>
      <w:r>
        <w:rPr/>
        <w:t>La caries dental se encuentra entre las enfermedades más significativas que afectan al ser humano, debido a la frecuencia con la que esta aparece. Su complejidad se debe al hecho de tratarse de un proceso multifactorial, siendo una condición progresiva, costosa, provocando efectos sobre la salud e incluso efectos psicológicos.</w:t>
      </w:r>
      <w:r>
        <w:rPr>
          <w:position w:val="11"/>
          <w:sz w:val="16"/>
        </w:rPr>
        <w:t>1</w:t>
      </w:r>
    </w:p>
    <w:p>
      <w:pPr>
        <w:pStyle w:val="BodyText"/>
        <w:rPr>
          <w:sz w:val="28"/>
        </w:rPr>
      </w:pPr>
    </w:p>
    <w:p>
      <w:pPr>
        <w:pStyle w:val="BodyText"/>
        <w:spacing w:line="350" w:lineRule="auto" w:before="189"/>
        <w:ind w:left="162" w:right="184"/>
        <w:jc w:val="both"/>
        <w:rPr>
          <w:sz w:val="16"/>
        </w:rPr>
      </w:pPr>
      <w:r>
        <w:rPr/>
        <w:t>La Organización Mundial de la Salud define la caries dental como un proceso patológico de origen externo que se inicia después de la erupción y ocasiona un reblandecimiento del tejido duro del diente, evolucionando hacia la formación de una cavidad. </w:t>
      </w:r>
      <w:r>
        <w:rPr>
          <w:position w:val="11"/>
          <w:sz w:val="16"/>
        </w:rPr>
        <w:t>2</w:t>
      </w:r>
    </w:p>
    <w:p>
      <w:pPr>
        <w:pStyle w:val="BodyText"/>
        <w:rPr>
          <w:sz w:val="28"/>
        </w:rPr>
      </w:pPr>
    </w:p>
    <w:p>
      <w:pPr>
        <w:pStyle w:val="BodyText"/>
        <w:spacing w:line="360" w:lineRule="auto" w:before="192"/>
        <w:ind w:left="162" w:right="178"/>
        <w:jc w:val="both"/>
      </w:pPr>
      <w:r>
        <w:rPr/>
        <w:t>La concepción de la teoría quimioparasitaria de Miller en 1890, es la base etiológica primordial de la caries, en la cual afirmaba que las bacterias orales producen ácidos al fermentar los carbohidratos de la dieta y estos ácidos  disuelven el esmalte. En 1960 Paul Keyes, estableció la etiología de la caries dental en un esquema compuesto por tres agentes: característica del huésped, los microorganismos y el tipo de dieta; los cuales deben interactuar entre si. Posteriormente en 1978 Newburn,      </w:t>
      </w:r>
      <w:r>
        <w:rPr>
          <w:spacing w:val="61"/>
        </w:rPr>
        <w:t> </w:t>
      </w:r>
      <w:r>
        <w:rPr/>
        <w:t>añadió a la triada de Keyes el factor tiempo</w:t>
      </w:r>
    </w:p>
    <w:p>
      <w:pPr>
        <w:pStyle w:val="BodyText"/>
        <w:spacing w:line="328" w:lineRule="auto" w:before="5"/>
        <w:ind w:left="162" w:right="184"/>
        <w:jc w:val="both"/>
        <w:rPr>
          <w:sz w:val="16"/>
        </w:rPr>
      </w:pPr>
      <w:r>
        <w:rPr/>
        <w:t>como un cuarto factor etiológico necesario para producir caries, en 1990 se agrego un quinto factor causal, la edad.</w:t>
      </w:r>
      <w:r>
        <w:rPr>
          <w:position w:val="11"/>
          <w:sz w:val="16"/>
        </w:rPr>
        <w:t>3-6</w:t>
      </w:r>
    </w:p>
    <w:p>
      <w:pPr>
        <w:pStyle w:val="BodyText"/>
        <w:rPr>
          <w:sz w:val="28"/>
        </w:rPr>
      </w:pPr>
    </w:p>
    <w:p>
      <w:pPr>
        <w:pStyle w:val="BodyText"/>
        <w:spacing w:line="360" w:lineRule="auto" w:before="220"/>
        <w:ind w:left="162" w:right="181"/>
        <w:jc w:val="both"/>
      </w:pPr>
      <w:r>
        <w:rPr/>
        <w:t>Sin embargo, es evidente que la aparición de caries dental no depende de manera exclusiva de los factores etiológicos que inciden en la cavidad bucal, sino también de la intervención adicional de otros factores que influyen definitivamente en el surgimiento y evolución de una lesión cariosa. Entre estos factores se encuentran: la  salud  general,  nivel  socioeconómico,  experiencia  pasada  de  caries,   grupo</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50" w:lineRule="auto" w:before="69"/>
        <w:ind w:left="162" w:right="179"/>
        <w:jc w:val="both"/>
        <w:rPr>
          <w:sz w:val="16"/>
        </w:rPr>
      </w:pPr>
      <w:r>
        <w:rPr/>
        <w:t>epidemiológico, carga genética y contaminantes ambientales. Es por esto que al estudiar la etiología de la caries dental se deben considerar factores externos a la cavidad bucal, debido a que su presencia varía tanto favorable como desfavorablemente para contraer caries.</w:t>
      </w:r>
      <w:r>
        <w:rPr>
          <w:position w:val="11"/>
          <w:sz w:val="16"/>
        </w:rPr>
        <w:t>7, 8</w:t>
      </w:r>
    </w:p>
    <w:p>
      <w:pPr>
        <w:pStyle w:val="BodyText"/>
        <w:spacing w:before="8"/>
        <w:rPr>
          <w:sz w:val="35"/>
        </w:rPr>
      </w:pPr>
    </w:p>
    <w:p>
      <w:pPr>
        <w:pStyle w:val="BodyText"/>
        <w:spacing w:line="360" w:lineRule="auto" w:before="1"/>
        <w:ind w:left="162" w:right="175"/>
        <w:jc w:val="both"/>
      </w:pPr>
      <w:r>
        <w:rPr/>
        <w:t>En México, los resultados de la Primera Encuesta Nacional de Caries y Fluorosis dental 1996-2000 dió a conocer que el promedio del índice CPOD a la edad de 12 años fue de 2.23; en ambas anomalías se observa un alto porcentaje de caries no tratadas. Asimismo, la Encuesta Nacional de Caries Dental en el 2001 señala que la prevalencia de caries para el grupo de edad de 15 años fue de 58% y el índice CPOD de 1.91; solo en el Distrito Federal la prevalencia fue de 88.6% con un</w:t>
      </w:r>
    </w:p>
    <w:p>
      <w:pPr>
        <w:pStyle w:val="BodyText"/>
        <w:spacing w:line="281" w:lineRule="exact"/>
        <w:ind w:left="162"/>
        <w:jc w:val="both"/>
        <w:rPr>
          <w:sz w:val="16"/>
        </w:rPr>
      </w:pPr>
      <w:r>
        <w:rPr/>
        <w:t>índice CPOD de 5.31. </w:t>
      </w:r>
      <w:r>
        <w:rPr>
          <w:position w:val="11"/>
          <w:sz w:val="16"/>
        </w:rPr>
        <w:t>9, 10</w:t>
      </w:r>
    </w:p>
    <w:p>
      <w:pPr>
        <w:pStyle w:val="BodyText"/>
        <w:rPr>
          <w:sz w:val="28"/>
        </w:rPr>
      </w:pPr>
    </w:p>
    <w:p>
      <w:pPr>
        <w:pStyle w:val="BodyText"/>
        <w:spacing w:before="11"/>
        <w:rPr>
          <w:sz w:val="28"/>
        </w:rPr>
      </w:pPr>
    </w:p>
    <w:p>
      <w:pPr>
        <w:pStyle w:val="BodyText"/>
        <w:spacing w:line="352" w:lineRule="auto"/>
        <w:ind w:left="162" w:right="179"/>
        <w:jc w:val="both"/>
        <w:rPr>
          <w:sz w:val="16"/>
        </w:rPr>
      </w:pPr>
      <w:r>
        <w:rPr/>
        <w:t>En 1993 Maupome, estudió a 2596 pacientes de zonas marginales de diferentes estados de la República Mexicana y notificó un índice CPOD de 8.3 en mayores  de 15 años. Esta información es similar a la de Rivera y colaboradores del año 2006, en la que se identificó un índice CPOD de 6.8 y una prevalencia de caries  de 97% en 113 estudiantes de bachillerato.</w:t>
      </w:r>
      <w:r>
        <w:rPr>
          <w:spacing w:val="-37"/>
        </w:rPr>
        <w:t> </w:t>
      </w:r>
      <w:r>
        <w:rPr>
          <w:position w:val="11"/>
          <w:sz w:val="16"/>
        </w:rPr>
        <w:t>11, 12</w:t>
      </w:r>
    </w:p>
    <w:p>
      <w:pPr>
        <w:pStyle w:val="BodyText"/>
        <w:spacing w:before="5"/>
        <w:rPr>
          <w:sz w:val="35"/>
        </w:rPr>
      </w:pPr>
    </w:p>
    <w:p>
      <w:pPr>
        <w:pStyle w:val="Heading2"/>
        <w:numPr>
          <w:ilvl w:val="1"/>
          <w:numId w:val="6"/>
        </w:numPr>
        <w:tabs>
          <w:tab w:pos="590" w:val="left" w:leader="none"/>
        </w:tabs>
        <w:spacing w:line="240" w:lineRule="auto" w:before="1" w:after="0"/>
        <w:ind w:left="589" w:right="0" w:hanging="427"/>
        <w:jc w:val="both"/>
      </w:pPr>
      <w:bookmarkStart w:name="_TOC_250036" w:id="5"/>
      <w:r>
        <w:rPr/>
        <w:t>Factores</w:t>
      </w:r>
      <w:r>
        <w:rPr>
          <w:spacing w:val="-3"/>
        </w:rPr>
        <w:t> </w:t>
      </w:r>
      <w:bookmarkEnd w:id="5"/>
      <w:r>
        <w:rPr/>
        <w:t>etiológicos</w:t>
      </w:r>
    </w:p>
    <w:p>
      <w:pPr>
        <w:pStyle w:val="BodyText"/>
        <w:spacing w:before="137"/>
        <w:ind w:left="162"/>
        <w:jc w:val="both"/>
      </w:pPr>
      <w:r>
        <w:rPr/>
        <w:t>A.   Los microorganismos:</w:t>
      </w:r>
    </w:p>
    <w:p>
      <w:pPr>
        <w:pStyle w:val="BodyText"/>
        <w:spacing w:line="360" w:lineRule="auto" w:before="139"/>
        <w:ind w:left="162" w:right="177"/>
        <w:jc w:val="both"/>
        <w:rPr>
          <w:i/>
        </w:rPr>
      </w:pPr>
      <w:r>
        <w:rPr/>
        <w:t>La cavidad bucal contiene una de las más variadas y concentradas poblaciones microbianas del organismo. Se estima que en ella habitan más de mil especies, cada una de ellas representada por una gran variedad de cepas. Entre las bacterias presentes en la boca se encuentran tres especies principalmente relacionadas con la caries: </w:t>
      </w:r>
      <w:r>
        <w:rPr>
          <w:i/>
        </w:rPr>
        <w:t>Streptococcus</w:t>
      </w:r>
      <w:r>
        <w:rPr/>
        <w:t>, con la subespecies S</w:t>
      </w:r>
      <w:r>
        <w:rPr>
          <w:i/>
        </w:rPr>
        <w:t>. mutans, S. </w:t>
      </w:r>
      <w:r>
        <w:rPr>
          <w:i/>
        </w:rPr>
        <w:t>sobrinus </w:t>
      </w:r>
      <w:r>
        <w:rPr/>
        <w:t>y </w:t>
      </w:r>
      <w:r>
        <w:rPr>
          <w:i/>
        </w:rPr>
        <w:t>S. sanguinis</w:t>
      </w:r>
      <w:r>
        <w:rPr/>
        <w:t>; </w:t>
      </w:r>
      <w:r>
        <w:rPr>
          <w:i/>
        </w:rPr>
        <w:t>Lactobaillus</w:t>
      </w:r>
      <w:r>
        <w:rPr/>
        <w:t>, con las subespecies </w:t>
      </w:r>
      <w:r>
        <w:rPr>
          <w:i/>
        </w:rPr>
        <w:t>L. casei, L.   fermentum,</w:t>
      </w:r>
    </w:p>
    <w:p>
      <w:pPr>
        <w:spacing w:line="328" w:lineRule="auto" w:before="5"/>
        <w:ind w:left="162" w:right="178" w:firstLine="0"/>
        <w:jc w:val="both"/>
        <w:rPr>
          <w:sz w:val="16"/>
        </w:rPr>
      </w:pPr>
      <w:r>
        <w:rPr>
          <w:i/>
          <w:sz w:val="24"/>
        </w:rPr>
        <w:t>L. plantarum </w:t>
      </w:r>
      <w:r>
        <w:rPr>
          <w:sz w:val="24"/>
        </w:rPr>
        <w:t>y </w:t>
      </w:r>
      <w:r>
        <w:rPr>
          <w:i/>
          <w:sz w:val="24"/>
        </w:rPr>
        <w:t>L. oris </w:t>
      </w:r>
      <w:r>
        <w:rPr>
          <w:sz w:val="24"/>
        </w:rPr>
        <w:t>y los </w:t>
      </w:r>
      <w:r>
        <w:rPr>
          <w:i/>
          <w:sz w:val="24"/>
        </w:rPr>
        <w:t>Actinomyces</w:t>
      </w:r>
      <w:r>
        <w:rPr>
          <w:sz w:val="24"/>
        </w:rPr>
        <w:t>, con las subespecies </w:t>
      </w:r>
      <w:r>
        <w:rPr>
          <w:i/>
          <w:sz w:val="24"/>
        </w:rPr>
        <w:t>A. isrelis </w:t>
      </w:r>
      <w:r>
        <w:rPr>
          <w:sz w:val="24"/>
        </w:rPr>
        <w:t>y </w:t>
      </w:r>
      <w:r>
        <w:rPr>
          <w:i/>
          <w:sz w:val="24"/>
        </w:rPr>
        <w:t>A. </w:t>
      </w:r>
      <w:r>
        <w:rPr>
          <w:i/>
          <w:sz w:val="24"/>
        </w:rPr>
        <w:t>naslundii</w:t>
      </w:r>
      <w:r>
        <w:rPr>
          <w:sz w:val="24"/>
        </w:rPr>
        <w:t>. </w:t>
      </w:r>
      <w:r>
        <w:rPr>
          <w:position w:val="11"/>
          <w:sz w:val="16"/>
        </w:rPr>
        <w:t>13,14</w:t>
      </w:r>
    </w:p>
    <w:p>
      <w:pPr>
        <w:pStyle w:val="BodyText"/>
        <w:spacing w:before="8"/>
        <w:rPr>
          <w:sz w:val="26"/>
        </w:rPr>
      </w:pPr>
    </w:p>
    <w:p>
      <w:pPr>
        <w:pStyle w:val="BodyText"/>
        <w:spacing w:line="410" w:lineRule="atLeast"/>
        <w:ind w:left="162" w:right="175"/>
        <w:jc w:val="both"/>
      </w:pPr>
      <w:r>
        <w:rPr/>
        <w:t>Los cúmulos de bacterias y sus productos se adhieren fuertemente a la superficie dental, dando lugar a la placa dental, mejor denominada como biofilm dental. El</w:t>
      </w:r>
    </w:p>
    <w:p>
      <w:pPr>
        <w:spacing w:after="0" w:line="410" w:lineRule="atLeast"/>
        <w:jc w:val="both"/>
        <w:sectPr>
          <w:pgSz w:w="12240" w:h="15840"/>
          <w:pgMar w:header="733" w:footer="1039" w:top="1020" w:bottom="1220" w:left="1540" w:right="1520"/>
        </w:sectPr>
      </w:pPr>
    </w:p>
    <w:p>
      <w:pPr>
        <w:pStyle w:val="BodyText"/>
        <w:rPr>
          <w:sz w:val="18"/>
        </w:rPr>
      </w:pPr>
    </w:p>
    <w:p>
      <w:pPr>
        <w:pStyle w:val="BodyText"/>
        <w:spacing w:line="360" w:lineRule="auto" w:before="69"/>
        <w:ind w:left="162" w:right="178"/>
        <w:jc w:val="both"/>
      </w:pPr>
      <w:r>
        <w:rPr/>
        <w:t>biofilm constituye una comunidad bacteriana metabólicamente integrada adosada a una superficie, en una interfaz liquido-sólido. Dentro de esta estructura organizada, los microorganismos se comunican entre sí (quorom sensing), lo que involucra la regulación y expresión de genes específicos a través de moléculas de señalización; aunado a la protección que brinda el exopolímero y al estado metabólico  reducido  en  que  se  encuentran  las  bacterias más profundas  de </w:t>
      </w:r>
      <w:r>
        <w:rPr>
          <w:spacing w:val="7"/>
        </w:rPr>
        <w:t> </w:t>
      </w:r>
      <w:r>
        <w:rPr/>
        <w:t>la</w:t>
      </w:r>
    </w:p>
    <w:p>
      <w:pPr>
        <w:pStyle w:val="BodyText"/>
        <w:spacing w:line="331" w:lineRule="auto" w:before="2"/>
        <w:ind w:left="162" w:right="182"/>
        <w:jc w:val="both"/>
        <w:rPr>
          <w:sz w:val="16"/>
        </w:rPr>
      </w:pPr>
      <w:r>
        <w:rPr/>
        <w:t>comunidad, hace que los anticuerpos, las células del sistema inmune y aún los antimicrobianos, se vean drásticamente limitados en su acción. </w:t>
      </w:r>
      <w:r>
        <w:rPr>
          <w:position w:val="11"/>
          <w:sz w:val="16"/>
        </w:rPr>
        <w:t>15, 16, 17</w:t>
      </w:r>
    </w:p>
    <w:p>
      <w:pPr>
        <w:pStyle w:val="BodyText"/>
        <w:spacing w:before="11"/>
        <w:rPr>
          <w:sz w:val="37"/>
        </w:rPr>
      </w:pPr>
    </w:p>
    <w:p>
      <w:pPr>
        <w:pStyle w:val="BodyText"/>
        <w:spacing w:line="360" w:lineRule="auto"/>
        <w:ind w:left="162" w:right="176"/>
        <w:jc w:val="both"/>
      </w:pPr>
      <w:r>
        <w:rPr/>
        <w:t>La capacidad de crecer y producir ácido a bajos niveles de pH es sumamente importante para que un microorganismo pueda desarrollar caries dental. El pH al cual los tejidos dentales se disuelven, conocido como pH crítico, está entre 5.3 y</w:t>
      </w:r>
    </w:p>
    <w:p>
      <w:pPr>
        <w:pStyle w:val="BodyText"/>
        <w:spacing w:before="2"/>
        <w:ind w:left="162"/>
        <w:jc w:val="both"/>
      </w:pPr>
      <w:r>
        <w:rPr/>
        <w:t>5.7 a nivel adamantino y de 6.5 a 6.7 en dentina. Algunos microorganismos </w:t>
      </w:r>
      <w:r>
        <w:rPr>
          <w:spacing w:val="59"/>
        </w:rPr>
        <w:t> </w:t>
      </w:r>
      <w:r>
        <w:rPr/>
        <w:t>como</w:t>
      </w:r>
    </w:p>
    <w:p>
      <w:pPr>
        <w:pStyle w:val="BodyText"/>
        <w:spacing w:line="360" w:lineRule="auto" w:before="137"/>
        <w:ind w:left="162" w:right="183"/>
        <w:jc w:val="both"/>
      </w:pPr>
      <w:r>
        <w:rPr>
          <w:i/>
        </w:rPr>
        <w:t>S. mutans </w:t>
      </w:r>
      <w:r>
        <w:rPr/>
        <w:t>y </w:t>
      </w:r>
      <w:r>
        <w:rPr>
          <w:i/>
        </w:rPr>
        <w:t>Lactobacillus</w:t>
      </w:r>
      <w:r>
        <w:rPr/>
        <w:t>, alcanzan un excelente crecimiento a niveles de pH más bajos que otras bacterias del biofilm dental. Así, favorecidas por los bajos niveles de pH, las bacterias cariogénicas transportan rápidamente los azúcares fermentables cuando compiten con otras bacterias. Luego sintetizan  polisacáridos</w:t>
      </w:r>
    </w:p>
    <w:p>
      <w:pPr>
        <w:pStyle w:val="BodyText"/>
        <w:spacing w:line="328" w:lineRule="auto" w:before="5"/>
        <w:ind w:left="162" w:right="184"/>
        <w:jc w:val="both"/>
        <w:rPr>
          <w:sz w:val="16"/>
        </w:rPr>
      </w:pPr>
      <w:r>
        <w:rPr/>
        <w:t>intra y extracelulares y todo ello produce la desmineralización de la estructura adamantina. </w:t>
      </w:r>
      <w:r>
        <w:rPr>
          <w:position w:val="11"/>
          <w:sz w:val="16"/>
        </w:rPr>
        <w:t>16, 18, 19</w:t>
      </w:r>
    </w:p>
    <w:p>
      <w:pPr>
        <w:pStyle w:val="BodyText"/>
        <w:spacing w:before="1"/>
        <w:rPr>
          <w:sz w:val="38"/>
        </w:rPr>
      </w:pPr>
    </w:p>
    <w:p>
      <w:pPr>
        <w:pStyle w:val="ListParagraph"/>
        <w:numPr>
          <w:ilvl w:val="0"/>
          <w:numId w:val="7"/>
        </w:numPr>
        <w:tabs>
          <w:tab w:pos="590" w:val="left" w:leader="none"/>
        </w:tabs>
        <w:spacing w:line="240" w:lineRule="auto" w:before="1" w:after="0"/>
        <w:ind w:left="589" w:right="0" w:hanging="427"/>
        <w:jc w:val="both"/>
        <w:rPr>
          <w:sz w:val="24"/>
        </w:rPr>
      </w:pPr>
      <w:r>
        <w:rPr>
          <w:sz w:val="24"/>
        </w:rPr>
        <w:t>La</w:t>
      </w:r>
      <w:r>
        <w:rPr>
          <w:spacing w:val="-2"/>
          <w:sz w:val="24"/>
        </w:rPr>
        <w:t> </w:t>
      </w:r>
      <w:r>
        <w:rPr>
          <w:sz w:val="24"/>
        </w:rPr>
        <w:t>dieta:</w:t>
      </w:r>
    </w:p>
    <w:p>
      <w:pPr>
        <w:pStyle w:val="BodyText"/>
        <w:spacing w:line="352" w:lineRule="auto" w:before="139"/>
        <w:ind w:left="162" w:right="183"/>
        <w:jc w:val="both"/>
        <w:rPr>
          <w:sz w:val="16"/>
        </w:rPr>
      </w:pPr>
      <w:r>
        <w:rPr/>
        <w:t>Ciertas características de los alimentos azucarados (consistencia, textura, adhesión) y las condiciones en las cuales son ingeridos, son más importantes como determinantes de su potencial cariogénico que la cantidad de azúcar que ellos contengan. Los factores que establecen la cariogenicidad potencial de los alimentos azucarados son: </w:t>
      </w:r>
      <w:r>
        <w:rPr>
          <w:position w:val="11"/>
          <w:sz w:val="16"/>
        </w:rPr>
        <w:t>20</w:t>
      </w:r>
    </w:p>
    <w:p>
      <w:pPr>
        <w:pStyle w:val="BodyText"/>
        <w:spacing w:before="5"/>
        <w:rPr>
          <w:sz w:val="35"/>
        </w:rPr>
      </w:pPr>
    </w:p>
    <w:p>
      <w:pPr>
        <w:pStyle w:val="BodyText"/>
        <w:spacing w:line="360" w:lineRule="auto" w:before="1"/>
        <w:ind w:left="881" w:right="185"/>
        <w:jc w:val="both"/>
      </w:pPr>
      <w:r>
        <w:rPr/>
        <w:t>La consistencia física de la dieta: los alimentos adhesivos son mucho más cariogénicos que los no retentivos. Por ejemplo, una bebida azucarada (tomada rápidamente, no a traguitos) es menos cariogénica que lo que es una confitura o un dulce, independientemente de la cantidad de azúcar que ellos contengan.</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60" w:lineRule="auto" w:before="69"/>
        <w:ind w:left="881" w:right="175"/>
        <w:jc w:val="both"/>
      </w:pPr>
      <w:r>
        <w:rPr/>
        <w:t>Momento de la ingestión: los alimentos azucarados son más peligrosos si son consumidos entre comidas que durante ellas (postres, golosinas, etc.) Esto tiene que ver con los mecanismos de defensa naturales de la boca, que funcionan al máximo durante las comidas y tienden a eliminar los  restos de alimentos que quedan en ella, neutralizando los  ácidos (capacidad </w:t>
      </w:r>
      <w:r>
        <w:rPr>
          <w:i/>
        </w:rPr>
        <w:t>buffer</w:t>
      </w:r>
      <w:r>
        <w:rPr/>
        <w:t>) que puedan haberse formado. Por esta razón, las peores condiciones para ingerir un alimento cariogénico son inmediatamente antes de ir a acostarse, porque la boca se halla casi en reposo completo durante el</w:t>
      </w:r>
      <w:r>
        <w:rPr>
          <w:spacing w:val="-3"/>
        </w:rPr>
        <w:t> </w:t>
      </w:r>
      <w:r>
        <w:rPr/>
        <w:t>sueño.</w:t>
      </w:r>
    </w:p>
    <w:p>
      <w:pPr>
        <w:pStyle w:val="BodyText"/>
        <w:spacing w:line="350" w:lineRule="auto" w:before="5"/>
        <w:ind w:left="881" w:right="177"/>
        <w:jc w:val="both"/>
        <w:rPr>
          <w:sz w:val="16"/>
        </w:rPr>
      </w:pPr>
      <w:r>
        <w:rPr/>
        <w:t>La frecuencia: tras la ingestión de azúcar se produce a los pocos minutos una reducción del pH de la placa dental que facilita la desmineralización del diente y favorece la caries, por lo que cuanto más frecuentes sean, más cariogénicos se vuelven.</w:t>
      </w:r>
      <w:r>
        <w:rPr>
          <w:position w:val="11"/>
          <w:sz w:val="16"/>
        </w:rPr>
        <w:t>20, 21</w:t>
      </w:r>
    </w:p>
    <w:p>
      <w:pPr>
        <w:pStyle w:val="BodyText"/>
        <w:spacing w:before="8"/>
        <w:rPr>
          <w:sz w:val="35"/>
        </w:rPr>
      </w:pPr>
    </w:p>
    <w:p>
      <w:pPr>
        <w:pStyle w:val="BodyText"/>
        <w:spacing w:line="360" w:lineRule="auto" w:before="1"/>
        <w:ind w:left="162" w:right="177"/>
        <w:jc w:val="both"/>
      </w:pPr>
      <w:r>
        <w:rPr/>
        <w:t>La sacarosa es considerada, dentro de los hidratos de carbono, el de mayor capacidad cariogénica. Se plantea que causa aproximadamente 5 veces más caries que el almidón y que favorece el desenvolvimiento de caries de superficies lisas. Además, la sacarosa favorece tanto la colonización de los microorganismos orales como la adhesividad de la placa, lo cual le permite fijarse mejor sobre el diente. Conjuntamente con la cantidad y la frecuencia de consumo de los alimentos, se deben tomar en cuenta otros factores, como la adherencia propia del</w:t>
      </w:r>
    </w:p>
    <w:p>
      <w:pPr>
        <w:pStyle w:val="BodyText"/>
        <w:spacing w:line="281" w:lineRule="exact"/>
        <w:ind w:left="162"/>
        <w:jc w:val="both"/>
        <w:rPr>
          <w:sz w:val="16"/>
        </w:rPr>
      </w:pPr>
      <w:r>
        <w:rPr/>
        <w:t>alimento, que prolonga el tiempo de contacto con el diente.</w:t>
      </w:r>
      <w:r>
        <w:rPr>
          <w:position w:val="11"/>
          <w:sz w:val="16"/>
        </w:rPr>
        <w:t>22</w:t>
      </w:r>
    </w:p>
    <w:p>
      <w:pPr>
        <w:pStyle w:val="BodyText"/>
        <w:spacing w:before="2"/>
        <w:rPr>
          <w:sz w:val="29"/>
        </w:rPr>
      </w:pPr>
    </w:p>
    <w:p>
      <w:pPr>
        <w:pStyle w:val="ListParagraph"/>
        <w:numPr>
          <w:ilvl w:val="0"/>
          <w:numId w:val="7"/>
        </w:numPr>
        <w:tabs>
          <w:tab w:pos="590" w:val="left" w:leader="none"/>
        </w:tabs>
        <w:spacing w:line="240" w:lineRule="auto" w:before="0" w:after="0"/>
        <w:ind w:left="589" w:right="0" w:hanging="427"/>
        <w:jc w:val="both"/>
        <w:rPr>
          <w:sz w:val="24"/>
        </w:rPr>
      </w:pPr>
      <w:r>
        <w:rPr>
          <w:sz w:val="24"/>
        </w:rPr>
        <w:t>La</w:t>
      </w:r>
      <w:r>
        <w:rPr>
          <w:spacing w:val="-4"/>
          <w:sz w:val="24"/>
        </w:rPr>
        <w:t> </w:t>
      </w:r>
      <w:r>
        <w:rPr>
          <w:sz w:val="24"/>
        </w:rPr>
        <w:t>saliva:</w:t>
      </w:r>
    </w:p>
    <w:p>
      <w:pPr>
        <w:pStyle w:val="BodyText"/>
        <w:spacing w:line="360" w:lineRule="auto" w:before="139"/>
        <w:ind w:left="162" w:right="178"/>
        <w:jc w:val="both"/>
      </w:pPr>
      <w:r>
        <w:rPr/>
        <w:t>La saliva presenta varios factores de defensas innatos y adquiridos capaces de inhibir la invasión bacteriana, crecimiento y metabolismo mediante diversos mecanismos. Sin embargo, también se han investigado varios determinantes biológicos que tienen influencia en la cariogenicidad del biofilm, como el flujo salival, al haber un constante flujo salival se eliminan eficientemente microorganismos de la cavidad oral, y contrario a esto un flujo disminuido permite fácilmente el crecimiento microbiano. El rol protector de la saliva se logra a través de las siguientes acciones: mediante la dilución y lavado de los azucares de la</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31" w:lineRule="auto" w:before="69"/>
        <w:ind w:left="162" w:right="186"/>
        <w:jc w:val="both"/>
        <w:rPr>
          <w:sz w:val="16"/>
        </w:rPr>
      </w:pPr>
      <w:r>
        <w:rPr/>
        <w:t>dieta diaria, neutralización y amortiguación de los ácidos de la placa dental y la provisión de iones para el proceso de remineralización. </w:t>
      </w:r>
      <w:r>
        <w:rPr>
          <w:position w:val="11"/>
          <w:sz w:val="16"/>
        </w:rPr>
        <w:t>23-26</w:t>
      </w:r>
    </w:p>
    <w:p>
      <w:pPr>
        <w:pStyle w:val="BodyText"/>
        <w:spacing w:before="10"/>
        <w:rPr>
          <w:sz w:val="37"/>
        </w:rPr>
      </w:pPr>
    </w:p>
    <w:p>
      <w:pPr>
        <w:pStyle w:val="BodyText"/>
        <w:spacing w:line="360" w:lineRule="auto"/>
        <w:ind w:left="162" w:right="177"/>
        <w:jc w:val="both"/>
      </w:pPr>
      <w:r>
        <w:rPr/>
        <w:t>Ciertas proteínas salivales tienen efecto antibacteriano, como la lisosima, lactoperoxidasa, inmunoglobulinas, mucinas, lactotransferrina. La lactoferrina es  un glicoproteína que inhibe el crecimiento microbiano, probablemente por secuestro  de  hierro.  En  adición,  la  lactoferrina  libre  de  hierro</w:t>
      </w:r>
      <w:r>
        <w:rPr>
          <w:spacing w:val="-17"/>
        </w:rPr>
        <w:t> </w:t>
      </w:r>
      <w:r>
        <w:rPr/>
        <w:t>(apolactoferrina)</w:t>
      </w:r>
    </w:p>
    <w:p>
      <w:pPr>
        <w:pStyle w:val="BodyText"/>
        <w:spacing w:line="326" w:lineRule="auto" w:before="5"/>
        <w:ind w:left="162" w:right="182"/>
        <w:jc w:val="both"/>
        <w:rPr>
          <w:sz w:val="16"/>
        </w:rPr>
      </w:pPr>
      <w:r>
        <w:rPr/>
        <w:t>posee un efecto bactericida directo contra varias cepas bacterianas orales incluyendo </w:t>
      </w:r>
      <w:r>
        <w:rPr>
          <w:i/>
        </w:rPr>
        <w:t>S. mutans. </w:t>
      </w:r>
      <w:r>
        <w:rPr>
          <w:position w:val="11"/>
          <w:sz w:val="16"/>
        </w:rPr>
        <w:t>24, 27-30</w:t>
      </w:r>
    </w:p>
    <w:p>
      <w:pPr>
        <w:pStyle w:val="ListParagraph"/>
        <w:numPr>
          <w:ilvl w:val="0"/>
          <w:numId w:val="7"/>
        </w:numPr>
        <w:tabs>
          <w:tab w:pos="590" w:val="left" w:leader="none"/>
        </w:tabs>
        <w:spacing w:line="240" w:lineRule="auto" w:before="231" w:after="0"/>
        <w:ind w:left="589" w:right="0" w:hanging="427"/>
        <w:jc w:val="both"/>
        <w:rPr>
          <w:sz w:val="24"/>
        </w:rPr>
      </w:pPr>
      <w:r>
        <w:rPr>
          <w:sz w:val="24"/>
        </w:rPr>
        <w:t>El órgano</w:t>
      </w:r>
      <w:r>
        <w:rPr>
          <w:spacing w:val="-9"/>
          <w:sz w:val="24"/>
        </w:rPr>
        <w:t> </w:t>
      </w:r>
      <w:r>
        <w:rPr>
          <w:sz w:val="24"/>
        </w:rPr>
        <w:t>dentario</w:t>
      </w:r>
    </w:p>
    <w:p>
      <w:pPr>
        <w:pStyle w:val="BodyText"/>
        <w:spacing w:line="352" w:lineRule="auto" w:before="139"/>
        <w:ind w:left="162" w:right="180"/>
        <w:jc w:val="both"/>
        <w:rPr>
          <w:sz w:val="16"/>
        </w:rPr>
      </w:pPr>
      <w:r>
        <w:rPr/>
        <w:t>Ciertos dientes presentan una mayor incidencia de caries, incluso las superficies dentarias de un mismo diente varian la susceptibilidad a caries. Es así como la anatomía, disposición y la oclusión de los dientes, guardan una estrecha relación con la aparición de lesiones cariosas. También las anormalidades de los dientes de forma y composición contribuyen a la aparición de</w:t>
      </w:r>
      <w:r>
        <w:rPr>
          <w:spacing w:val="-19"/>
        </w:rPr>
        <w:t> </w:t>
      </w:r>
      <w:r>
        <w:rPr/>
        <w:t>caries.</w:t>
      </w:r>
      <w:r>
        <w:rPr>
          <w:position w:val="11"/>
          <w:sz w:val="16"/>
        </w:rPr>
        <w:t>26</w:t>
      </w:r>
    </w:p>
    <w:p>
      <w:pPr>
        <w:pStyle w:val="ListParagraph"/>
        <w:numPr>
          <w:ilvl w:val="0"/>
          <w:numId w:val="7"/>
        </w:numPr>
        <w:tabs>
          <w:tab w:pos="590" w:val="left" w:leader="none"/>
        </w:tabs>
        <w:spacing w:line="240" w:lineRule="auto" w:before="194" w:after="0"/>
        <w:ind w:left="589" w:right="0" w:hanging="427"/>
        <w:jc w:val="both"/>
        <w:rPr>
          <w:sz w:val="24"/>
        </w:rPr>
      </w:pPr>
      <w:r>
        <w:rPr>
          <w:sz w:val="24"/>
        </w:rPr>
        <w:t>El sistema</w:t>
      </w:r>
      <w:r>
        <w:rPr>
          <w:spacing w:val="-7"/>
          <w:sz w:val="24"/>
        </w:rPr>
        <w:t> </w:t>
      </w:r>
      <w:r>
        <w:rPr>
          <w:sz w:val="24"/>
        </w:rPr>
        <w:t>inmunitario</w:t>
      </w:r>
    </w:p>
    <w:p>
      <w:pPr>
        <w:pStyle w:val="BodyText"/>
        <w:spacing w:line="360" w:lineRule="auto" w:before="139"/>
        <w:ind w:left="162" w:right="176"/>
        <w:jc w:val="both"/>
      </w:pPr>
      <w:r>
        <w:rPr/>
        <w:t>El sistema inmunitario actúa contra la microflora cariogénica, produciendo respuesta humoral mediante anticuerpos del tipo Inmunoglobulina A salival. Esta inmunoglobulina conforma la primera línea de defensa del huésped contra los agentes patógenos en las superficies mucosas. Los anticuerpos de la IgA salival son coadyuvantes de la inmunidad oral por la prevención de la adherencia microbiana, al neutralizar enzimas, toxinas y virus. Sin embargo, aun en la presencia de IgA sobrevive la microbiota normal de la cavidad bucal. Hasta el momento los estudios que han evaluado el rol de dicha inmunoglobulina han arrojado resultados contradictorios. Estudios in vitro han demostrado que la IgA puede inhibir o promover la adherencia de las bacterias a los dientes. En experimento con modelo animal han demostrado que la IgA inducida por </w:t>
      </w:r>
      <w:r>
        <w:rPr>
          <w:i/>
        </w:rPr>
        <w:t>Streotococcus mutans, </w:t>
      </w:r>
      <w:r>
        <w:rPr/>
        <w:t>reduce la colonización por esta bacteria, previniendo la caries. Por otro lado estudios en humanos con deficiencia de IgA, no han sido concluyentes puesto que han encontrado que dichos individuos son mas o  menos</w:t>
      </w:r>
    </w:p>
    <w:p>
      <w:pPr>
        <w:pStyle w:val="BodyText"/>
        <w:spacing w:line="281" w:lineRule="exact"/>
        <w:ind w:left="162"/>
        <w:jc w:val="both"/>
        <w:rPr>
          <w:sz w:val="16"/>
        </w:rPr>
      </w:pPr>
      <w:r>
        <w:rPr/>
        <w:t>susceptibles a la caries dental. </w:t>
      </w:r>
      <w:r>
        <w:rPr>
          <w:position w:val="11"/>
          <w:sz w:val="16"/>
        </w:rPr>
        <w:t>31-37</w:t>
      </w:r>
    </w:p>
    <w:p>
      <w:pPr>
        <w:spacing w:after="0" w:line="281" w:lineRule="exact"/>
        <w:jc w:val="both"/>
        <w:rPr>
          <w:sz w:val="16"/>
        </w:rPr>
        <w:sectPr>
          <w:pgSz w:w="12240" w:h="15840"/>
          <w:pgMar w:header="733" w:footer="1039" w:top="1020" w:bottom="1220" w:left="1540" w:right="1520"/>
        </w:sectPr>
      </w:pPr>
    </w:p>
    <w:p>
      <w:pPr>
        <w:pStyle w:val="BodyText"/>
        <w:rPr>
          <w:sz w:val="20"/>
        </w:rPr>
      </w:pPr>
    </w:p>
    <w:p>
      <w:pPr>
        <w:pStyle w:val="BodyText"/>
        <w:rPr>
          <w:sz w:val="20"/>
        </w:rPr>
      </w:pPr>
    </w:p>
    <w:p>
      <w:pPr>
        <w:pStyle w:val="BodyText"/>
        <w:spacing w:line="352" w:lineRule="auto" w:before="232"/>
        <w:ind w:left="162" w:right="183"/>
        <w:jc w:val="both"/>
        <w:rPr>
          <w:sz w:val="16"/>
        </w:rPr>
      </w:pPr>
      <w:r>
        <w:rPr/>
        <w:t>La protección frente a las caries que se desarrolla en el dominio gingival, dependerá de la acción de la IgM e IgG, que además de inhibir la adhesión de los microorganismos a la superficie dental e inhibir la acción de la glucosiltransferasa, pueden aglutinar y opsonizar los microorganismos que serán fagocitados por los fagocitos presentes en el líquido gingival.</w:t>
      </w:r>
      <w:r>
        <w:rPr>
          <w:position w:val="11"/>
          <w:sz w:val="16"/>
        </w:rPr>
        <w:t>38</w:t>
      </w:r>
    </w:p>
    <w:p>
      <w:pPr>
        <w:pStyle w:val="ListParagraph"/>
        <w:numPr>
          <w:ilvl w:val="0"/>
          <w:numId w:val="7"/>
        </w:numPr>
        <w:tabs>
          <w:tab w:pos="590" w:val="left" w:leader="none"/>
        </w:tabs>
        <w:spacing w:line="240" w:lineRule="auto" w:before="194" w:after="0"/>
        <w:ind w:left="589" w:right="0" w:hanging="427"/>
        <w:jc w:val="both"/>
        <w:rPr>
          <w:sz w:val="24"/>
        </w:rPr>
      </w:pPr>
      <w:r>
        <w:rPr>
          <w:sz w:val="24"/>
        </w:rPr>
        <w:t>La</w:t>
      </w:r>
      <w:r>
        <w:rPr>
          <w:spacing w:val="-4"/>
          <w:sz w:val="24"/>
        </w:rPr>
        <w:t> </w:t>
      </w:r>
      <w:r>
        <w:rPr>
          <w:sz w:val="24"/>
        </w:rPr>
        <w:t>genética</w:t>
      </w:r>
    </w:p>
    <w:p>
      <w:pPr>
        <w:pStyle w:val="BodyText"/>
        <w:spacing w:line="360" w:lineRule="auto" w:before="137"/>
        <w:ind w:left="162" w:right="179"/>
        <w:jc w:val="both"/>
      </w:pPr>
      <w:r>
        <w:rPr/>
        <w:t>La asociación de la genética con la resistencia o bien la susceptibilidad a la caries, parte de la observación de individuos que muestran una menor tendencia a desarrollar caries, con respecto a otros en igualdad de condiciones.</w:t>
      </w:r>
    </w:p>
    <w:p>
      <w:pPr>
        <w:pStyle w:val="BodyText"/>
      </w:pPr>
    </w:p>
    <w:p>
      <w:pPr>
        <w:pStyle w:val="BodyText"/>
        <w:spacing w:line="352" w:lineRule="auto" w:before="142"/>
        <w:ind w:left="162" w:right="176"/>
        <w:jc w:val="both"/>
        <w:rPr>
          <w:sz w:val="16"/>
        </w:rPr>
      </w:pPr>
      <w:r>
        <w:rPr/>
        <w:t>En relación al papel que juega la genética en la susceptibilidad a caries se han desarrollado investigaciones en búsqueda de responsabilidades genéticas, como es el caso de Conry et al. (1993), investigaron en gemelos las responsabilidades genéticas en la susceptibilidad a la caries, mencionan que existe una contribución genética a la caries de aproximadamente 40%.</w:t>
      </w:r>
      <w:r>
        <w:rPr>
          <w:position w:val="11"/>
          <w:sz w:val="16"/>
        </w:rPr>
        <w:t>39</w:t>
      </w:r>
    </w:p>
    <w:p>
      <w:pPr>
        <w:pStyle w:val="BodyText"/>
        <w:spacing w:before="6"/>
        <w:rPr>
          <w:sz w:val="35"/>
        </w:rPr>
      </w:pPr>
    </w:p>
    <w:p>
      <w:pPr>
        <w:pStyle w:val="BodyText"/>
        <w:spacing w:line="360" w:lineRule="auto"/>
        <w:ind w:left="162" w:right="177"/>
        <w:jc w:val="both"/>
      </w:pPr>
      <w:r>
        <w:rPr/>
        <w:t>Con respecto a lo antes mencionado, Slayton et al. (2005), realizaron un estudio sobre la susceptibilidad a la caries asociada al gen tuftelin y los niveles de </w:t>
      </w:r>
      <w:r>
        <w:rPr>
          <w:i/>
        </w:rPr>
        <w:t>S. </w:t>
      </w:r>
      <w:r>
        <w:rPr>
          <w:i/>
        </w:rPr>
        <w:t>mutans</w:t>
      </w:r>
      <w:r>
        <w:rPr/>
        <w:t>, dicho gen está relacionado con el desarrollo adamantino y la mineralización, por lo tanto eventualmente transmite información desfavorable y ésta se asocia con altos niveles de este microorganismo finalmente se suscita un aumento en la susceptibilidad a la caries. Así mismo Kang et al. (2011), realizaron un estudio para examinar la relación entre caries dental y polimorfismo de nucleótido simple en el gen AMELX un gen que codifica la amelogenina la cual es el  factor  más  importante  para  el  desarrollo  normal  del  esmalte,  demostrando</w:t>
      </w:r>
    </w:p>
    <w:p>
      <w:pPr>
        <w:pStyle w:val="BodyText"/>
        <w:spacing w:line="279" w:lineRule="exact"/>
        <w:ind w:left="162"/>
        <w:jc w:val="both"/>
        <w:rPr>
          <w:sz w:val="16"/>
        </w:rPr>
      </w:pPr>
      <w:r>
        <w:rPr/>
        <w:t>finalmente una asociación significativa. </w:t>
      </w:r>
      <w:r>
        <w:rPr>
          <w:position w:val="11"/>
          <w:sz w:val="16"/>
        </w:rPr>
        <w:t>40, 41</w:t>
      </w:r>
    </w:p>
    <w:p>
      <w:pPr>
        <w:pStyle w:val="BodyText"/>
        <w:rPr>
          <w:sz w:val="28"/>
        </w:rPr>
      </w:pPr>
    </w:p>
    <w:p>
      <w:pPr>
        <w:pStyle w:val="BodyText"/>
        <w:spacing w:line="360" w:lineRule="auto" w:before="230"/>
        <w:ind w:left="162" w:right="178"/>
        <w:jc w:val="both"/>
      </w:pPr>
      <w:r>
        <w:rPr/>
        <w:t>Considerando que ciertas características relevantes a la caries son heredables, tales como: las peculiaridades anatómicas, susceptibilidad, la progresión y la repuesta ante la inflamación; día  a día surge mas información acerca del  genoma</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45" w:lineRule="auto" w:before="69"/>
        <w:ind w:left="162" w:right="184"/>
        <w:jc w:val="both"/>
        <w:rPr>
          <w:sz w:val="16"/>
        </w:rPr>
      </w:pPr>
      <w:r>
        <w:rPr/>
        <w:t>humano y aunado a esta información tenemos la posibilidad de beneficiar al resto de la población con las peculiaridades de los individuos resistentes a la enfermedad.</w:t>
      </w:r>
      <w:r>
        <w:rPr>
          <w:position w:val="11"/>
          <w:sz w:val="16"/>
        </w:rPr>
        <w:t>42</w:t>
      </w:r>
    </w:p>
    <w:p>
      <w:pPr>
        <w:pStyle w:val="BodyText"/>
        <w:rPr>
          <w:sz w:val="28"/>
        </w:rPr>
      </w:pPr>
    </w:p>
    <w:p>
      <w:pPr>
        <w:pStyle w:val="ListParagraph"/>
        <w:numPr>
          <w:ilvl w:val="0"/>
          <w:numId w:val="7"/>
        </w:numPr>
        <w:tabs>
          <w:tab w:pos="590" w:val="left" w:leader="none"/>
        </w:tabs>
        <w:spacing w:line="240" w:lineRule="auto" w:before="198" w:after="0"/>
        <w:ind w:left="589" w:right="0" w:hanging="427"/>
        <w:jc w:val="both"/>
        <w:rPr>
          <w:sz w:val="24"/>
        </w:rPr>
      </w:pPr>
      <w:r>
        <w:rPr>
          <w:sz w:val="24"/>
        </w:rPr>
        <w:t>Otros</w:t>
      </w:r>
      <w:r>
        <w:rPr>
          <w:spacing w:val="-2"/>
          <w:sz w:val="24"/>
        </w:rPr>
        <w:t> </w:t>
      </w:r>
      <w:r>
        <w:rPr>
          <w:sz w:val="24"/>
        </w:rPr>
        <w:t>factores:</w:t>
      </w:r>
    </w:p>
    <w:p>
      <w:pPr>
        <w:pStyle w:val="BodyText"/>
        <w:spacing w:line="350" w:lineRule="auto" w:before="137"/>
        <w:ind w:left="162" w:right="178"/>
        <w:jc w:val="both"/>
        <w:rPr>
          <w:sz w:val="16"/>
        </w:rPr>
      </w:pPr>
      <w:r>
        <w:rPr/>
        <w:t>El factor </w:t>
      </w:r>
      <w:r>
        <w:rPr>
          <w:i/>
        </w:rPr>
        <w:t>tiempo </w:t>
      </w:r>
      <w:r>
        <w:rPr/>
        <w:t>resulta determinante, cuando los factores etiológicos interactúan por un largo periodo, se produce una desmineralización, mientras que si la interacción se da en un periodo más corto, dichos fenómenos no tendrían oportunidad de ocurrir.</w:t>
      </w:r>
      <w:r>
        <w:rPr>
          <w:position w:val="11"/>
          <w:sz w:val="16"/>
        </w:rPr>
        <w:t>4</w:t>
      </w:r>
    </w:p>
    <w:p>
      <w:pPr>
        <w:pStyle w:val="BodyText"/>
        <w:spacing w:before="7"/>
        <w:rPr>
          <w:sz w:val="35"/>
        </w:rPr>
      </w:pPr>
    </w:p>
    <w:p>
      <w:pPr>
        <w:pStyle w:val="BodyText"/>
        <w:spacing w:line="355" w:lineRule="auto"/>
        <w:ind w:left="162" w:right="175"/>
        <w:jc w:val="both"/>
        <w:rPr>
          <w:sz w:val="16"/>
        </w:rPr>
      </w:pPr>
      <w:r>
        <w:rPr/>
        <w:t>Las implicaciones del </w:t>
      </w:r>
      <w:r>
        <w:rPr>
          <w:i/>
        </w:rPr>
        <w:t>estado de salud </w:t>
      </w:r>
      <w:r>
        <w:rPr/>
        <w:t>en la susceptibilidad a caries tiene una repercusión importante ya que siempre se debe considerar al paciente en su totalidad y no solo tratar la cavidad bucal, considerando que ciertas enfermedades y medicamentos pueden disminuir el flujo salival, o bien reducir las defensas del organismo, en consecuencia el individuo será más susceptible a desarrollar caries dental.</w:t>
      </w:r>
      <w:r>
        <w:rPr>
          <w:position w:val="11"/>
          <w:sz w:val="16"/>
        </w:rPr>
        <w:t>1</w:t>
      </w:r>
    </w:p>
    <w:p>
      <w:pPr>
        <w:pStyle w:val="BodyText"/>
        <w:rPr>
          <w:sz w:val="35"/>
        </w:rPr>
      </w:pPr>
    </w:p>
    <w:p>
      <w:pPr>
        <w:pStyle w:val="BodyText"/>
        <w:spacing w:line="350" w:lineRule="auto" w:before="1"/>
        <w:ind w:left="162" w:right="176"/>
        <w:jc w:val="both"/>
        <w:rPr>
          <w:sz w:val="16"/>
        </w:rPr>
      </w:pPr>
      <w:r>
        <w:rPr/>
        <w:t>La composición de la microbiota oral varía con la </w:t>
      </w:r>
      <w:r>
        <w:rPr>
          <w:i/>
        </w:rPr>
        <w:t>edad </w:t>
      </w:r>
      <w:r>
        <w:rPr/>
        <w:t>del huésped. Los cambios relacionados con la edad en la microflora oral incluyen aquellos debidos a la erupción dental, los hábitos dietéticos, hormonales</w:t>
      </w:r>
      <w:r>
        <w:rPr>
          <w:i/>
        </w:rPr>
        <w:t>, </w:t>
      </w:r>
      <w:r>
        <w:rPr/>
        <w:t>el flujo salival, estado del sistema inmune y otros factores.</w:t>
      </w:r>
      <w:r>
        <w:rPr>
          <w:position w:val="11"/>
          <w:sz w:val="16"/>
        </w:rPr>
        <w:t>1</w:t>
      </w:r>
    </w:p>
    <w:p>
      <w:pPr>
        <w:pStyle w:val="BodyText"/>
        <w:spacing w:before="8"/>
        <w:rPr>
          <w:sz w:val="35"/>
        </w:rPr>
      </w:pPr>
    </w:p>
    <w:p>
      <w:pPr>
        <w:pStyle w:val="BodyText"/>
        <w:spacing w:line="360" w:lineRule="auto" w:before="1"/>
        <w:ind w:left="162" w:right="176"/>
        <w:jc w:val="both"/>
      </w:pPr>
      <w:r>
        <w:rPr/>
        <w:t>La cavidad oral al nacer es considerada estéril, sin embargo, entre las 6 a 10  horas microorganismos de la madre y una menor cantidad de los microorganismo presentes en el ambiente se establecen en la cavidad oral. Durante el primer año de vida la microbiota oral contiene Streptococcis, Neisseria, Veillonella, Staphylococcus,    y    en    menor    grado    Actinomyces,    Lactobacillus, </w:t>
      </w:r>
      <w:r>
        <w:rPr>
          <w:spacing w:val="8"/>
        </w:rPr>
        <w:t> </w:t>
      </w:r>
      <w:r>
        <w:rPr/>
        <w:t>Rothia,</w:t>
      </w:r>
    </w:p>
    <w:p>
      <w:pPr>
        <w:pStyle w:val="BodyText"/>
        <w:spacing w:line="328" w:lineRule="auto" w:before="5"/>
        <w:ind w:left="162" w:right="176"/>
        <w:jc w:val="both"/>
        <w:rPr>
          <w:sz w:val="16"/>
        </w:rPr>
      </w:pPr>
      <w:r>
        <w:rPr/>
        <w:t>Fusobacterium y Prevotella. Algunas especies como S. sanguis y S. mutans colonizan la cavidad oral solo después de erupcionados los dientes deciduos. </w:t>
      </w:r>
      <w:r>
        <w:rPr>
          <w:position w:val="11"/>
          <w:sz w:val="16"/>
        </w:rPr>
        <w:t>43, 44, </w:t>
      </w:r>
      <w:r>
        <w:rPr>
          <w:sz w:val="16"/>
        </w:rPr>
        <w:t>45</w:t>
      </w:r>
    </w:p>
    <w:p>
      <w:pPr>
        <w:spacing w:after="0" w:line="328" w:lineRule="auto"/>
        <w:jc w:val="both"/>
        <w:rPr>
          <w:sz w:val="16"/>
        </w:rPr>
        <w:sectPr>
          <w:pgSz w:w="12240" w:h="15840"/>
          <w:pgMar w:header="733" w:footer="1039" w:top="1020" w:bottom="1220" w:left="1540" w:right="1520"/>
        </w:sectPr>
      </w:pPr>
    </w:p>
    <w:p>
      <w:pPr>
        <w:pStyle w:val="BodyText"/>
        <w:rPr>
          <w:sz w:val="18"/>
        </w:rPr>
      </w:pPr>
    </w:p>
    <w:p>
      <w:pPr>
        <w:pStyle w:val="BodyText"/>
        <w:spacing w:line="360" w:lineRule="auto" w:before="69"/>
        <w:ind w:left="162" w:right="179"/>
        <w:jc w:val="both"/>
      </w:pPr>
      <w:r>
        <w:rPr/>
        <w:t>Estudios indican que el siguiente cambios drástico se da en la tercera edad ya que aumenta la prevalencia de staphilococos, lactobacilos, y después de los 80 años existe un aumento en la presencia de Candida albicans. Considerando que los cambios que se dan en la tercera edad no están relacionados con prótesis, medicamentos,  o  enfermedades  crónicas,  sino  por  una  disminución  del    flujo</w:t>
      </w:r>
    </w:p>
    <w:p>
      <w:pPr>
        <w:pStyle w:val="BodyText"/>
        <w:spacing w:line="328" w:lineRule="auto" w:before="5"/>
        <w:ind w:left="162" w:right="184"/>
        <w:jc w:val="both"/>
        <w:rPr>
          <w:sz w:val="16"/>
        </w:rPr>
      </w:pPr>
      <w:r>
        <w:rPr/>
        <w:t>salival, una disminución es la función del sistema inmune o deficiencias nutricionales. </w:t>
      </w:r>
      <w:r>
        <w:rPr>
          <w:position w:val="11"/>
          <w:sz w:val="16"/>
        </w:rPr>
        <w:t>46-49</w:t>
      </w:r>
    </w:p>
    <w:p>
      <w:pPr>
        <w:pStyle w:val="BodyText"/>
        <w:spacing w:before="11"/>
        <w:rPr>
          <w:sz w:val="37"/>
        </w:rPr>
      </w:pPr>
    </w:p>
    <w:p>
      <w:pPr>
        <w:pStyle w:val="BodyText"/>
        <w:spacing w:line="362" w:lineRule="auto"/>
        <w:ind w:left="162" w:right="176"/>
        <w:jc w:val="both"/>
      </w:pPr>
      <w:r>
        <w:rPr/>
        <w:t>El </w:t>
      </w:r>
      <w:r>
        <w:rPr>
          <w:i/>
        </w:rPr>
        <w:t>estilo de vida </w:t>
      </w:r>
      <w:r>
        <w:rPr/>
        <w:t>también parece estar relacionado con esta patología. Wigen et al. (2011), reportaron la asociación entre el estilo de vida materna durante el embarazo y la experiencia de caries en los niños en edad preescolar, encontraron indicadores significativos en la madre como el consumo de una dieta alta en grasa</w:t>
      </w:r>
    </w:p>
    <w:p>
      <w:pPr>
        <w:pStyle w:val="BodyText"/>
        <w:spacing w:line="331" w:lineRule="auto"/>
        <w:ind w:left="162" w:right="176"/>
        <w:jc w:val="both"/>
        <w:rPr>
          <w:sz w:val="16"/>
        </w:rPr>
      </w:pPr>
      <w:r>
        <w:rPr/>
        <w:t>y azúcar, sobrepeso, o con bajo nivel de estudios, como riesgosos para la experiencia de caries a la edad de 5 años.</w:t>
      </w:r>
      <w:r>
        <w:rPr>
          <w:position w:val="11"/>
          <w:sz w:val="16"/>
        </w:rPr>
        <w:t>50</w:t>
      </w:r>
    </w:p>
    <w:p>
      <w:pPr>
        <w:pStyle w:val="BodyText"/>
        <w:spacing w:before="8"/>
        <w:rPr>
          <w:sz w:val="37"/>
        </w:rPr>
      </w:pPr>
    </w:p>
    <w:p>
      <w:pPr>
        <w:pStyle w:val="BodyText"/>
        <w:spacing w:line="360" w:lineRule="auto"/>
        <w:ind w:left="162" w:right="177"/>
        <w:jc w:val="both"/>
      </w:pPr>
      <w:r>
        <w:rPr/>
        <w:t>Los </w:t>
      </w:r>
      <w:r>
        <w:rPr>
          <w:i/>
        </w:rPr>
        <w:t>cambios hormonales </w:t>
      </w:r>
      <w:r>
        <w:rPr/>
        <w:t>que se dan durante la pubertad y en el embarazo provocan un aumento en los niveles de hormonas esteroideas en plasma y subsecuentemente en el líquido crevicular y saliva. También existen antecedentes de la asociación de estos cambios hormonales con un aumento en la inflamación gingival, acompañado de exudado gingival. Kornman et al. (1982) reportaron un aumento en la presencia de </w:t>
      </w:r>
      <w:r>
        <w:rPr>
          <w:i/>
        </w:rPr>
        <w:t>Prevotella intermedia </w:t>
      </w:r>
      <w:r>
        <w:rPr/>
        <w:t>en la microbiota subgingival   en</w:t>
      </w:r>
    </w:p>
    <w:p>
      <w:pPr>
        <w:pStyle w:val="BodyText"/>
        <w:spacing w:line="328" w:lineRule="auto" w:before="7"/>
        <w:ind w:left="162" w:right="182"/>
        <w:jc w:val="both"/>
        <w:rPr>
          <w:sz w:val="16"/>
        </w:rPr>
      </w:pPr>
      <w:r>
        <w:rPr/>
        <w:t>mujeres embarazadas, asociado a un aumento en los niveles de estrógeno y progesterona en el plasma. </w:t>
      </w:r>
      <w:r>
        <w:rPr>
          <w:position w:val="11"/>
          <w:sz w:val="16"/>
        </w:rPr>
        <w:t>51-54</w:t>
      </w:r>
    </w:p>
    <w:p>
      <w:pPr>
        <w:pStyle w:val="BodyText"/>
        <w:spacing w:before="11"/>
        <w:rPr>
          <w:sz w:val="37"/>
        </w:rPr>
      </w:pPr>
    </w:p>
    <w:p>
      <w:pPr>
        <w:pStyle w:val="BodyText"/>
        <w:spacing w:line="352" w:lineRule="auto"/>
        <w:ind w:left="162" w:right="176"/>
        <w:jc w:val="both"/>
        <w:rPr>
          <w:sz w:val="16"/>
        </w:rPr>
      </w:pPr>
      <w:r>
        <w:rPr/>
        <w:t>Se ha reportado la asociación entre el </w:t>
      </w:r>
      <w:r>
        <w:rPr>
          <w:i/>
        </w:rPr>
        <w:t>medio ambiente </w:t>
      </w:r>
      <w:r>
        <w:rPr/>
        <w:t>y la incidencia de caries, tal es el caso de la investigación realizada por Aligne et al. (2003), en la cual examinaron la relación entre caries y los niveles de cotinina en suero como resultado de ser fumador pasivo; encontrando una asociación positiva entre el humo de tabaco en el ambiente y el riesgo de caries en dientes deciduos.</w:t>
      </w:r>
      <w:r>
        <w:rPr>
          <w:position w:val="11"/>
          <w:sz w:val="16"/>
        </w:rPr>
        <w:t>55</w:t>
      </w:r>
    </w:p>
    <w:p>
      <w:pPr>
        <w:pStyle w:val="BodyText"/>
        <w:spacing w:before="5"/>
        <w:rPr>
          <w:sz w:val="35"/>
        </w:rPr>
      </w:pPr>
    </w:p>
    <w:p>
      <w:pPr>
        <w:pStyle w:val="BodyText"/>
        <w:spacing w:line="360" w:lineRule="auto"/>
        <w:ind w:left="162" w:right="179"/>
        <w:jc w:val="both"/>
      </w:pPr>
      <w:r>
        <w:rPr/>
        <w:t>Se han estudiado otros contaminantes del ambiente y su posible relación en la incidencia de caries como el reporte de Jan et al. (2008), en el cual estudiaron  los</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50" w:lineRule="auto" w:before="69"/>
        <w:ind w:left="162" w:right="183"/>
        <w:jc w:val="both"/>
        <w:rPr>
          <w:sz w:val="16"/>
        </w:rPr>
      </w:pPr>
      <w:r>
        <w:rPr/>
        <w:t>efectos de la concentración de bifenilos policlorados (PCB) en la leche materna,  en la caries dental en niños de 9 a 10 años en las islas Faroe, Dinamarca. Realizaron un análisis de regresión multivariado cuyos resultados demostraron  que la exposición a los PCB estaba relacionada con la susceptibilidad a</w:t>
      </w:r>
      <w:r>
        <w:rPr>
          <w:spacing w:val="-23"/>
        </w:rPr>
        <w:t> </w:t>
      </w:r>
      <w:r>
        <w:rPr/>
        <w:t>caries.</w:t>
      </w:r>
      <w:r>
        <w:rPr>
          <w:position w:val="11"/>
          <w:sz w:val="16"/>
        </w:rPr>
        <w:t>57</w:t>
      </w:r>
    </w:p>
    <w:p>
      <w:pPr>
        <w:pStyle w:val="BodyText"/>
        <w:spacing w:before="8"/>
        <w:rPr>
          <w:sz w:val="35"/>
        </w:rPr>
      </w:pPr>
    </w:p>
    <w:p>
      <w:pPr>
        <w:pStyle w:val="Heading2"/>
        <w:numPr>
          <w:ilvl w:val="1"/>
          <w:numId w:val="8"/>
        </w:numPr>
        <w:tabs>
          <w:tab w:pos="565" w:val="left" w:leader="none"/>
        </w:tabs>
        <w:spacing w:line="240" w:lineRule="auto" w:before="1" w:after="0"/>
        <w:ind w:left="564" w:right="0" w:hanging="402"/>
        <w:jc w:val="both"/>
      </w:pPr>
      <w:bookmarkStart w:name="_TOC_250035" w:id="6"/>
      <w:r>
        <w:rPr/>
        <w:t>Clasificación de</w:t>
      </w:r>
      <w:r>
        <w:rPr>
          <w:spacing w:val="-8"/>
        </w:rPr>
        <w:t> </w:t>
      </w:r>
      <w:bookmarkEnd w:id="6"/>
      <w:r>
        <w:rPr/>
        <w:t>caries</w:t>
      </w:r>
    </w:p>
    <w:p>
      <w:pPr>
        <w:pStyle w:val="BodyText"/>
        <w:spacing w:line="350" w:lineRule="auto" w:before="137"/>
        <w:ind w:left="162" w:right="182"/>
        <w:jc w:val="both"/>
        <w:rPr>
          <w:sz w:val="16"/>
        </w:rPr>
      </w:pPr>
      <w:r>
        <w:rPr/>
        <w:t>Las cavitaciones que ocasiona la desmineralización producida por la caries se clasifican de acuerdo a ciertas variables, como son: localización, complejidad y progreso, esto con el fin de dar un mejor diagnostico y una correcta terapéutica.  Se ha clasificado la caries clínicamente considerando diversos criterios:</w:t>
      </w:r>
      <w:r>
        <w:rPr>
          <w:spacing w:val="-42"/>
        </w:rPr>
        <w:t> </w:t>
      </w:r>
      <w:r>
        <w:rPr>
          <w:position w:val="11"/>
          <w:sz w:val="16"/>
        </w:rPr>
        <w:t>58, 59, 60</w:t>
      </w:r>
    </w:p>
    <w:p>
      <w:pPr>
        <w:pStyle w:val="ListParagraph"/>
        <w:numPr>
          <w:ilvl w:val="0"/>
          <w:numId w:val="9"/>
        </w:numPr>
        <w:tabs>
          <w:tab w:pos="446" w:val="left" w:leader="none"/>
        </w:tabs>
        <w:spacing w:line="240" w:lineRule="auto" w:before="198" w:after="0"/>
        <w:ind w:left="445" w:right="0" w:hanging="283"/>
        <w:jc w:val="both"/>
        <w:rPr>
          <w:sz w:val="24"/>
        </w:rPr>
      </w:pPr>
      <w:r>
        <w:rPr>
          <w:sz w:val="24"/>
        </w:rPr>
        <w:t>Localización en la pieza</w:t>
      </w:r>
      <w:r>
        <w:rPr>
          <w:spacing w:val="-12"/>
          <w:sz w:val="24"/>
        </w:rPr>
        <w:t> </w:t>
      </w:r>
      <w:r>
        <w:rPr>
          <w:sz w:val="24"/>
        </w:rPr>
        <w:t>dentaría:</w:t>
      </w:r>
    </w:p>
    <w:p>
      <w:pPr>
        <w:pStyle w:val="ListParagraph"/>
        <w:numPr>
          <w:ilvl w:val="1"/>
          <w:numId w:val="9"/>
        </w:numPr>
        <w:tabs>
          <w:tab w:pos="728" w:val="left" w:leader="none"/>
          <w:tab w:pos="729" w:val="left" w:leader="none"/>
        </w:tabs>
        <w:spacing w:line="240" w:lineRule="auto" w:before="134" w:after="0"/>
        <w:ind w:left="728" w:right="0" w:hanging="283"/>
        <w:jc w:val="left"/>
        <w:rPr>
          <w:sz w:val="22"/>
        </w:rPr>
      </w:pPr>
      <w:r>
        <w:rPr>
          <w:sz w:val="22"/>
        </w:rPr>
        <w:t>Lesión de fosas y</w:t>
      </w:r>
      <w:r>
        <w:rPr>
          <w:spacing w:val="-3"/>
          <w:sz w:val="22"/>
        </w:rPr>
        <w:t> </w:t>
      </w:r>
      <w:r>
        <w:rPr>
          <w:sz w:val="22"/>
        </w:rPr>
        <w:t>fisuras</w:t>
      </w:r>
    </w:p>
    <w:p>
      <w:pPr>
        <w:pStyle w:val="ListParagraph"/>
        <w:numPr>
          <w:ilvl w:val="1"/>
          <w:numId w:val="9"/>
        </w:numPr>
        <w:tabs>
          <w:tab w:pos="728" w:val="left" w:leader="none"/>
          <w:tab w:pos="729" w:val="left" w:leader="none"/>
        </w:tabs>
        <w:spacing w:line="240" w:lineRule="auto" w:before="126" w:after="0"/>
        <w:ind w:left="728" w:right="0" w:hanging="283"/>
        <w:jc w:val="left"/>
        <w:rPr>
          <w:sz w:val="22"/>
        </w:rPr>
      </w:pPr>
      <w:r>
        <w:rPr>
          <w:sz w:val="22"/>
        </w:rPr>
        <w:t>Lesión de superficies</w:t>
      </w:r>
      <w:r>
        <w:rPr>
          <w:spacing w:val="-7"/>
          <w:sz w:val="22"/>
        </w:rPr>
        <w:t> </w:t>
      </w:r>
      <w:r>
        <w:rPr>
          <w:sz w:val="22"/>
        </w:rPr>
        <w:t>lisas</w:t>
      </w:r>
    </w:p>
    <w:p>
      <w:pPr>
        <w:pStyle w:val="ListParagraph"/>
        <w:numPr>
          <w:ilvl w:val="0"/>
          <w:numId w:val="9"/>
        </w:numPr>
        <w:tabs>
          <w:tab w:pos="446" w:val="left" w:leader="none"/>
        </w:tabs>
        <w:spacing w:line="240" w:lineRule="auto" w:before="127" w:after="0"/>
        <w:ind w:left="445" w:right="0" w:hanging="283"/>
        <w:jc w:val="both"/>
        <w:rPr>
          <w:sz w:val="24"/>
        </w:rPr>
      </w:pPr>
      <w:r>
        <w:rPr>
          <w:sz w:val="24"/>
        </w:rPr>
        <w:t>Por superficie</w:t>
      </w:r>
      <w:r>
        <w:rPr>
          <w:spacing w:val="-10"/>
          <w:sz w:val="24"/>
        </w:rPr>
        <w:t> </w:t>
      </w:r>
      <w:r>
        <w:rPr>
          <w:sz w:val="24"/>
        </w:rPr>
        <w:t>anatómica:</w:t>
      </w:r>
    </w:p>
    <w:p>
      <w:pPr>
        <w:pStyle w:val="ListParagraph"/>
        <w:numPr>
          <w:ilvl w:val="1"/>
          <w:numId w:val="9"/>
        </w:numPr>
        <w:tabs>
          <w:tab w:pos="728" w:val="left" w:leader="none"/>
          <w:tab w:pos="729" w:val="left" w:leader="none"/>
        </w:tabs>
        <w:spacing w:line="240" w:lineRule="auto" w:before="134" w:after="0"/>
        <w:ind w:left="728" w:right="0" w:hanging="283"/>
        <w:jc w:val="left"/>
        <w:rPr>
          <w:sz w:val="22"/>
        </w:rPr>
      </w:pPr>
      <w:r>
        <w:rPr>
          <w:sz w:val="22"/>
        </w:rPr>
        <w:t>Oclusal: superficie masticatoria de las piezas</w:t>
      </w:r>
      <w:r>
        <w:rPr>
          <w:spacing w:val="-18"/>
          <w:sz w:val="22"/>
        </w:rPr>
        <w:t> </w:t>
      </w:r>
      <w:r>
        <w:rPr>
          <w:sz w:val="22"/>
        </w:rPr>
        <w:t>posteriores.</w:t>
      </w:r>
    </w:p>
    <w:p>
      <w:pPr>
        <w:pStyle w:val="ListParagraph"/>
        <w:numPr>
          <w:ilvl w:val="1"/>
          <w:numId w:val="9"/>
        </w:numPr>
        <w:tabs>
          <w:tab w:pos="728" w:val="left" w:leader="none"/>
          <w:tab w:pos="729" w:val="left" w:leader="none"/>
        </w:tabs>
        <w:spacing w:line="240" w:lineRule="auto" w:before="126" w:after="0"/>
        <w:ind w:left="728" w:right="0" w:hanging="283"/>
        <w:jc w:val="left"/>
        <w:rPr>
          <w:sz w:val="22"/>
        </w:rPr>
      </w:pPr>
      <w:r>
        <w:rPr>
          <w:sz w:val="22"/>
        </w:rPr>
        <w:t>Incisal: superficie cortante de las piezas</w:t>
      </w:r>
      <w:r>
        <w:rPr>
          <w:spacing w:val="-11"/>
          <w:sz w:val="22"/>
        </w:rPr>
        <w:t> </w:t>
      </w:r>
      <w:r>
        <w:rPr>
          <w:sz w:val="22"/>
        </w:rPr>
        <w:t>anteriores.</w:t>
      </w:r>
    </w:p>
    <w:p>
      <w:pPr>
        <w:pStyle w:val="ListParagraph"/>
        <w:numPr>
          <w:ilvl w:val="1"/>
          <w:numId w:val="9"/>
        </w:numPr>
        <w:tabs>
          <w:tab w:pos="728" w:val="left" w:leader="none"/>
          <w:tab w:pos="729" w:val="left" w:leader="none"/>
        </w:tabs>
        <w:spacing w:line="240" w:lineRule="auto" w:before="126" w:after="0"/>
        <w:ind w:left="728" w:right="0" w:hanging="283"/>
        <w:jc w:val="left"/>
        <w:rPr>
          <w:sz w:val="22"/>
        </w:rPr>
      </w:pPr>
      <w:r>
        <w:rPr>
          <w:sz w:val="22"/>
        </w:rPr>
        <w:t>Proximal: superficie mesial o distal de todas las piezas</w:t>
      </w:r>
      <w:r>
        <w:rPr>
          <w:spacing w:val="-15"/>
          <w:sz w:val="22"/>
        </w:rPr>
        <w:t> </w:t>
      </w:r>
      <w:r>
        <w:rPr>
          <w:sz w:val="22"/>
        </w:rPr>
        <w:t>dentarias.</w:t>
      </w:r>
    </w:p>
    <w:p>
      <w:pPr>
        <w:pStyle w:val="ListParagraph"/>
        <w:numPr>
          <w:ilvl w:val="1"/>
          <w:numId w:val="9"/>
        </w:numPr>
        <w:tabs>
          <w:tab w:pos="728" w:val="left" w:leader="none"/>
          <w:tab w:pos="729" w:val="left" w:leader="none"/>
        </w:tabs>
        <w:spacing w:line="240" w:lineRule="auto" w:before="129" w:after="0"/>
        <w:ind w:left="728" w:right="0" w:hanging="283"/>
        <w:jc w:val="left"/>
        <w:rPr>
          <w:sz w:val="22"/>
        </w:rPr>
      </w:pPr>
      <w:r>
        <w:rPr>
          <w:sz w:val="22"/>
        </w:rPr>
        <w:t>Cervical: tercio cervical o gingival de la pieza</w:t>
      </w:r>
      <w:r>
        <w:rPr>
          <w:spacing w:val="-15"/>
          <w:sz w:val="22"/>
        </w:rPr>
        <w:t> </w:t>
      </w:r>
      <w:r>
        <w:rPr>
          <w:sz w:val="22"/>
        </w:rPr>
        <w:t>dentaria</w:t>
      </w:r>
    </w:p>
    <w:p>
      <w:pPr>
        <w:pStyle w:val="ListParagraph"/>
        <w:numPr>
          <w:ilvl w:val="1"/>
          <w:numId w:val="9"/>
        </w:numPr>
        <w:tabs>
          <w:tab w:pos="728" w:val="left" w:leader="none"/>
          <w:tab w:pos="729" w:val="left" w:leader="none"/>
        </w:tabs>
        <w:spacing w:line="240" w:lineRule="auto" w:before="126" w:after="0"/>
        <w:ind w:left="728" w:right="0" w:hanging="283"/>
        <w:jc w:val="left"/>
        <w:rPr>
          <w:sz w:val="22"/>
        </w:rPr>
      </w:pPr>
      <w:r>
        <w:rPr>
          <w:sz w:val="22"/>
        </w:rPr>
        <w:t>Caras libres: vestibular, palatino/lingual de todas las piezas</w:t>
      </w:r>
      <w:r>
        <w:rPr>
          <w:spacing w:val="-14"/>
          <w:sz w:val="22"/>
        </w:rPr>
        <w:t> </w:t>
      </w:r>
      <w:r>
        <w:rPr>
          <w:sz w:val="22"/>
        </w:rPr>
        <w:t>dentarias.</w:t>
      </w:r>
    </w:p>
    <w:p>
      <w:pPr>
        <w:pStyle w:val="ListParagraph"/>
        <w:numPr>
          <w:ilvl w:val="1"/>
          <w:numId w:val="9"/>
        </w:numPr>
        <w:tabs>
          <w:tab w:pos="728" w:val="left" w:leader="none"/>
          <w:tab w:pos="729" w:val="left" w:leader="none"/>
        </w:tabs>
        <w:spacing w:line="240" w:lineRule="auto" w:before="126" w:after="0"/>
        <w:ind w:left="728" w:right="0" w:hanging="283"/>
        <w:jc w:val="left"/>
        <w:rPr>
          <w:sz w:val="22"/>
        </w:rPr>
      </w:pPr>
      <w:r>
        <w:rPr>
          <w:sz w:val="22"/>
        </w:rPr>
        <w:t>Combinación de superficies: ocluso-mesial, ocluso-distal,</w:t>
      </w:r>
      <w:r>
        <w:rPr>
          <w:spacing w:val="-14"/>
          <w:sz w:val="22"/>
        </w:rPr>
        <w:t> </w:t>
      </w:r>
      <w:r>
        <w:rPr>
          <w:sz w:val="22"/>
        </w:rPr>
        <w:t>etc.</w:t>
      </w:r>
    </w:p>
    <w:p>
      <w:pPr>
        <w:pStyle w:val="ListParagraph"/>
        <w:numPr>
          <w:ilvl w:val="0"/>
          <w:numId w:val="9"/>
        </w:numPr>
        <w:tabs>
          <w:tab w:pos="446" w:val="left" w:leader="none"/>
        </w:tabs>
        <w:spacing w:line="240" w:lineRule="auto" w:before="127" w:after="0"/>
        <w:ind w:left="445" w:right="0" w:hanging="283"/>
        <w:jc w:val="both"/>
        <w:rPr>
          <w:sz w:val="24"/>
        </w:rPr>
      </w:pPr>
      <w:r>
        <w:rPr>
          <w:sz w:val="24"/>
        </w:rPr>
        <w:t>El número de superficies que</w:t>
      </w:r>
      <w:r>
        <w:rPr>
          <w:spacing w:val="-13"/>
          <w:sz w:val="24"/>
        </w:rPr>
        <w:t> </w:t>
      </w:r>
      <w:r>
        <w:rPr>
          <w:sz w:val="24"/>
        </w:rPr>
        <w:t>abarca:</w:t>
      </w:r>
    </w:p>
    <w:p>
      <w:pPr>
        <w:pStyle w:val="ListParagraph"/>
        <w:numPr>
          <w:ilvl w:val="1"/>
          <w:numId w:val="9"/>
        </w:numPr>
        <w:tabs>
          <w:tab w:pos="728" w:val="left" w:leader="none"/>
          <w:tab w:pos="729" w:val="left" w:leader="none"/>
        </w:tabs>
        <w:spacing w:line="240" w:lineRule="auto" w:before="134" w:after="0"/>
        <w:ind w:left="728" w:right="0" w:hanging="283"/>
        <w:jc w:val="left"/>
        <w:rPr>
          <w:sz w:val="22"/>
        </w:rPr>
      </w:pPr>
      <w:r>
        <w:rPr>
          <w:sz w:val="22"/>
        </w:rPr>
        <w:t>Simples. Lesiones que abarcan una superficie</w:t>
      </w:r>
      <w:r>
        <w:rPr>
          <w:spacing w:val="-13"/>
          <w:sz w:val="22"/>
        </w:rPr>
        <w:t> </w:t>
      </w:r>
      <w:r>
        <w:rPr>
          <w:sz w:val="22"/>
        </w:rPr>
        <w:t>dentaria.</w:t>
      </w:r>
    </w:p>
    <w:p>
      <w:pPr>
        <w:pStyle w:val="ListParagraph"/>
        <w:numPr>
          <w:ilvl w:val="1"/>
          <w:numId w:val="9"/>
        </w:numPr>
        <w:tabs>
          <w:tab w:pos="728" w:val="left" w:leader="none"/>
          <w:tab w:pos="729" w:val="left" w:leader="none"/>
        </w:tabs>
        <w:spacing w:line="240" w:lineRule="auto" w:before="126" w:after="0"/>
        <w:ind w:left="728" w:right="0" w:hanging="283"/>
        <w:jc w:val="left"/>
        <w:rPr>
          <w:sz w:val="22"/>
        </w:rPr>
      </w:pPr>
      <w:r>
        <w:rPr>
          <w:sz w:val="22"/>
        </w:rPr>
        <w:t>Compuestas. Aquellas que involucran dos caras de un</w:t>
      </w:r>
      <w:r>
        <w:rPr>
          <w:spacing w:val="-12"/>
          <w:sz w:val="22"/>
        </w:rPr>
        <w:t> </w:t>
      </w:r>
      <w:r>
        <w:rPr>
          <w:sz w:val="22"/>
        </w:rPr>
        <w:t>diente.</w:t>
      </w:r>
    </w:p>
    <w:p>
      <w:pPr>
        <w:pStyle w:val="ListParagraph"/>
        <w:numPr>
          <w:ilvl w:val="1"/>
          <w:numId w:val="9"/>
        </w:numPr>
        <w:tabs>
          <w:tab w:pos="728" w:val="left" w:leader="none"/>
          <w:tab w:pos="729" w:val="left" w:leader="none"/>
        </w:tabs>
        <w:spacing w:line="240" w:lineRule="auto" w:before="126" w:after="0"/>
        <w:ind w:left="728" w:right="0" w:hanging="283"/>
        <w:jc w:val="left"/>
        <w:rPr>
          <w:sz w:val="22"/>
        </w:rPr>
      </w:pPr>
      <w:r>
        <w:rPr>
          <w:sz w:val="22"/>
        </w:rPr>
        <w:t>Complejas. Estas lesiones abarcan tres o más superficies del</w:t>
      </w:r>
      <w:r>
        <w:rPr>
          <w:spacing w:val="-15"/>
          <w:sz w:val="22"/>
        </w:rPr>
        <w:t> </w:t>
      </w:r>
      <w:r>
        <w:rPr>
          <w:sz w:val="22"/>
        </w:rPr>
        <w:t>diente.</w:t>
      </w:r>
    </w:p>
    <w:p>
      <w:pPr>
        <w:pStyle w:val="ListParagraph"/>
        <w:numPr>
          <w:ilvl w:val="0"/>
          <w:numId w:val="9"/>
        </w:numPr>
        <w:tabs>
          <w:tab w:pos="446" w:val="left" w:leader="none"/>
        </w:tabs>
        <w:spacing w:line="240" w:lineRule="auto" w:before="127" w:after="0"/>
        <w:ind w:left="445" w:right="0" w:hanging="283"/>
        <w:jc w:val="both"/>
        <w:rPr>
          <w:sz w:val="24"/>
        </w:rPr>
      </w:pPr>
      <w:r>
        <w:rPr>
          <w:sz w:val="24"/>
        </w:rPr>
        <w:t>Estadio:</w:t>
      </w:r>
    </w:p>
    <w:p>
      <w:pPr>
        <w:pStyle w:val="ListParagraph"/>
        <w:numPr>
          <w:ilvl w:val="1"/>
          <w:numId w:val="9"/>
        </w:numPr>
        <w:tabs>
          <w:tab w:pos="728" w:val="left" w:leader="none"/>
          <w:tab w:pos="729" w:val="left" w:leader="none"/>
        </w:tabs>
        <w:spacing w:line="240" w:lineRule="auto" w:before="135" w:after="0"/>
        <w:ind w:left="728" w:right="0" w:hanging="283"/>
        <w:jc w:val="left"/>
        <w:rPr>
          <w:sz w:val="24"/>
        </w:rPr>
      </w:pPr>
      <w:r>
        <w:rPr>
          <w:sz w:val="22"/>
        </w:rPr>
        <w:t>Activa</w:t>
      </w:r>
    </w:p>
    <w:p>
      <w:pPr>
        <w:pStyle w:val="ListParagraph"/>
        <w:numPr>
          <w:ilvl w:val="1"/>
          <w:numId w:val="9"/>
        </w:numPr>
        <w:tabs>
          <w:tab w:pos="728" w:val="left" w:leader="none"/>
          <w:tab w:pos="729" w:val="left" w:leader="none"/>
        </w:tabs>
        <w:spacing w:line="240" w:lineRule="auto" w:before="123" w:after="0"/>
        <w:ind w:left="728" w:right="0" w:hanging="283"/>
        <w:jc w:val="left"/>
        <w:rPr>
          <w:sz w:val="24"/>
        </w:rPr>
      </w:pPr>
      <w:r>
        <w:rPr>
          <w:sz w:val="22"/>
        </w:rPr>
        <w:t>Detenida</w:t>
      </w:r>
    </w:p>
    <w:p>
      <w:pPr>
        <w:pStyle w:val="ListParagraph"/>
        <w:numPr>
          <w:ilvl w:val="0"/>
          <w:numId w:val="9"/>
        </w:numPr>
        <w:tabs>
          <w:tab w:pos="446" w:val="left" w:leader="none"/>
        </w:tabs>
        <w:spacing w:line="240" w:lineRule="auto" w:before="123" w:after="0"/>
        <w:ind w:left="445" w:right="0" w:hanging="283"/>
        <w:jc w:val="both"/>
        <w:rPr>
          <w:sz w:val="24"/>
        </w:rPr>
      </w:pPr>
      <w:r>
        <w:rPr>
          <w:sz w:val="24"/>
        </w:rPr>
        <w:t>La profundidad de la</w:t>
      </w:r>
      <w:r>
        <w:rPr>
          <w:spacing w:val="-7"/>
          <w:sz w:val="24"/>
        </w:rPr>
        <w:t> </w:t>
      </w:r>
      <w:r>
        <w:rPr>
          <w:sz w:val="24"/>
        </w:rPr>
        <w:t>lesión:</w:t>
      </w:r>
    </w:p>
    <w:p>
      <w:pPr>
        <w:pStyle w:val="ListParagraph"/>
        <w:numPr>
          <w:ilvl w:val="1"/>
          <w:numId w:val="9"/>
        </w:numPr>
        <w:tabs>
          <w:tab w:pos="728" w:val="left" w:leader="none"/>
          <w:tab w:pos="729" w:val="left" w:leader="none"/>
        </w:tabs>
        <w:spacing w:line="348" w:lineRule="auto" w:before="135" w:after="0"/>
        <w:ind w:left="728" w:right="175" w:hanging="283"/>
        <w:jc w:val="left"/>
        <w:rPr>
          <w:sz w:val="24"/>
        </w:rPr>
      </w:pPr>
      <w:r>
        <w:rPr>
          <w:sz w:val="22"/>
        </w:rPr>
        <w:t>Lesión no cavitada. Cuando la desmineralización se encuentra limitada a la superficie del esmalte, sin ser una</w:t>
      </w:r>
      <w:r>
        <w:rPr>
          <w:spacing w:val="-10"/>
          <w:sz w:val="22"/>
        </w:rPr>
        <w:t> </w:t>
      </w:r>
      <w:r>
        <w:rPr>
          <w:sz w:val="22"/>
        </w:rPr>
        <w:t>cavidad.</w:t>
      </w:r>
    </w:p>
    <w:p>
      <w:pPr>
        <w:pStyle w:val="ListParagraph"/>
        <w:numPr>
          <w:ilvl w:val="1"/>
          <w:numId w:val="9"/>
        </w:numPr>
        <w:tabs>
          <w:tab w:pos="728" w:val="left" w:leader="none"/>
          <w:tab w:pos="729" w:val="left" w:leader="none"/>
        </w:tabs>
        <w:spacing w:line="240" w:lineRule="auto" w:before="13" w:after="0"/>
        <w:ind w:left="728" w:right="0" w:hanging="283"/>
        <w:jc w:val="left"/>
        <w:rPr>
          <w:sz w:val="24"/>
        </w:rPr>
      </w:pPr>
      <w:r>
        <w:rPr>
          <w:sz w:val="22"/>
        </w:rPr>
        <w:t>Lesión superficial. La profundidad esta circunscrita al</w:t>
      </w:r>
      <w:r>
        <w:rPr>
          <w:spacing w:val="-13"/>
          <w:sz w:val="22"/>
        </w:rPr>
        <w:t> </w:t>
      </w:r>
      <w:r>
        <w:rPr>
          <w:sz w:val="22"/>
        </w:rPr>
        <w:t>esmalte.</w:t>
      </w:r>
    </w:p>
    <w:p>
      <w:pPr>
        <w:pStyle w:val="ListParagraph"/>
        <w:numPr>
          <w:ilvl w:val="1"/>
          <w:numId w:val="9"/>
        </w:numPr>
        <w:tabs>
          <w:tab w:pos="728" w:val="left" w:leader="none"/>
          <w:tab w:pos="729" w:val="left" w:leader="none"/>
        </w:tabs>
        <w:spacing w:line="240" w:lineRule="auto" w:before="122" w:after="0"/>
        <w:ind w:left="728" w:right="0" w:hanging="283"/>
        <w:jc w:val="left"/>
        <w:rPr>
          <w:sz w:val="24"/>
        </w:rPr>
      </w:pPr>
      <w:r>
        <w:rPr>
          <w:sz w:val="22"/>
        </w:rPr>
        <w:t>Lesión moderada. Llega mínimamente a la</w:t>
      </w:r>
      <w:r>
        <w:rPr>
          <w:spacing w:val="-13"/>
          <w:sz w:val="22"/>
        </w:rPr>
        <w:t> </w:t>
      </w:r>
      <w:r>
        <w:rPr>
          <w:sz w:val="22"/>
        </w:rPr>
        <w:t>dentina</w:t>
      </w:r>
    </w:p>
    <w:p>
      <w:pPr>
        <w:spacing w:after="0" w:line="240" w:lineRule="auto"/>
        <w:jc w:val="left"/>
        <w:rPr>
          <w:sz w:val="24"/>
        </w:rPr>
        <w:sectPr>
          <w:pgSz w:w="12240" w:h="15840"/>
          <w:pgMar w:header="733" w:footer="1039" w:top="1020" w:bottom="1220" w:left="1540" w:right="1520"/>
        </w:sectPr>
      </w:pPr>
    </w:p>
    <w:p>
      <w:pPr>
        <w:pStyle w:val="BodyText"/>
        <w:spacing w:before="9"/>
        <w:rPr>
          <w:sz w:val="17"/>
        </w:rPr>
      </w:pPr>
    </w:p>
    <w:p>
      <w:pPr>
        <w:pStyle w:val="ListParagraph"/>
        <w:numPr>
          <w:ilvl w:val="1"/>
          <w:numId w:val="9"/>
        </w:numPr>
        <w:tabs>
          <w:tab w:pos="728" w:val="left" w:leader="none"/>
          <w:tab w:pos="729" w:val="left" w:leader="none"/>
        </w:tabs>
        <w:spacing w:line="240" w:lineRule="auto" w:before="69" w:after="0"/>
        <w:ind w:left="728" w:right="0" w:hanging="283"/>
        <w:jc w:val="left"/>
        <w:rPr>
          <w:sz w:val="24"/>
        </w:rPr>
      </w:pPr>
      <w:r>
        <w:rPr>
          <w:sz w:val="22"/>
        </w:rPr>
        <w:t>Lesión profunda. Alcanza un extenso compromiso de la</w:t>
      </w:r>
      <w:r>
        <w:rPr>
          <w:spacing w:val="-15"/>
          <w:sz w:val="22"/>
        </w:rPr>
        <w:t> </w:t>
      </w:r>
      <w:r>
        <w:rPr>
          <w:sz w:val="22"/>
        </w:rPr>
        <w:t>dentina.</w:t>
      </w:r>
    </w:p>
    <w:p>
      <w:pPr>
        <w:pStyle w:val="ListParagraph"/>
        <w:numPr>
          <w:ilvl w:val="1"/>
          <w:numId w:val="9"/>
        </w:numPr>
        <w:tabs>
          <w:tab w:pos="728" w:val="left" w:leader="none"/>
          <w:tab w:pos="729" w:val="left" w:leader="none"/>
        </w:tabs>
        <w:spacing w:line="240" w:lineRule="auto" w:before="123" w:after="0"/>
        <w:ind w:left="728" w:right="0" w:hanging="283"/>
        <w:jc w:val="left"/>
        <w:rPr>
          <w:sz w:val="24"/>
        </w:rPr>
      </w:pPr>
      <w:r>
        <w:rPr>
          <w:sz w:val="22"/>
        </w:rPr>
        <w:t>Lesión profunda con compromiso pulpar. Alcanza mínima exposición</w:t>
      </w:r>
      <w:r>
        <w:rPr>
          <w:spacing w:val="-19"/>
          <w:sz w:val="22"/>
        </w:rPr>
        <w:t> </w:t>
      </w:r>
      <w:r>
        <w:rPr>
          <w:sz w:val="22"/>
        </w:rPr>
        <w:t>pulpar.</w:t>
      </w:r>
    </w:p>
    <w:p>
      <w:pPr>
        <w:pStyle w:val="ListParagraph"/>
        <w:numPr>
          <w:ilvl w:val="0"/>
          <w:numId w:val="9"/>
        </w:numPr>
        <w:tabs>
          <w:tab w:pos="446" w:val="left" w:leader="none"/>
        </w:tabs>
        <w:spacing w:line="240" w:lineRule="auto" w:before="125" w:after="0"/>
        <w:ind w:left="445" w:right="0" w:hanging="283"/>
        <w:jc w:val="both"/>
        <w:rPr>
          <w:sz w:val="24"/>
        </w:rPr>
      </w:pPr>
      <w:r>
        <w:rPr>
          <w:sz w:val="24"/>
        </w:rPr>
        <w:t>De acuerdo a la velocidad de progresión de la</w:t>
      </w:r>
      <w:r>
        <w:rPr>
          <w:spacing w:val="-18"/>
          <w:sz w:val="24"/>
        </w:rPr>
        <w:t> </w:t>
      </w:r>
      <w:r>
        <w:rPr>
          <w:sz w:val="24"/>
        </w:rPr>
        <w:t>lesión:</w:t>
      </w:r>
    </w:p>
    <w:p>
      <w:pPr>
        <w:pStyle w:val="ListParagraph"/>
        <w:numPr>
          <w:ilvl w:val="1"/>
          <w:numId w:val="9"/>
        </w:numPr>
        <w:tabs>
          <w:tab w:pos="729" w:val="left" w:leader="none"/>
        </w:tabs>
        <w:spacing w:line="352" w:lineRule="auto" w:before="132" w:after="0"/>
        <w:ind w:left="728" w:right="177" w:hanging="283"/>
        <w:jc w:val="both"/>
        <w:rPr>
          <w:sz w:val="24"/>
        </w:rPr>
      </w:pPr>
      <w:r>
        <w:rPr>
          <w:sz w:val="22"/>
        </w:rPr>
        <w:t>Lesión aguda. La lesión progresa rápidamente desde su primera manifestación clínica hasta comprometer la dentina y pudiendo llegar a producir comunicación pulpar.</w:t>
      </w:r>
    </w:p>
    <w:p>
      <w:pPr>
        <w:pStyle w:val="ListParagraph"/>
        <w:numPr>
          <w:ilvl w:val="1"/>
          <w:numId w:val="9"/>
        </w:numPr>
        <w:tabs>
          <w:tab w:pos="729" w:val="left" w:leader="none"/>
        </w:tabs>
        <w:spacing w:line="324" w:lineRule="auto" w:before="11" w:after="0"/>
        <w:ind w:left="728" w:right="181" w:hanging="283"/>
        <w:jc w:val="both"/>
        <w:rPr>
          <w:sz w:val="24"/>
        </w:rPr>
      </w:pPr>
      <w:r>
        <w:rPr>
          <w:sz w:val="22"/>
        </w:rPr>
        <w:t>Lesión crónica. Este tipo de lesión progresa lentamente, es más común en adultos,  y el dolor no es un rasgo característico.</w:t>
      </w:r>
      <w:r>
        <w:rPr>
          <w:spacing w:val="-37"/>
          <w:sz w:val="22"/>
        </w:rPr>
        <w:t> </w:t>
      </w:r>
      <w:r>
        <w:rPr>
          <w:position w:val="10"/>
          <w:sz w:val="14"/>
        </w:rPr>
        <w:t>58, 59, 60</w:t>
      </w:r>
    </w:p>
    <w:p>
      <w:pPr>
        <w:pStyle w:val="BodyText"/>
        <w:rPr>
          <w:sz w:val="26"/>
        </w:rPr>
      </w:pPr>
    </w:p>
    <w:p>
      <w:pPr>
        <w:pStyle w:val="BodyText"/>
        <w:spacing w:before="2"/>
        <w:rPr>
          <w:sz w:val="30"/>
        </w:rPr>
      </w:pPr>
    </w:p>
    <w:p>
      <w:pPr>
        <w:pStyle w:val="Heading2"/>
        <w:numPr>
          <w:ilvl w:val="1"/>
          <w:numId w:val="8"/>
        </w:numPr>
        <w:tabs>
          <w:tab w:pos="565" w:val="left" w:leader="none"/>
        </w:tabs>
        <w:spacing w:line="240" w:lineRule="auto" w:before="0" w:after="0"/>
        <w:ind w:left="564" w:right="0" w:hanging="402"/>
        <w:jc w:val="both"/>
      </w:pPr>
      <w:bookmarkStart w:name="_TOC_250034" w:id="7"/>
      <w:r>
        <w:rPr/>
        <w:t>Diagnóstico de caries</w:t>
      </w:r>
      <w:r>
        <w:rPr>
          <w:spacing w:val="-9"/>
        </w:rPr>
        <w:t> </w:t>
      </w:r>
      <w:bookmarkEnd w:id="7"/>
      <w:r>
        <w:rPr/>
        <w:t>dental</w:t>
      </w:r>
    </w:p>
    <w:p>
      <w:pPr>
        <w:pStyle w:val="BodyText"/>
        <w:spacing w:line="360" w:lineRule="auto" w:before="139"/>
        <w:ind w:left="162" w:right="176"/>
        <w:jc w:val="both"/>
      </w:pPr>
      <w:r>
        <w:rPr/>
        <w:t>Para el diagnóstico de la caries dental, como en toda enfermedad, es de gran importancia que se realice cuanto más temprano sea posible. Sin embargo, es difícil detectar lesiones cariosas en su estadio más precoz, debido a que su presentación es asintomática y clínicamente se presenta como una lesión incipiente, además se puede formar en zonas donde la inspección es limitada,</w:t>
      </w:r>
    </w:p>
    <w:p>
      <w:pPr>
        <w:pStyle w:val="BodyText"/>
        <w:spacing w:line="279" w:lineRule="exact"/>
        <w:ind w:left="162"/>
        <w:jc w:val="both"/>
        <w:rPr>
          <w:sz w:val="16"/>
        </w:rPr>
      </w:pPr>
      <w:r>
        <w:rPr/>
        <w:t>como por ejemplo en la zona interproximal. </w:t>
      </w:r>
      <w:r>
        <w:rPr>
          <w:position w:val="11"/>
          <w:sz w:val="16"/>
        </w:rPr>
        <w:t>61</w:t>
      </w:r>
    </w:p>
    <w:p>
      <w:pPr>
        <w:pStyle w:val="BodyText"/>
        <w:rPr>
          <w:sz w:val="28"/>
        </w:rPr>
      </w:pPr>
    </w:p>
    <w:p>
      <w:pPr>
        <w:pStyle w:val="BodyText"/>
        <w:spacing w:line="350" w:lineRule="auto" w:before="230"/>
        <w:ind w:left="162" w:right="178"/>
        <w:jc w:val="both"/>
        <w:rPr>
          <w:sz w:val="16"/>
        </w:rPr>
      </w:pPr>
      <w:r>
        <w:rPr/>
        <w:t>El diagnóstico clínico es el más acertado para detectar lesiones cariosas y se puede realizar con diversos métodos como son: la inspección visual, transiluminación, método de conductividad eléctrica, y método de fluorescencia laser. </w:t>
      </w:r>
      <w:r>
        <w:rPr>
          <w:position w:val="11"/>
          <w:sz w:val="16"/>
        </w:rPr>
        <w:t>61</w:t>
      </w:r>
    </w:p>
    <w:p>
      <w:pPr>
        <w:pStyle w:val="BodyText"/>
        <w:spacing w:before="8"/>
        <w:rPr>
          <w:sz w:val="35"/>
        </w:rPr>
      </w:pPr>
    </w:p>
    <w:p>
      <w:pPr>
        <w:pStyle w:val="Heading2"/>
        <w:numPr>
          <w:ilvl w:val="0"/>
          <w:numId w:val="6"/>
        </w:numPr>
        <w:tabs>
          <w:tab w:pos="431" w:val="left" w:leader="none"/>
        </w:tabs>
        <w:spacing w:line="240" w:lineRule="auto" w:before="1" w:after="0"/>
        <w:ind w:left="430" w:right="0" w:hanging="268"/>
        <w:jc w:val="both"/>
      </w:pPr>
      <w:r>
        <w:rPr/>
        <w:t>PLAGUICIDAS</w:t>
      </w:r>
    </w:p>
    <w:p>
      <w:pPr>
        <w:pStyle w:val="BodyText"/>
        <w:rPr>
          <w:b/>
        </w:rPr>
      </w:pPr>
    </w:p>
    <w:p>
      <w:pPr>
        <w:pStyle w:val="BodyText"/>
        <w:rPr>
          <w:b/>
        </w:rPr>
      </w:pPr>
    </w:p>
    <w:p>
      <w:pPr>
        <w:pStyle w:val="BodyText"/>
        <w:spacing w:line="352" w:lineRule="auto"/>
        <w:ind w:left="162" w:right="176"/>
        <w:jc w:val="both"/>
        <w:rPr>
          <w:sz w:val="16"/>
        </w:rPr>
      </w:pPr>
      <w:r>
        <w:rPr/>
        <w:t>Los plaguicidas son cualquier sustancia o mezcla de sustancias destinadas a prevenir, destruir o controlar cualquier plaga, incluyendo los vectores de organismos causantes de enfermedades humanas o de los animales, las especies no deseadas de plantas o animales que causan perjuicio o que interfieren de cualquier otra forma en la producción.</w:t>
      </w:r>
      <w:r>
        <w:rPr>
          <w:position w:val="11"/>
          <w:sz w:val="16"/>
        </w:rPr>
        <w:t>62</w:t>
      </w:r>
    </w:p>
    <w:p>
      <w:pPr>
        <w:pStyle w:val="BodyText"/>
        <w:spacing w:before="5"/>
        <w:rPr>
          <w:sz w:val="35"/>
        </w:rPr>
      </w:pPr>
    </w:p>
    <w:p>
      <w:pPr>
        <w:pStyle w:val="BodyText"/>
        <w:spacing w:line="360" w:lineRule="auto"/>
        <w:ind w:left="162" w:right="185"/>
        <w:jc w:val="both"/>
      </w:pPr>
      <w:r>
        <w:rPr/>
        <w:t>El uso irracional de los plaguicidas causa efectos colaterales, su baja especificidad en</w:t>
      </w:r>
      <w:r>
        <w:rPr>
          <w:spacing w:val="55"/>
        </w:rPr>
        <w:t> </w:t>
      </w:r>
      <w:r>
        <w:rPr/>
        <w:t>adición</w:t>
      </w:r>
      <w:r>
        <w:rPr>
          <w:spacing w:val="55"/>
        </w:rPr>
        <w:t> </w:t>
      </w:r>
      <w:r>
        <w:rPr/>
        <w:t>a</w:t>
      </w:r>
      <w:r>
        <w:rPr>
          <w:spacing w:val="55"/>
        </w:rPr>
        <w:t> </w:t>
      </w:r>
      <w:r>
        <w:rPr/>
        <w:t>su</w:t>
      </w:r>
      <w:r>
        <w:rPr>
          <w:spacing w:val="55"/>
        </w:rPr>
        <w:t> </w:t>
      </w:r>
      <w:r>
        <w:rPr/>
        <w:t>potencial,</w:t>
      </w:r>
      <w:r>
        <w:rPr>
          <w:spacing w:val="55"/>
        </w:rPr>
        <w:t> </w:t>
      </w:r>
      <w:r>
        <w:rPr/>
        <w:t>aumenta</w:t>
      </w:r>
      <w:r>
        <w:rPr>
          <w:spacing w:val="56"/>
        </w:rPr>
        <w:t> </w:t>
      </w:r>
      <w:r>
        <w:rPr/>
        <w:t>su</w:t>
      </w:r>
      <w:r>
        <w:rPr>
          <w:spacing w:val="55"/>
        </w:rPr>
        <w:t> </w:t>
      </w:r>
      <w:r>
        <w:rPr/>
        <w:t>acción</w:t>
      </w:r>
      <w:r>
        <w:rPr>
          <w:spacing w:val="56"/>
        </w:rPr>
        <w:t> </w:t>
      </w:r>
      <w:r>
        <w:rPr/>
        <w:t>tóxica</w:t>
      </w:r>
      <w:r>
        <w:rPr>
          <w:spacing w:val="55"/>
        </w:rPr>
        <w:t> </w:t>
      </w:r>
      <w:r>
        <w:rPr/>
        <w:t>contra</w:t>
      </w:r>
      <w:r>
        <w:rPr>
          <w:spacing w:val="55"/>
        </w:rPr>
        <w:t> </w:t>
      </w:r>
      <w:r>
        <w:rPr/>
        <w:t>otros</w:t>
      </w:r>
      <w:r>
        <w:rPr>
          <w:spacing w:val="55"/>
        </w:rPr>
        <w:t> </w:t>
      </w:r>
      <w:r>
        <w:rPr/>
        <w:t>organismos,</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60" w:lineRule="auto" w:before="69"/>
        <w:ind w:left="162" w:right="176"/>
        <w:jc w:val="both"/>
      </w:pPr>
      <w:r>
        <w:rPr/>
        <w:t>incluyendo humanos. El amplio espectro de los efectos que los plaguicidas tienen sobre la salud involucran: daño agudo y persistente en el sistema nervioso, respiratorio y endocrino; teniendo también capacidad de actuar como mutagénicos y carcinógenos. La exposición humana a los plaguicidas ocurre en caso de los trabajadores de en campo abierto, invernaderos, trabajadores industriales y exterminadores de pestes, por ejemplo cuando se preparan las mezclas de estos sin las medidas de protección necesarias. Sin embargo la población que no se</w:t>
      </w:r>
    </w:p>
    <w:p>
      <w:pPr>
        <w:pStyle w:val="BodyText"/>
        <w:spacing w:line="328" w:lineRule="auto" w:before="5"/>
        <w:ind w:left="162" w:right="183"/>
        <w:jc w:val="both"/>
        <w:rPr>
          <w:sz w:val="16"/>
        </w:rPr>
      </w:pPr>
      <w:r>
        <w:rPr/>
        <w:t>encuentra en contacto directo se encuentra en riesgo al estar expuestos indirectamente, como por ejemplo alimentos contaminados. </w:t>
      </w:r>
      <w:r>
        <w:rPr>
          <w:position w:val="11"/>
          <w:sz w:val="16"/>
        </w:rPr>
        <w:t>64, 65, 66</w:t>
      </w:r>
    </w:p>
    <w:p>
      <w:pPr>
        <w:pStyle w:val="BodyText"/>
        <w:spacing w:before="2"/>
        <w:rPr>
          <w:sz w:val="38"/>
        </w:rPr>
      </w:pPr>
    </w:p>
    <w:p>
      <w:pPr>
        <w:pStyle w:val="Heading2"/>
        <w:numPr>
          <w:ilvl w:val="1"/>
          <w:numId w:val="6"/>
        </w:numPr>
        <w:tabs>
          <w:tab w:pos="590" w:val="left" w:leader="none"/>
        </w:tabs>
        <w:spacing w:line="240" w:lineRule="auto" w:before="0" w:after="0"/>
        <w:ind w:left="589" w:right="0" w:hanging="427"/>
        <w:jc w:val="both"/>
      </w:pPr>
      <w:bookmarkStart w:name="_TOC_250033" w:id="8"/>
      <w:r>
        <w:rPr/>
        <w:t>Toxicidad de los</w:t>
      </w:r>
      <w:r>
        <w:rPr>
          <w:spacing w:val="-7"/>
        </w:rPr>
        <w:t> </w:t>
      </w:r>
      <w:bookmarkEnd w:id="8"/>
      <w:r>
        <w:rPr/>
        <w:t>plaguicidas</w:t>
      </w:r>
    </w:p>
    <w:p>
      <w:pPr>
        <w:pStyle w:val="BodyText"/>
        <w:spacing w:line="328" w:lineRule="auto" w:before="139"/>
        <w:ind w:left="162" w:right="186"/>
        <w:jc w:val="both"/>
        <w:rPr>
          <w:sz w:val="16"/>
        </w:rPr>
      </w:pPr>
      <w:r>
        <w:rPr/>
        <w:t>La toxicidad ocasionada por los plaguicidas depende de la forma en que ingresa el compuesto al cuerpo humano. Las tres vías principales son: </w:t>
      </w:r>
      <w:r>
        <w:rPr>
          <w:position w:val="11"/>
          <w:sz w:val="16"/>
        </w:rPr>
        <w:t>63</w:t>
      </w:r>
    </w:p>
    <w:p>
      <w:pPr>
        <w:pStyle w:val="BodyText"/>
        <w:spacing w:before="1"/>
        <w:rPr>
          <w:sz w:val="38"/>
        </w:rPr>
      </w:pPr>
    </w:p>
    <w:p>
      <w:pPr>
        <w:pStyle w:val="ListParagraph"/>
        <w:numPr>
          <w:ilvl w:val="0"/>
          <w:numId w:val="10"/>
        </w:numPr>
        <w:tabs>
          <w:tab w:pos="868" w:val="left" w:leader="none"/>
        </w:tabs>
        <w:spacing w:line="352" w:lineRule="auto" w:before="1" w:after="0"/>
        <w:ind w:left="589" w:right="175" w:firstLine="0"/>
        <w:jc w:val="both"/>
        <w:rPr>
          <w:sz w:val="16"/>
        </w:rPr>
      </w:pPr>
      <w:r>
        <w:rPr>
          <w:sz w:val="24"/>
        </w:rPr>
        <w:t>Vía Oral. Dicho tóxico puede ser deglutido y pasar al tracto gastrointestinal, siguiendo hacia el sistema hepático y al circulatorio desde donde puede ser eliminado; pero también puede ser devuelto por el sistema circulatorio hacia el hígado, pasando por la vía biliar y volver al tubo digestivo para ser eliminado, reabsorbido o bien, pasar a sitios de depósito.</w:t>
      </w:r>
      <w:r>
        <w:rPr>
          <w:spacing w:val="-34"/>
          <w:sz w:val="24"/>
        </w:rPr>
        <w:t> </w:t>
      </w:r>
      <w:r>
        <w:rPr>
          <w:position w:val="11"/>
          <w:sz w:val="16"/>
        </w:rPr>
        <w:t>63</w:t>
      </w:r>
    </w:p>
    <w:p>
      <w:pPr>
        <w:pStyle w:val="ListParagraph"/>
        <w:numPr>
          <w:ilvl w:val="0"/>
          <w:numId w:val="10"/>
        </w:numPr>
        <w:tabs>
          <w:tab w:pos="926" w:val="left" w:leader="none"/>
        </w:tabs>
        <w:spacing w:line="350" w:lineRule="auto" w:before="0" w:after="0"/>
        <w:ind w:left="589" w:right="182" w:firstLine="0"/>
        <w:jc w:val="both"/>
        <w:rPr>
          <w:sz w:val="16"/>
        </w:rPr>
      </w:pPr>
      <w:r>
        <w:rPr>
          <w:sz w:val="24"/>
        </w:rPr>
        <w:t>Vía parenteral. Comprende distintas puertas de entrada, tales como la venosa, intraperitoneal, conjuntival, dérmica, muscular y subcutánea. En todas ellas el destino de la sustancia será el sistema circulatorio, para luego ser eliminada o depositarse en el organismo.</w:t>
      </w:r>
      <w:r>
        <w:rPr>
          <w:spacing w:val="-33"/>
          <w:sz w:val="24"/>
        </w:rPr>
        <w:t> </w:t>
      </w:r>
      <w:r>
        <w:rPr>
          <w:position w:val="11"/>
          <w:sz w:val="16"/>
        </w:rPr>
        <w:t>63</w:t>
      </w:r>
    </w:p>
    <w:p>
      <w:pPr>
        <w:pStyle w:val="ListParagraph"/>
        <w:numPr>
          <w:ilvl w:val="0"/>
          <w:numId w:val="10"/>
        </w:numPr>
        <w:tabs>
          <w:tab w:pos="863" w:val="left" w:leader="none"/>
        </w:tabs>
        <w:spacing w:line="345" w:lineRule="auto" w:before="0" w:after="0"/>
        <w:ind w:left="589" w:right="176" w:firstLine="0"/>
        <w:jc w:val="both"/>
        <w:rPr>
          <w:sz w:val="16"/>
        </w:rPr>
      </w:pPr>
      <w:r>
        <w:rPr>
          <w:sz w:val="24"/>
        </w:rPr>
        <w:t>Vía inhalatoria. El tóxico ingresa por la vía aérea o pulmonar y de acuerdo con el tamaño y presión va ser filtrado hasta los alvéolos, de donde puede pasar al torrente sanguíneo.</w:t>
      </w:r>
      <w:r>
        <w:rPr>
          <w:spacing w:val="-8"/>
          <w:sz w:val="24"/>
        </w:rPr>
        <w:t> </w:t>
      </w:r>
      <w:r>
        <w:rPr>
          <w:position w:val="11"/>
          <w:sz w:val="16"/>
        </w:rPr>
        <w:t>63</w:t>
      </w:r>
    </w:p>
    <w:p>
      <w:pPr>
        <w:pStyle w:val="BodyText"/>
        <w:spacing w:before="4"/>
        <w:rPr>
          <w:sz w:val="33"/>
        </w:rPr>
      </w:pPr>
    </w:p>
    <w:p>
      <w:pPr>
        <w:pStyle w:val="Heading2"/>
        <w:numPr>
          <w:ilvl w:val="1"/>
          <w:numId w:val="6"/>
        </w:numPr>
        <w:tabs>
          <w:tab w:pos="565" w:val="left" w:leader="none"/>
        </w:tabs>
        <w:spacing w:line="240" w:lineRule="auto" w:before="0" w:after="0"/>
        <w:ind w:left="564" w:right="0" w:hanging="402"/>
        <w:jc w:val="both"/>
      </w:pPr>
      <w:bookmarkStart w:name="_TOC_250032" w:id="9"/>
      <w:r>
        <w:rPr/>
        <w:t>Clasificación de los</w:t>
      </w:r>
      <w:r>
        <w:rPr>
          <w:spacing w:val="-9"/>
        </w:rPr>
        <w:t> </w:t>
      </w:r>
      <w:bookmarkEnd w:id="9"/>
      <w:r>
        <w:rPr/>
        <w:t>plaguicidas</w:t>
      </w:r>
    </w:p>
    <w:p>
      <w:pPr>
        <w:pStyle w:val="BodyText"/>
        <w:spacing w:before="4"/>
        <w:rPr>
          <w:b/>
          <w:sz w:val="29"/>
        </w:rPr>
      </w:pPr>
    </w:p>
    <w:p>
      <w:pPr>
        <w:pStyle w:val="ListParagraph"/>
        <w:numPr>
          <w:ilvl w:val="0"/>
          <w:numId w:val="11"/>
        </w:numPr>
        <w:tabs>
          <w:tab w:pos="882" w:val="left" w:leader="none"/>
        </w:tabs>
        <w:spacing w:line="240" w:lineRule="auto" w:before="1" w:after="0"/>
        <w:ind w:left="882" w:right="0" w:hanging="360"/>
        <w:jc w:val="both"/>
        <w:rPr>
          <w:sz w:val="24"/>
        </w:rPr>
      </w:pPr>
      <w:r>
        <w:rPr>
          <w:sz w:val="24"/>
        </w:rPr>
        <w:t>Por su naturaleza</w:t>
      </w:r>
      <w:r>
        <w:rPr>
          <w:spacing w:val="-7"/>
          <w:sz w:val="24"/>
        </w:rPr>
        <w:t> </w:t>
      </w:r>
      <w:r>
        <w:rPr>
          <w:sz w:val="24"/>
        </w:rPr>
        <w:t>química:</w:t>
      </w:r>
    </w:p>
    <w:p>
      <w:pPr>
        <w:pStyle w:val="ListParagraph"/>
        <w:numPr>
          <w:ilvl w:val="1"/>
          <w:numId w:val="11"/>
        </w:numPr>
        <w:tabs>
          <w:tab w:pos="1156" w:val="left" w:leader="none"/>
        </w:tabs>
        <w:spacing w:line="240" w:lineRule="auto" w:before="136" w:after="0"/>
        <w:ind w:left="1155" w:right="0" w:hanging="285"/>
        <w:jc w:val="left"/>
        <w:rPr>
          <w:sz w:val="22"/>
        </w:rPr>
      </w:pPr>
      <w:r>
        <w:rPr>
          <w:sz w:val="22"/>
        </w:rPr>
        <w:t>Inorgánicos</w:t>
      </w:r>
    </w:p>
    <w:p>
      <w:pPr>
        <w:pStyle w:val="ListParagraph"/>
        <w:numPr>
          <w:ilvl w:val="1"/>
          <w:numId w:val="11"/>
        </w:numPr>
        <w:tabs>
          <w:tab w:pos="1156" w:val="left" w:leader="none"/>
        </w:tabs>
        <w:spacing w:line="240" w:lineRule="auto" w:before="126" w:after="0"/>
        <w:ind w:left="1155" w:right="0" w:hanging="285"/>
        <w:jc w:val="left"/>
        <w:rPr>
          <w:sz w:val="22"/>
        </w:rPr>
      </w:pPr>
      <w:r>
        <w:rPr>
          <w:sz w:val="22"/>
        </w:rPr>
        <w:t>Orgánicos</w:t>
      </w:r>
    </w:p>
    <w:p>
      <w:pPr>
        <w:pStyle w:val="ListParagraph"/>
        <w:numPr>
          <w:ilvl w:val="1"/>
          <w:numId w:val="11"/>
        </w:numPr>
        <w:tabs>
          <w:tab w:pos="1156" w:val="left" w:leader="none"/>
        </w:tabs>
        <w:spacing w:line="240" w:lineRule="auto" w:before="128" w:after="0"/>
        <w:ind w:left="1155" w:right="0" w:hanging="285"/>
        <w:jc w:val="left"/>
        <w:rPr>
          <w:sz w:val="22"/>
        </w:rPr>
      </w:pPr>
      <w:r>
        <w:rPr>
          <w:sz w:val="22"/>
        </w:rPr>
        <w:t>Naturales (botánicos y</w:t>
      </w:r>
      <w:r>
        <w:rPr>
          <w:spacing w:val="-11"/>
          <w:sz w:val="22"/>
        </w:rPr>
        <w:t> </w:t>
      </w:r>
      <w:r>
        <w:rPr>
          <w:sz w:val="22"/>
        </w:rPr>
        <w:t>microbianos)</w:t>
      </w:r>
    </w:p>
    <w:p>
      <w:pPr>
        <w:spacing w:after="0" w:line="240" w:lineRule="auto"/>
        <w:jc w:val="left"/>
        <w:rPr>
          <w:sz w:val="22"/>
        </w:rPr>
        <w:sectPr>
          <w:pgSz w:w="12240" w:h="15840"/>
          <w:pgMar w:header="733" w:footer="1039" w:top="1020" w:bottom="1220" w:left="1540" w:right="1520"/>
        </w:sectPr>
      </w:pPr>
    </w:p>
    <w:p>
      <w:pPr>
        <w:pStyle w:val="BodyText"/>
        <w:spacing w:before="8"/>
        <w:rPr>
          <w:sz w:val="17"/>
        </w:rPr>
      </w:pPr>
    </w:p>
    <w:p>
      <w:pPr>
        <w:pStyle w:val="ListParagraph"/>
        <w:numPr>
          <w:ilvl w:val="1"/>
          <w:numId w:val="11"/>
        </w:numPr>
        <w:tabs>
          <w:tab w:pos="1156" w:val="left" w:leader="none"/>
        </w:tabs>
        <w:spacing w:line="240" w:lineRule="auto" w:before="72" w:after="0"/>
        <w:ind w:left="1155" w:right="0" w:hanging="285"/>
        <w:jc w:val="left"/>
        <w:rPr>
          <w:sz w:val="22"/>
        </w:rPr>
      </w:pPr>
      <w:r>
        <w:rPr>
          <w:sz w:val="22"/>
        </w:rPr>
        <w:t>Sintéticos</w:t>
      </w:r>
    </w:p>
    <w:p>
      <w:pPr>
        <w:pStyle w:val="ListParagraph"/>
        <w:numPr>
          <w:ilvl w:val="0"/>
          <w:numId w:val="11"/>
        </w:numPr>
        <w:tabs>
          <w:tab w:pos="870" w:val="left" w:leader="none"/>
        </w:tabs>
        <w:spacing w:line="240" w:lineRule="auto" w:before="127" w:after="0"/>
        <w:ind w:left="870" w:right="0" w:hanging="348"/>
        <w:jc w:val="left"/>
        <w:rPr>
          <w:sz w:val="24"/>
        </w:rPr>
      </w:pPr>
      <w:r>
        <w:rPr>
          <w:sz w:val="24"/>
        </w:rPr>
        <w:t>Por su mecanismo de</w:t>
      </w:r>
      <w:r>
        <w:rPr>
          <w:spacing w:val="-7"/>
          <w:sz w:val="24"/>
        </w:rPr>
        <w:t> </w:t>
      </w:r>
      <w:r>
        <w:rPr>
          <w:sz w:val="24"/>
        </w:rPr>
        <w:t>acción:</w:t>
      </w:r>
    </w:p>
    <w:p>
      <w:pPr>
        <w:pStyle w:val="ListParagraph"/>
        <w:numPr>
          <w:ilvl w:val="1"/>
          <w:numId w:val="11"/>
        </w:numPr>
        <w:tabs>
          <w:tab w:pos="1103" w:val="left" w:leader="none"/>
        </w:tabs>
        <w:spacing w:line="240" w:lineRule="auto" w:before="138" w:after="0"/>
        <w:ind w:left="1102" w:right="0" w:hanging="232"/>
        <w:jc w:val="left"/>
        <w:rPr>
          <w:sz w:val="22"/>
        </w:rPr>
      </w:pPr>
      <w:r>
        <w:rPr>
          <w:sz w:val="22"/>
        </w:rPr>
        <w:t>Contacto</w:t>
      </w:r>
    </w:p>
    <w:p>
      <w:pPr>
        <w:pStyle w:val="ListParagraph"/>
        <w:numPr>
          <w:ilvl w:val="1"/>
          <w:numId w:val="11"/>
        </w:numPr>
        <w:tabs>
          <w:tab w:pos="1115" w:val="left" w:leader="none"/>
        </w:tabs>
        <w:spacing w:line="240" w:lineRule="auto" w:before="126" w:after="0"/>
        <w:ind w:left="1114" w:right="0" w:hanging="244"/>
        <w:jc w:val="left"/>
        <w:rPr>
          <w:sz w:val="22"/>
        </w:rPr>
      </w:pPr>
      <w:r>
        <w:rPr>
          <w:sz w:val="22"/>
        </w:rPr>
        <w:t>Ingestión</w:t>
      </w:r>
    </w:p>
    <w:p>
      <w:pPr>
        <w:pStyle w:val="ListParagraph"/>
        <w:numPr>
          <w:ilvl w:val="1"/>
          <w:numId w:val="11"/>
        </w:numPr>
        <w:tabs>
          <w:tab w:pos="1105" w:val="left" w:leader="none"/>
        </w:tabs>
        <w:spacing w:line="240" w:lineRule="auto" w:before="126" w:after="0"/>
        <w:ind w:left="1104" w:right="0" w:hanging="234"/>
        <w:jc w:val="left"/>
        <w:rPr>
          <w:sz w:val="22"/>
        </w:rPr>
      </w:pPr>
      <w:r>
        <w:rPr>
          <w:sz w:val="22"/>
        </w:rPr>
        <w:t>Fumigante</w:t>
      </w:r>
    </w:p>
    <w:p>
      <w:pPr>
        <w:pStyle w:val="ListParagraph"/>
        <w:numPr>
          <w:ilvl w:val="1"/>
          <w:numId w:val="11"/>
        </w:numPr>
        <w:tabs>
          <w:tab w:pos="1118" w:val="left" w:leader="none"/>
        </w:tabs>
        <w:spacing w:line="240" w:lineRule="auto" w:before="126" w:after="0"/>
        <w:ind w:left="1117" w:right="0" w:hanging="247"/>
        <w:jc w:val="left"/>
        <w:rPr>
          <w:sz w:val="22"/>
        </w:rPr>
      </w:pPr>
      <w:r>
        <w:rPr>
          <w:sz w:val="22"/>
        </w:rPr>
        <w:t>Sistémicos</w:t>
      </w:r>
    </w:p>
    <w:p>
      <w:pPr>
        <w:pStyle w:val="ListParagraph"/>
        <w:numPr>
          <w:ilvl w:val="0"/>
          <w:numId w:val="11"/>
        </w:numPr>
        <w:tabs>
          <w:tab w:pos="882" w:val="left" w:leader="none"/>
        </w:tabs>
        <w:spacing w:line="240" w:lineRule="auto" w:before="126" w:after="0"/>
        <w:ind w:left="882" w:right="0" w:hanging="360"/>
        <w:jc w:val="left"/>
        <w:rPr>
          <w:sz w:val="24"/>
        </w:rPr>
      </w:pPr>
      <w:r>
        <w:rPr>
          <w:sz w:val="24"/>
        </w:rPr>
        <w:t>Por el tipo de organismo que</w:t>
      </w:r>
      <w:r>
        <w:rPr>
          <w:spacing w:val="-12"/>
          <w:sz w:val="24"/>
        </w:rPr>
        <w:t> </w:t>
      </w:r>
      <w:r>
        <w:rPr>
          <w:sz w:val="24"/>
        </w:rPr>
        <w:t>afectan:</w:t>
      </w:r>
    </w:p>
    <w:p>
      <w:pPr>
        <w:pStyle w:val="ListParagraph"/>
        <w:numPr>
          <w:ilvl w:val="1"/>
          <w:numId w:val="11"/>
        </w:numPr>
        <w:tabs>
          <w:tab w:pos="1127" w:val="left" w:leader="none"/>
        </w:tabs>
        <w:spacing w:line="240" w:lineRule="auto" w:before="138" w:after="0"/>
        <w:ind w:left="1126" w:right="0" w:hanging="244"/>
        <w:jc w:val="left"/>
        <w:rPr>
          <w:sz w:val="22"/>
        </w:rPr>
      </w:pPr>
      <w:r>
        <w:rPr>
          <w:sz w:val="22"/>
        </w:rPr>
        <w:t>Insecticidas</w:t>
      </w:r>
    </w:p>
    <w:p>
      <w:pPr>
        <w:pStyle w:val="ListParagraph"/>
        <w:numPr>
          <w:ilvl w:val="1"/>
          <w:numId w:val="11"/>
        </w:numPr>
        <w:tabs>
          <w:tab w:pos="1149" w:val="left" w:leader="none"/>
        </w:tabs>
        <w:spacing w:line="240" w:lineRule="auto" w:before="126" w:after="0"/>
        <w:ind w:left="1148" w:right="0" w:hanging="247"/>
        <w:jc w:val="left"/>
        <w:rPr>
          <w:sz w:val="22"/>
        </w:rPr>
      </w:pPr>
      <w:r>
        <w:rPr>
          <w:sz w:val="22"/>
        </w:rPr>
        <w:t>Acaricidas</w:t>
      </w:r>
    </w:p>
    <w:p>
      <w:pPr>
        <w:pStyle w:val="ListParagraph"/>
        <w:numPr>
          <w:ilvl w:val="1"/>
          <w:numId w:val="11"/>
        </w:numPr>
        <w:tabs>
          <w:tab w:pos="1137" w:val="left" w:leader="none"/>
        </w:tabs>
        <w:spacing w:line="240" w:lineRule="auto" w:before="126" w:after="0"/>
        <w:ind w:left="1136" w:right="0" w:hanging="235"/>
        <w:jc w:val="left"/>
        <w:rPr>
          <w:sz w:val="22"/>
        </w:rPr>
      </w:pPr>
      <w:r>
        <w:rPr>
          <w:sz w:val="22"/>
        </w:rPr>
        <w:t>Fungicidas</w:t>
      </w:r>
    </w:p>
    <w:p>
      <w:pPr>
        <w:pStyle w:val="ListParagraph"/>
        <w:numPr>
          <w:ilvl w:val="1"/>
          <w:numId w:val="11"/>
        </w:numPr>
        <w:tabs>
          <w:tab w:pos="1149" w:val="left" w:leader="none"/>
        </w:tabs>
        <w:spacing w:line="240" w:lineRule="auto" w:before="92" w:after="0"/>
        <w:ind w:left="1148" w:right="0" w:hanging="247"/>
        <w:jc w:val="left"/>
        <w:rPr>
          <w:sz w:val="16"/>
        </w:rPr>
      </w:pPr>
      <w:r>
        <w:rPr>
          <w:sz w:val="22"/>
        </w:rPr>
        <w:t>Herbicidas</w:t>
      </w:r>
      <w:r>
        <w:rPr>
          <w:spacing w:val="-4"/>
          <w:sz w:val="22"/>
        </w:rPr>
        <w:t> </w:t>
      </w:r>
      <w:r>
        <w:rPr>
          <w:position w:val="11"/>
          <w:sz w:val="16"/>
        </w:rPr>
        <w:t>63</w:t>
      </w:r>
    </w:p>
    <w:p>
      <w:pPr>
        <w:pStyle w:val="BodyText"/>
        <w:rPr>
          <w:sz w:val="28"/>
        </w:rPr>
      </w:pPr>
    </w:p>
    <w:p>
      <w:pPr>
        <w:pStyle w:val="Heading2"/>
        <w:numPr>
          <w:ilvl w:val="2"/>
          <w:numId w:val="6"/>
        </w:numPr>
        <w:tabs>
          <w:tab w:pos="764" w:val="left" w:leader="none"/>
        </w:tabs>
        <w:spacing w:line="240" w:lineRule="auto" w:before="234" w:after="0"/>
        <w:ind w:left="763" w:right="0" w:hanging="601"/>
        <w:jc w:val="both"/>
      </w:pPr>
      <w:r>
        <w:rPr/>
        <w:t>Plaguicidas</w:t>
      </w:r>
      <w:r>
        <w:rPr>
          <w:spacing w:val="-11"/>
        </w:rPr>
        <w:t> </w:t>
      </w:r>
      <w:r>
        <w:rPr/>
        <w:t>organoclorados:</w:t>
      </w:r>
    </w:p>
    <w:p>
      <w:pPr>
        <w:pStyle w:val="BodyText"/>
        <w:spacing w:line="360" w:lineRule="auto" w:before="139"/>
        <w:ind w:left="162" w:right="177"/>
        <w:jc w:val="both"/>
      </w:pPr>
      <w:r>
        <w:rPr/>
        <w:t>En la categoría de plaguicidas orgánicos sintéticos están incluidos los organoclorados (OC). Estos plaguicidas se encuentran ampliamente distribuidos en el ambiente terrestre y acuático, como resultado de que en las últimas dos décadas han sido utilizados constantemente para combatir plagas en la industria, la agricultura, e incluso durante las campañas de salud donde han sido  </w:t>
      </w:r>
      <w:r>
        <w:rPr>
          <w:spacing w:val="25"/>
        </w:rPr>
        <w:t> </w:t>
      </w:r>
      <w:r>
        <w:rPr/>
        <w:t>aplicados</w:t>
      </w:r>
    </w:p>
    <w:p>
      <w:pPr>
        <w:pStyle w:val="BodyText"/>
        <w:spacing w:line="279" w:lineRule="exact"/>
        <w:ind w:left="162"/>
        <w:jc w:val="both"/>
        <w:rPr>
          <w:sz w:val="16"/>
        </w:rPr>
      </w:pPr>
      <w:r>
        <w:rPr/>
        <w:t>para contrarrestar enfermedades como la malaria. </w:t>
      </w:r>
      <w:r>
        <w:rPr>
          <w:position w:val="11"/>
          <w:sz w:val="16"/>
        </w:rPr>
        <w:t>62</w:t>
      </w:r>
    </w:p>
    <w:p>
      <w:pPr>
        <w:pStyle w:val="BodyText"/>
        <w:rPr>
          <w:sz w:val="28"/>
        </w:rPr>
      </w:pPr>
    </w:p>
    <w:p>
      <w:pPr>
        <w:pStyle w:val="BodyText"/>
        <w:spacing w:line="360" w:lineRule="auto" w:before="230"/>
        <w:ind w:left="162" w:right="178"/>
        <w:jc w:val="both"/>
      </w:pPr>
      <w:r>
        <w:rPr/>
        <w:t>Debido a que los OC son compuestos orgánicos hidrofóbicos tienden a acumularse en el tejido adiposo de los organismos. Como todos los organismos contienen lípidos, captan fácilmente plaguicidas lipofílicos del suelo y del medio ambiente. Tardiff et al. (1994), han encontrado niveles solubles en grasa de OC de 10 a 1000. Ante una nutrición deficiente o de inanición, los depósitos adiposos se movilizan y los OC se liberan hacia el torrente sanguíneo, con posibilidad de producir  efectos tóxicos  si  la  concentración  alcanza  cierto  nivel.  Todos los</w:t>
      </w:r>
      <w:r>
        <w:rPr>
          <w:spacing w:val="-4"/>
        </w:rPr>
        <w:t> </w:t>
      </w:r>
      <w:r>
        <w:rPr/>
        <w:t>OC</w:t>
      </w:r>
    </w:p>
    <w:p>
      <w:pPr>
        <w:pStyle w:val="BodyText"/>
        <w:spacing w:line="331" w:lineRule="auto" w:before="2"/>
        <w:ind w:left="162" w:right="183"/>
        <w:jc w:val="both"/>
        <w:rPr>
          <w:sz w:val="16"/>
        </w:rPr>
      </w:pPr>
      <w:r>
        <w:rPr/>
        <w:t>producen alteraciones metabólicas al desencadenar la formación de enzimas y tienen efectos neurológicos  ocasionando lesiones del sistema central.</w:t>
      </w:r>
      <w:r>
        <w:rPr>
          <w:position w:val="11"/>
          <w:sz w:val="16"/>
        </w:rPr>
        <w:t>62, 67</w:t>
      </w:r>
    </w:p>
    <w:p>
      <w:pPr>
        <w:spacing w:after="0" w:line="331" w:lineRule="auto"/>
        <w:jc w:val="both"/>
        <w:rPr>
          <w:sz w:val="16"/>
        </w:rPr>
        <w:sectPr>
          <w:pgSz w:w="12240" w:h="15840"/>
          <w:pgMar w:header="733" w:footer="1039" w:top="1020" w:bottom="1220" w:left="1540" w:right="1520"/>
        </w:sectPr>
      </w:pPr>
    </w:p>
    <w:p>
      <w:pPr>
        <w:pStyle w:val="BodyText"/>
        <w:rPr>
          <w:sz w:val="18"/>
        </w:rPr>
      </w:pPr>
    </w:p>
    <w:p>
      <w:pPr>
        <w:pStyle w:val="Heading2"/>
        <w:numPr>
          <w:ilvl w:val="2"/>
          <w:numId w:val="6"/>
        </w:numPr>
        <w:tabs>
          <w:tab w:pos="764" w:val="left" w:leader="none"/>
        </w:tabs>
        <w:spacing w:line="240" w:lineRule="auto" w:before="69" w:after="0"/>
        <w:ind w:left="763" w:right="0" w:hanging="601"/>
        <w:jc w:val="both"/>
      </w:pPr>
      <w:r>
        <w:rPr/>
        <w:t>Plaguicidas</w:t>
      </w:r>
      <w:r>
        <w:rPr>
          <w:spacing w:val="-9"/>
        </w:rPr>
        <w:t> </w:t>
      </w:r>
      <w:r>
        <w:rPr/>
        <w:t>tiocarbamatos:</w:t>
      </w:r>
    </w:p>
    <w:p>
      <w:pPr>
        <w:pStyle w:val="BodyText"/>
        <w:spacing w:line="360" w:lineRule="auto" w:before="139"/>
        <w:ind w:left="162" w:right="176"/>
        <w:jc w:val="both"/>
      </w:pPr>
      <w:r>
        <w:rPr/>
        <w:t>Los tiocarbamatos son utilizados para proteger semillas, plantas ornamentales, vegetales y frutas. La intoxicación provoca irritación de las membranas mucosas del aparato respiratorio y también es irritante para los ojos. Este tipo de  plaguicidas inhiben la enzima acetaldehído deshidrogenasa, la cual es necesaria para la conversión de acetaldehído a acido acético, y este proceso es la base para la reacción Antabuse, la cual ocurre cuando una persona que tome una dosis de disulfiram consuma alcohol, esta reacción produce síntomas como nausea,  vomito, jaqueca, confusión mental, disnea, dolor abdominal y torácico, sudoración profusa,</w:t>
      </w:r>
      <w:r>
        <w:rPr>
          <w:spacing w:val="35"/>
        </w:rPr>
        <w:t> </w:t>
      </w:r>
      <w:r>
        <w:rPr/>
        <w:t>y</w:t>
      </w:r>
      <w:r>
        <w:rPr>
          <w:spacing w:val="32"/>
        </w:rPr>
        <w:t> </w:t>
      </w:r>
      <w:r>
        <w:rPr/>
        <w:t>rash.</w:t>
      </w:r>
      <w:r>
        <w:rPr>
          <w:spacing w:val="35"/>
        </w:rPr>
        <w:t> </w:t>
      </w:r>
      <w:r>
        <w:rPr/>
        <w:t>Los</w:t>
      </w:r>
      <w:r>
        <w:rPr>
          <w:spacing w:val="34"/>
        </w:rPr>
        <w:t> </w:t>
      </w:r>
      <w:r>
        <w:rPr/>
        <w:t>mismos</w:t>
      </w:r>
      <w:r>
        <w:rPr>
          <w:spacing w:val="34"/>
        </w:rPr>
        <w:t> </w:t>
      </w:r>
      <w:r>
        <w:rPr/>
        <w:t>síntomas</w:t>
      </w:r>
      <w:r>
        <w:rPr>
          <w:spacing w:val="34"/>
        </w:rPr>
        <w:t> </w:t>
      </w:r>
      <w:r>
        <w:rPr/>
        <w:t>han</w:t>
      </w:r>
      <w:r>
        <w:rPr>
          <w:spacing w:val="33"/>
        </w:rPr>
        <w:t> </w:t>
      </w:r>
      <w:r>
        <w:rPr/>
        <w:t>sido</w:t>
      </w:r>
      <w:r>
        <w:rPr>
          <w:spacing w:val="35"/>
        </w:rPr>
        <w:t> </w:t>
      </w:r>
      <w:r>
        <w:rPr/>
        <w:t>reportados</w:t>
      </w:r>
      <w:r>
        <w:rPr>
          <w:spacing w:val="34"/>
        </w:rPr>
        <w:t> </w:t>
      </w:r>
      <w:r>
        <w:rPr/>
        <w:t>en</w:t>
      </w:r>
      <w:r>
        <w:rPr>
          <w:spacing w:val="35"/>
        </w:rPr>
        <w:t> </w:t>
      </w:r>
      <w:r>
        <w:rPr/>
        <w:t>trabajadores</w:t>
      </w:r>
      <w:r>
        <w:rPr>
          <w:spacing w:val="34"/>
        </w:rPr>
        <w:t> </w:t>
      </w:r>
      <w:r>
        <w:rPr/>
        <w:t>que</w:t>
      </w:r>
    </w:p>
    <w:p>
      <w:pPr>
        <w:pStyle w:val="BodyText"/>
        <w:spacing w:line="279" w:lineRule="exact"/>
        <w:ind w:left="162"/>
        <w:jc w:val="both"/>
        <w:rPr>
          <w:sz w:val="16"/>
        </w:rPr>
      </w:pPr>
      <w:r>
        <w:rPr/>
        <w:t>consumieron alcohol antes de exponerse a estos plaguicidas.</w:t>
      </w:r>
      <w:r>
        <w:rPr>
          <w:position w:val="11"/>
          <w:sz w:val="16"/>
        </w:rPr>
        <w:t>68</w:t>
      </w:r>
    </w:p>
    <w:p>
      <w:pPr>
        <w:pStyle w:val="BodyText"/>
        <w:rPr>
          <w:sz w:val="28"/>
        </w:rPr>
      </w:pPr>
    </w:p>
    <w:p>
      <w:pPr>
        <w:pStyle w:val="Heading2"/>
        <w:numPr>
          <w:ilvl w:val="2"/>
          <w:numId w:val="6"/>
        </w:numPr>
        <w:tabs>
          <w:tab w:pos="764" w:val="left" w:leader="none"/>
        </w:tabs>
        <w:spacing w:line="240" w:lineRule="auto" w:before="230" w:after="0"/>
        <w:ind w:left="763" w:right="0" w:hanging="601"/>
        <w:jc w:val="both"/>
      </w:pPr>
      <w:r>
        <w:rPr/>
        <w:t>Plaguicidas</w:t>
      </w:r>
      <w:r>
        <w:rPr>
          <w:spacing w:val="-11"/>
        </w:rPr>
        <w:t> </w:t>
      </w:r>
      <w:r>
        <w:rPr/>
        <w:t>organofosforados</w:t>
      </w:r>
    </w:p>
    <w:p>
      <w:pPr>
        <w:pStyle w:val="BodyText"/>
        <w:spacing w:line="360" w:lineRule="auto" w:before="139"/>
        <w:ind w:left="162" w:right="177"/>
        <w:jc w:val="both"/>
      </w:pPr>
      <w:r>
        <w:rPr/>
        <w:t>Los plaguicidas organofosforados son ampliamente usados actualmente. Son utilizados en la agricultura, floricultura, en la práctica veterinaria, incluso en los hogares. La vía de intoxicación que producen estos plaguicidas se da primariamente por la fosforilación de la enzima acetilcolinesterasa (AChE) en las terminaciones nerviosas. La acción de dicha enzima es crítica para el control normal de la transmisión del impulso nervioso de fibras nerviosas de células del músculo liso, esquelético, glandular y en el sistema nervioso. En el sistema nervioso central, las altas concentraciones de esta enzima provocan incoordinación, y depresión de la función motora, así como también del sistema</w:t>
      </w:r>
    </w:p>
    <w:p>
      <w:pPr>
        <w:pStyle w:val="BodyText"/>
        <w:spacing w:line="328" w:lineRule="auto" w:before="2"/>
        <w:ind w:left="162" w:right="185"/>
        <w:jc w:val="both"/>
        <w:rPr>
          <w:sz w:val="16"/>
        </w:rPr>
      </w:pPr>
      <w:r>
        <w:rPr/>
        <w:t>respiratorio. El aumento de la secreción pulmonar en conjunto con falla respiratoria son las causas usuales de muerte por envenenamiento de estos plaguicidas.</w:t>
      </w:r>
      <w:r>
        <w:rPr>
          <w:position w:val="11"/>
          <w:sz w:val="16"/>
        </w:rPr>
        <w:t>68</w:t>
      </w:r>
    </w:p>
    <w:p>
      <w:pPr>
        <w:pStyle w:val="BodyText"/>
        <w:spacing w:before="2"/>
        <w:rPr>
          <w:sz w:val="38"/>
        </w:rPr>
      </w:pPr>
    </w:p>
    <w:p>
      <w:pPr>
        <w:pStyle w:val="Heading2"/>
        <w:numPr>
          <w:ilvl w:val="1"/>
          <w:numId w:val="12"/>
        </w:numPr>
        <w:tabs>
          <w:tab w:pos="565" w:val="left" w:leader="none"/>
        </w:tabs>
        <w:spacing w:line="240" w:lineRule="auto" w:before="0" w:after="0"/>
        <w:ind w:left="564" w:right="0" w:hanging="402"/>
        <w:jc w:val="both"/>
      </w:pPr>
      <w:bookmarkStart w:name="_TOC_250031" w:id="10"/>
      <w:r>
        <w:rPr/>
        <w:t>Uso de plaguicidas en la</w:t>
      </w:r>
      <w:r>
        <w:rPr>
          <w:spacing w:val="-9"/>
        </w:rPr>
        <w:t> </w:t>
      </w:r>
      <w:bookmarkEnd w:id="10"/>
      <w:r>
        <w:rPr/>
        <w:t>floricultura</w:t>
      </w:r>
    </w:p>
    <w:p>
      <w:pPr>
        <w:pStyle w:val="BodyText"/>
        <w:spacing w:line="345" w:lineRule="auto" w:before="139"/>
        <w:ind w:left="162" w:right="186"/>
        <w:jc w:val="both"/>
        <w:rPr>
          <w:sz w:val="16"/>
        </w:rPr>
      </w:pPr>
      <w:r>
        <w:rPr/>
        <w:t>La actividad florícola, en su conjunto, representa además de una alternativa económica importante para la comunidad, una actividad compleja que requiere un análisis cuidadoso en relación con otros aspectos como el ambiental y social. </w:t>
      </w:r>
      <w:r>
        <w:rPr>
          <w:position w:val="11"/>
          <w:sz w:val="16"/>
        </w:rPr>
        <w:t>68</w:t>
      </w:r>
    </w:p>
    <w:p>
      <w:pPr>
        <w:pStyle w:val="BodyText"/>
        <w:spacing w:before="3"/>
        <w:rPr>
          <w:sz w:val="36"/>
        </w:rPr>
      </w:pPr>
    </w:p>
    <w:p>
      <w:pPr>
        <w:pStyle w:val="BodyText"/>
        <w:spacing w:line="360" w:lineRule="auto"/>
        <w:ind w:left="162" w:right="185"/>
        <w:jc w:val="both"/>
      </w:pPr>
      <w:r>
        <w:rPr/>
        <w:t>En el Estado de México el cultivo de flores se desarrolla principalmente, en los municipios  de:  Tenancingo,  Coatepec  Harinas,  Ixtapan  de  la  Sal,    </w:t>
      </w:r>
      <w:r>
        <w:rPr>
          <w:spacing w:val="55"/>
        </w:rPr>
        <w:t> </w:t>
      </w:r>
      <w:r>
        <w:rPr/>
        <w:t>Tonatico,</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52" w:lineRule="auto" w:before="69"/>
        <w:ind w:left="162" w:right="176"/>
        <w:jc w:val="both"/>
        <w:rPr>
          <w:sz w:val="16"/>
        </w:rPr>
      </w:pPr>
      <w:r>
        <w:rPr/>
        <w:t>Zumpahuacán, Texcoco y Villa Guerrrero conocidos como “el corredor florícola”. Solamente Villa Guerrero genera el 56% de la producción total estatal. Se estima que en 2005 se reportaron más de 2100 millones de pesos, que representan el 84.5% del valor de la producción nacional. De las hectáreas cultivadas, 88% se realiza a cielo abierto y 12% bajo invernadero.</w:t>
      </w:r>
      <w:r>
        <w:rPr>
          <w:position w:val="11"/>
          <w:sz w:val="16"/>
        </w:rPr>
        <w:t>68, 69</w:t>
      </w:r>
    </w:p>
    <w:p>
      <w:pPr>
        <w:pStyle w:val="BodyText"/>
        <w:spacing w:before="5"/>
        <w:rPr>
          <w:sz w:val="35"/>
        </w:rPr>
      </w:pPr>
    </w:p>
    <w:p>
      <w:pPr>
        <w:pStyle w:val="BodyText"/>
        <w:spacing w:line="350" w:lineRule="auto" w:before="1"/>
        <w:ind w:left="162" w:right="176"/>
        <w:jc w:val="both"/>
        <w:rPr>
          <w:sz w:val="16"/>
        </w:rPr>
      </w:pPr>
      <w:r>
        <w:rPr/>
        <w:t>Según datos del INEGI, en México el 60% de los 22 plaguicidas son considerados como perjudiciales para la salud y el medio. De ellos el 42% se fabrican en el país. De 90 plaguicidas que han sido cancelados o restringido en los Estados Unidos 30 aun se siguen usando en México.</w:t>
      </w:r>
      <w:r>
        <w:rPr>
          <w:position w:val="11"/>
          <w:sz w:val="16"/>
        </w:rPr>
        <w:t>70</w:t>
      </w:r>
    </w:p>
    <w:p>
      <w:pPr>
        <w:pStyle w:val="BodyText"/>
        <w:rPr>
          <w:sz w:val="28"/>
        </w:rPr>
      </w:pPr>
    </w:p>
    <w:p>
      <w:pPr>
        <w:pStyle w:val="BodyText"/>
        <w:spacing w:before="1"/>
        <w:rPr>
          <w:sz w:val="25"/>
        </w:rPr>
      </w:pPr>
    </w:p>
    <w:p>
      <w:pPr>
        <w:pStyle w:val="BodyText"/>
        <w:spacing w:line="360" w:lineRule="auto"/>
        <w:ind w:left="162" w:right="175"/>
        <w:jc w:val="both"/>
      </w:pPr>
      <w:r>
        <w:rPr/>
        <w:t>De acuerdo a información de Instituto de Salud del Estado de México (ISEM), en el periodo de 1993-2002 se registraron 739 casos de intoxicación en la entidad, de ellos el 48.9% se ubicaron en los principales municipios productores de flor. En el 2006 se registraron 118 intoxicaciones por plaguicida en el estado, de ellos 53 ocurrieron en la jurisdicción de Tenancingo, de acuerdo al sistema de registro semanal de nuevos casos de intoxicación de la dirección de epidemiología del</w:t>
      </w:r>
    </w:p>
    <w:p>
      <w:pPr>
        <w:spacing w:line="282" w:lineRule="exact" w:before="0"/>
        <w:ind w:left="162" w:right="0" w:firstLine="0"/>
        <w:jc w:val="both"/>
        <w:rPr>
          <w:sz w:val="16"/>
        </w:rPr>
      </w:pPr>
      <w:r>
        <w:rPr>
          <w:sz w:val="24"/>
        </w:rPr>
        <w:t>ISEM. </w:t>
      </w:r>
      <w:r>
        <w:rPr>
          <w:position w:val="11"/>
          <w:sz w:val="16"/>
        </w:rPr>
        <w:t>69</w:t>
      </w:r>
    </w:p>
    <w:p>
      <w:pPr>
        <w:pStyle w:val="BodyText"/>
        <w:rPr>
          <w:sz w:val="28"/>
        </w:rPr>
      </w:pPr>
    </w:p>
    <w:p>
      <w:pPr>
        <w:pStyle w:val="BodyText"/>
        <w:spacing w:line="360" w:lineRule="auto" w:before="230"/>
        <w:ind w:left="162" w:right="175"/>
        <w:jc w:val="both"/>
      </w:pPr>
      <w:r>
        <w:rPr/>
        <w:t>El Servicio de información toxicológica reporto en el periodo enero-octubre de  2005 un total de 268 casos de intoxicación atendidos a través de este sistema a nivel nacional, el mayor numero de intoxicaciones fue de tipo accidental (54.1%) y laboral (20.5%). Los principales grupos químicos de plaguicidas involucrados en los casos de intoxicación los representaron los organofosforados con un 3%, carbamatos</w:t>
      </w:r>
      <w:r>
        <w:rPr>
          <w:spacing w:val="57"/>
        </w:rPr>
        <w:t> </w:t>
      </w:r>
      <w:r>
        <w:rPr/>
        <w:t>con</w:t>
      </w:r>
      <w:r>
        <w:rPr>
          <w:spacing w:val="56"/>
        </w:rPr>
        <w:t> </w:t>
      </w:r>
      <w:r>
        <w:rPr/>
        <w:t>un</w:t>
      </w:r>
      <w:r>
        <w:rPr>
          <w:spacing w:val="56"/>
        </w:rPr>
        <w:t> </w:t>
      </w:r>
      <w:r>
        <w:rPr/>
        <w:t>19%.</w:t>
      </w:r>
      <w:r>
        <w:rPr>
          <w:spacing w:val="58"/>
        </w:rPr>
        <w:t> </w:t>
      </w:r>
      <w:r>
        <w:rPr/>
        <w:t>El</w:t>
      </w:r>
      <w:r>
        <w:rPr>
          <w:spacing w:val="57"/>
        </w:rPr>
        <w:t> </w:t>
      </w:r>
      <w:r>
        <w:rPr/>
        <w:t>Estado</w:t>
      </w:r>
      <w:r>
        <w:rPr>
          <w:spacing w:val="58"/>
        </w:rPr>
        <w:t> </w:t>
      </w:r>
      <w:r>
        <w:rPr/>
        <w:t>de</w:t>
      </w:r>
      <w:r>
        <w:rPr>
          <w:spacing w:val="58"/>
        </w:rPr>
        <w:t> </w:t>
      </w:r>
      <w:r>
        <w:rPr/>
        <w:t>México</w:t>
      </w:r>
      <w:r>
        <w:rPr>
          <w:spacing w:val="58"/>
        </w:rPr>
        <w:t> </w:t>
      </w:r>
      <w:r>
        <w:rPr/>
        <w:t>ocupó</w:t>
      </w:r>
      <w:r>
        <w:rPr>
          <w:spacing w:val="56"/>
        </w:rPr>
        <w:t> </w:t>
      </w:r>
      <w:r>
        <w:rPr/>
        <w:t>el</w:t>
      </w:r>
      <w:r>
        <w:rPr>
          <w:spacing w:val="57"/>
        </w:rPr>
        <w:t> </w:t>
      </w:r>
      <w:r>
        <w:rPr/>
        <w:t>segundo</w:t>
      </w:r>
      <w:r>
        <w:rPr>
          <w:spacing w:val="58"/>
        </w:rPr>
        <w:t> </w:t>
      </w:r>
      <w:r>
        <w:rPr/>
        <w:t>lugar</w:t>
      </w:r>
      <w:r>
        <w:rPr>
          <w:spacing w:val="56"/>
        </w:rPr>
        <w:t> </w:t>
      </w:r>
      <w:r>
        <w:rPr/>
        <w:t>en</w:t>
      </w:r>
      <w:r>
        <w:rPr>
          <w:spacing w:val="58"/>
        </w:rPr>
        <w:t> </w:t>
      </w:r>
      <w:r>
        <w:rPr/>
        <w:t>el</w:t>
      </w:r>
    </w:p>
    <w:p>
      <w:pPr>
        <w:pStyle w:val="BodyText"/>
        <w:spacing w:line="328" w:lineRule="auto" w:before="5"/>
        <w:ind w:left="162" w:right="181"/>
        <w:jc w:val="both"/>
        <w:rPr>
          <w:sz w:val="16"/>
        </w:rPr>
      </w:pPr>
      <w:r>
        <w:rPr/>
        <w:t>número de casos reportados con un total de 24, después de Chiapas con 30 casos reportados. </w:t>
      </w:r>
      <w:r>
        <w:rPr>
          <w:position w:val="11"/>
          <w:sz w:val="16"/>
        </w:rPr>
        <w:t>69</w:t>
      </w:r>
    </w:p>
    <w:p>
      <w:pPr>
        <w:pStyle w:val="BodyText"/>
        <w:spacing w:before="1"/>
        <w:rPr>
          <w:sz w:val="38"/>
        </w:rPr>
      </w:pPr>
    </w:p>
    <w:p>
      <w:pPr>
        <w:pStyle w:val="Heading2"/>
        <w:numPr>
          <w:ilvl w:val="1"/>
          <w:numId w:val="12"/>
        </w:numPr>
        <w:tabs>
          <w:tab w:pos="565" w:val="left" w:leader="none"/>
        </w:tabs>
        <w:spacing w:line="240" w:lineRule="auto" w:before="1" w:after="0"/>
        <w:ind w:left="564" w:right="0" w:hanging="402"/>
        <w:jc w:val="both"/>
      </w:pPr>
      <w:bookmarkStart w:name="_TOC_250030" w:id="11"/>
      <w:r>
        <w:rPr/>
        <w:t>Genotoxicidad por</w:t>
      </w:r>
      <w:r>
        <w:rPr>
          <w:spacing w:val="-13"/>
        </w:rPr>
        <w:t> </w:t>
      </w:r>
      <w:bookmarkEnd w:id="11"/>
      <w:r>
        <w:rPr/>
        <w:t>plaguicidas</w:t>
      </w:r>
    </w:p>
    <w:p>
      <w:pPr>
        <w:pStyle w:val="BodyText"/>
        <w:spacing w:line="360" w:lineRule="auto" w:before="139"/>
        <w:ind w:left="162" w:right="175"/>
        <w:jc w:val="both"/>
      </w:pPr>
      <w:r>
        <w:rPr/>
        <w:t>El hecho de que los plaguicidas sean empleados en mezclas o simultáneamente con  otros  compuestos,  hace  que  puedan  tener  diferentes  efectos genotóxicos</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55" w:lineRule="auto" w:before="69"/>
        <w:ind w:left="162" w:right="183"/>
        <w:jc w:val="both"/>
        <w:rPr>
          <w:sz w:val="16"/>
        </w:rPr>
      </w:pPr>
      <w:r>
        <w:rPr/>
        <w:t>aditivos, sinérgicos y potenciadores. Los plaguicidas además de tener acción mutagénica, también pueden estimular una acción carcinogénica y teratogénica. La variedad de los efectos genotóxicos originados por los plaguicidas depende de varios factores, tales como el ingrediente activo del compuesto, las impurezas, los metabolitos originados, la ruta de absorción, la duración y frecuencia de la exposición y la acumulación del plaguicida en diferentes</w:t>
      </w:r>
      <w:r>
        <w:rPr>
          <w:spacing w:val="-14"/>
        </w:rPr>
        <w:t> </w:t>
      </w:r>
      <w:r>
        <w:rPr/>
        <w:t>tejidos.</w:t>
      </w:r>
      <w:r>
        <w:rPr>
          <w:position w:val="11"/>
          <w:sz w:val="16"/>
        </w:rPr>
        <w:t>63</w:t>
      </w:r>
    </w:p>
    <w:p>
      <w:pPr>
        <w:pStyle w:val="BodyText"/>
        <w:spacing w:before="2"/>
        <w:rPr>
          <w:sz w:val="35"/>
        </w:rPr>
      </w:pPr>
    </w:p>
    <w:p>
      <w:pPr>
        <w:pStyle w:val="BodyText"/>
        <w:spacing w:line="360" w:lineRule="auto" w:before="1"/>
        <w:ind w:left="162" w:right="176"/>
        <w:jc w:val="both"/>
      </w:pPr>
      <w:r>
        <w:rPr/>
        <w:t>Los plaguicidas pueden interactuar con los centros nucleofílicos de las macromoléculas, como el DNA y ocasionar cambios en su estructura, este tipo de lesiones como los aductos o las intercalaciones pueden causar la muerte de la célula afectada o ser reparados por sistemas enzimáticos. La célula cuenta con varios mecanismos de reparación para los diferentes tipos de daños en el DNA. Sin embargo, no son reparadas estas lesiones o han sido reparadas incorrectamente,  por  lo  que  se  expresan  mutaciones  después  de  la  </w:t>
      </w:r>
      <w:r>
        <w:rPr>
          <w:spacing w:val="57"/>
        </w:rPr>
        <w:t> </w:t>
      </w:r>
      <w:r>
        <w:rPr/>
        <w:t>división</w:t>
      </w:r>
    </w:p>
    <w:p>
      <w:pPr>
        <w:pStyle w:val="BodyText"/>
        <w:spacing w:line="279" w:lineRule="exact"/>
        <w:ind w:left="162"/>
        <w:jc w:val="both"/>
        <w:rPr>
          <w:sz w:val="16"/>
        </w:rPr>
      </w:pPr>
      <w:r>
        <w:rPr/>
        <w:t>celular. </w:t>
      </w:r>
      <w:r>
        <w:rPr>
          <w:position w:val="11"/>
          <w:sz w:val="16"/>
        </w:rPr>
        <w:t>63</w:t>
      </w:r>
    </w:p>
    <w:p>
      <w:pPr>
        <w:pStyle w:val="BodyText"/>
        <w:rPr>
          <w:sz w:val="28"/>
        </w:rPr>
      </w:pPr>
    </w:p>
    <w:p>
      <w:pPr>
        <w:pStyle w:val="BodyText"/>
        <w:spacing w:line="360" w:lineRule="auto" w:before="230"/>
        <w:ind w:left="162" w:right="178"/>
        <w:jc w:val="both"/>
      </w:pPr>
      <w:r>
        <w:rPr/>
        <w:t>Las mutaciones pueden ser de origen genético, como por ejemplo: son microlesiones, cambios de sustitución o adición y delesión de bases en la constitución de nucleótidos; o cromosómicas las cuales pueden ser numéricas, estas son macrolesiones observables a través del análisis citogenético de los cromosomas y se refieren a la ganancia o pérdida de uno o varios cromosomas, o bien cambios estructurales de los cromosomas, inducidos por lesiones en el   DNA</w:t>
      </w:r>
    </w:p>
    <w:p>
      <w:pPr>
        <w:pStyle w:val="BodyText"/>
        <w:spacing w:line="328" w:lineRule="auto" w:before="2"/>
        <w:ind w:left="162" w:right="185"/>
        <w:jc w:val="both"/>
        <w:rPr>
          <w:sz w:val="16"/>
        </w:rPr>
      </w:pPr>
      <w:r>
        <w:rPr/>
        <w:t>no reparadas o mal reparadas y expresados como delesiones, fracturas,  rearreglos de tipo cromosómico o</w:t>
      </w:r>
      <w:r>
        <w:rPr>
          <w:spacing w:val="-11"/>
        </w:rPr>
        <w:t> </w:t>
      </w:r>
      <w:r>
        <w:rPr/>
        <w:t>cromatídico.</w:t>
      </w:r>
      <w:r>
        <w:rPr>
          <w:position w:val="11"/>
          <w:sz w:val="16"/>
        </w:rPr>
        <w:t>63</w:t>
      </w:r>
    </w:p>
    <w:p>
      <w:pPr>
        <w:pStyle w:val="BodyText"/>
        <w:spacing w:before="2"/>
        <w:rPr>
          <w:sz w:val="38"/>
        </w:rPr>
      </w:pPr>
    </w:p>
    <w:p>
      <w:pPr>
        <w:pStyle w:val="BodyText"/>
        <w:spacing w:line="360" w:lineRule="auto"/>
        <w:ind w:left="162" w:right="178"/>
        <w:jc w:val="both"/>
      </w:pPr>
      <w:r>
        <w:rPr/>
        <w:t>Varona et al. (2003), determinaron la frecuencia de alteraciones citogenéticas y deficiencias en la reparación del ADN en células sanguíneas de 31 trabajadoras voluntarias de cultivos de flores en Bogotá, Colombia con riesgo de exposición ocupacional a plaguicidas y 30 sin ese riesgo. El promedio de edad de las mujeres fue de 36.4 años y el tiempo promedio por exposición a cultivos de flores era de 12 años. En los ensayos citogenéticos se encontró que el grupo expuesto presento frecuencias mayores de células con aberraciones cromosómicas y  </w:t>
      </w:r>
      <w:r>
        <w:rPr>
          <w:spacing w:val="55"/>
        </w:rPr>
        <w:t> </w:t>
      </w:r>
      <w:r>
        <w:rPr/>
        <w:t>micronúcleos,</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52" w:lineRule="auto" w:before="69"/>
        <w:ind w:left="162" w:right="179"/>
        <w:jc w:val="both"/>
        <w:rPr>
          <w:sz w:val="16"/>
        </w:rPr>
      </w:pPr>
      <w:r>
        <w:rPr/>
        <w:t>que el grupo no expuesto, con diferencias significativas. Así mismo, Paz y Miño et al. (2002), evaluaron a 41 agricultores expuestos a una amplia variedad de plaguicidas e igual número de no expuestos como grupo control en Ecuador. En el grupo expuesto que incluyó 28 hombres y 3 mujeres se encontró que la frecuencia de aberraciones cromosómicas fue 30 veces mayor en el grupo expuesto. </w:t>
      </w:r>
      <w:r>
        <w:rPr>
          <w:position w:val="11"/>
          <w:sz w:val="16"/>
        </w:rPr>
        <w:t>71, 72</w:t>
      </w:r>
    </w:p>
    <w:p>
      <w:pPr>
        <w:pStyle w:val="BodyText"/>
        <w:spacing w:before="5"/>
        <w:rPr>
          <w:sz w:val="35"/>
        </w:rPr>
      </w:pPr>
    </w:p>
    <w:p>
      <w:pPr>
        <w:pStyle w:val="Heading2"/>
        <w:numPr>
          <w:ilvl w:val="1"/>
          <w:numId w:val="12"/>
        </w:numPr>
        <w:tabs>
          <w:tab w:pos="565" w:val="left" w:leader="none"/>
        </w:tabs>
        <w:spacing w:line="240" w:lineRule="auto" w:before="1" w:after="0"/>
        <w:ind w:left="564" w:right="0" w:hanging="402"/>
        <w:jc w:val="both"/>
      </w:pPr>
      <w:bookmarkStart w:name="_TOC_250029" w:id="12"/>
      <w:r>
        <w:rPr/>
        <w:t>Susceptibilidad por exposición a</w:t>
      </w:r>
      <w:r>
        <w:rPr>
          <w:spacing w:val="-9"/>
        </w:rPr>
        <w:t> </w:t>
      </w:r>
      <w:bookmarkEnd w:id="12"/>
      <w:r>
        <w:rPr/>
        <w:t>plaguicidas</w:t>
      </w:r>
    </w:p>
    <w:p>
      <w:pPr>
        <w:pStyle w:val="BodyText"/>
        <w:spacing w:line="360" w:lineRule="auto" w:before="139"/>
        <w:ind w:left="162" w:right="176"/>
        <w:jc w:val="both"/>
      </w:pPr>
      <w:r>
        <w:rPr/>
        <w:t>Los genotipos son responsables de las diferencias interindividuales para activar o destoxificar los agentes genotóxicos y son considerados como biomarcadores de susceptibilidad. Entre los genes que participan en el metabolismo de mutágenos está relacionado el citocromo P450 y la glutatión S-transferasa, que convierten los carcinógenos o mutágenos inactivos a sus formas genotóxicas. Muchos de estos genes son polimórficos en poblaciones humanas y explican diversas diferencias interindividuales  observadas   en   respuesta  genotóxica   con  biomarcadores  </w:t>
      </w:r>
      <w:r>
        <w:rPr>
          <w:spacing w:val="53"/>
        </w:rPr>
        <w:t> </w:t>
      </w:r>
      <w:r>
        <w:rPr/>
        <w:t>o</w:t>
      </w:r>
    </w:p>
    <w:p>
      <w:pPr>
        <w:pStyle w:val="BodyText"/>
        <w:spacing w:line="279" w:lineRule="exact"/>
        <w:ind w:left="162"/>
        <w:jc w:val="both"/>
        <w:rPr>
          <w:sz w:val="16"/>
        </w:rPr>
      </w:pPr>
      <w:r>
        <w:rPr/>
        <w:t>enfermedades.</w:t>
      </w:r>
      <w:r>
        <w:rPr>
          <w:position w:val="11"/>
          <w:sz w:val="16"/>
        </w:rPr>
        <w:t>73</w:t>
      </w:r>
    </w:p>
    <w:p>
      <w:pPr>
        <w:pStyle w:val="BodyText"/>
        <w:rPr>
          <w:sz w:val="28"/>
        </w:rPr>
      </w:pPr>
    </w:p>
    <w:p>
      <w:pPr>
        <w:pStyle w:val="BodyText"/>
        <w:spacing w:line="360" w:lineRule="auto" w:before="230"/>
        <w:ind w:left="162" w:right="181"/>
        <w:jc w:val="both"/>
      </w:pPr>
      <w:r>
        <w:rPr/>
        <w:t>Puede haber una mayor expresión de variantes alélicas específicas, las cuales  dan lugar a individuos que son malos metabolizadores. Estos individuos pueden estar expuestos a riesgo cuando la toxicidad de un fármaco dependa de la dosis, si la forma no metabolizada de este es farmacológicamente activa y el medicamento se acumula en el cuerpo al repetir la dosis, también puede ocurrir lo opuesto, cuando se transcriben dos o más copias de un gen, lo que conduce a producir  cantidades  superiores  de  la  proteína  activa  y  a  una  velocidad     </w:t>
      </w:r>
      <w:r>
        <w:rPr>
          <w:spacing w:val="27"/>
        </w:rPr>
        <w:t> </w:t>
      </w:r>
      <w:r>
        <w:rPr/>
        <w:t>de</w:t>
      </w:r>
    </w:p>
    <w:p>
      <w:pPr>
        <w:pStyle w:val="BodyText"/>
        <w:spacing w:line="331" w:lineRule="auto" w:before="2"/>
        <w:ind w:left="162" w:right="186"/>
        <w:jc w:val="both"/>
        <w:rPr>
          <w:sz w:val="16"/>
        </w:rPr>
      </w:pPr>
      <w:r>
        <w:rPr/>
        <w:t>metabolismo acelerada de los sustratos propios de esta forma; por lo tanto estos individuos son metabolizadores rápidos o extensivos.</w:t>
      </w:r>
      <w:r>
        <w:rPr>
          <w:position w:val="11"/>
          <w:sz w:val="16"/>
        </w:rPr>
        <w:t>74</w:t>
      </w:r>
    </w:p>
    <w:p>
      <w:pPr>
        <w:pStyle w:val="BodyText"/>
        <w:spacing w:before="11"/>
        <w:rPr>
          <w:sz w:val="37"/>
        </w:rPr>
      </w:pPr>
    </w:p>
    <w:p>
      <w:pPr>
        <w:pStyle w:val="BodyText"/>
        <w:spacing w:line="352" w:lineRule="auto"/>
        <w:ind w:left="162" w:right="178"/>
        <w:jc w:val="both"/>
        <w:rPr>
          <w:sz w:val="16"/>
        </w:rPr>
      </w:pPr>
      <w:r>
        <w:rPr/>
        <w:t>Los plaguicidas organofosforados son metabolizados primariamente por el citrocromo hepático P450 para convertirse en un oxon-organofosforado intermediario activo. Este intermediario activo es posteriormente hidrolizado por paraoxonasas a dietil fosfato y 4-nitrofenol, o conjugado a glutation, con la subsecuente catálisis de varias glutatión S-transferasas (GSTs). </w:t>
      </w:r>
      <w:r>
        <w:rPr>
          <w:position w:val="11"/>
          <w:sz w:val="16"/>
        </w:rPr>
        <w:t>75, 76, 77</w:t>
      </w:r>
    </w:p>
    <w:p>
      <w:pPr>
        <w:spacing w:after="0" w:line="352" w:lineRule="auto"/>
        <w:jc w:val="both"/>
        <w:rPr>
          <w:sz w:val="16"/>
        </w:rPr>
        <w:sectPr>
          <w:pgSz w:w="12240" w:h="15840"/>
          <w:pgMar w:header="733" w:footer="1039" w:top="1020" w:bottom="1220" w:left="1540" w:right="1520"/>
        </w:sectPr>
      </w:pPr>
    </w:p>
    <w:p>
      <w:pPr>
        <w:pStyle w:val="BodyText"/>
        <w:rPr>
          <w:sz w:val="18"/>
        </w:rPr>
      </w:pPr>
    </w:p>
    <w:p>
      <w:pPr>
        <w:pStyle w:val="Heading2"/>
        <w:numPr>
          <w:ilvl w:val="0"/>
          <w:numId w:val="6"/>
        </w:numPr>
        <w:tabs>
          <w:tab w:pos="431" w:val="left" w:leader="none"/>
        </w:tabs>
        <w:spacing w:line="240" w:lineRule="auto" w:before="69" w:after="0"/>
        <w:ind w:left="430" w:right="0" w:hanging="268"/>
        <w:jc w:val="both"/>
      </w:pPr>
      <w:r>
        <w:rPr/>
        <w:t>POLIMORFISMOS</w:t>
      </w:r>
      <w:r>
        <w:rPr>
          <w:spacing w:val="-5"/>
        </w:rPr>
        <w:t> </w:t>
      </w:r>
      <w:r>
        <w:rPr/>
        <w:t>GENETICOS</w:t>
      </w:r>
    </w:p>
    <w:p>
      <w:pPr>
        <w:pStyle w:val="BodyText"/>
        <w:rPr>
          <w:b/>
        </w:rPr>
      </w:pPr>
    </w:p>
    <w:p>
      <w:pPr>
        <w:pStyle w:val="BodyText"/>
        <w:rPr>
          <w:b/>
        </w:rPr>
      </w:pPr>
    </w:p>
    <w:p>
      <w:pPr>
        <w:pStyle w:val="BodyText"/>
        <w:spacing w:line="355" w:lineRule="auto"/>
        <w:ind w:left="162" w:right="178"/>
        <w:jc w:val="both"/>
        <w:rPr>
          <w:sz w:val="16"/>
        </w:rPr>
      </w:pPr>
      <w:r>
        <w:rPr/>
        <w:t>Un polimorfismo consiste en las variaciones que se presenta entre individuos de una misma especie, ya sea al nivel genético o a nivel de proteínas. Estas variaciones genéticas pueden ser originadas por errores en los mecanismos de replicación y reparación del DNA, así como por factores ambientales. El estudio de estas variaciones tiene diversas aplicaciones en el campo de la medicina así como en el desarrollo de investigaciones biológicas y de evolución. </w:t>
      </w:r>
      <w:r>
        <w:rPr>
          <w:position w:val="11"/>
          <w:sz w:val="16"/>
        </w:rPr>
        <w:t>78, 79, 80</w:t>
      </w:r>
    </w:p>
    <w:p>
      <w:pPr>
        <w:pStyle w:val="BodyText"/>
        <w:spacing w:before="3"/>
        <w:rPr>
          <w:sz w:val="35"/>
        </w:rPr>
      </w:pPr>
    </w:p>
    <w:p>
      <w:pPr>
        <w:pStyle w:val="Heading2"/>
        <w:numPr>
          <w:ilvl w:val="1"/>
          <w:numId w:val="6"/>
        </w:numPr>
        <w:tabs>
          <w:tab w:pos="565" w:val="left" w:leader="none"/>
        </w:tabs>
        <w:spacing w:line="240" w:lineRule="auto" w:before="0" w:after="0"/>
        <w:ind w:left="564" w:right="0" w:hanging="402"/>
        <w:jc w:val="both"/>
      </w:pPr>
      <w:bookmarkStart w:name="_TOC_250028" w:id="13"/>
      <w:r>
        <w:rPr/>
        <w:t>Polimorfismos de Nucleótido Sencillo</w:t>
      </w:r>
      <w:r>
        <w:rPr>
          <w:spacing w:val="-15"/>
        </w:rPr>
        <w:t> </w:t>
      </w:r>
      <w:bookmarkEnd w:id="13"/>
      <w:r>
        <w:rPr/>
        <w:t>(SNP)</w:t>
      </w:r>
    </w:p>
    <w:p>
      <w:pPr>
        <w:pStyle w:val="BodyText"/>
        <w:spacing w:line="360" w:lineRule="auto" w:before="137"/>
        <w:ind w:left="162" w:right="178"/>
        <w:jc w:val="both"/>
      </w:pPr>
      <w:r>
        <w:rPr/>
        <w:t>Uno de los polimorfismos más estudiados y más frecuentes es la variación de una sola base (SNP single nucleótide polymorphism) en forma de inserción/delesión. Esto debido a la existencia de aproximadamente 10 millones de SNP en el  genoma humano. La mayoría de los SNP‟s tienen dos alelos los cuales están representados por una sustitución de base por otra. En las poblaciones, este tipo de alelos se clasifican en alelo “silvestre” y alelo mutante. Debido a que los humanos   son  diploides,   un   individuo   puede   tener   uno   de  tres </w:t>
      </w:r>
      <w:r>
        <w:rPr>
          <w:spacing w:val="13"/>
        </w:rPr>
        <w:t> </w:t>
      </w:r>
      <w:r>
        <w:rPr/>
        <w:t>genotipos:</w:t>
      </w:r>
    </w:p>
    <w:p>
      <w:pPr>
        <w:pStyle w:val="BodyText"/>
        <w:spacing w:line="328" w:lineRule="auto" w:before="5"/>
        <w:ind w:left="162" w:right="187"/>
        <w:jc w:val="both"/>
        <w:rPr>
          <w:sz w:val="16"/>
        </w:rPr>
      </w:pPr>
      <w:r>
        <w:rPr/>
        <w:t>homocigoto para el alelo más frecuente, heterocigoto, u homocigoto para el alelo menos frecuente. GSTP1 pertenece a este tipo de polimorfismos. </w:t>
      </w:r>
      <w:r>
        <w:rPr>
          <w:position w:val="11"/>
          <w:sz w:val="16"/>
        </w:rPr>
        <w:t>79, 80</w:t>
      </w:r>
    </w:p>
    <w:p>
      <w:pPr>
        <w:pStyle w:val="BodyText"/>
        <w:spacing w:before="1"/>
        <w:rPr>
          <w:sz w:val="38"/>
        </w:rPr>
      </w:pPr>
    </w:p>
    <w:p>
      <w:pPr>
        <w:pStyle w:val="Heading2"/>
        <w:numPr>
          <w:ilvl w:val="1"/>
          <w:numId w:val="6"/>
        </w:numPr>
        <w:tabs>
          <w:tab w:pos="565" w:val="left" w:leader="none"/>
        </w:tabs>
        <w:spacing w:line="240" w:lineRule="auto" w:before="1" w:after="0"/>
        <w:ind w:left="564" w:right="0" w:hanging="402"/>
        <w:jc w:val="both"/>
      </w:pPr>
      <w:bookmarkStart w:name="_TOC_250027" w:id="14"/>
      <w:r>
        <w:rPr/>
        <w:t>Polimorfismos de Secuencias Repetidas</w:t>
      </w:r>
      <w:r>
        <w:rPr>
          <w:spacing w:val="-14"/>
        </w:rPr>
        <w:t> </w:t>
      </w:r>
      <w:bookmarkEnd w:id="14"/>
      <w:r>
        <w:rPr/>
        <w:t>(VNTR)</w:t>
      </w:r>
    </w:p>
    <w:p>
      <w:pPr>
        <w:pStyle w:val="BodyText"/>
        <w:spacing w:line="343" w:lineRule="auto" w:before="139"/>
        <w:ind w:left="162" w:right="174"/>
        <w:jc w:val="both"/>
        <w:rPr>
          <w:sz w:val="16"/>
        </w:rPr>
      </w:pPr>
      <w:r>
        <w:rPr/>
        <w:t>Los VNTR (variable number of tandem repeats) son conocidos como VNTR- minisatélites, VNTR-microsatélites o STR (short tandem repeats). Ambos casos presentan un número variable de repeticiones en tándem.</w:t>
      </w:r>
      <w:r>
        <w:rPr>
          <w:position w:val="11"/>
          <w:sz w:val="16"/>
        </w:rPr>
        <w:t>79</w:t>
      </w:r>
    </w:p>
    <w:p>
      <w:pPr>
        <w:pStyle w:val="BodyText"/>
        <w:spacing w:before="7"/>
        <w:rPr>
          <w:sz w:val="36"/>
        </w:rPr>
      </w:pPr>
    </w:p>
    <w:p>
      <w:pPr>
        <w:pStyle w:val="BodyText"/>
        <w:spacing w:line="360" w:lineRule="auto"/>
        <w:ind w:left="162" w:right="180"/>
        <w:jc w:val="both"/>
      </w:pPr>
      <w:r>
        <w:rPr/>
        <w:t>Los minisatélites son loci que corresponden a secuencias de ADN de unas pocas decenas de nucleótidos repetidas en tándem. El número de dichas repeticiones varía de cromosoma a cromosoma, de forma que en un cromosoma el número de repeticiones en tándem puede ser de 10, en otro de 15, en otro de 22, etc. En este tipo de polimorfismos cada loci puede presentar muchos alelos distintos (tantos</w:t>
      </w:r>
    </w:p>
    <w:p>
      <w:pPr>
        <w:pStyle w:val="BodyText"/>
        <w:spacing w:line="328" w:lineRule="auto" w:before="5"/>
        <w:ind w:left="162" w:right="180"/>
        <w:jc w:val="both"/>
        <w:rPr>
          <w:sz w:val="16"/>
        </w:rPr>
      </w:pPr>
      <w:r>
        <w:rPr/>
        <w:t>como repeticiones), sin embargo, presentan el inconveniente de que no están distribuidos por todo el genoma. </w:t>
      </w:r>
      <w:r>
        <w:rPr>
          <w:position w:val="11"/>
          <w:sz w:val="16"/>
        </w:rPr>
        <w:t>79</w:t>
      </w:r>
    </w:p>
    <w:p>
      <w:pPr>
        <w:spacing w:after="0" w:line="328" w:lineRule="auto"/>
        <w:jc w:val="both"/>
        <w:rPr>
          <w:sz w:val="16"/>
        </w:rPr>
        <w:sectPr>
          <w:pgSz w:w="12240" w:h="15840"/>
          <w:pgMar w:header="733" w:footer="1039" w:top="1020" w:bottom="1220" w:left="1540" w:right="1520"/>
        </w:sectPr>
      </w:pPr>
    </w:p>
    <w:p>
      <w:pPr>
        <w:pStyle w:val="BodyText"/>
        <w:rPr>
          <w:sz w:val="20"/>
        </w:rPr>
      </w:pPr>
    </w:p>
    <w:p>
      <w:pPr>
        <w:pStyle w:val="BodyText"/>
        <w:rPr>
          <w:sz w:val="20"/>
        </w:rPr>
      </w:pPr>
    </w:p>
    <w:p>
      <w:pPr>
        <w:pStyle w:val="BodyText"/>
        <w:spacing w:before="2"/>
        <w:rPr>
          <w:sz w:val="20"/>
        </w:rPr>
      </w:pPr>
    </w:p>
    <w:p>
      <w:pPr>
        <w:pStyle w:val="BodyText"/>
        <w:spacing w:line="360" w:lineRule="auto"/>
        <w:ind w:left="162" w:right="177"/>
        <w:jc w:val="both"/>
      </w:pPr>
      <w:r>
        <w:rPr/>
        <w:t>Los VNTR-minisatélites han encontrado su máxima aplicación en la determinación de la paternidad, mientras que los VNTR-microsatélites son utilizados en el diagnóstico genético, debido a la repetición en tándem de secuencias de 2 a 5 nucleótidos. Los microsatélites presentan dos características que los hacen  ideales para su uso. La primera es que están distribuidos por todo el genoma y la segunda, presentan un número elevado de alelos con frecuencias similares entre sí,</w:t>
      </w:r>
      <w:r>
        <w:rPr>
          <w:spacing w:val="47"/>
        </w:rPr>
        <w:t> </w:t>
      </w:r>
      <w:r>
        <w:rPr/>
        <w:t>de</w:t>
      </w:r>
      <w:r>
        <w:rPr>
          <w:spacing w:val="47"/>
        </w:rPr>
        <w:t> </w:t>
      </w:r>
      <w:r>
        <w:rPr/>
        <w:t>forma</w:t>
      </w:r>
      <w:r>
        <w:rPr>
          <w:spacing w:val="47"/>
        </w:rPr>
        <w:t> </w:t>
      </w:r>
      <w:r>
        <w:rPr/>
        <w:t>que</w:t>
      </w:r>
      <w:r>
        <w:rPr>
          <w:spacing w:val="47"/>
        </w:rPr>
        <w:t> </w:t>
      </w:r>
      <w:r>
        <w:rPr/>
        <w:t>la</w:t>
      </w:r>
      <w:r>
        <w:rPr>
          <w:spacing w:val="47"/>
        </w:rPr>
        <w:t> </w:t>
      </w:r>
      <w:r>
        <w:rPr/>
        <w:t>probabilidad</w:t>
      </w:r>
      <w:r>
        <w:rPr>
          <w:spacing w:val="47"/>
        </w:rPr>
        <w:t> </w:t>
      </w:r>
      <w:r>
        <w:rPr/>
        <w:t>de</w:t>
      </w:r>
      <w:r>
        <w:rPr>
          <w:spacing w:val="47"/>
        </w:rPr>
        <w:t> </w:t>
      </w:r>
      <w:r>
        <w:rPr/>
        <w:t>que</w:t>
      </w:r>
      <w:r>
        <w:rPr>
          <w:spacing w:val="47"/>
        </w:rPr>
        <w:t> </w:t>
      </w:r>
      <w:r>
        <w:rPr/>
        <w:t>un</w:t>
      </w:r>
      <w:r>
        <w:rPr>
          <w:spacing w:val="47"/>
        </w:rPr>
        <w:t> </w:t>
      </w:r>
      <w:r>
        <w:rPr/>
        <w:t>individuo</w:t>
      </w:r>
      <w:r>
        <w:rPr>
          <w:spacing w:val="47"/>
        </w:rPr>
        <w:t> </w:t>
      </w:r>
      <w:r>
        <w:rPr/>
        <w:t>sea</w:t>
      </w:r>
      <w:r>
        <w:rPr>
          <w:spacing w:val="47"/>
        </w:rPr>
        <w:t> </w:t>
      </w:r>
      <w:r>
        <w:rPr/>
        <w:t>heterocigoto</w:t>
      </w:r>
      <w:r>
        <w:rPr>
          <w:spacing w:val="47"/>
        </w:rPr>
        <w:t> </w:t>
      </w:r>
      <w:r>
        <w:rPr/>
        <w:t>es</w:t>
      </w:r>
      <w:r>
        <w:rPr>
          <w:spacing w:val="46"/>
        </w:rPr>
        <w:t> </w:t>
      </w:r>
      <w:r>
        <w:rPr/>
        <w:t>muy</w:t>
      </w:r>
    </w:p>
    <w:p>
      <w:pPr>
        <w:pStyle w:val="BodyText"/>
        <w:spacing w:line="279" w:lineRule="exact"/>
        <w:ind w:left="162"/>
        <w:jc w:val="both"/>
        <w:rPr>
          <w:sz w:val="16"/>
        </w:rPr>
      </w:pPr>
      <w:r>
        <w:rPr/>
        <w:t>elevada (alta heterocigosis). </w:t>
      </w:r>
      <w:r>
        <w:rPr>
          <w:position w:val="11"/>
          <w:sz w:val="16"/>
        </w:rPr>
        <w:t>79</w:t>
      </w:r>
    </w:p>
    <w:p>
      <w:pPr>
        <w:pStyle w:val="BodyText"/>
        <w:rPr>
          <w:sz w:val="28"/>
        </w:rPr>
      </w:pPr>
    </w:p>
    <w:p>
      <w:pPr>
        <w:pStyle w:val="Heading2"/>
        <w:numPr>
          <w:ilvl w:val="1"/>
          <w:numId w:val="6"/>
        </w:numPr>
        <w:tabs>
          <w:tab w:pos="566" w:val="left" w:leader="none"/>
        </w:tabs>
        <w:spacing w:line="240" w:lineRule="auto" w:before="230" w:after="0"/>
        <w:ind w:left="565" w:right="0" w:hanging="403"/>
        <w:jc w:val="both"/>
      </w:pPr>
      <w:bookmarkStart w:name="_TOC_250026" w:id="15"/>
      <w:r>
        <w:rPr/>
        <w:t>Polimorfismos de la glutatión</w:t>
      </w:r>
      <w:r>
        <w:rPr>
          <w:spacing w:val="-14"/>
        </w:rPr>
        <w:t> </w:t>
      </w:r>
      <w:bookmarkEnd w:id="15"/>
      <w:r>
        <w:rPr/>
        <w:t>S-transferasa</w:t>
      </w:r>
    </w:p>
    <w:p>
      <w:pPr>
        <w:pStyle w:val="BodyText"/>
        <w:spacing w:line="360" w:lineRule="auto" w:before="139"/>
        <w:ind w:left="162" w:right="175"/>
        <w:jc w:val="both"/>
      </w:pPr>
      <w:r>
        <w:rPr/>
        <w:t>La familia de las enzimas glutatión S-transferasa (GST) se encuentran en todas  las células eucariotas, representa el mayor grupo de la fase II de la biotransformación de xenobióticos (Figura 1). Las GSTs actúan como enzimas destoxificantes por su habilidad para catalizar la conjugación de los compuestos electrofílicos con el glutatión, también tiene un papel importante en la depuración de</w:t>
      </w:r>
      <w:r>
        <w:rPr>
          <w:spacing w:val="30"/>
        </w:rPr>
        <w:t> </w:t>
      </w:r>
      <w:r>
        <w:rPr/>
        <w:t>radicales</w:t>
      </w:r>
      <w:r>
        <w:rPr>
          <w:spacing w:val="29"/>
        </w:rPr>
        <w:t> </w:t>
      </w:r>
      <w:r>
        <w:rPr/>
        <w:t>libres,</w:t>
      </w:r>
      <w:r>
        <w:rPr>
          <w:spacing w:val="29"/>
        </w:rPr>
        <w:t> </w:t>
      </w:r>
      <w:r>
        <w:rPr/>
        <w:t>y</w:t>
      </w:r>
      <w:r>
        <w:rPr>
          <w:spacing w:val="27"/>
        </w:rPr>
        <w:t> </w:t>
      </w:r>
      <w:r>
        <w:rPr/>
        <w:t>por</w:t>
      </w:r>
      <w:r>
        <w:rPr>
          <w:spacing w:val="28"/>
        </w:rPr>
        <w:t> </w:t>
      </w:r>
      <w:r>
        <w:rPr/>
        <w:t>lo</w:t>
      </w:r>
      <w:r>
        <w:rPr>
          <w:spacing w:val="29"/>
        </w:rPr>
        <w:t> </w:t>
      </w:r>
      <w:r>
        <w:rPr/>
        <w:t>tanto,</w:t>
      </w:r>
      <w:r>
        <w:rPr>
          <w:spacing w:val="29"/>
        </w:rPr>
        <w:t> </w:t>
      </w:r>
      <w:r>
        <w:rPr/>
        <w:t>protege</w:t>
      </w:r>
      <w:r>
        <w:rPr>
          <w:spacing w:val="27"/>
        </w:rPr>
        <w:t> </w:t>
      </w:r>
      <w:r>
        <w:rPr/>
        <w:t>a</w:t>
      </w:r>
      <w:r>
        <w:rPr>
          <w:spacing w:val="30"/>
        </w:rPr>
        <w:t> </w:t>
      </w:r>
      <w:r>
        <w:rPr/>
        <w:t>la</w:t>
      </w:r>
      <w:r>
        <w:rPr>
          <w:spacing w:val="29"/>
        </w:rPr>
        <w:t> </w:t>
      </w:r>
      <w:r>
        <w:rPr/>
        <w:t>célula</w:t>
      </w:r>
      <w:r>
        <w:rPr>
          <w:spacing w:val="27"/>
        </w:rPr>
        <w:t> </w:t>
      </w:r>
      <w:r>
        <w:rPr/>
        <w:t>de</w:t>
      </w:r>
      <w:r>
        <w:rPr>
          <w:spacing w:val="30"/>
        </w:rPr>
        <w:t> </w:t>
      </w:r>
      <w:r>
        <w:rPr/>
        <w:t>los</w:t>
      </w:r>
      <w:r>
        <w:rPr>
          <w:spacing w:val="27"/>
        </w:rPr>
        <w:t> </w:t>
      </w:r>
      <w:r>
        <w:rPr/>
        <w:t>efectos</w:t>
      </w:r>
      <w:r>
        <w:rPr>
          <w:spacing w:val="29"/>
        </w:rPr>
        <w:t> </w:t>
      </w:r>
      <w:r>
        <w:rPr/>
        <w:t>nocivos</w:t>
      </w:r>
      <w:r>
        <w:rPr>
          <w:spacing w:val="29"/>
        </w:rPr>
        <w:t> </w:t>
      </w:r>
      <w:r>
        <w:rPr/>
        <w:t>del</w:t>
      </w:r>
    </w:p>
    <w:p>
      <w:pPr>
        <w:spacing w:line="282" w:lineRule="exact" w:before="0"/>
        <w:ind w:left="162" w:right="0" w:firstLine="0"/>
        <w:jc w:val="both"/>
        <w:rPr>
          <w:sz w:val="16"/>
        </w:rPr>
      </w:pPr>
      <w:r>
        <w:rPr>
          <w:sz w:val="24"/>
        </w:rPr>
        <w:t>estrés oxidativo. </w:t>
      </w:r>
      <w:r>
        <w:rPr>
          <w:position w:val="11"/>
          <w:sz w:val="16"/>
        </w:rPr>
        <w:t>73, 79</w:t>
      </w:r>
    </w:p>
    <w:p>
      <w:pPr>
        <w:pStyle w:val="BodyText"/>
        <w:rPr>
          <w:sz w:val="28"/>
        </w:rPr>
      </w:pPr>
    </w:p>
    <w:p>
      <w:pPr>
        <w:pStyle w:val="BodyText"/>
        <w:spacing w:line="350" w:lineRule="auto" w:before="230"/>
        <w:ind w:left="162" w:right="185"/>
        <w:jc w:val="both"/>
        <w:rPr>
          <w:sz w:val="16"/>
        </w:rPr>
      </w:pPr>
      <w:r>
        <w:rPr/>
        <w:t>En humanos las isoenzimas de esta familia se han identificado en  diferentes tejidos y órganos como, riñón, pulmón, intestino, piel, cerebro, sangre, corazón, músculo e hígado, en este último pueden llegar a constituir hasta un 4% de las proteínas totales.</w:t>
      </w:r>
      <w:r>
        <w:rPr>
          <w:position w:val="11"/>
          <w:sz w:val="16"/>
        </w:rPr>
        <w:t>81</w:t>
      </w:r>
    </w:p>
    <w:p>
      <w:pPr>
        <w:pStyle w:val="BodyText"/>
        <w:spacing w:before="8"/>
        <w:rPr>
          <w:sz w:val="35"/>
        </w:rPr>
      </w:pPr>
    </w:p>
    <w:p>
      <w:pPr>
        <w:pStyle w:val="BodyText"/>
        <w:spacing w:line="360" w:lineRule="auto" w:before="1"/>
        <w:ind w:left="162" w:right="176"/>
        <w:jc w:val="both"/>
      </w:pPr>
      <w:r>
        <w:rPr/>
        <w:t>El interés farmacológico y toxicológico de este gen se debe a que su expresión se ve incrementada significativamente en las células tumorales de mamíferos, es por esto que se ha relacionado con la resistencia al tratamiento de diferentes tipos de cáncer. También se les ha relacionado con enfermedades del corazón y neuro-</w:t>
      </w:r>
    </w:p>
    <w:p>
      <w:pPr>
        <w:pStyle w:val="BodyText"/>
        <w:spacing w:line="328" w:lineRule="auto" w:before="5"/>
        <w:ind w:left="162" w:right="183"/>
        <w:jc w:val="both"/>
        <w:rPr>
          <w:sz w:val="16"/>
        </w:rPr>
      </w:pPr>
      <w:r>
        <w:rPr/>
        <w:t>degenerativas, como el Parkinson y Alzheimer. Siendo consideradas actualmente como una respuesta evolutiva de las células al estrés oxídativo. </w:t>
      </w:r>
      <w:r>
        <w:rPr>
          <w:position w:val="11"/>
          <w:sz w:val="16"/>
        </w:rPr>
        <w:t>81, 82, 83</w:t>
      </w:r>
    </w:p>
    <w:p>
      <w:pPr>
        <w:spacing w:after="0" w:line="328" w:lineRule="auto"/>
        <w:jc w:val="both"/>
        <w:rPr>
          <w:sz w:val="16"/>
        </w:rPr>
        <w:sectPr>
          <w:pgSz w:w="12240" w:h="15840"/>
          <w:pgMar w:header="733" w:footer="1039" w:top="1020" w:bottom="1220" w:left="1540" w:right="1520"/>
        </w:sectPr>
      </w:pPr>
    </w:p>
    <w:p>
      <w:pPr>
        <w:pStyle w:val="BodyText"/>
        <w:spacing w:before="8"/>
        <w:rPr>
          <w:sz w:val="17"/>
        </w:rPr>
      </w:pPr>
    </w:p>
    <w:p>
      <w:pPr>
        <w:spacing w:before="72"/>
        <w:ind w:left="162" w:right="0" w:firstLine="0"/>
        <w:jc w:val="both"/>
        <w:rPr>
          <w:sz w:val="22"/>
        </w:rPr>
      </w:pPr>
      <w:r>
        <w:rPr/>
        <w:drawing>
          <wp:anchor distT="0" distB="0" distL="0" distR="0" allowOverlap="1" layoutInCell="1" locked="0" behindDoc="0" simplePos="0" relativeHeight="1048">
            <wp:simplePos x="0" y="0"/>
            <wp:positionH relativeFrom="page">
              <wp:posOffset>1099185</wp:posOffset>
            </wp:positionH>
            <wp:positionV relativeFrom="paragraph">
              <wp:posOffset>288644</wp:posOffset>
            </wp:positionV>
            <wp:extent cx="5981111" cy="3004185"/>
            <wp:effectExtent l="0" t="0" r="0" b="0"/>
            <wp:wrapTopAndBottom/>
            <wp:docPr id="1" name="image3.jpeg" descr=""/>
            <wp:cNvGraphicFramePr>
              <a:graphicFrameLocks noChangeAspect="1"/>
            </wp:cNvGraphicFramePr>
            <a:graphic>
              <a:graphicData uri="http://schemas.openxmlformats.org/drawingml/2006/picture">
                <pic:pic>
                  <pic:nvPicPr>
                    <pic:cNvPr id="2" name="image3.jpeg"/>
                    <pic:cNvPicPr/>
                  </pic:nvPicPr>
                  <pic:blipFill>
                    <a:blip r:embed="rId9" cstate="print"/>
                    <a:stretch>
                      <a:fillRect/>
                    </a:stretch>
                  </pic:blipFill>
                  <pic:spPr>
                    <a:xfrm>
                      <a:off x="0" y="0"/>
                      <a:ext cx="5981111" cy="3004185"/>
                    </a:xfrm>
                    <a:prstGeom prst="rect">
                      <a:avLst/>
                    </a:prstGeom>
                  </pic:spPr>
                </pic:pic>
              </a:graphicData>
            </a:graphic>
          </wp:anchor>
        </w:drawing>
      </w:r>
      <w:r>
        <w:rPr>
          <w:sz w:val="22"/>
        </w:rPr>
        <w:t>Figura 1. Proceso de Biotransformación</w:t>
      </w:r>
    </w:p>
    <w:p>
      <w:pPr>
        <w:pStyle w:val="BodyText"/>
        <w:rPr>
          <w:sz w:val="22"/>
        </w:rPr>
      </w:pPr>
    </w:p>
    <w:p>
      <w:pPr>
        <w:pStyle w:val="BodyText"/>
        <w:spacing w:before="2"/>
        <w:rPr>
          <w:sz w:val="32"/>
        </w:rPr>
      </w:pPr>
    </w:p>
    <w:p>
      <w:pPr>
        <w:pStyle w:val="BodyText"/>
        <w:spacing w:line="352" w:lineRule="auto"/>
        <w:ind w:left="162" w:right="737"/>
        <w:jc w:val="both"/>
        <w:rPr>
          <w:sz w:val="16"/>
        </w:rPr>
      </w:pPr>
      <w:r>
        <w:rPr/>
        <w:t>La presencia de polimorfismos en los genes que codifican para GSTs pueden alterar su función y el estudio de estos puede ayudar al entendimiento del riesgo de exposición a diferentes xenobióticos en la población, sub-población e individual. Además la presencia de polimorfismos en estas enzimas explica en parte las diferencias en cuanto a la susceptibilidad</w:t>
      </w:r>
      <w:r>
        <w:rPr>
          <w:spacing w:val="-17"/>
        </w:rPr>
        <w:t> </w:t>
      </w:r>
      <w:r>
        <w:rPr/>
        <w:t>individual.</w:t>
      </w:r>
      <w:r>
        <w:rPr>
          <w:position w:val="11"/>
          <w:sz w:val="16"/>
        </w:rPr>
        <w:t>81</w:t>
      </w:r>
    </w:p>
    <w:p>
      <w:pPr>
        <w:pStyle w:val="BodyText"/>
        <w:rPr>
          <w:sz w:val="28"/>
        </w:rPr>
      </w:pPr>
    </w:p>
    <w:p>
      <w:pPr>
        <w:pStyle w:val="BodyText"/>
        <w:spacing w:line="352" w:lineRule="auto" w:before="189"/>
        <w:ind w:left="162" w:right="740"/>
        <w:jc w:val="both"/>
        <w:rPr>
          <w:sz w:val="16"/>
        </w:rPr>
      </w:pPr>
      <w:r>
        <w:rPr/>
        <w:t>Se clasifican en ocho clases, Alfa (α), Mu (μ), Pi (л), Kappa (K), Theta (Θ), Omega (Ω), Sigma (ε) y Zeta (Z); en mamíferos se clasifican en seis subclases, Alpha, Mu, Pi, Theta, Omega y Zeta. Con base en la similitud de la estructura primaria de aminoácidos existen como homodímeros o como heterodímeros, tienen una masa molecular de aproximadamente 25 kDa por subunidad. </w:t>
      </w:r>
      <w:r>
        <w:rPr>
          <w:position w:val="11"/>
          <w:sz w:val="16"/>
        </w:rPr>
        <w:t>83, 84, 85</w:t>
      </w:r>
    </w:p>
    <w:p>
      <w:pPr>
        <w:pStyle w:val="BodyText"/>
        <w:spacing w:line="270" w:lineRule="exact"/>
        <w:ind w:left="162"/>
        <w:jc w:val="both"/>
      </w:pPr>
      <w:r>
        <w:rPr/>
        <w:t>Algunas de las isoenzimas que codifican estos genes son:</w:t>
      </w:r>
    </w:p>
    <w:p>
      <w:pPr>
        <w:pStyle w:val="BodyText"/>
      </w:pPr>
    </w:p>
    <w:p>
      <w:pPr>
        <w:pStyle w:val="BodyText"/>
      </w:pPr>
    </w:p>
    <w:p>
      <w:pPr>
        <w:pStyle w:val="ListParagraph"/>
        <w:numPr>
          <w:ilvl w:val="0"/>
          <w:numId w:val="13"/>
        </w:numPr>
        <w:tabs>
          <w:tab w:pos="1230" w:val="left" w:leader="none"/>
        </w:tabs>
        <w:spacing w:line="240" w:lineRule="auto" w:before="0" w:after="0"/>
        <w:ind w:left="1230" w:right="0" w:hanging="360"/>
        <w:jc w:val="both"/>
        <w:rPr>
          <w:sz w:val="24"/>
        </w:rPr>
      </w:pPr>
      <w:r>
        <w:rPr>
          <w:sz w:val="24"/>
        </w:rPr>
        <w:t>GSTM1</w:t>
      </w:r>
      <w:r>
        <w:rPr>
          <w:spacing w:val="-2"/>
          <w:sz w:val="24"/>
        </w:rPr>
        <w:t> </w:t>
      </w:r>
      <w:r>
        <w:rPr>
          <w:sz w:val="24"/>
        </w:rPr>
        <w:t>(μ):</w:t>
      </w:r>
    </w:p>
    <w:p>
      <w:pPr>
        <w:pStyle w:val="BodyText"/>
        <w:spacing w:line="360" w:lineRule="auto" w:before="139"/>
        <w:ind w:left="870" w:right="739"/>
        <w:jc w:val="both"/>
      </w:pPr>
      <w:r>
        <w:rPr/>
        <w:t>La secuencia de este gen está conformado por cinco regiones, M1, M2, M3 M4 y M5, siendo el M1 hasta ahora el más estudiado, el cual está ubicado en el cromosoma 1, región p13.3 (Figura 2), está formado por 8 exones, tiene una longitud de 4.2 kb. y es polimórfico, ya que cuenta con 4 variantes</w:t>
      </w:r>
    </w:p>
    <w:p>
      <w:pPr>
        <w:spacing w:after="0" w:line="360" w:lineRule="auto"/>
        <w:jc w:val="both"/>
        <w:sectPr>
          <w:pgSz w:w="12240" w:h="15840"/>
          <w:pgMar w:header="733" w:footer="1039" w:top="1020" w:bottom="1220" w:left="1540" w:right="960"/>
        </w:sectPr>
      </w:pPr>
    </w:p>
    <w:p>
      <w:pPr>
        <w:pStyle w:val="BodyText"/>
        <w:rPr>
          <w:sz w:val="18"/>
        </w:rPr>
      </w:pPr>
    </w:p>
    <w:p>
      <w:pPr>
        <w:pStyle w:val="BodyText"/>
        <w:spacing w:line="345" w:lineRule="auto" w:before="69"/>
        <w:ind w:left="870" w:right="177"/>
        <w:jc w:val="both"/>
        <w:rPr>
          <w:sz w:val="16"/>
        </w:rPr>
      </w:pPr>
      <w:r>
        <w:rPr/>
        <w:t>alélicas: A, B, C y 0 (alelo nulo). Entre los posibles polimorfismos que presenta, GSTM1 nulo es el más frecuente. Las deleciones homocigóticas de GSTM1 nulo dan lugar a la  ausencia de la actividad enzimática.</w:t>
      </w:r>
      <w:r>
        <w:rPr>
          <w:position w:val="11"/>
          <w:sz w:val="16"/>
        </w:rPr>
        <w:t>83, 86</w:t>
      </w:r>
    </w:p>
    <w:p>
      <w:pPr>
        <w:pStyle w:val="BodyText"/>
        <w:spacing w:before="3"/>
        <w:rPr>
          <w:sz w:val="36"/>
        </w:rPr>
      </w:pPr>
    </w:p>
    <w:p>
      <w:pPr>
        <w:pStyle w:val="BodyText"/>
        <w:spacing w:line="345" w:lineRule="auto"/>
        <w:ind w:left="870" w:right="179"/>
        <w:jc w:val="both"/>
        <w:rPr>
          <w:sz w:val="16"/>
        </w:rPr>
      </w:pPr>
      <w:r>
        <w:rPr/>
        <w:t>Estudios epidemiológicos han propuesto que los individuos que portan genotipo nulo para este gen o sea deleción en ambos alelos, tienen un mayor riesgo de desarrollar cáncer de pulmón, vejiga, colon y mama. </w:t>
      </w:r>
      <w:r>
        <w:rPr>
          <w:position w:val="11"/>
          <w:sz w:val="16"/>
        </w:rPr>
        <w:t>83, 86</w:t>
      </w:r>
    </w:p>
    <w:p>
      <w:pPr>
        <w:pStyle w:val="BodyText"/>
        <w:spacing w:before="3"/>
        <w:rPr>
          <w:sz w:val="22"/>
        </w:rPr>
      </w:pPr>
    </w:p>
    <w:p>
      <w:pPr>
        <w:spacing w:before="0" w:after="3"/>
        <w:ind w:left="870" w:right="0" w:firstLine="0"/>
        <w:jc w:val="both"/>
        <w:rPr>
          <w:sz w:val="22"/>
        </w:rPr>
      </w:pPr>
      <w:r>
        <w:rPr>
          <w:sz w:val="22"/>
        </w:rPr>
        <w:t>Figura 2. Gen GSTM1 localización genómica</w:t>
      </w:r>
    </w:p>
    <w:p>
      <w:pPr>
        <w:pStyle w:val="BodyText"/>
        <w:ind w:left="789"/>
        <w:rPr>
          <w:sz w:val="20"/>
        </w:rPr>
      </w:pPr>
      <w:r>
        <w:rPr>
          <w:sz w:val="20"/>
        </w:rPr>
        <w:pict>
          <v:group style="width:360.8pt;height:67.45pt;mso-position-horizontal-relative:char;mso-position-vertical-relative:line" coordorigin="0,0" coordsize="7216,1349">
            <v:shape style="position:absolute;left:2;top:0;width:7214;height:1055" type="#_x0000_t75" stroked="false">
              <v:imagedata r:id="rId10" o:title=""/>
            </v:shape>
            <v:rect style="position:absolute;left:0;top:928;width:7189;height:420" filled="true" fillcolor="#ffffff" stroked="false">
              <v:fill type="solid"/>
            </v:rect>
            <v:shape style="position:absolute;left:0;top:0;width:7216;height:1349"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23"/>
                      </w:rPr>
                    </w:pPr>
                  </w:p>
                  <w:p>
                    <w:pPr>
                      <w:spacing w:before="0"/>
                      <w:ind w:left="143" w:right="0" w:firstLine="0"/>
                      <w:jc w:val="left"/>
                      <w:rPr>
                        <w:sz w:val="16"/>
                      </w:rPr>
                    </w:pPr>
                    <w:r>
                      <w:rPr>
                        <w:sz w:val="16"/>
                      </w:rPr>
                      <w:t>Fuente: </w:t>
                    </w:r>
                    <w:hyperlink r:id="rId11">
                      <w:r>
                        <w:rPr>
                          <w:sz w:val="16"/>
                        </w:rPr>
                        <w:t>http://www.genecards.org/cgi-bin/carddisp.pl?gene=GSTM1</w:t>
                      </w:r>
                    </w:hyperlink>
                  </w:p>
                </w:txbxContent>
              </v:textbox>
              <w10:wrap type="none"/>
            </v:shape>
          </v:group>
        </w:pict>
      </w:r>
      <w:r>
        <w:rPr>
          <w:sz w:val="20"/>
        </w:rPr>
      </w:r>
    </w:p>
    <w:p>
      <w:pPr>
        <w:pStyle w:val="BodyText"/>
        <w:spacing w:before="11"/>
        <w:rPr>
          <w:sz w:val="19"/>
        </w:rPr>
      </w:pPr>
    </w:p>
    <w:p>
      <w:pPr>
        <w:pStyle w:val="ListParagraph"/>
        <w:numPr>
          <w:ilvl w:val="0"/>
          <w:numId w:val="13"/>
        </w:numPr>
        <w:tabs>
          <w:tab w:pos="1151" w:val="left" w:leader="none"/>
        </w:tabs>
        <w:spacing w:line="240" w:lineRule="auto" w:before="0" w:after="0"/>
        <w:ind w:left="1150" w:right="0" w:hanging="280"/>
        <w:jc w:val="both"/>
        <w:rPr>
          <w:sz w:val="24"/>
        </w:rPr>
      </w:pPr>
      <w:r>
        <w:rPr>
          <w:sz w:val="24"/>
        </w:rPr>
        <w:t>GSTT1</w:t>
      </w:r>
      <w:r>
        <w:rPr>
          <w:spacing w:val="-1"/>
          <w:sz w:val="24"/>
        </w:rPr>
        <w:t> </w:t>
      </w:r>
      <w:r>
        <w:rPr>
          <w:sz w:val="24"/>
        </w:rPr>
        <w:t>(Θ):</w:t>
      </w:r>
    </w:p>
    <w:p>
      <w:pPr>
        <w:pStyle w:val="BodyText"/>
        <w:spacing w:line="360" w:lineRule="auto" w:before="137"/>
        <w:ind w:left="870" w:right="180"/>
        <w:jc w:val="both"/>
      </w:pPr>
      <w:r>
        <w:rPr/>
        <w:t>La secuencia de este gen se encuentra ubicado en el cromosoma 22,  región p11.2 (Figura 3), está conformado por cinco exones y se encuentra flanqueado por dos regiones homologas HA3 y HA5. Es polimórfico y posee dos variantes, GSTT1 silvestre y GSTT1 0 o nulo. Este último polimorfismo es</w:t>
      </w:r>
      <w:r>
        <w:rPr>
          <w:spacing w:val="36"/>
        </w:rPr>
        <w:t> </w:t>
      </w:r>
      <w:r>
        <w:rPr/>
        <w:t>consecuencia</w:t>
      </w:r>
      <w:r>
        <w:rPr>
          <w:spacing w:val="34"/>
        </w:rPr>
        <w:t> </w:t>
      </w:r>
      <w:r>
        <w:rPr/>
        <w:t>de</w:t>
      </w:r>
      <w:r>
        <w:rPr>
          <w:spacing w:val="34"/>
        </w:rPr>
        <w:t> </w:t>
      </w:r>
      <w:r>
        <w:rPr/>
        <w:t>una</w:t>
      </w:r>
      <w:r>
        <w:rPr>
          <w:spacing w:val="36"/>
        </w:rPr>
        <w:t> </w:t>
      </w:r>
      <w:r>
        <w:rPr/>
        <w:t>recombinación</w:t>
      </w:r>
      <w:r>
        <w:rPr>
          <w:spacing w:val="34"/>
        </w:rPr>
        <w:t> </w:t>
      </w:r>
      <w:r>
        <w:rPr/>
        <w:t>homóloga</w:t>
      </w:r>
      <w:r>
        <w:rPr>
          <w:spacing w:val="34"/>
        </w:rPr>
        <w:t> </w:t>
      </w:r>
      <w:r>
        <w:rPr/>
        <w:t>de</w:t>
      </w:r>
      <w:r>
        <w:rPr>
          <w:spacing w:val="34"/>
        </w:rPr>
        <w:t> </w:t>
      </w:r>
      <w:r>
        <w:rPr/>
        <w:t>las</w:t>
      </w:r>
      <w:r>
        <w:rPr>
          <w:spacing w:val="36"/>
        </w:rPr>
        <w:t> </w:t>
      </w:r>
      <w:r>
        <w:rPr/>
        <w:t>regiones</w:t>
      </w:r>
      <w:r>
        <w:rPr>
          <w:spacing w:val="36"/>
        </w:rPr>
        <w:t> </w:t>
      </w:r>
      <w:r>
        <w:rPr/>
        <w:t>HA3</w:t>
      </w:r>
      <w:r>
        <w:rPr>
          <w:spacing w:val="34"/>
        </w:rPr>
        <w:t> </w:t>
      </w:r>
      <w:r>
        <w:rPr/>
        <w:t>y</w:t>
      </w:r>
    </w:p>
    <w:p>
      <w:pPr>
        <w:pStyle w:val="BodyText"/>
        <w:spacing w:line="328" w:lineRule="auto" w:before="5"/>
        <w:ind w:left="870" w:right="180"/>
        <w:jc w:val="both"/>
        <w:rPr>
          <w:sz w:val="16"/>
        </w:rPr>
      </w:pPr>
      <w:r>
        <w:rPr/>
        <w:t>HA5 que dan como resultado una deleción de 5.4 kb y en consecuencia la enzima no se traduce. </w:t>
      </w:r>
      <w:r>
        <w:rPr>
          <w:position w:val="11"/>
          <w:sz w:val="16"/>
        </w:rPr>
        <w:t>83, 86, 87</w:t>
      </w:r>
    </w:p>
    <w:p>
      <w:pPr>
        <w:pStyle w:val="BodyText"/>
        <w:spacing w:before="1"/>
        <w:rPr>
          <w:sz w:val="38"/>
        </w:rPr>
      </w:pPr>
    </w:p>
    <w:p>
      <w:pPr>
        <w:pStyle w:val="BodyText"/>
        <w:spacing w:line="350" w:lineRule="auto" w:before="1"/>
        <w:ind w:left="870" w:right="179"/>
        <w:jc w:val="both"/>
        <w:rPr>
          <w:sz w:val="16"/>
        </w:rPr>
      </w:pPr>
      <w:r>
        <w:rPr/>
        <w:t>Se ha demostrado que esta clase participa en la desintoxicación de plaguicidas y son considerados como factor influyente en el desarrollo de cáncer de piel. Por lo tanto, los individuos homocigotos para GSTT1 nulo, tienen un mayor riesgo de desarrollar cáncer. </w:t>
      </w:r>
      <w:r>
        <w:rPr>
          <w:position w:val="11"/>
          <w:sz w:val="16"/>
        </w:rPr>
        <w:t>83</w:t>
      </w:r>
    </w:p>
    <w:p>
      <w:pPr>
        <w:spacing w:before="250"/>
        <w:ind w:left="870" w:right="0" w:firstLine="0"/>
        <w:jc w:val="both"/>
        <w:rPr>
          <w:sz w:val="22"/>
        </w:rPr>
      </w:pPr>
      <w:r>
        <w:rPr>
          <w:sz w:val="22"/>
        </w:rPr>
        <w:t>Figura 3. Gen GSTT1 localización genómica</w:t>
      </w:r>
    </w:p>
    <w:p>
      <w:pPr>
        <w:pStyle w:val="BodyText"/>
        <w:ind w:left="789"/>
        <w:rPr>
          <w:sz w:val="20"/>
        </w:rPr>
      </w:pPr>
      <w:r>
        <w:rPr>
          <w:sz w:val="20"/>
        </w:rPr>
        <w:pict>
          <v:group style="width:390pt;height:67.350pt;mso-position-horizontal-relative:char;mso-position-vertical-relative:line" coordorigin="0,0" coordsize="7800,1347">
            <v:shape style="position:absolute;left:111;top:0;width:7255;height:967" type="#_x0000_t75" stroked="false">
              <v:imagedata r:id="rId12" o:title=""/>
            </v:shape>
            <v:rect style="position:absolute;left:0;top:915;width:7800;height:431" filled="true" fillcolor="#ffffff" stroked="false">
              <v:fill type="solid"/>
            </v:rect>
            <v:shape style="position:absolute;left:0;top:0;width:7800;height:1347"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9"/>
                      <w:rPr>
                        <w:sz w:val="21"/>
                      </w:rPr>
                    </w:pPr>
                  </w:p>
                  <w:p>
                    <w:pPr>
                      <w:spacing w:before="0"/>
                      <w:ind w:left="143" w:right="0" w:firstLine="0"/>
                      <w:jc w:val="left"/>
                      <w:rPr>
                        <w:sz w:val="16"/>
                      </w:rPr>
                    </w:pPr>
                    <w:r>
                      <w:rPr>
                        <w:sz w:val="16"/>
                      </w:rPr>
                      <w:t>Fuente: </w:t>
                    </w:r>
                    <w:hyperlink r:id="rId13">
                      <w:r>
                        <w:rPr>
                          <w:sz w:val="16"/>
                        </w:rPr>
                        <w:t>http://www.genecards.org/cgi-bin/carddisp.pl?gene=GSTT1</w:t>
                      </w:r>
                    </w:hyperlink>
                  </w:p>
                </w:txbxContent>
              </v:textbox>
              <w10:wrap type="none"/>
            </v:shape>
          </v:group>
        </w:pict>
      </w:r>
      <w:r>
        <w:rPr>
          <w:sz w:val="20"/>
        </w:rPr>
      </w:r>
    </w:p>
    <w:p>
      <w:pPr>
        <w:spacing w:after="0"/>
        <w:rPr>
          <w:sz w:val="20"/>
        </w:rPr>
        <w:sectPr>
          <w:pgSz w:w="12240" w:h="15840"/>
          <w:pgMar w:header="733" w:footer="1039" w:top="1020" w:bottom="1220" w:left="1540" w:right="1520"/>
        </w:sectPr>
      </w:pPr>
    </w:p>
    <w:p>
      <w:pPr>
        <w:pStyle w:val="BodyText"/>
        <w:rPr>
          <w:sz w:val="18"/>
        </w:rPr>
      </w:pPr>
    </w:p>
    <w:p>
      <w:pPr>
        <w:pStyle w:val="ListParagraph"/>
        <w:numPr>
          <w:ilvl w:val="0"/>
          <w:numId w:val="13"/>
        </w:numPr>
        <w:tabs>
          <w:tab w:pos="1136" w:val="left" w:leader="none"/>
        </w:tabs>
        <w:spacing w:line="240" w:lineRule="auto" w:before="69" w:after="0"/>
        <w:ind w:left="1135" w:right="0" w:hanging="265"/>
        <w:jc w:val="both"/>
        <w:rPr>
          <w:sz w:val="24"/>
        </w:rPr>
      </w:pPr>
      <w:r>
        <w:rPr>
          <w:sz w:val="24"/>
        </w:rPr>
        <w:t>GSTP1</w:t>
      </w:r>
      <w:r>
        <w:rPr>
          <w:spacing w:val="-1"/>
          <w:sz w:val="24"/>
        </w:rPr>
        <w:t> </w:t>
      </w:r>
      <w:r>
        <w:rPr>
          <w:sz w:val="24"/>
        </w:rPr>
        <w:t>(л):</w:t>
      </w:r>
    </w:p>
    <w:p>
      <w:pPr>
        <w:pStyle w:val="BodyText"/>
        <w:spacing w:line="360" w:lineRule="auto" w:before="139"/>
        <w:ind w:left="870" w:right="175"/>
        <w:jc w:val="both"/>
      </w:pPr>
      <w:r>
        <w:rPr/>
        <w:t>La secuencia de este gen se localiza en el cromosoma 11, región q13 (Figura 4), está conformado por nueve exones, tiene una longitud aproximada de 3 kb. Es polimórfico, cuenta con tres variantes alélicas: GSTP1a, alelo silvestre; GSTP1b, ubicado en el exon 5 y es resultado de una mutación en el codón 104 de ATC (Ile) a GTC (Val); GSTP1c, la cual posee la misma mutación en el codón 104 que GSTP1b, pero   cuenta   con</w:t>
      </w:r>
    </w:p>
    <w:p>
      <w:pPr>
        <w:pStyle w:val="BodyText"/>
        <w:spacing w:line="328" w:lineRule="auto" w:before="5"/>
        <w:ind w:left="870" w:right="176"/>
        <w:jc w:val="both"/>
        <w:rPr>
          <w:sz w:val="16"/>
        </w:rPr>
      </w:pPr>
      <w:r>
        <w:rPr/>
        <w:t>una segunda mutación ubicada en el exón 6, en el codón 113 de GCG (Ala) </w:t>
      </w:r>
      <w:r>
        <w:rPr>
          <w:position w:val="-10"/>
        </w:rPr>
        <w:t>a GTG (Val).</w:t>
      </w:r>
      <w:r>
        <w:rPr>
          <w:sz w:val="16"/>
        </w:rPr>
        <w:t>81, 86, 88, 89</w:t>
      </w:r>
    </w:p>
    <w:p>
      <w:pPr>
        <w:pStyle w:val="BodyText"/>
        <w:spacing w:before="3"/>
        <w:rPr>
          <w:sz w:val="26"/>
        </w:rPr>
      </w:pPr>
    </w:p>
    <w:p>
      <w:pPr>
        <w:spacing w:before="0"/>
        <w:ind w:left="870" w:right="0" w:firstLine="0"/>
        <w:jc w:val="both"/>
        <w:rPr>
          <w:sz w:val="22"/>
        </w:rPr>
      </w:pPr>
      <w:r>
        <w:rPr>
          <w:sz w:val="22"/>
        </w:rPr>
        <w:t>Figura 4. Gen GSTP1 localización genómica</w:t>
      </w:r>
    </w:p>
    <w:p>
      <w:pPr>
        <w:pStyle w:val="BodyText"/>
        <w:ind w:left="585"/>
        <w:rPr>
          <w:sz w:val="20"/>
        </w:rPr>
      </w:pPr>
      <w:r>
        <w:rPr>
          <w:sz w:val="20"/>
        </w:rPr>
        <w:pict>
          <v:group style="width:360.25pt;height:65.55pt;mso-position-horizontal-relative:char;mso-position-vertical-relative:line" coordorigin="0,0" coordsize="7205,1311">
            <v:shape style="position:absolute;left:206;top:0;width:6998;height:1041" type="#_x0000_t75" stroked="false">
              <v:imagedata r:id="rId14" o:title=""/>
            </v:shape>
            <v:rect style="position:absolute;left:0;top:1001;width:6755;height:309" filled="true" fillcolor="#ffffff" stroked="false">
              <v:fill type="solid"/>
            </v:rect>
            <v:rect style="position:absolute;left:166;top:1071;width:6460;height:239" filled="true" fillcolor="#ffffff" stroked="false">
              <v:fill type="solid"/>
            </v:rect>
            <v:shape style="position:absolute;left:0;top:0;width:7205;height:1311" type="#_x0000_t202" filled="false" stroked="false">
              <v:textbox inset="0,0,0,0">
                <w:txbxContent>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1"/>
                      <w:rPr>
                        <w:sz w:val="15"/>
                      </w:rPr>
                    </w:pPr>
                  </w:p>
                  <w:p>
                    <w:pPr>
                      <w:spacing w:before="0"/>
                      <w:ind w:left="297" w:right="0" w:firstLine="0"/>
                      <w:jc w:val="left"/>
                      <w:rPr>
                        <w:sz w:val="14"/>
                      </w:rPr>
                    </w:pPr>
                    <w:r>
                      <w:rPr>
                        <w:w w:val="105"/>
                        <w:sz w:val="14"/>
                      </w:rPr>
                      <w:t>Fuente: </w:t>
                    </w:r>
                    <w:hyperlink r:id="rId15">
                      <w:r>
                        <w:rPr>
                          <w:w w:val="105"/>
                          <w:sz w:val="14"/>
                        </w:rPr>
                        <w:t>http://www.genecards.org/cgi-bin/carddisp.pl?gene=GSTP1</w:t>
                      </w:r>
                    </w:hyperlink>
                  </w:p>
                </w:txbxContent>
              </v:textbox>
              <w10:wrap type="none"/>
            </v:shape>
          </v:group>
        </w:pict>
      </w:r>
      <w:r>
        <w:rPr>
          <w:sz w:val="20"/>
        </w:rPr>
      </w:r>
    </w:p>
    <w:p>
      <w:pPr>
        <w:pStyle w:val="BodyText"/>
        <w:spacing w:before="5"/>
        <w:rPr>
          <w:sz w:val="21"/>
        </w:rPr>
      </w:pPr>
    </w:p>
    <w:p>
      <w:pPr>
        <w:pStyle w:val="BodyText"/>
        <w:spacing w:line="360" w:lineRule="auto" w:before="1"/>
        <w:ind w:left="870" w:right="177"/>
        <w:jc w:val="both"/>
      </w:pPr>
      <w:r>
        <w:rPr/>
        <w:t>Ha sido reportado que las personas que cuentan con los polimorfismos GSTP1b y GSTP1c tienen un mayor riesgo a desarrollar diferentes tipos de patologías, debido a que las proteínas codificadas por los alelos mutantes influyen en la actividad enzimática, en su capacidad de metabolizar agentes carcinógenos y medicamentos contra el cáncer, ya que cada uno otorga distinta estabilidad térmica y afinidad por el sustrato. Esto se debe a que las enzimas traducidas de los polimorfismos GSTP1b y GSTP1c mostraron desviaciones significativas en las distancias interatómicas de los puntos electrófilos de unión a aminoácidos, como consecuencia del intercambio  de</w:t>
      </w:r>
    </w:p>
    <w:p>
      <w:pPr>
        <w:spacing w:line="279" w:lineRule="exact" w:before="0"/>
        <w:ind w:left="870" w:right="0" w:firstLine="0"/>
        <w:jc w:val="both"/>
        <w:rPr>
          <w:sz w:val="16"/>
        </w:rPr>
      </w:pPr>
      <w:r>
        <w:rPr>
          <w:sz w:val="24"/>
        </w:rPr>
        <w:t>aminoácidos.</w:t>
      </w:r>
      <w:r>
        <w:rPr>
          <w:position w:val="11"/>
          <w:sz w:val="16"/>
        </w:rPr>
        <w:t>89, 90</w:t>
      </w:r>
    </w:p>
    <w:p>
      <w:pPr>
        <w:pStyle w:val="BodyText"/>
        <w:rPr>
          <w:sz w:val="28"/>
        </w:rPr>
      </w:pPr>
    </w:p>
    <w:p>
      <w:pPr>
        <w:pStyle w:val="BodyText"/>
        <w:spacing w:line="360" w:lineRule="auto" w:before="230"/>
        <w:ind w:left="870" w:right="184"/>
        <w:jc w:val="both"/>
      </w:pPr>
      <w:r>
        <w:rPr/>
        <w:t>Wenten et al y Oliviera et al, reportaron que existe un aumento en el riesgo de padecer cáncer de vejiga, cabeza, laringe, mama, piel, colón, estómago, pulmón y testículos, en individuos homocigotos para GSTP1b y GSTP1c, en comparación con los individuos homocigotos para GSTP1a con base a la identificación  de  la  sobreexpresión  de  las  variantes  mutantes.       Estos</w:t>
      </w:r>
    </w:p>
    <w:p>
      <w:pPr>
        <w:pStyle w:val="BodyText"/>
        <w:spacing w:line="328" w:lineRule="auto" w:before="5"/>
        <w:ind w:left="870" w:right="185"/>
        <w:jc w:val="both"/>
        <w:rPr>
          <w:sz w:val="16"/>
        </w:rPr>
      </w:pPr>
      <w:r>
        <w:rPr/>
        <w:t>resultados reflejan que las variantes b y c tienen una eficiencia catalítica menor que la variante GSTP1a.</w:t>
      </w:r>
      <w:r>
        <w:rPr>
          <w:position w:val="11"/>
          <w:sz w:val="16"/>
        </w:rPr>
        <w:t>94, 100</w:t>
      </w:r>
    </w:p>
    <w:p>
      <w:pPr>
        <w:spacing w:after="0" w:line="328" w:lineRule="auto"/>
        <w:jc w:val="both"/>
        <w:rPr>
          <w:sz w:val="16"/>
        </w:rPr>
        <w:sectPr>
          <w:pgSz w:w="12240" w:h="15840"/>
          <w:pgMar w:header="733" w:footer="1039" w:top="1020" w:bottom="1220" w:left="1540" w:right="1520"/>
        </w:sectPr>
      </w:pPr>
    </w:p>
    <w:p>
      <w:pPr>
        <w:pStyle w:val="BodyText"/>
        <w:rPr>
          <w:sz w:val="20"/>
        </w:rPr>
      </w:pPr>
    </w:p>
    <w:p>
      <w:pPr>
        <w:pStyle w:val="BodyText"/>
        <w:rPr>
          <w:sz w:val="20"/>
        </w:rPr>
      </w:pPr>
    </w:p>
    <w:p>
      <w:pPr>
        <w:pStyle w:val="BodyText"/>
        <w:spacing w:before="2"/>
        <w:rPr>
          <w:sz w:val="20"/>
        </w:rPr>
      </w:pPr>
    </w:p>
    <w:p>
      <w:pPr>
        <w:pStyle w:val="Heading2"/>
        <w:numPr>
          <w:ilvl w:val="1"/>
          <w:numId w:val="6"/>
        </w:numPr>
        <w:tabs>
          <w:tab w:pos="566" w:val="left" w:leader="none"/>
        </w:tabs>
        <w:spacing w:line="240" w:lineRule="auto" w:before="0" w:after="0"/>
        <w:ind w:left="565" w:right="0" w:hanging="403"/>
        <w:jc w:val="both"/>
      </w:pPr>
      <w:bookmarkStart w:name="_TOC_250025" w:id="16"/>
      <w:r>
        <w:rPr/>
        <w:t>Identificación de Polimorfismos</w:t>
      </w:r>
      <w:r>
        <w:rPr>
          <w:spacing w:val="-11"/>
        </w:rPr>
        <w:t> </w:t>
      </w:r>
      <w:bookmarkEnd w:id="16"/>
      <w:r>
        <w:rPr/>
        <w:t>Genéticos</w:t>
      </w:r>
    </w:p>
    <w:p>
      <w:pPr>
        <w:pStyle w:val="BodyText"/>
        <w:spacing w:line="360" w:lineRule="auto" w:before="137"/>
        <w:ind w:left="162" w:right="174"/>
        <w:jc w:val="both"/>
      </w:pPr>
      <w:r>
        <w:rPr/>
        <w:t>Las técnicas empleadas para determinar polimorfismos son muy diversas, la secuenciación de ADN es la prueba de oro para la detección de polimorfismos, pero resulta muy costosa, por lo que se han desarrollado diferentes métodos para realizar este tipo de identificación. Uno de estos métodos es la Reacción en cadena de la Polimerasa (PCR, acrónimo inglés de Polymerase Chain  </w:t>
      </w:r>
      <w:r>
        <w:rPr>
          <w:spacing w:val="55"/>
        </w:rPr>
        <w:t> </w:t>
      </w:r>
      <w:r>
        <w:rPr/>
        <w:t>Reaction),</w:t>
      </w:r>
    </w:p>
    <w:p>
      <w:pPr>
        <w:pStyle w:val="BodyText"/>
        <w:spacing w:line="328" w:lineRule="auto" w:before="5"/>
        <w:ind w:left="162" w:right="184"/>
        <w:jc w:val="both"/>
        <w:rPr>
          <w:sz w:val="16"/>
        </w:rPr>
      </w:pPr>
      <w:r>
        <w:rPr/>
        <w:t>es una de las técnicas de biología molecular que han revolucionado la investigación y a la sociedad. </w:t>
      </w:r>
      <w:r>
        <w:rPr>
          <w:position w:val="11"/>
          <w:sz w:val="16"/>
        </w:rPr>
        <w:t>91</w:t>
      </w:r>
    </w:p>
    <w:p>
      <w:pPr>
        <w:pStyle w:val="BodyText"/>
        <w:spacing w:before="2"/>
        <w:rPr>
          <w:sz w:val="38"/>
        </w:rPr>
      </w:pPr>
    </w:p>
    <w:p>
      <w:pPr>
        <w:pStyle w:val="BodyText"/>
        <w:spacing w:line="360" w:lineRule="auto"/>
        <w:ind w:left="162" w:right="179"/>
        <w:jc w:val="both"/>
      </w:pPr>
      <w:r>
        <w:rPr/>
        <w:t>Desarrollada por Kary Mullis en 1986, la PCR tiene múltiples aplicaciones y variantes, que la hacen prácticamente ilimitada; entre ellas sobresalen:</w:t>
      </w:r>
    </w:p>
    <w:p>
      <w:pPr>
        <w:pStyle w:val="ListParagraph"/>
        <w:numPr>
          <w:ilvl w:val="0"/>
          <w:numId w:val="14"/>
        </w:numPr>
        <w:tabs>
          <w:tab w:pos="590" w:val="left" w:leader="none"/>
        </w:tabs>
        <w:spacing w:line="240" w:lineRule="auto" w:before="202" w:after="0"/>
        <w:ind w:left="589" w:right="0" w:hanging="144"/>
        <w:jc w:val="left"/>
        <w:rPr>
          <w:sz w:val="24"/>
        </w:rPr>
      </w:pPr>
      <w:r>
        <w:rPr>
          <w:sz w:val="24"/>
        </w:rPr>
        <w:t>Simplifica muchos experimentos de ingeniería</w:t>
      </w:r>
      <w:r>
        <w:rPr>
          <w:spacing w:val="-23"/>
          <w:sz w:val="24"/>
        </w:rPr>
        <w:t> </w:t>
      </w:r>
      <w:r>
        <w:rPr>
          <w:sz w:val="24"/>
        </w:rPr>
        <w:t>genética.</w:t>
      </w:r>
    </w:p>
    <w:p>
      <w:pPr>
        <w:pStyle w:val="ListParagraph"/>
        <w:numPr>
          <w:ilvl w:val="0"/>
          <w:numId w:val="14"/>
        </w:numPr>
        <w:tabs>
          <w:tab w:pos="590" w:val="left" w:leader="none"/>
        </w:tabs>
        <w:spacing w:line="240" w:lineRule="auto" w:before="139" w:after="0"/>
        <w:ind w:left="589" w:right="0" w:hanging="144"/>
        <w:jc w:val="left"/>
        <w:rPr>
          <w:sz w:val="24"/>
        </w:rPr>
      </w:pPr>
      <w:r>
        <w:rPr>
          <w:sz w:val="24"/>
        </w:rPr>
        <w:t>Permite muchos estudios de expresión</w:t>
      </w:r>
      <w:r>
        <w:rPr>
          <w:spacing w:val="-15"/>
          <w:sz w:val="24"/>
        </w:rPr>
        <w:t> </w:t>
      </w:r>
      <w:r>
        <w:rPr>
          <w:sz w:val="24"/>
        </w:rPr>
        <w:t>genética.</w:t>
      </w:r>
    </w:p>
    <w:p>
      <w:pPr>
        <w:pStyle w:val="ListParagraph"/>
        <w:numPr>
          <w:ilvl w:val="0"/>
          <w:numId w:val="14"/>
        </w:numPr>
        <w:tabs>
          <w:tab w:pos="590" w:val="left" w:leader="none"/>
        </w:tabs>
        <w:spacing w:line="240" w:lineRule="auto" w:before="137" w:after="0"/>
        <w:ind w:left="589" w:right="0" w:hanging="144"/>
        <w:jc w:val="left"/>
        <w:rPr>
          <w:sz w:val="24"/>
        </w:rPr>
      </w:pPr>
      <w:r>
        <w:rPr>
          <w:sz w:val="24"/>
        </w:rPr>
        <w:t>Secuenciación directa de secuencias</w:t>
      </w:r>
      <w:r>
        <w:rPr>
          <w:spacing w:val="-20"/>
          <w:sz w:val="24"/>
        </w:rPr>
        <w:t> </w:t>
      </w:r>
      <w:r>
        <w:rPr>
          <w:sz w:val="24"/>
        </w:rPr>
        <w:t>amplificadas.</w:t>
      </w:r>
    </w:p>
    <w:p>
      <w:pPr>
        <w:pStyle w:val="ListParagraph"/>
        <w:numPr>
          <w:ilvl w:val="0"/>
          <w:numId w:val="14"/>
        </w:numPr>
        <w:tabs>
          <w:tab w:pos="590" w:val="left" w:leader="none"/>
        </w:tabs>
        <w:spacing w:line="240" w:lineRule="auto" w:before="139" w:after="0"/>
        <w:ind w:left="589" w:right="0" w:hanging="144"/>
        <w:jc w:val="left"/>
        <w:rPr>
          <w:sz w:val="24"/>
        </w:rPr>
      </w:pPr>
      <w:r>
        <w:rPr>
          <w:sz w:val="24"/>
        </w:rPr>
        <w:t>Detección de</w:t>
      </w:r>
      <w:r>
        <w:rPr>
          <w:spacing w:val="-7"/>
          <w:sz w:val="24"/>
        </w:rPr>
        <w:t> </w:t>
      </w:r>
      <w:r>
        <w:rPr>
          <w:sz w:val="24"/>
        </w:rPr>
        <w:t>mutaciones.</w:t>
      </w:r>
    </w:p>
    <w:p>
      <w:pPr>
        <w:pStyle w:val="ListParagraph"/>
        <w:numPr>
          <w:ilvl w:val="0"/>
          <w:numId w:val="14"/>
        </w:numPr>
        <w:tabs>
          <w:tab w:pos="590" w:val="left" w:leader="none"/>
        </w:tabs>
        <w:spacing w:line="240" w:lineRule="auto" w:before="137" w:after="0"/>
        <w:ind w:left="589" w:right="0" w:hanging="144"/>
        <w:jc w:val="left"/>
        <w:rPr>
          <w:sz w:val="24"/>
        </w:rPr>
      </w:pPr>
      <w:r>
        <w:rPr>
          <w:sz w:val="24"/>
        </w:rPr>
        <w:t>Seguimiento de la efectividad de tratamiento de</w:t>
      </w:r>
      <w:r>
        <w:rPr>
          <w:spacing w:val="-25"/>
          <w:sz w:val="24"/>
        </w:rPr>
        <w:t> </w:t>
      </w:r>
      <w:r>
        <w:rPr>
          <w:sz w:val="24"/>
        </w:rPr>
        <w:t>enfermedades.</w:t>
      </w:r>
    </w:p>
    <w:p>
      <w:pPr>
        <w:pStyle w:val="ListParagraph"/>
        <w:numPr>
          <w:ilvl w:val="0"/>
          <w:numId w:val="14"/>
        </w:numPr>
        <w:tabs>
          <w:tab w:pos="590" w:val="left" w:leader="none"/>
        </w:tabs>
        <w:spacing w:line="240" w:lineRule="auto" w:before="139" w:after="0"/>
        <w:ind w:left="589" w:right="0" w:hanging="144"/>
        <w:jc w:val="left"/>
        <w:rPr>
          <w:sz w:val="24"/>
        </w:rPr>
      </w:pPr>
      <w:r>
        <w:rPr>
          <w:sz w:val="24"/>
        </w:rPr>
        <w:t>Diagnósticos de enfermedades genéticas e</w:t>
      </w:r>
      <w:r>
        <w:rPr>
          <w:spacing w:val="-18"/>
          <w:sz w:val="24"/>
        </w:rPr>
        <w:t> </w:t>
      </w:r>
      <w:r>
        <w:rPr>
          <w:sz w:val="24"/>
        </w:rPr>
        <w:t>infecciosas.</w:t>
      </w:r>
    </w:p>
    <w:p>
      <w:pPr>
        <w:pStyle w:val="ListParagraph"/>
        <w:numPr>
          <w:ilvl w:val="0"/>
          <w:numId w:val="14"/>
        </w:numPr>
        <w:tabs>
          <w:tab w:pos="590" w:val="left" w:leader="none"/>
        </w:tabs>
        <w:spacing w:line="360" w:lineRule="auto" w:before="137" w:after="0"/>
        <w:ind w:left="589" w:right="178" w:hanging="144"/>
        <w:jc w:val="left"/>
        <w:rPr>
          <w:sz w:val="24"/>
        </w:rPr>
      </w:pPr>
      <w:r>
        <w:rPr>
          <w:sz w:val="24"/>
        </w:rPr>
        <w:t>En ciencia forense: identificación de restos biológicos, determinación de paternidad, pruebas periciales en</w:t>
      </w:r>
      <w:r>
        <w:rPr>
          <w:spacing w:val="-18"/>
          <w:sz w:val="24"/>
        </w:rPr>
        <w:t> </w:t>
      </w:r>
      <w:r>
        <w:rPr>
          <w:sz w:val="24"/>
        </w:rPr>
        <w:t>criminalística.</w:t>
      </w:r>
    </w:p>
    <w:p>
      <w:pPr>
        <w:pStyle w:val="ListParagraph"/>
        <w:numPr>
          <w:ilvl w:val="0"/>
          <w:numId w:val="14"/>
        </w:numPr>
        <w:tabs>
          <w:tab w:pos="590" w:val="left" w:leader="none"/>
        </w:tabs>
        <w:spacing w:line="240" w:lineRule="auto" w:before="2" w:after="0"/>
        <w:ind w:left="589" w:right="0" w:hanging="144"/>
        <w:jc w:val="left"/>
        <w:rPr>
          <w:sz w:val="24"/>
        </w:rPr>
      </w:pPr>
      <w:r>
        <w:rPr>
          <w:sz w:val="24"/>
        </w:rPr>
        <w:t>En arqueología y</w:t>
      </w:r>
      <w:r>
        <w:rPr>
          <w:spacing w:val="-16"/>
          <w:sz w:val="24"/>
        </w:rPr>
        <w:t> </w:t>
      </w:r>
      <w:r>
        <w:rPr>
          <w:sz w:val="24"/>
        </w:rPr>
        <w:t>paleontología.</w:t>
      </w:r>
    </w:p>
    <w:p>
      <w:pPr>
        <w:pStyle w:val="BodyText"/>
      </w:pPr>
    </w:p>
    <w:p>
      <w:pPr>
        <w:pStyle w:val="BodyText"/>
        <w:spacing w:before="9"/>
        <w:rPr>
          <w:sz w:val="23"/>
        </w:rPr>
      </w:pPr>
    </w:p>
    <w:p>
      <w:pPr>
        <w:pStyle w:val="BodyText"/>
        <w:spacing w:line="350" w:lineRule="auto"/>
        <w:ind w:left="162" w:right="175"/>
        <w:jc w:val="both"/>
        <w:rPr>
          <w:sz w:val="16"/>
        </w:rPr>
      </w:pPr>
      <w:r>
        <w:rPr/>
        <w:t>La Reacción en Cadena de la Polimerasa (PCR) es un procedimiento </w:t>
      </w:r>
      <w:r>
        <w:rPr>
          <w:i/>
        </w:rPr>
        <w:t>in vitro </w:t>
      </w:r>
      <w:r>
        <w:rPr/>
        <w:t>para la amplificación selectiva de una secuencia de ADN específica, no mayor de 6 Kb, dentro de un conjunto heterogéneo de secuencias de ADN. Esta técnica tiene dos aplicaciones fundamentales: clonación y mutagénesis de ADN </w:t>
      </w:r>
      <w:r>
        <w:rPr>
          <w:i/>
        </w:rPr>
        <w:t>in vitro</w:t>
      </w:r>
      <w:r>
        <w:rPr/>
        <w:t>. </w:t>
      </w:r>
      <w:r>
        <w:rPr>
          <w:position w:val="11"/>
          <w:sz w:val="16"/>
        </w:rPr>
        <w:t>91, 92</w:t>
      </w:r>
    </w:p>
    <w:p>
      <w:pPr>
        <w:pStyle w:val="BodyText"/>
        <w:spacing w:line="360" w:lineRule="auto" w:before="200"/>
        <w:ind w:left="162" w:right="176"/>
        <w:jc w:val="both"/>
      </w:pPr>
      <w:r>
        <w:rPr/>
        <w:t>La PCR utiliza oligonucleótidos sintéticos llamados primers o iniciadores, estos deben ser diseñados con base en la secuencia del fragmento de ADN blanco. Regularmente son de una longitud entre 18-25 nucleótidos, tienen una composición de 40% a 60% de G-C y complementarios. En presencia de una</w:t>
      </w:r>
      <w:r>
        <w:rPr>
          <w:spacing w:val="19"/>
        </w:rPr>
        <w:t> </w:t>
      </w:r>
      <w:r>
        <w:rPr/>
        <w:t>ADN</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31" w:lineRule="auto" w:before="69"/>
        <w:ind w:left="162" w:right="176"/>
        <w:jc w:val="both"/>
        <w:rPr>
          <w:sz w:val="16"/>
        </w:rPr>
      </w:pPr>
      <w:r>
        <w:rPr/>
        <w:t>polimerasa termoestable y desoxinucleotidos trifosfatados (dNTPs), inician la síntesis de nuevas cadenas. </w:t>
      </w:r>
      <w:r>
        <w:rPr>
          <w:position w:val="11"/>
          <w:sz w:val="16"/>
        </w:rPr>
        <w:t>91, 92</w:t>
      </w:r>
    </w:p>
    <w:p>
      <w:pPr>
        <w:pStyle w:val="BodyText"/>
        <w:spacing w:line="360" w:lineRule="auto" w:before="222"/>
        <w:ind w:left="162" w:right="181"/>
        <w:jc w:val="both"/>
      </w:pPr>
      <w:r>
        <w:rPr/>
        <w:t>La reacción consiste en tres ciclos secuenciales; primero la desnaturalización del ADN que se lleva a cabo de 93-95°C; segundo el alineamiento de los primers, la cual se realiza entre los 50 a 70°C; por último la síntesis de una nueva cadena complementaria de ADN que por lo general utiliza temperaturas de 70 a 75°C. La PCR es una reacción en cadena porque las hebras de ADN recién sintetizado</w:t>
      </w:r>
    </w:p>
    <w:p>
      <w:pPr>
        <w:pStyle w:val="BodyText"/>
        <w:spacing w:line="279" w:lineRule="exact"/>
        <w:ind w:left="162"/>
        <w:jc w:val="both"/>
        <w:rPr>
          <w:sz w:val="16"/>
        </w:rPr>
      </w:pPr>
      <w:r>
        <w:rPr/>
        <w:t>actuarán como ADN blanco para la síntesis de nuevas cadenas de ADN. </w:t>
      </w:r>
      <w:r>
        <w:rPr>
          <w:position w:val="11"/>
          <w:sz w:val="16"/>
        </w:rPr>
        <w:t>91, 92</w:t>
      </w:r>
    </w:p>
    <w:p>
      <w:pPr>
        <w:pStyle w:val="BodyText"/>
        <w:spacing w:before="5"/>
        <w:rPr>
          <w:sz w:val="29"/>
        </w:rPr>
      </w:pPr>
    </w:p>
    <w:p>
      <w:pPr>
        <w:pStyle w:val="BodyText"/>
        <w:spacing w:line="350" w:lineRule="auto"/>
        <w:ind w:left="162" w:right="176"/>
        <w:jc w:val="both"/>
        <w:rPr>
          <w:sz w:val="16"/>
        </w:rPr>
      </w:pPr>
      <w:r>
        <w:rPr/>
        <w:t>La cantidad de ADN amplificado mediante esta técnica se visualiza fácilmente mediante electroforesis en gel de agarosa. En la Figura 5 se muestra la secuencia de las tres reacciones sucesivas llevadas a cabo a distintas temperaturas durante la PCR. </w:t>
      </w:r>
      <w:r>
        <w:rPr>
          <w:position w:val="11"/>
          <w:sz w:val="16"/>
        </w:rPr>
        <w:t>92</w:t>
      </w:r>
    </w:p>
    <w:p>
      <w:pPr>
        <w:spacing w:line="251" w:lineRule="exact" w:before="0"/>
        <w:ind w:left="1294" w:right="126" w:firstLine="0"/>
        <w:jc w:val="left"/>
        <w:rPr>
          <w:sz w:val="22"/>
        </w:rPr>
      </w:pPr>
      <w:r>
        <w:rPr>
          <w:sz w:val="22"/>
        </w:rPr>
        <w:t>Figura 5. Pasos de la Reacción en Cadena de la Polimerasa (PCR)</w:t>
      </w:r>
    </w:p>
    <w:p>
      <w:pPr>
        <w:pStyle w:val="BodyText"/>
        <w:ind w:left="191"/>
        <w:rPr>
          <w:sz w:val="20"/>
        </w:rPr>
      </w:pPr>
      <w:r>
        <w:rPr>
          <w:sz w:val="20"/>
        </w:rPr>
        <w:drawing>
          <wp:inline distT="0" distB="0" distL="0" distR="0">
            <wp:extent cx="5588670" cy="2080831"/>
            <wp:effectExtent l="0" t="0" r="0" b="0"/>
            <wp:docPr id="3" name="image7.jpeg" descr=""/>
            <wp:cNvGraphicFramePr>
              <a:graphicFrameLocks noChangeAspect="1"/>
            </wp:cNvGraphicFramePr>
            <a:graphic>
              <a:graphicData uri="http://schemas.openxmlformats.org/drawingml/2006/picture">
                <pic:pic>
                  <pic:nvPicPr>
                    <pic:cNvPr id="4" name="image7.jpeg"/>
                    <pic:cNvPicPr/>
                  </pic:nvPicPr>
                  <pic:blipFill>
                    <a:blip r:embed="rId16" cstate="print"/>
                    <a:stretch>
                      <a:fillRect/>
                    </a:stretch>
                  </pic:blipFill>
                  <pic:spPr>
                    <a:xfrm>
                      <a:off x="0" y="0"/>
                      <a:ext cx="5588670" cy="2080831"/>
                    </a:xfrm>
                    <a:prstGeom prst="rect">
                      <a:avLst/>
                    </a:prstGeom>
                  </pic:spPr>
                </pic:pic>
              </a:graphicData>
            </a:graphic>
          </wp:inline>
        </w:drawing>
      </w:r>
      <w:r>
        <w:rPr>
          <w:sz w:val="20"/>
        </w:rPr>
      </w:r>
    </w:p>
    <w:p>
      <w:pPr>
        <w:pStyle w:val="BodyText"/>
        <w:rPr>
          <w:sz w:val="22"/>
        </w:rPr>
      </w:pPr>
    </w:p>
    <w:p>
      <w:pPr>
        <w:pStyle w:val="Heading2"/>
        <w:numPr>
          <w:ilvl w:val="1"/>
          <w:numId w:val="6"/>
        </w:numPr>
        <w:tabs>
          <w:tab w:pos="566" w:val="left" w:leader="none"/>
        </w:tabs>
        <w:spacing w:line="240" w:lineRule="auto" w:before="174" w:after="0"/>
        <w:ind w:left="565" w:right="0" w:hanging="403"/>
        <w:jc w:val="both"/>
      </w:pPr>
      <w:r>
        <w:rPr/>
        <w:t>Polimorfismos de GST y exposición a</w:t>
      </w:r>
      <w:r>
        <w:rPr>
          <w:spacing w:val="-18"/>
        </w:rPr>
        <w:t> </w:t>
      </w:r>
      <w:r>
        <w:rPr/>
        <w:t>plaguicidas</w:t>
      </w:r>
    </w:p>
    <w:p>
      <w:pPr>
        <w:pStyle w:val="BodyText"/>
        <w:rPr>
          <w:b/>
        </w:rPr>
      </w:pPr>
    </w:p>
    <w:p>
      <w:pPr>
        <w:pStyle w:val="BodyText"/>
        <w:rPr>
          <w:b/>
        </w:rPr>
      </w:pPr>
    </w:p>
    <w:p>
      <w:pPr>
        <w:pStyle w:val="BodyText"/>
        <w:spacing w:line="360" w:lineRule="auto"/>
        <w:ind w:left="162" w:right="176"/>
        <w:jc w:val="both"/>
      </w:pPr>
      <w:r>
        <w:rPr/>
        <w:t>Pocos estudios en México han explorado los polimorfismos genéticos de GSTs y su asociación con daño al DNA en trabajadores expuestos a plaguicidas. Como es el caso del reportado por Singh et al. (2011), en el cual evaluaron los efectos genotóxicos de trabajadores expuestos a plaguicidas organofosforados y su asociación con polimorfismos genéticos GSTM1, GSTT1 y GSTP1, examinaron 230 sujetos, 115 trabajadores expuestos y 115 no expuestos. El daño al DNA fue evaluado usando ensayos  cometa  y la  genotipificación se  realizo  usando  PCR-</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52" w:lineRule="auto" w:before="69"/>
        <w:ind w:left="162" w:right="173"/>
        <w:jc w:val="both"/>
        <w:rPr>
          <w:sz w:val="16"/>
        </w:rPr>
      </w:pPr>
      <w:r>
        <w:rPr/>
        <w:t>RFLP (Polimorfismos en la Longitud de los Fragmentos  de  Restricción,  del  inglés Restriction Fragment Length Polymorphism). Los resultados revelaron que el aumento al daño al DNA puede estar relacionado con  la delesión nula GSTM1  y el genotipo homocigoto silvestre (wild) GSTP1 debido a la interacción genes– ambiente en trabajadores expuestos a plaguicidas</w:t>
      </w:r>
      <w:r>
        <w:rPr>
          <w:spacing w:val="-21"/>
        </w:rPr>
        <w:t> </w:t>
      </w:r>
      <w:r>
        <w:rPr/>
        <w:t>organofosforados.</w:t>
      </w:r>
      <w:r>
        <w:rPr>
          <w:position w:val="11"/>
          <w:sz w:val="16"/>
        </w:rPr>
        <w:t>93</w:t>
      </w:r>
    </w:p>
    <w:p>
      <w:pPr>
        <w:pStyle w:val="BodyText"/>
        <w:spacing w:before="5"/>
        <w:rPr>
          <w:sz w:val="35"/>
        </w:rPr>
      </w:pPr>
    </w:p>
    <w:p>
      <w:pPr>
        <w:pStyle w:val="BodyText"/>
        <w:spacing w:line="360" w:lineRule="auto" w:before="1"/>
        <w:ind w:left="162" w:right="176"/>
        <w:jc w:val="both"/>
      </w:pPr>
      <w:r>
        <w:rPr/>
        <w:t>Castillo et al. (2006), estudiaron la actividad de la GSTT1 en floricultores  expuestos a plaguicidas, el grupo expuesto estuvo conformado por 25 individuos e igual número como grupo no expuesto. Mediante la detección de la actividad enzimática demostraron que ante un agente genotóxico, en este caso plaguicidas, el organismo responde generando un aumento en la actividad enzimática, como</w:t>
      </w:r>
      <w:r>
        <w:rPr>
          <w:spacing w:val="18"/>
        </w:rPr>
        <w:t> </w:t>
      </w:r>
      <w:r>
        <w:rPr/>
        <w:t>lo</w:t>
      </w:r>
    </w:p>
    <w:p>
      <w:pPr>
        <w:pStyle w:val="BodyText"/>
        <w:spacing w:line="328" w:lineRule="auto" w:before="5"/>
        <w:ind w:left="162" w:right="186"/>
        <w:jc w:val="both"/>
        <w:rPr>
          <w:sz w:val="16"/>
        </w:rPr>
      </w:pPr>
      <w:r>
        <w:rPr/>
        <w:t>fue en el grupo expuesto. Pudiendo considerar que la exposición a plaguicidas induce la activación en el sistema enzimático de la GSTT1.</w:t>
      </w:r>
      <w:r>
        <w:rPr>
          <w:position w:val="11"/>
          <w:sz w:val="16"/>
        </w:rPr>
        <w:t>94</w:t>
      </w:r>
    </w:p>
    <w:p>
      <w:pPr>
        <w:spacing w:after="0" w:line="328" w:lineRule="auto"/>
        <w:jc w:val="both"/>
        <w:rPr>
          <w:sz w:val="16"/>
        </w:rPr>
        <w:sectPr>
          <w:pgSz w:w="12240" w:h="15840"/>
          <w:pgMar w:header="733" w:footer="1039" w:top="1020" w:bottom="1220" w:left="1540" w:right="1520"/>
        </w:sectPr>
      </w:pPr>
    </w:p>
    <w:p>
      <w:pPr>
        <w:pStyle w:val="BodyText"/>
        <w:spacing w:before="3"/>
        <w:rPr>
          <w:sz w:val="18"/>
        </w:rPr>
      </w:pPr>
    </w:p>
    <w:p>
      <w:pPr>
        <w:pStyle w:val="Heading1"/>
        <w:numPr>
          <w:ilvl w:val="0"/>
          <w:numId w:val="15"/>
        </w:numPr>
        <w:tabs>
          <w:tab w:pos="2428" w:val="left" w:leader="none"/>
        </w:tabs>
        <w:spacing w:line="240" w:lineRule="auto" w:before="65" w:after="0"/>
        <w:ind w:left="2427" w:right="0" w:hanging="422"/>
        <w:jc w:val="left"/>
      </w:pPr>
      <w:bookmarkStart w:name="_TOC_250024" w:id="17"/>
      <w:r>
        <w:rPr/>
        <w:t>PLANTEAMIENTO DEL</w:t>
      </w:r>
      <w:r>
        <w:rPr>
          <w:spacing w:val="-11"/>
        </w:rPr>
        <w:t> </w:t>
      </w:r>
      <w:bookmarkEnd w:id="17"/>
      <w:r>
        <w:rPr/>
        <w:t>PROBLEMA</w:t>
      </w:r>
    </w:p>
    <w:p>
      <w:pPr>
        <w:pStyle w:val="BodyText"/>
        <w:rPr>
          <w:b/>
          <w:sz w:val="28"/>
        </w:rPr>
      </w:pPr>
    </w:p>
    <w:p>
      <w:pPr>
        <w:pStyle w:val="BodyText"/>
        <w:rPr>
          <w:b/>
          <w:sz w:val="28"/>
        </w:rPr>
      </w:pPr>
    </w:p>
    <w:p>
      <w:pPr>
        <w:pStyle w:val="BodyText"/>
        <w:spacing w:line="360" w:lineRule="auto" w:before="178"/>
        <w:ind w:left="162" w:right="172"/>
        <w:jc w:val="both"/>
      </w:pPr>
      <w:r>
        <w:rPr/>
        <w:t>Aun con las medidas de salud pública bucal en México (fluoración de la sal y programas nacionales de salud bucal) los problemas de morbilidad bucal aquejan a toda la población. De acuerdo con datos de la Organización Mundial de la Salud (2003), entre el 60%-90% de los escolares de todo el mundo tienen caries</w:t>
      </w:r>
      <w:r>
        <w:rPr>
          <w:spacing w:val="-29"/>
        </w:rPr>
        <w:t> </w:t>
      </w:r>
      <w:r>
        <w:rPr/>
        <w:t>dental.</w:t>
      </w:r>
    </w:p>
    <w:p>
      <w:pPr>
        <w:pStyle w:val="BodyText"/>
      </w:pPr>
    </w:p>
    <w:p>
      <w:pPr>
        <w:pStyle w:val="BodyText"/>
        <w:spacing w:line="360" w:lineRule="auto" w:before="142"/>
        <w:ind w:left="162" w:right="185"/>
        <w:jc w:val="both"/>
      </w:pPr>
      <w:r>
        <w:rPr/>
        <w:t>La complejidad de esta enfermedad se debe al hecho de tratarse de un proceso multifactorial, siendo una condición progresiva, costosa, provocando efectos sobre la salud de las personas. Debido a que el ser humano se encuentra expuesto a un medio ambiente contaminado por infinidad de compuestos tóxicos, su salud se ve alterada en diversos aspectos, entre ellos el riesgo a caries.</w:t>
      </w:r>
    </w:p>
    <w:p>
      <w:pPr>
        <w:pStyle w:val="BodyText"/>
      </w:pPr>
    </w:p>
    <w:p>
      <w:pPr>
        <w:pStyle w:val="BodyText"/>
        <w:spacing w:line="360" w:lineRule="auto" w:before="142"/>
        <w:ind w:left="162" w:right="185"/>
        <w:jc w:val="both"/>
      </w:pPr>
      <w:r>
        <w:rPr/>
        <w:t>Ante la falta de datos sobre la relación entre caries y genes de susceptibilidad en individuos expuestos a un medio ambiente contaminado por plaguicidas, el presente  trabajo pretende dar respuesta a la siguiente pregunta:</w:t>
      </w:r>
    </w:p>
    <w:p>
      <w:pPr>
        <w:pStyle w:val="BodyText"/>
        <w:spacing w:line="360" w:lineRule="auto" w:before="204"/>
        <w:ind w:left="169" w:right="193" w:firstLine="5"/>
        <w:jc w:val="center"/>
      </w:pPr>
      <w:r>
        <w:rPr/>
        <w:t>¿Los polimorfismos del gen Glutation S-transferasa (GSTM1, GSTT1 y GSTP1) confieren resistencia o susceptibilidad a la caries dental en trabajadores</w:t>
      </w:r>
      <w:r>
        <w:rPr>
          <w:spacing w:val="-28"/>
        </w:rPr>
        <w:t> </w:t>
      </w:r>
      <w:r>
        <w:rPr/>
        <w:t>expuestos a plaguicidas, en el Municipio de Villa Guerrero, Estado de</w:t>
      </w:r>
      <w:r>
        <w:rPr>
          <w:spacing w:val="-21"/>
        </w:rPr>
        <w:t> </w:t>
      </w:r>
      <w:r>
        <w:rPr/>
        <w:t>México?</w:t>
      </w:r>
    </w:p>
    <w:p>
      <w:pPr>
        <w:spacing w:after="0" w:line="360" w:lineRule="auto"/>
        <w:jc w:val="center"/>
        <w:sectPr>
          <w:pgSz w:w="12240" w:h="15840"/>
          <w:pgMar w:header="733" w:footer="1039" w:top="1020" w:bottom="1220" w:left="1540" w:right="1520"/>
        </w:sectPr>
      </w:pPr>
    </w:p>
    <w:p>
      <w:pPr>
        <w:pStyle w:val="BodyText"/>
        <w:spacing w:before="3"/>
        <w:rPr>
          <w:sz w:val="18"/>
        </w:rPr>
      </w:pPr>
    </w:p>
    <w:p>
      <w:pPr>
        <w:pStyle w:val="Heading1"/>
        <w:numPr>
          <w:ilvl w:val="0"/>
          <w:numId w:val="15"/>
        </w:numPr>
        <w:tabs>
          <w:tab w:pos="3681" w:val="left" w:leader="none"/>
        </w:tabs>
        <w:spacing w:line="240" w:lineRule="auto" w:before="65" w:after="0"/>
        <w:ind w:left="3680" w:right="0" w:hanging="345"/>
        <w:jc w:val="left"/>
      </w:pPr>
      <w:bookmarkStart w:name="_TOC_250023" w:id="18"/>
      <w:bookmarkEnd w:id="18"/>
      <w:r>
        <w:rPr/>
        <w:t>JUSTIFICACIÓN</w:t>
      </w:r>
    </w:p>
    <w:p>
      <w:pPr>
        <w:pStyle w:val="BodyText"/>
        <w:rPr>
          <w:b/>
          <w:sz w:val="28"/>
        </w:rPr>
      </w:pPr>
    </w:p>
    <w:p>
      <w:pPr>
        <w:pStyle w:val="BodyText"/>
        <w:spacing w:before="2"/>
        <w:rPr>
          <w:b/>
          <w:sz w:val="22"/>
        </w:rPr>
      </w:pPr>
    </w:p>
    <w:p>
      <w:pPr>
        <w:pStyle w:val="BodyText"/>
        <w:spacing w:line="360" w:lineRule="auto"/>
        <w:ind w:left="162" w:right="179"/>
        <w:jc w:val="both"/>
      </w:pPr>
      <w:r>
        <w:rPr/>
        <w:t>Ante un constante aumento en el entendimiento del genoma humano resulta evidente que la mayoría de las enfermedades tienen una base genética incluyendo la caries por lo tanto la obtención de estos datos servirá de referencia científica para conocer más sobre el factor genético de la caries.</w:t>
      </w:r>
    </w:p>
    <w:p>
      <w:pPr>
        <w:pStyle w:val="BodyText"/>
      </w:pPr>
    </w:p>
    <w:p>
      <w:pPr>
        <w:pStyle w:val="BodyText"/>
        <w:spacing w:line="360" w:lineRule="auto" w:before="139"/>
        <w:ind w:left="162" w:right="178"/>
        <w:jc w:val="both"/>
      </w:pPr>
      <w:r>
        <w:rPr/>
        <w:t>Con este esfuerzo de investigación, se pretende determinar si ciertos tipos de polimorfismos del gen Glutation S-transferasa (GSTM1, GSTT1 y GSTP1) pueden ocasionar susceptibilidad a presentar caries en aquellas personas expuestas a plaguicidas.</w:t>
      </w:r>
    </w:p>
    <w:p>
      <w:pPr>
        <w:spacing w:after="0" w:line="360" w:lineRule="auto"/>
        <w:jc w:val="both"/>
        <w:sectPr>
          <w:pgSz w:w="12240" w:h="15840"/>
          <w:pgMar w:header="733" w:footer="1039" w:top="1020" w:bottom="1220" w:left="1540" w:right="1520"/>
        </w:sectPr>
      </w:pPr>
    </w:p>
    <w:p>
      <w:pPr>
        <w:pStyle w:val="BodyText"/>
        <w:spacing w:before="3"/>
        <w:rPr>
          <w:sz w:val="18"/>
        </w:rPr>
      </w:pPr>
    </w:p>
    <w:p>
      <w:pPr>
        <w:pStyle w:val="Heading1"/>
        <w:numPr>
          <w:ilvl w:val="0"/>
          <w:numId w:val="15"/>
        </w:numPr>
        <w:tabs>
          <w:tab w:pos="4046" w:val="left" w:leader="none"/>
        </w:tabs>
        <w:spacing w:line="240" w:lineRule="auto" w:before="65" w:after="0"/>
        <w:ind w:left="4045" w:right="0" w:hanging="422"/>
        <w:jc w:val="left"/>
      </w:pPr>
      <w:r>
        <w:rPr/>
        <w:t>HIPOTESIS</w:t>
      </w:r>
    </w:p>
    <w:p>
      <w:pPr>
        <w:pStyle w:val="BodyText"/>
        <w:rPr>
          <w:b/>
          <w:sz w:val="28"/>
        </w:rPr>
      </w:pPr>
    </w:p>
    <w:p>
      <w:pPr>
        <w:pStyle w:val="BodyText"/>
        <w:rPr>
          <w:b/>
          <w:sz w:val="28"/>
        </w:rPr>
      </w:pPr>
    </w:p>
    <w:p>
      <w:pPr>
        <w:pStyle w:val="ListParagraph"/>
        <w:numPr>
          <w:ilvl w:val="0"/>
          <w:numId w:val="16"/>
        </w:numPr>
        <w:tabs>
          <w:tab w:pos="881" w:val="left" w:leader="none"/>
          <w:tab w:pos="882" w:val="left" w:leader="none"/>
        </w:tabs>
        <w:spacing w:line="360" w:lineRule="auto" w:before="178" w:after="0"/>
        <w:ind w:left="882" w:right="176" w:hanging="360"/>
        <w:jc w:val="left"/>
        <w:rPr>
          <w:sz w:val="24"/>
        </w:rPr>
      </w:pPr>
      <w:r>
        <w:rPr>
          <w:sz w:val="24"/>
        </w:rPr>
        <w:t>Hi: Los polimorfismos genéticos GSTM1, GSTT1 y GSTP1 confieren resistencia a la caries en personas expuestas a</w:t>
      </w:r>
      <w:r>
        <w:rPr>
          <w:spacing w:val="-22"/>
          <w:sz w:val="24"/>
        </w:rPr>
        <w:t> </w:t>
      </w:r>
      <w:r>
        <w:rPr>
          <w:sz w:val="24"/>
        </w:rPr>
        <w:t>plaguicidas.</w:t>
      </w:r>
    </w:p>
    <w:p>
      <w:pPr>
        <w:pStyle w:val="BodyText"/>
      </w:pPr>
    </w:p>
    <w:p>
      <w:pPr>
        <w:pStyle w:val="ListParagraph"/>
        <w:numPr>
          <w:ilvl w:val="0"/>
          <w:numId w:val="16"/>
        </w:numPr>
        <w:tabs>
          <w:tab w:pos="881" w:val="left" w:leader="none"/>
          <w:tab w:pos="882" w:val="left" w:leader="none"/>
        </w:tabs>
        <w:spacing w:line="360" w:lineRule="auto" w:before="142" w:after="0"/>
        <w:ind w:left="882" w:right="177" w:hanging="360"/>
        <w:jc w:val="left"/>
        <w:rPr>
          <w:sz w:val="24"/>
        </w:rPr>
      </w:pPr>
      <w:r>
        <w:rPr>
          <w:sz w:val="24"/>
        </w:rPr>
        <w:t>Ho: Los polimorfismos genéticos del GSTM1, GSTT1 y GS no confieren susceptibilidad a la caries en personas expuestas a</w:t>
      </w:r>
      <w:r>
        <w:rPr>
          <w:spacing w:val="-24"/>
          <w:sz w:val="24"/>
        </w:rPr>
        <w:t> </w:t>
      </w:r>
      <w:r>
        <w:rPr>
          <w:sz w:val="24"/>
        </w:rPr>
        <w:t>plaguicidas.</w:t>
      </w:r>
    </w:p>
    <w:p>
      <w:pPr>
        <w:spacing w:after="0" w:line="360" w:lineRule="auto"/>
        <w:jc w:val="left"/>
        <w:rPr>
          <w:sz w:val="24"/>
        </w:rPr>
        <w:sectPr>
          <w:pgSz w:w="12240" w:h="15840"/>
          <w:pgMar w:header="733" w:footer="1039" w:top="1020" w:bottom="1220" w:left="1540" w:right="1520"/>
        </w:sectPr>
      </w:pPr>
    </w:p>
    <w:p>
      <w:pPr>
        <w:pStyle w:val="BodyText"/>
        <w:spacing w:before="3"/>
        <w:rPr>
          <w:sz w:val="18"/>
        </w:rPr>
      </w:pPr>
    </w:p>
    <w:p>
      <w:pPr>
        <w:pStyle w:val="Heading1"/>
        <w:numPr>
          <w:ilvl w:val="0"/>
          <w:numId w:val="15"/>
        </w:numPr>
        <w:tabs>
          <w:tab w:pos="4029" w:val="left" w:leader="none"/>
        </w:tabs>
        <w:spacing w:line="240" w:lineRule="auto" w:before="65" w:after="0"/>
        <w:ind w:left="4028" w:right="0" w:hanging="499"/>
        <w:jc w:val="left"/>
      </w:pPr>
      <w:bookmarkStart w:name="_TOC_250022" w:id="19"/>
      <w:bookmarkEnd w:id="19"/>
      <w:r>
        <w:rPr/>
        <w:t>OBJETIVOS</w:t>
      </w:r>
    </w:p>
    <w:p>
      <w:pPr>
        <w:pStyle w:val="BodyText"/>
        <w:rPr>
          <w:b/>
          <w:sz w:val="20"/>
        </w:rPr>
      </w:pPr>
    </w:p>
    <w:p>
      <w:pPr>
        <w:pStyle w:val="BodyText"/>
        <w:rPr>
          <w:b/>
          <w:sz w:val="20"/>
        </w:rPr>
      </w:pPr>
    </w:p>
    <w:p>
      <w:pPr>
        <w:pStyle w:val="BodyText"/>
        <w:spacing w:before="10"/>
        <w:rPr>
          <w:b/>
          <w:sz w:val="20"/>
        </w:rPr>
      </w:pPr>
    </w:p>
    <w:p>
      <w:pPr>
        <w:pStyle w:val="BodyText"/>
        <w:spacing w:before="69"/>
        <w:ind w:left="162"/>
        <w:jc w:val="both"/>
      </w:pPr>
      <w:r>
        <w:rPr/>
        <w:t>Objetivo general:</w:t>
      </w:r>
    </w:p>
    <w:p>
      <w:pPr>
        <w:pStyle w:val="BodyText"/>
        <w:spacing w:before="10"/>
        <w:rPr>
          <w:sz w:val="20"/>
        </w:rPr>
      </w:pPr>
    </w:p>
    <w:p>
      <w:pPr>
        <w:pStyle w:val="BodyText"/>
        <w:spacing w:line="276" w:lineRule="auto"/>
        <w:ind w:left="162" w:right="176"/>
        <w:jc w:val="both"/>
      </w:pPr>
      <w:r>
        <w:rPr/>
        <w:t>Identificar si los polimorfismos genéticos GSTM1, GSTT1 y GSTP1 confieren susceptibilidad a la caries dental en personas expuestas directamente a plaguicidas.</w:t>
      </w:r>
    </w:p>
    <w:p>
      <w:pPr>
        <w:pStyle w:val="BodyText"/>
      </w:pPr>
    </w:p>
    <w:p>
      <w:pPr>
        <w:pStyle w:val="BodyText"/>
      </w:pPr>
    </w:p>
    <w:p>
      <w:pPr>
        <w:pStyle w:val="BodyText"/>
        <w:spacing w:before="166"/>
        <w:ind w:left="162"/>
        <w:jc w:val="both"/>
      </w:pPr>
      <w:r>
        <w:rPr/>
        <w:t>Objetivos específicos:</w:t>
      </w:r>
    </w:p>
    <w:p>
      <w:pPr>
        <w:pStyle w:val="BodyText"/>
        <w:spacing w:before="8"/>
        <w:rPr>
          <w:sz w:val="20"/>
        </w:rPr>
      </w:pPr>
    </w:p>
    <w:p>
      <w:pPr>
        <w:pStyle w:val="ListParagraph"/>
        <w:numPr>
          <w:ilvl w:val="0"/>
          <w:numId w:val="17"/>
        </w:numPr>
        <w:tabs>
          <w:tab w:pos="590" w:val="left" w:leader="none"/>
        </w:tabs>
        <w:spacing w:line="273" w:lineRule="auto" w:before="1" w:after="0"/>
        <w:ind w:left="589" w:right="185" w:hanging="144"/>
        <w:jc w:val="left"/>
        <w:rPr>
          <w:sz w:val="24"/>
        </w:rPr>
      </w:pPr>
      <w:r>
        <w:rPr>
          <w:sz w:val="24"/>
        </w:rPr>
        <w:t>Diagnosticar clínicamente la caries en el grupo de personas expuestas laboralmente a plaguicidas y en el grupo de no expuestos</w:t>
      </w:r>
      <w:r>
        <w:rPr>
          <w:spacing w:val="-22"/>
          <w:sz w:val="24"/>
        </w:rPr>
        <w:t> </w:t>
      </w:r>
      <w:r>
        <w:rPr>
          <w:sz w:val="24"/>
        </w:rPr>
        <w:t>laboralmente</w:t>
      </w:r>
    </w:p>
    <w:p>
      <w:pPr>
        <w:pStyle w:val="ListParagraph"/>
        <w:numPr>
          <w:ilvl w:val="0"/>
          <w:numId w:val="17"/>
        </w:numPr>
        <w:tabs>
          <w:tab w:pos="590" w:val="left" w:leader="none"/>
        </w:tabs>
        <w:spacing w:line="273" w:lineRule="auto" w:before="203" w:after="0"/>
        <w:ind w:left="589" w:right="184" w:hanging="144"/>
        <w:jc w:val="left"/>
        <w:rPr>
          <w:sz w:val="24"/>
        </w:rPr>
      </w:pPr>
      <w:r>
        <w:rPr>
          <w:sz w:val="24"/>
        </w:rPr>
        <w:t>Realizar la genotipificación de los polimorfismos GSTM1, GSTT1 y GSTP1 del gen Glutatión</w:t>
      </w:r>
      <w:r>
        <w:rPr>
          <w:spacing w:val="-7"/>
          <w:sz w:val="24"/>
        </w:rPr>
        <w:t> </w:t>
      </w:r>
      <w:r>
        <w:rPr>
          <w:sz w:val="24"/>
        </w:rPr>
        <w:t>S-transferasa</w:t>
      </w:r>
    </w:p>
    <w:p>
      <w:pPr>
        <w:pStyle w:val="ListParagraph"/>
        <w:numPr>
          <w:ilvl w:val="0"/>
          <w:numId w:val="17"/>
        </w:numPr>
        <w:tabs>
          <w:tab w:pos="590" w:val="left" w:leader="none"/>
        </w:tabs>
        <w:spacing w:line="273" w:lineRule="auto" w:before="200" w:after="0"/>
        <w:ind w:left="589" w:right="185" w:hanging="144"/>
        <w:jc w:val="left"/>
        <w:rPr>
          <w:sz w:val="24"/>
        </w:rPr>
      </w:pPr>
      <w:r>
        <w:rPr>
          <w:sz w:val="24"/>
        </w:rPr>
        <w:t>Buscar la posible asociación entre la caries y los polimorfismos de GSTT1, GSTM1 Y</w:t>
      </w:r>
      <w:r>
        <w:rPr>
          <w:spacing w:val="-7"/>
          <w:sz w:val="24"/>
        </w:rPr>
        <w:t> </w:t>
      </w:r>
      <w:r>
        <w:rPr>
          <w:sz w:val="24"/>
        </w:rPr>
        <w:t>GSTP1.</w:t>
      </w:r>
    </w:p>
    <w:p>
      <w:pPr>
        <w:spacing w:after="0" w:line="273" w:lineRule="auto"/>
        <w:jc w:val="left"/>
        <w:rPr>
          <w:sz w:val="24"/>
        </w:rPr>
        <w:sectPr>
          <w:pgSz w:w="12240" w:h="15840"/>
          <w:pgMar w:header="733" w:footer="1039" w:top="1020" w:bottom="1220" w:left="1540" w:right="1520"/>
        </w:sectPr>
      </w:pPr>
    </w:p>
    <w:p>
      <w:pPr>
        <w:pStyle w:val="BodyText"/>
        <w:spacing w:before="7"/>
        <w:rPr>
          <w:sz w:val="26"/>
        </w:rPr>
      </w:pPr>
    </w:p>
    <w:p>
      <w:pPr>
        <w:pStyle w:val="Heading1"/>
        <w:numPr>
          <w:ilvl w:val="0"/>
          <w:numId w:val="15"/>
        </w:numPr>
        <w:tabs>
          <w:tab w:pos="3129" w:val="left" w:leader="none"/>
        </w:tabs>
        <w:spacing w:line="240" w:lineRule="auto" w:before="65" w:after="0"/>
        <w:ind w:left="3128" w:right="0" w:hanging="578"/>
        <w:jc w:val="left"/>
      </w:pPr>
      <w:r>
        <w:rPr/>
        <w:t>DISEÑO</w:t>
      </w:r>
      <w:r>
        <w:rPr>
          <w:spacing w:val="-8"/>
        </w:rPr>
        <w:t> </w:t>
      </w:r>
      <w:r>
        <w:rPr/>
        <w:t>METODOLOGICO</w:t>
      </w:r>
    </w:p>
    <w:p>
      <w:pPr>
        <w:pStyle w:val="BodyText"/>
        <w:spacing w:before="11"/>
        <w:rPr>
          <w:b/>
          <w:sz w:val="29"/>
        </w:rPr>
      </w:pPr>
    </w:p>
    <w:p>
      <w:pPr>
        <w:pStyle w:val="Heading2"/>
        <w:numPr>
          <w:ilvl w:val="1"/>
          <w:numId w:val="18"/>
        </w:numPr>
        <w:tabs>
          <w:tab w:pos="566" w:val="left" w:leader="none"/>
        </w:tabs>
        <w:spacing w:line="240" w:lineRule="auto" w:before="0" w:after="0"/>
        <w:ind w:left="565" w:right="0" w:hanging="403"/>
        <w:jc w:val="both"/>
      </w:pPr>
      <w:bookmarkStart w:name="_TOC_250021" w:id="20"/>
      <w:r>
        <w:rPr/>
        <w:t>Diseño de la</w:t>
      </w:r>
      <w:r>
        <w:rPr>
          <w:spacing w:val="-11"/>
        </w:rPr>
        <w:t> </w:t>
      </w:r>
      <w:bookmarkEnd w:id="20"/>
      <w:r>
        <w:rPr/>
        <w:t>investigación:</w:t>
      </w:r>
    </w:p>
    <w:p>
      <w:pPr>
        <w:spacing w:before="138"/>
        <w:ind w:left="1294" w:right="126" w:firstLine="0"/>
        <w:jc w:val="left"/>
        <w:rPr>
          <w:sz w:val="22"/>
        </w:rPr>
      </w:pPr>
      <w:r>
        <w:rPr>
          <w:sz w:val="22"/>
        </w:rPr>
        <w:t>Transversal-comparativo</w:t>
      </w:r>
    </w:p>
    <w:p>
      <w:pPr>
        <w:pStyle w:val="BodyText"/>
        <w:rPr>
          <w:sz w:val="22"/>
        </w:rPr>
      </w:pPr>
    </w:p>
    <w:p>
      <w:pPr>
        <w:pStyle w:val="BodyText"/>
        <w:spacing w:before="10"/>
      </w:pPr>
    </w:p>
    <w:p>
      <w:pPr>
        <w:pStyle w:val="Heading2"/>
        <w:numPr>
          <w:ilvl w:val="1"/>
          <w:numId w:val="18"/>
        </w:numPr>
        <w:tabs>
          <w:tab w:pos="566" w:val="left" w:leader="none"/>
        </w:tabs>
        <w:spacing w:line="240" w:lineRule="auto" w:before="0" w:after="0"/>
        <w:ind w:left="565" w:right="0" w:hanging="403"/>
        <w:jc w:val="both"/>
      </w:pPr>
      <w:r>
        <w:rPr/>
        <w:t>Poblacion </w:t>
      </w:r>
      <w:r>
        <w:rPr>
          <w:spacing w:val="-3"/>
        </w:rPr>
        <w:t>y/o</w:t>
      </w:r>
      <w:r>
        <w:rPr>
          <w:spacing w:val="-1"/>
        </w:rPr>
        <w:t> </w:t>
      </w:r>
      <w:r>
        <w:rPr/>
        <w:t>Universo:</w:t>
      </w:r>
    </w:p>
    <w:p>
      <w:pPr>
        <w:pStyle w:val="ListParagraph"/>
        <w:numPr>
          <w:ilvl w:val="2"/>
          <w:numId w:val="18"/>
        </w:numPr>
        <w:tabs>
          <w:tab w:pos="870" w:val="left" w:leader="none"/>
        </w:tabs>
        <w:spacing w:line="360" w:lineRule="auto" w:before="138" w:after="0"/>
        <w:ind w:left="874" w:right="181" w:hanging="355"/>
        <w:jc w:val="left"/>
        <w:rPr>
          <w:sz w:val="22"/>
        </w:rPr>
      </w:pPr>
      <w:r>
        <w:rPr>
          <w:sz w:val="22"/>
        </w:rPr>
        <w:t>Personas que vivan en el municipio de Villa Guerrero, Edo. de México que se dediquen a la</w:t>
      </w:r>
      <w:r>
        <w:rPr>
          <w:spacing w:val="-11"/>
          <w:sz w:val="22"/>
        </w:rPr>
        <w:t> </w:t>
      </w:r>
      <w:r>
        <w:rPr>
          <w:sz w:val="22"/>
        </w:rPr>
        <w:t>floricultura.</w:t>
      </w:r>
    </w:p>
    <w:p>
      <w:pPr>
        <w:pStyle w:val="BodyText"/>
        <w:rPr>
          <w:sz w:val="22"/>
        </w:rPr>
      </w:pPr>
    </w:p>
    <w:p>
      <w:pPr>
        <w:pStyle w:val="ListParagraph"/>
        <w:numPr>
          <w:ilvl w:val="2"/>
          <w:numId w:val="18"/>
        </w:numPr>
        <w:tabs>
          <w:tab w:pos="870" w:val="left" w:leader="none"/>
        </w:tabs>
        <w:spacing w:line="360" w:lineRule="auto" w:before="129" w:after="0"/>
        <w:ind w:left="882" w:right="180" w:hanging="360"/>
        <w:jc w:val="left"/>
        <w:rPr>
          <w:sz w:val="22"/>
        </w:rPr>
      </w:pPr>
      <w:r>
        <w:rPr>
          <w:sz w:val="22"/>
        </w:rPr>
        <w:t>Personas que asistan al Hospital Lic. Adolfo López que no se dediquen a la floricultura.</w:t>
      </w:r>
    </w:p>
    <w:p>
      <w:pPr>
        <w:pStyle w:val="BodyText"/>
        <w:rPr>
          <w:sz w:val="22"/>
        </w:rPr>
      </w:pPr>
    </w:p>
    <w:p>
      <w:pPr>
        <w:pStyle w:val="Heading2"/>
        <w:numPr>
          <w:ilvl w:val="1"/>
          <w:numId w:val="18"/>
        </w:numPr>
        <w:tabs>
          <w:tab w:pos="566" w:val="left" w:leader="none"/>
        </w:tabs>
        <w:spacing w:line="240" w:lineRule="auto" w:before="166" w:after="0"/>
        <w:ind w:left="565" w:right="0" w:hanging="403"/>
        <w:jc w:val="both"/>
      </w:pPr>
      <w:bookmarkStart w:name="_TOC_250020" w:id="21"/>
      <w:r>
        <w:rPr/>
        <w:t>Limites de espacio y</w:t>
      </w:r>
      <w:r>
        <w:rPr>
          <w:spacing w:val="-8"/>
        </w:rPr>
        <w:t> </w:t>
      </w:r>
      <w:bookmarkEnd w:id="21"/>
      <w:r>
        <w:rPr/>
        <w:t>tiempo:</w:t>
      </w:r>
    </w:p>
    <w:p>
      <w:pPr>
        <w:spacing w:line="360" w:lineRule="auto" w:before="138"/>
        <w:ind w:left="162" w:right="174" w:firstLine="0"/>
        <w:jc w:val="both"/>
        <w:rPr>
          <w:sz w:val="22"/>
        </w:rPr>
      </w:pPr>
      <w:r>
        <w:rPr>
          <w:sz w:val="22"/>
        </w:rPr>
        <w:t>La presente investigación se realizo en el municipio de Villa Guerrero, Edo. de México en los invernaderos locales y en el Banco de Sangre Estatal del Hospital Lic. Adolfo López Mateos, en la ciudad de Toluca, Edo. de México; en el periodo de marzo 2012-enero  2013.</w:t>
      </w:r>
    </w:p>
    <w:p>
      <w:pPr>
        <w:pStyle w:val="BodyText"/>
        <w:rPr>
          <w:sz w:val="22"/>
        </w:rPr>
      </w:pPr>
    </w:p>
    <w:p>
      <w:pPr>
        <w:pStyle w:val="Heading2"/>
        <w:numPr>
          <w:ilvl w:val="1"/>
          <w:numId w:val="18"/>
        </w:numPr>
        <w:tabs>
          <w:tab w:pos="566" w:val="left" w:leader="none"/>
        </w:tabs>
        <w:spacing w:line="240" w:lineRule="auto" w:before="164" w:after="0"/>
        <w:ind w:left="565" w:right="0" w:hanging="403"/>
        <w:jc w:val="both"/>
      </w:pPr>
      <w:bookmarkStart w:name="_TOC_250019" w:id="22"/>
      <w:bookmarkEnd w:id="22"/>
      <w:r>
        <w:rPr/>
        <w:t>Muestreo</w:t>
      </w:r>
    </w:p>
    <w:p>
      <w:pPr>
        <w:pStyle w:val="ListParagraph"/>
        <w:numPr>
          <w:ilvl w:val="0"/>
          <w:numId w:val="19"/>
        </w:numPr>
        <w:tabs>
          <w:tab w:pos="1011" w:val="left" w:leader="none"/>
          <w:tab w:pos="1012" w:val="left" w:leader="none"/>
        </w:tabs>
        <w:spacing w:line="240" w:lineRule="auto" w:before="138" w:after="0"/>
        <w:ind w:left="1011" w:right="0" w:hanging="425"/>
        <w:jc w:val="left"/>
        <w:rPr>
          <w:sz w:val="22"/>
        </w:rPr>
      </w:pPr>
      <w:r>
        <w:rPr>
          <w:sz w:val="22"/>
        </w:rPr>
        <w:t>Tipo de muestreo: Probabilístico (aleatorio</w:t>
      </w:r>
      <w:r>
        <w:rPr>
          <w:spacing w:val="-14"/>
          <w:sz w:val="22"/>
        </w:rPr>
        <w:t> </w:t>
      </w:r>
      <w:r>
        <w:rPr>
          <w:sz w:val="22"/>
        </w:rPr>
        <w:t>simple)</w:t>
      </w:r>
    </w:p>
    <w:p>
      <w:pPr>
        <w:pStyle w:val="ListParagraph"/>
        <w:numPr>
          <w:ilvl w:val="0"/>
          <w:numId w:val="19"/>
        </w:numPr>
        <w:tabs>
          <w:tab w:pos="1012" w:val="left" w:leader="none"/>
        </w:tabs>
        <w:spacing w:line="360" w:lineRule="auto" w:before="126" w:after="0"/>
        <w:ind w:left="1011" w:right="180" w:hanging="425"/>
        <w:jc w:val="both"/>
        <w:rPr>
          <w:sz w:val="22"/>
        </w:rPr>
      </w:pPr>
      <w:r>
        <w:rPr>
          <w:sz w:val="22"/>
        </w:rPr>
        <w:t>Tamaño de muestra: determinístico (en función de la factibilidad económica para la realización del estudio, con una n no menor a 40 individuos por grupo: expuestos ocupacionalmente vs no expuestos</w:t>
      </w:r>
      <w:r>
        <w:rPr>
          <w:spacing w:val="-8"/>
          <w:sz w:val="22"/>
        </w:rPr>
        <w:t> </w:t>
      </w:r>
      <w:r>
        <w:rPr>
          <w:sz w:val="22"/>
        </w:rPr>
        <w:t>ocupacionalmente</w:t>
      </w:r>
    </w:p>
    <w:p>
      <w:pPr>
        <w:pStyle w:val="ListParagraph"/>
        <w:numPr>
          <w:ilvl w:val="0"/>
          <w:numId w:val="19"/>
        </w:numPr>
        <w:tabs>
          <w:tab w:pos="1012" w:val="left" w:leader="none"/>
        </w:tabs>
        <w:spacing w:line="352" w:lineRule="auto" w:before="1" w:after="0"/>
        <w:ind w:left="1011" w:right="179" w:hanging="425"/>
        <w:jc w:val="both"/>
        <w:rPr>
          <w:sz w:val="24"/>
        </w:rPr>
      </w:pPr>
      <w:r>
        <w:rPr>
          <w:sz w:val="22"/>
        </w:rPr>
        <w:t>Selección de los elementos de observación: la selección de dichos elementos estará en función de los criterios establecidos para la realización del presente estudio</w:t>
      </w:r>
    </w:p>
    <w:p>
      <w:pPr>
        <w:pStyle w:val="BodyText"/>
        <w:rPr>
          <w:sz w:val="22"/>
        </w:rPr>
      </w:pPr>
    </w:p>
    <w:p>
      <w:pPr>
        <w:pStyle w:val="BodyText"/>
        <w:spacing w:before="9"/>
        <w:rPr>
          <w:sz w:val="21"/>
        </w:rPr>
      </w:pPr>
    </w:p>
    <w:p>
      <w:pPr>
        <w:pStyle w:val="Heading2"/>
        <w:numPr>
          <w:ilvl w:val="1"/>
          <w:numId w:val="18"/>
        </w:numPr>
        <w:tabs>
          <w:tab w:pos="566" w:val="left" w:leader="none"/>
        </w:tabs>
        <w:spacing w:line="240" w:lineRule="auto" w:before="0" w:after="0"/>
        <w:ind w:left="565" w:right="0" w:hanging="403"/>
        <w:jc w:val="both"/>
      </w:pPr>
      <w:bookmarkStart w:name="_TOC_250018" w:id="23"/>
      <w:r>
        <w:rPr/>
        <w:t>Criterios de</w:t>
      </w:r>
      <w:r>
        <w:rPr>
          <w:spacing w:val="-7"/>
        </w:rPr>
        <w:t> </w:t>
      </w:r>
      <w:bookmarkEnd w:id="23"/>
      <w:r>
        <w:rPr/>
        <w:t>Selección</w:t>
      </w:r>
    </w:p>
    <w:p>
      <w:pPr>
        <w:pStyle w:val="BodyText"/>
        <w:rPr>
          <w:b/>
          <w:sz w:val="21"/>
        </w:rPr>
      </w:pPr>
    </w:p>
    <w:p>
      <w:pPr>
        <w:pStyle w:val="ListParagraph"/>
        <w:numPr>
          <w:ilvl w:val="0"/>
          <w:numId w:val="20"/>
        </w:numPr>
        <w:tabs>
          <w:tab w:pos="882" w:val="left" w:leader="none"/>
        </w:tabs>
        <w:spacing w:line="240" w:lineRule="auto" w:before="1" w:after="0"/>
        <w:ind w:left="882" w:right="0" w:hanging="360"/>
        <w:jc w:val="left"/>
        <w:rPr>
          <w:sz w:val="24"/>
        </w:rPr>
      </w:pPr>
      <w:r>
        <w:rPr>
          <w:sz w:val="24"/>
        </w:rPr>
        <w:t>Criterios de</w:t>
      </w:r>
      <w:r>
        <w:rPr>
          <w:spacing w:val="-6"/>
          <w:sz w:val="24"/>
        </w:rPr>
        <w:t> </w:t>
      </w:r>
      <w:r>
        <w:rPr>
          <w:sz w:val="24"/>
        </w:rPr>
        <w:t>inclusión:</w:t>
      </w:r>
    </w:p>
    <w:p>
      <w:pPr>
        <w:pStyle w:val="BodyText"/>
        <w:spacing w:before="9"/>
        <w:rPr>
          <w:sz w:val="20"/>
        </w:rPr>
      </w:pPr>
    </w:p>
    <w:p>
      <w:pPr>
        <w:pStyle w:val="ListParagraph"/>
        <w:numPr>
          <w:ilvl w:val="1"/>
          <w:numId w:val="20"/>
        </w:numPr>
        <w:tabs>
          <w:tab w:pos="1239" w:val="left" w:leader="none"/>
          <w:tab w:pos="1240" w:val="left" w:leader="none"/>
        </w:tabs>
        <w:spacing w:line="360" w:lineRule="auto" w:before="0" w:after="0"/>
        <w:ind w:left="1239" w:right="177" w:hanging="357"/>
        <w:jc w:val="left"/>
        <w:rPr>
          <w:sz w:val="22"/>
        </w:rPr>
      </w:pPr>
      <w:r>
        <w:rPr>
          <w:sz w:val="22"/>
        </w:rPr>
        <w:t>Hombres y mujeres que trabajen en invernaderos y estén expuestos plaguicidas, en Villa Guerrero, Edo. de</w:t>
      </w:r>
      <w:r>
        <w:rPr>
          <w:spacing w:val="-14"/>
          <w:sz w:val="22"/>
        </w:rPr>
        <w:t> </w:t>
      </w:r>
      <w:r>
        <w:rPr>
          <w:sz w:val="22"/>
        </w:rPr>
        <w:t>México</w:t>
      </w:r>
    </w:p>
    <w:p>
      <w:pPr>
        <w:spacing w:after="0" w:line="360" w:lineRule="auto"/>
        <w:jc w:val="left"/>
        <w:rPr>
          <w:sz w:val="22"/>
        </w:rPr>
        <w:sectPr>
          <w:pgSz w:w="12240" w:h="15840"/>
          <w:pgMar w:header="733" w:footer="1039" w:top="1020" w:bottom="1220" w:left="1540" w:right="1520"/>
        </w:sectPr>
      </w:pPr>
    </w:p>
    <w:p>
      <w:pPr>
        <w:pStyle w:val="BodyText"/>
        <w:spacing w:before="8"/>
        <w:rPr>
          <w:sz w:val="17"/>
        </w:rPr>
      </w:pPr>
    </w:p>
    <w:p>
      <w:pPr>
        <w:pStyle w:val="ListParagraph"/>
        <w:numPr>
          <w:ilvl w:val="1"/>
          <w:numId w:val="20"/>
        </w:numPr>
        <w:tabs>
          <w:tab w:pos="1240" w:val="left" w:leader="none"/>
        </w:tabs>
        <w:spacing w:line="360" w:lineRule="auto" w:before="72" w:after="0"/>
        <w:ind w:left="1239" w:right="178" w:hanging="357"/>
        <w:jc w:val="both"/>
        <w:rPr>
          <w:sz w:val="22"/>
        </w:rPr>
      </w:pPr>
      <w:r>
        <w:rPr>
          <w:sz w:val="22"/>
        </w:rPr>
        <w:t>Hombres y mujeres que no estén expuestos ocupacionalmente a plaguicidas, que asistan al Hospital Lic. Adolfo López Mateos a donar sangre en el banco estatal de</w:t>
      </w:r>
      <w:r>
        <w:rPr>
          <w:spacing w:val="-1"/>
          <w:sz w:val="22"/>
        </w:rPr>
        <w:t> </w:t>
      </w:r>
      <w:r>
        <w:rPr>
          <w:sz w:val="22"/>
        </w:rPr>
        <w:t>sangre.</w:t>
      </w:r>
    </w:p>
    <w:p>
      <w:pPr>
        <w:pStyle w:val="ListParagraph"/>
        <w:numPr>
          <w:ilvl w:val="1"/>
          <w:numId w:val="20"/>
        </w:numPr>
        <w:tabs>
          <w:tab w:pos="1239" w:val="left" w:leader="none"/>
          <w:tab w:pos="1240" w:val="left" w:leader="none"/>
        </w:tabs>
        <w:spacing w:line="240" w:lineRule="auto" w:before="3" w:after="0"/>
        <w:ind w:left="1239" w:right="0" w:hanging="357"/>
        <w:jc w:val="left"/>
        <w:rPr>
          <w:sz w:val="22"/>
        </w:rPr>
      </w:pPr>
      <w:r>
        <w:rPr>
          <w:sz w:val="22"/>
        </w:rPr>
        <w:t>Mayores de 18 años de</w:t>
      </w:r>
      <w:r>
        <w:rPr>
          <w:spacing w:val="-2"/>
          <w:sz w:val="22"/>
        </w:rPr>
        <w:t> </w:t>
      </w:r>
      <w:r>
        <w:rPr>
          <w:sz w:val="22"/>
        </w:rPr>
        <w:t>edad</w:t>
      </w:r>
    </w:p>
    <w:p>
      <w:pPr>
        <w:pStyle w:val="ListParagraph"/>
        <w:numPr>
          <w:ilvl w:val="1"/>
          <w:numId w:val="20"/>
        </w:numPr>
        <w:tabs>
          <w:tab w:pos="1239" w:val="left" w:leader="none"/>
          <w:tab w:pos="1240" w:val="left" w:leader="none"/>
        </w:tabs>
        <w:spacing w:line="240" w:lineRule="auto" w:before="126" w:after="0"/>
        <w:ind w:left="1239" w:right="0" w:hanging="357"/>
        <w:jc w:val="left"/>
        <w:rPr>
          <w:sz w:val="22"/>
        </w:rPr>
      </w:pPr>
      <w:r>
        <w:rPr>
          <w:sz w:val="22"/>
        </w:rPr>
        <w:t>Consentimiento informado</w:t>
      </w:r>
      <w:r>
        <w:rPr>
          <w:spacing w:val="-12"/>
          <w:sz w:val="22"/>
        </w:rPr>
        <w:t> </w:t>
      </w:r>
      <w:r>
        <w:rPr>
          <w:sz w:val="22"/>
        </w:rPr>
        <w:t>firmado</w:t>
      </w:r>
    </w:p>
    <w:p>
      <w:pPr>
        <w:pStyle w:val="BodyText"/>
        <w:spacing w:before="10"/>
        <w:rPr>
          <w:sz w:val="32"/>
        </w:rPr>
      </w:pPr>
    </w:p>
    <w:p>
      <w:pPr>
        <w:pStyle w:val="ListParagraph"/>
        <w:numPr>
          <w:ilvl w:val="0"/>
          <w:numId w:val="20"/>
        </w:numPr>
        <w:tabs>
          <w:tab w:pos="875" w:val="left" w:leader="none"/>
        </w:tabs>
        <w:spacing w:line="240" w:lineRule="auto" w:before="0" w:after="0"/>
        <w:ind w:left="874" w:right="0" w:hanging="355"/>
        <w:jc w:val="left"/>
        <w:rPr>
          <w:sz w:val="24"/>
        </w:rPr>
      </w:pPr>
      <w:r>
        <w:rPr>
          <w:sz w:val="24"/>
        </w:rPr>
        <w:t>Criterios de no</w:t>
      </w:r>
      <w:r>
        <w:rPr>
          <w:spacing w:val="-7"/>
          <w:sz w:val="24"/>
        </w:rPr>
        <w:t> </w:t>
      </w:r>
      <w:r>
        <w:rPr>
          <w:sz w:val="24"/>
        </w:rPr>
        <w:t>inclusión:</w:t>
      </w:r>
    </w:p>
    <w:p>
      <w:pPr>
        <w:pStyle w:val="ListParagraph"/>
        <w:numPr>
          <w:ilvl w:val="1"/>
          <w:numId w:val="20"/>
        </w:numPr>
        <w:tabs>
          <w:tab w:pos="1155" w:val="left" w:leader="none"/>
          <w:tab w:pos="1156" w:val="left" w:leader="none"/>
        </w:tabs>
        <w:spacing w:line="240" w:lineRule="auto" w:before="138" w:after="0"/>
        <w:ind w:left="1155" w:right="0" w:hanging="285"/>
        <w:jc w:val="left"/>
        <w:rPr>
          <w:sz w:val="22"/>
        </w:rPr>
      </w:pPr>
      <w:r>
        <w:rPr>
          <w:sz w:val="22"/>
        </w:rPr>
        <w:t>Menores de 18 años de</w:t>
      </w:r>
      <w:r>
        <w:rPr>
          <w:spacing w:val="-2"/>
          <w:sz w:val="22"/>
        </w:rPr>
        <w:t> </w:t>
      </w:r>
      <w:r>
        <w:rPr>
          <w:sz w:val="22"/>
        </w:rPr>
        <w:t>edad</w:t>
      </w:r>
    </w:p>
    <w:p>
      <w:pPr>
        <w:pStyle w:val="ListParagraph"/>
        <w:numPr>
          <w:ilvl w:val="1"/>
          <w:numId w:val="20"/>
        </w:numPr>
        <w:tabs>
          <w:tab w:pos="1155" w:val="left" w:leader="none"/>
          <w:tab w:pos="1156" w:val="left" w:leader="none"/>
        </w:tabs>
        <w:spacing w:line="240" w:lineRule="auto" w:before="126" w:after="0"/>
        <w:ind w:left="1155" w:right="0" w:hanging="285"/>
        <w:jc w:val="left"/>
        <w:rPr>
          <w:sz w:val="22"/>
        </w:rPr>
      </w:pPr>
      <w:r>
        <w:rPr>
          <w:sz w:val="22"/>
        </w:rPr>
        <w:t>Mujeres</w:t>
      </w:r>
      <w:r>
        <w:rPr>
          <w:spacing w:val="-3"/>
          <w:sz w:val="22"/>
        </w:rPr>
        <w:t> </w:t>
      </w:r>
      <w:r>
        <w:rPr>
          <w:sz w:val="22"/>
        </w:rPr>
        <w:t>embarazadas</w:t>
      </w:r>
    </w:p>
    <w:p>
      <w:pPr>
        <w:pStyle w:val="ListParagraph"/>
        <w:numPr>
          <w:ilvl w:val="1"/>
          <w:numId w:val="20"/>
        </w:numPr>
        <w:tabs>
          <w:tab w:pos="1156" w:val="left" w:leader="none"/>
        </w:tabs>
        <w:spacing w:line="360" w:lineRule="auto" w:before="126" w:after="0"/>
        <w:ind w:left="1155" w:right="174" w:hanging="285"/>
        <w:jc w:val="both"/>
        <w:rPr>
          <w:sz w:val="22"/>
        </w:rPr>
      </w:pPr>
      <w:r>
        <w:rPr>
          <w:sz w:val="22"/>
        </w:rPr>
        <w:t>Personas con enfermedades crónicas que aumenten el riesgo de caries por si solas o por el tratamiento (diabetes, enfermedades cardiovasculares, cáncer, enfermedad renal,</w:t>
      </w:r>
      <w:r>
        <w:rPr>
          <w:spacing w:val="-9"/>
          <w:sz w:val="22"/>
        </w:rPr>
        <w:t> </w:t>
      </w:r>
      <w:r>
        <w:rPr>
          <w:sz w:val="22"/>
        </w:rPr>
        <w:t>epilepsia)</w:t>
      </w:r>
    </w:p>
    <w:p>
      <w:pPr>
        <w:pStyle w:val="ListParagraph"/>
        <w:numPr>
          <w:ilvl w:val="1"/>
          <w:numId w:val="20"/>
        </w:numPr>
        <w:tabs>
          <w:tab w:pos="1155" w:val="left" w:leader="none"/>
          <w:tab w:pos="1156" w:val="left" w:leader="none"/>
        </w:tabs>
        <w:spacing w:line="240" w:lineRule="auto" w:before="3" w:after="0"/>
        <w:ind w:left="1155" w:right="0" w:hanging="285"/>
        <w:jc w:val="left"/>
        <w:rPr>
          <w:sz w:val="22"/>
        </w:rPr>
      </w:pPr>
      <w:r>
        <w:rPr>
          <w:sz w:val="22"/>
        </w:rPr>
        <w:t>No acepten participar en el</w:t>
      </w:r>
      <w:r>
        <w:rPr>
          <w:spacing w:val="-6"/>
          <w:sz w:val="22"/>
        </w:rPr>
        <w:t> </w:t>
      </w:r>
      <w:r>
        <w:rPr>
          <w:sz w:val="22"/>
        </w:rPr>
        <w:t>estudio</w:t>
      </w:r>
    </w:p>
    <w:p>
      <w:pPr>
        <w:pStyle w:val="BodyText"/>
        <w:rPr>
          <w:sz w:val="22"/>
        </w:rPr>
      </w:pPr>
    </w:p>
    <w:p>
      <w:pPr>
        <w:pStyle w:val="BodyText"/>
        <w:spacing w:before="1"/>
        <w:rPr>
          <w:sz w:val="25"/>
        </w:rPr>
      </w:pPr>
    </w:p>
    <w:p>
      <w:pPr>
        <w:pStyle w:val="ListParagraph"/>
        <w:numPr>
          <w:ilvl w:val="0"/>
          <w:numId w:val="20"/>
        </w:numPr>
        <w:tabs>
          <w:tab w:pos="882" w:val="left" w:leader="none"/>
        </w:tabs>
        <w:spacing w:line="240" w:lineRule="auto" w:before="0" w:after="0"/>
        <w:ind w:left="882" w:right="0" w:hanging="360"/>
        <w:jc w:val="left"/>
        <w:rPr>
          <w:sz w:val="24"/>
        </w:rPr>
      </w:pPr>
      <w:r>
        <w:rPr>
          <w:sz w:val="24"/>
        </w:rPr>
        <w:t>Criterios de</w:t>
      </w:r>
      <w:r>
        <w:rPr>
          <w:spacing w:val="-6"/>
          <w:sz w:val="24"/>
        </w:rPr>
        <w:t> </w:t>
      </w:r>
      <w:r>
        <w:rPr>
          <w:sz w:val="24"/>
        </w:rPr>
        <w:t>exclusión:</w:t>
      </w:r>
    </w:p>
    <w:p>
      <w:pPr>
        <w:pStyle w:val="ListParagraph"/>
        <w:numPr>
          <w:ilvl w:val="1"/>
          <w:numId w:val="20"/>
        </w:numPr>
        <w:tabs>
          <w:tab w:pos="1155" w:val="left" w:leader="none"/>
          <w:tab w:pos="1156" w:val="left" w:leader="none"/>
        </w:tabs>
        <w:spacing w:line="240" w:lineRule="auto" w:before="136" w:after="0"/>
        <w:ind w:left="1155" w:right="0" w:hanging="285"/>
        <w:jc w:val="left"/>
        <w:rPr>
          <w:sz w:val="22"/>
        </w:rPr>
      </w:pPr>
      <w:r>
        <w:rPr>
          <w:sz w:val="22"/>
        </w:rPr>
        <w:t>Contaminación de la muestra de sangre durante la toma de la</w:t>
      </w:r>
      <w:r>
        <w:rPr>
          <w:spacing w:val="-16"/>
          <w:sz w:val="22"/>
        </w:rPr>
        <w:t> </w:t>
      </w:r>
      <w:r>
        <w:rPr>
          <w:sz w:val="22"/>
        </w:rPr>
        <w:t>misma</w:t>
      </w:r>
    </w:p>
    <w:p>
      <w:pPr>
        <w:pStyle w:val="ListParagraph"/>
        <w:numPr>
          <w:ilvl w:val="1"/>
          <w:numId w:val="20"/>
        </w:numPr>
        <w:tabs>
          <w:tab w:pos="1155" w:val="left" w:leader="none"/>
          <w:tab w:pos="1156" w:val="left" w:leader="none"/>
        </w:tabs>
        <w:spacing w:line="240" w:lineRule="auto" w:before="128" w:after="0"/>
        <w:ind w:left="1155" w:right="0" w:hanging="285"/>
        <w:jc w:val="left"/>
        <w:rPr>
          <w:sz w:val="22"/>
        </w:rPr>
      </w:pPr>
      <w:r>
        <w:rPr>
          <w:sz w:val="22"/>
        </w:rPr>
        <w:t>Muestras no</w:t>
      </w:r>
      <w:r>
        <w:rPr>
          <w:spacing w:val="-2"/>
          <w:sz w:val="22"/>
        </w:rPr>
        <w:t> </w:t>
      </w:r>
      <w:r>
        <w:rPr>
          <w:sz w:val="22"/>
        </w:rPr>
        <w:t>rotuladas</w:t>
      </w:r>
    </w:p>
    <w:p>
      <w:pPr>
        <w:pStyle w:val="BodyText"/>
        <w:rPr>
          <w:sz w:val="22"/>
        </w:rPr>
      </w:pPr>
    </w:p>
    <w:p>
      <w:pPr>
        <w:pStyle w:val="BodyText"/>
        <w:spacing w:before="10"/>
      </w:pPr>
    </w:p>
    <w:p>
      <w:pPr>
        <w:pStyle w:val="ListParagraph"/>
        <w:numPr>
          <w:ilvl w:val="0"/>
          <w:numId w:val="20"/>
        </w:numPr>
        <w:tabs>
          <w:tab w:pos="882" w:val="left" w:leader="none"/>
        </w:tabs>
        <w:spacing w:line="240" w:lineRule="auto" w:before="0" w:after="0"/>
        <w:ind w:left="882" w:right="0" w:hanging="360"/>
        <w:jc w:val="left"/>
        <w:rPr>
          <w:sz w:val="24"/>
        </w:rPr>
      </w:pPr>
      <w:r>
        <w:rPr>
          <w:sz w:val="24"/>
        </w:rPr>
        <w:t>Criterios de</w:t>
      </w:r>
      <w:r>
        <w:rPr>
          <w:spacing w:val="-7"/>
          <w:sz w:val="24"/>
        </w:rPr>
        <w:t> </w:t>
      </w:r>
      <w:r>
        <w:rPr>
          <w:sz w:val="24"/>
        </w:rPr>
        <w:t>eliminación:</w:t>
      </w:r>
    </w:p>
    <w:p>
      <w:pPr>
        <w:pStyle w:val="ListParagraph"/>
        <w:numPr>
          <w:ilvl w:val="1"/>
          <w:numId w:val="20"/>
        </w:numPr>
        <w:tabs>
          <w:tab w:pos="1294" w:val="left" w:leader="none"/>
          <w:tab w:pos="1295" w:val="left" w:leader="none"/>
        </w:tabs>
        <w:spacing w:line="240" w:lineRule="auto" w:before="139" w:after="0"/>
        <w:ind w:left="1294" w:right="0" w:hanging="424"/>
        <w:jc w:val="left"/>
        <w:rPr>
          <w:sz w:val="22"/>
        </w:rPr>
      </w:pPr>
      <w:r>
        <w:rPr>
          <w:sz w:val="22"/>
        </w:rPr>
        <w:t>Muestras de sangre</w:t>
      </w:r>
      <w:r>
        <w:rPr>
          <w:spacing w:val="-9"/>
          <w:sz w:val="22"/>
        </w:rPr>
        <w:t> </w:t>
      </w:r>
      <w:r>
        <w:rPr>
          <w:sz w:val="22"/>
        </w:rPr>
        <w:t>insuficientes</w:t>
      </w:r>
    </w:p>
    <w:p>
      <w:pPr>
        <w:pStyle w:val="ListParagraph"/>
        <w:numPr>
          <w:ilvl w:val="1"/>
          <w:numId w:val="20"/>
        </w:numPr>
        <w:tabs>
          <w:tab w:pos="1294" w:val="left" w:leader="none"/>
          <w:tab w:pos="1295" w:val="left" w:leader="none"/>
        </w:tabs>
        <w:spacing w:line="240" w:lineRule="auto" w:before="126" w:after="0"/>
        <w:ind w:left="1294" w:right="0" w:hanging="424"/>
        <w:jc w:val="left"/>
        <w:rPr>
          <w:sz w:val="22"/>
        </w:rPr>
      </w:pPr>
      <w:r>
        <w:rPr>
          <w:sz w:val="22"/>
        </w:rPr>
        <w:t>Muestras</w:t>
      </w:r>
      <w:r>
        <w:rPr>
          <w:spacing w:val="-6"/>
          <w:sz w:val="22"/>
        </w:rPr>
        <w:t> </w:t>
      </w:r>
      <w:r>
        <w:rPr>
          <w:sz w:val="22"/>
        </w:rPr>
        <w:t>hemolizadas</w:t>
      </w:r>
    </w:p>
    <w:p>
      <w:pPr>
        <w:pStyle w:val="ListParagraph"/>
        <w:numPr>
          <w:ilvl w:val="1"/>
          <w:numId w:val="20"/>
        </w:numPr>
        <w:tabs>
          <w:tab w:pos="1294" w:val="left" w:leader="none"/>
          <w:tab w:pos="1295" w:val="left" w:leader="none"/>
        </w:tabs>
        <w:spacing w:line="240" w:lineRule="auto" w:before="126" w:after="0"/>
        <w:ind w:left="1294" w:right="0" w:hanging="424"/>
        <w:jc w:val="left"/>
        <w:rPr>
          <w:sz w:val="22"/>
        </w:rPr>
      </w:pPr>
      <w:r>
        <w:rPr>
          <w:sz w:val="22"/>
        </w:rPr>
        <w:t>Resultados</w:t>
      </w:r>
      <w:r>
        <w:rPr>
          <w:spacing w:val="-4"/>
          <w:sz w:val="22"/>
        </w:rPr>
        <w:t> </w:t>
      </w:r>
      <w:r>
        <w:rPr>
          <w:sz w:val="22"/>
        </w:rPr>
        <w:t>confusos</w:t>
      </w:r>
    </w:p>
    <w:p>
      <w:pPr>
        <w:spacing w:after="0" w:line="240" w:lineRule="auto"/>
        <w:jc w:val="left"/>
        <w:rPr>
          <w:sz w:val="22"/>
        </w:rPr>
        <w:sectPr>
          <w:pgSz w:w="12240" w:h="15840"/>
          <w:pgMar w:header="733" w:footer="1039" w:top="1020" w:bottom="1220" w:left="1540" w:right="1520"/>
        </w:sectPr>
      </w:pPr>
    </w:p>
    <w:p>
      <w:pPr>
        <w:pStyle w:val="BodyText"/>
        <w:rPr>
          <w:sz w:val="18"/>
        </w:rPr>
      </w:pPr>
    </w:p>
    <w:p>
      <w:pPr>
        <w:pStyle w:val="Heading2"/>
        <w:numPr>
          <w:ilvl w:val="1"/>
          <w:numId w:val="18"/>
        </w:numPr>
        <w:tabs>
          <w:tab w:pos="626" w:val="left" w:leader="none"/>
        </w:tabs>
        <w:spacing w:line="240" w:lineRule="auto" w:before="69" w:after="0"/>
        <w:ind w:left="625" w:right="0" w:hanging="403"/>
        <w:jc w:val="left"/>
      </w:pPr>
      <w:r>
        <w:rPr/>
        <w:t>Operacionalización de</w:t>
      </w:r>
      <w:r>
        <w:rPr>
          <w:spacing w:val="-18"/>
        </w:rPr>
        <w:t> </w:t>
      </w:r>
      <w:r>
        <w:rPr/>
        <w:t>Variables:</w:t>
      </w:r>
    </w:p>
    <w:p>
      <w:pPr>
        <w:pStyle w:val="BodyText"/>
        <w:rPr>
          <w:b/>
          <w:sz w:val="20"/>
        </w:rPr>
      </w:pPr>
    </w:p>
    <w:p>
      <w:pPr>
        <w:pStyle w:val="BodyText"/>
        <w:rPr>
          <w:b/>
          <w:sz w:val="20"/>
        </w:rPr>
      </w:pPr>
    </w:p>
    <w:p>
      <w:pPr>
        <w:pStyle w:val="BodyText"/>
        <w:spacing w:before="1" w:after="1"/>
        <w:rPr>
          <w:b/>
          <w:sz w:val="26"/>
        </w:rPr>
      </w:pPr>
    </w:p>
    <w:tbl>
      <w:tblPr>
        <w:tblW w:w="0" w:type="auto"/>
        <w:jc w:val="left"/>
        <w:tblInd w:w="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56"/>
        <w:gridCol w:w="1738"/>
        <w:gridCol w:w="1606"/>
        <w:gridCol w:w="1430"/>
        <w:gridCol w:w="1591"/>
        <w:gridCol w:w="1580"/>
      </w:tblGrid>
      <w:tr>
        <w:trPr>
          <w:trHeight w:val="742" w:hRule="exact"/>
        </w:trPr>
        <w:tc>
          <w:tcPr>
            <w:tcW w:w="1656" w:type="dxa"/>
            <w:tcBorders>
              <w:left w:val="nil"/>
              <w:right w:val="nil"/>
            </w:tcBorders>
          </w:tcPr>
          <w:p>
            <w:pPr>
              <w:pStyle w:val="TableParagraph"/>
              <w:ind w:left="108" w:right="88" w:firstLine="252"/>
              <w:rPr>
                <w:b/>
                <w:sz w:val="24"/>
              </w:rPr>
            </w:pPr>
            <w:r>
              <w:rPr>
                <w:b/>
                <w:sz w:val="24"/>
              </w:rPr>
              <w:t>Variable Dependiente</w:t>
            </w:r>
          </w:p>
        </w:tc>
        <w:tc>
          <w:tcPr>
            <w:tcW w:w="1738" w:type="dxa"/>
            <w:tcBorders>
              <w:left w:val="nil"/>
              <w:right w:val="nil"/>
            </w:tcBorders>
          </w:tcPr>
          <w:p>
            <w:pPr>
              <w:pStyle w:val="TableParagraph"/>
              <w:ind w:left="215" w:right="196" w:firstLine="72"/>
              <w:rPr>
                <w:b/>
                <w:sz w:val="24"/>
              </w:rPr>
            </w:pPr>
            <w:r>
              <w:rPr>
                <w:b/>
                <w:sz w:val="24"/>
              </w:rPr>
              <w:t>Definición Conceptual</w:t>
            </w:r>
          </w:p>
        </w:tc>
        <w:tc>
          <w:tcPr>
            <w:tcW w:w="1606" w:type="dxa"/>
            <w:tcBorders>
              <w:left w:val="nil"/>
              <w:right w:val="nil"/>
            </w:tcBorders>
          </w:tcPr>
          <w:p>
            <w:pPr>
              <w:pStyle w:val="TableParagraph"/>
              <w:ind w:left="109" w:right="89" w:firstLine="112"/>
              <w:rPr>
                <w:b/>
                <w:sz w:val="24"/>
              </w:rPr>
            </w:pPr>
            <w:r>
              <w:rPr>
                <w:b/>
                <w:sz w:val="24"/>
              </w:rPr>
              <w:t>Definición Operacional</w:t>
            </w:r>
          </w:p>
        </w:tc>
        <w:tc>
          <w:tcPr>
            <w:tcW w:w="1430" w:type="dxa"/>
            <w:tcBorders>
              <w:left w:val="nil"/>
              <w:right w:val="nil"/>
            </w:tcBorders>
          </w:tcPr>
          <w:p>
            <w:pPr>
              <w:pStyle w:val="TableParagraph"/>
              <w:ind w:left="294" w:right="182" w:firstLine="38"/>
              <w:rPr>
                <w:b/>
                <w:sz w:val="24"/>
              </w:rPr>
            </w:pPr>
            <w:r>
              <w:rPr>
                <w:b/>
                <w:sz w:val="24"/>
              </w:rPr>
              <w:t>Tipo de Variable</w:t>
            </w:r>
          </w:p>
        </w:tc>
        <w:tc>
          <w:tcPr>
            <w:tcW w:w="1591" w:type="dxa"/>
            <w:tcBorders>
              <w:left w:val="nil"/>
              <w:right w:val="nil"/>
            </w:tcBorders>
          </w:tcPr>
          <w:p>
            <w:pPr>
              <w:pStyle w:val="TableParagraph"/>
              <w:ind w:left="342" w:right="131" w:hanging="63"/>
              <w:rPr>
                <w:b/>
                <w:sz w:val="24"/>
              </w:rPr>
            </w:pPr>
            <w:r>
              <w:rPr>
                <w:b/>
                <w:sz w:val="24"/>
              </w:rPr>
              <w:t>Unidad de Medición</w:t>
            </w:r>
          </w:p>
        </w:tc>
        <w:tc>
          <w:tcPr>
            <w:tcW w:w="1580" w:type="dxa"/>
            <w:tcBorders>
              <w:left w:val="nil"/>
              <w:right w:val="nil"/>
            </w:tcBorders>
          </w:tcPr>
          <w:p>
            <w:pPr>
              <w:pStyle w:val="TableParagraph"/>
              <w:ind w:left="291" w:right="197" w:hanging="36"/>
              <w:rPr>
                <w:b/>
                <w:sz w:val="24"/>
              </w:rPr>
            </w:pPr>
            <w:r>
              <w:rPr>
                <w:b/>
                <w:sz w:val="24"/>
              </w:rPr>
              <w:t>Escala de Medición</w:t>
            </w:r>
          </w:p>
        </w:tc>
      </w:tr>
      <w:tr>
        <w:trPr>
          <w:trHeight w:val="3223" w:hRule="exact"/>
        </w:trPr>
        <w:tc>
          <w:tcPr>
            <w:tcW w:w="1656" w:type="dxa"/>
            <w:tcBorders>
              <w:left w:val="nil"/>
              <w:bottom w:val="nil"/>
              <w:right w:val="nil"/>
            </w:tcBorders>
          </w:tcPr>
          <w:p>
            <w:pPr>
              <w:pStyle w:val="TableParagraph"/>
              <w:spacing w:line="227" w:lineRule="exact"/>
              <w:ind w:left="520" w:right="88"/>
              <w:rPr>
                <w:b/>
                <w:sz w:val="20"/>
              </w:rPr>
            </w:pPr>
            <w:r>
              <w:rPr>
                <w:b/>
                <w:sz w:val="20"/>
              </w:rPr>
              <w:t>Caries</w:t>
            </w:r>
          </w:p>
        </w:tc>
        <w:tc>
          <w:tcPr>
            <w:tcW w:w="1738" w:type="dxa"/>
            <w:tcBorders>
              <w:left w:val="nil"/>
              <w:bottom w:val="nil"/>
              <w:right w:val="nil"/>
            </w:tcBorders>
          </w:tcPr>
          <w:p>
            <w:pPr>
              <w:pStyle w:val="TableParagraph"/>
              <w:ind w:left="107" w:right="107"/>
              <w:rPr>
                <w:sz w:val="20"/>
              </w:rPr>
            </w:pPr>
            <w:r>
              <w:rPr>
                <w:sz w:val="20"/>
              </w:rPr>
              <w:t>Proceso patológico de origen externo que se inicia después de la erupción y ocasiona un </w:t>
            </w:r>
            <w:r>
              <w:rPr>
                <w:w w:val="95"/>
                <w:sz w:val="20"/>
              </w:rPr>
              <w:t>reblandecimiento </w:t>
            </w:r>
            <w:r>
              <w:rPr>
                <w:sz w:val="20"/>
              </w:rPr>
              <w:t>del tejido duro del diente, evolucionando hacia la formación</w:t>
            </w:r>
            <w:r>
              <w:rPr>
                <w:spacing w:val="-3"/>
                <w:sz w:val="20"/>
              </w:rPr>
              <w:t> </w:t>
            </w:r>
            <w:r>
              <w:rPr>
                <w:sz w:val="20"/>
              </w:rPr>
              <w:t>de</w:t>
            </w:r>
          </w:p>
          <w:p>
            <w:pPr>
              <w:pStyle w:val="TableParagraph"/>
              <w:tabs>
                <w:tab w:pos="107" w:val="left" w:leader="none"/>
                <w:tab w:pos="7944" w:val="left" w:leader="none"/>
              </w:tabs>
              <w:ind w:left="-1671" w:right="-6207"/>
              <w:rPr>
                <w:sz w:val="20"/>
              </w:rPr>
            </w:pPr>
            <w:r>
              <w:rPr>
                <w:w w:val="99"/>
                <w:sz w:val="20"/>
                <w:u w:val="single"/>
              </w:rPr>
              <w:t> </w:t>
            </w:r>
            <w:r>
              <w:rPr>
                <w:sz w:val="20"/>
                <w:u w:val="single"/>
              </w:rPr>
              <w:tab/>
              <w:t>una</w:t>
            </w:r>
            <w:r>
              <w:rPr>
                <w:spacing w:val="-7"/>
                <w:sz w:val="20"/>
                <w:u w:val="single"/>
              </w:rPr>
              <w:t> </w:t>
            </w:r>
            <w:r>
              <w:rPr>
                <w:sz w:val="20"/>
                <w:u w:val="single"/>
              </w:rPr>
              <w:t>cavidad.</w:t>
              <w:tab/>
            </w:r>
          </w:p>
        </w:tc>
        <w:tc>
          <w:tcPr>
            <w:tcW w:w="1606" w:type="dxa"/>
            <w:tcBorders>
              <w:left w:val="nil"/>
              <w:bottom w:val="nil"/>
              <w:right w:val="nil"/>
            </w:tcBorders>
          </w:tcPr>
          <w:p>
            <w:pPr>
              <w:pStyle w:val="TableParagraph"/>
              <w:ind w:left="109" w:right="140"/>
              <w:rPr>
                <w:sz w:val="20"/>
              </w:rPr>
            </w:pPr>
            <w:r>
              <w:rPr>
                <w:sz w:val="20"/>
              </w:rPr>
              <w:t>Detección clinica y visual de la</w:t>
            </w:r>
            <w:r>
              <w:rPr>
                <w:spacing w:val="-7"/>
                <w:sz w:val="20"/>
              </w:rPr>
              <w:t> </w:t>
            </w:r>
            <w:r>
              <w:rPr>
                <w:sz w:val="20"/>
              </w:rPr>
              <w:t>presencia de caries en todos los órganos dentarios de los participantes</w:t>
            </w:r>
          </w:p>
        </w:tc>
        <w:tc>
          <w:tcPr>
            <w:tcW w:w="1430" w:type="dxa"/>
            <w:tcBorders>
              <w:left w:val="nil"/>
              <w:bottom w:val="nil"/>
              <w:right w:val="nil"/>
            </w:tcBorders>
          </w:tcPr>
          <w:p>
            <w:pPr>
              <w:pStyle w:val="TableParagraph"/>
              <w:ind w:left="107" w:right="182"/>
              <w:rPr>
                <w:sz w:val="20"/>
              </w:rPr>
            </w:pPr>
            <w:r>
              <w:rPr>
                <w:w w:val="95"/>
                <w:sz w:val="20"/>
              </w:rPr>
              <w:t>Cualitativa </w:t>
            </w:r>
            <w:r>
              <w:rPr>
                <w:sz w:val="20"/>
              </w:rPr>
              <w:t>nominal</w:t>
            </w:r>
          </w:p>
        </w:tc>
        <w:tc>
          <w:tcPr>
            <w:tcW w:w="1591" w:type="dxa"/>
            <w:tcBorders>
              <w:left w:val="nil"/>
              <w:bottom w:val="nil"/>
              <w:right w:val="nil"/>
            </w:tcBorders>
          </w:tcPr>
          <w:p>
            <w:pPr>
              <w:pStyle w:val="TableParagraph"/>
              <w:ind w:left="201" w:right="679"/>
              <w:jc w:val="both"/>
              <w:rPr>
                <w:sz w:val="20"/>
              </w:rPr>
            </w:pPr>
            <w:r>
              <w:rPr>
                <w:sz w:val="20"/>
              </w:rPr>
              <w:t>Tipo de </w:t>
            </w:r>
            <w:r>
              <w:rPr>
                <w:w w:val="95"/>
                <w:sz w:val="20"/>
              </w:rPr>
              <w:t>variante </w:t>
            </w:r>
            <w:r>
              <w:rPr>
                <w:sz w:val="20"/>
              </w:rPr>
              <w:t>alélica</w:t>
            </w:r>
          </w:p>
        </w:tc>
        <w:tc>
          <w:tcPr>
            <w:tcW w:w="1580" w:type="dxa"/>
            <w:tcBorders>
              <w:left w:val="nil"/>
              <w:bottom w:val="nil"/>
              <w:right w:val="nil"/>
            </w:tcBorders>
          </w:tcPr>
          <w:p>
            <w:pPr>
              <w:pStyle w:val="TableParagraph"/>
              <w:ind w:left="149" w:right="197"/>
              <w:rPr>
                <w:sz w:val="20"/>
              </w:rPr>
            </w:pPr>
            <w:r>
              <w:rPr>
                <w:sz w:val="20"/>
              </w:rPr>
              <w:t>Lesión </w:t>
            </w:r>
            <w:r>
              <w:rPr>
                <w:w w:val="95"/>
                <w:sz w:val="20"/>
              </w:rPr>
              <w:t>superficial </w:t>
            </w:r>
            <w:r>
              <w:rPr>
                <w:sz w:val="20"/>
              </w:rPr>
              <w:t>Lesión cavitada</w:t>
            </w:r>
          </w:p>
        </w:tc>
      </w:tr>
    </w:tbl>
    <w:p>
      <w:pPr>
        <w:pStyle w:val="BodyText"/>
        <w:rPr>
          <w:b/>
          <w:sz w:val="20"/>
        </w:rPr>
      </w:pPr>
    </w:p>
    <w:p>
      <w:pPr>
        <w:pStyle w:val="BodyText"/>
        <w:rPr>
          <w:b/>
          <w:sz w:val="20"/>
        </w:rPr>
      </w:pPr>
    </w:p>
    <w:p>
      <w:pPr>
        <w:pStyle w:val="BodyText"/>
        <w:rPr>
          <w:b/>
          <w:sz w:val="20"/>
        </w:rPr>
      </w:pPr>
    </w:p>
    <w:p>
      <w:pPr>
        <w:pStyle w:val="BodyText"/>
        <w:spacing w:before="10"/>
        <w:rPr>
          <w:b/>
          <w:sz w:val="27"/>
        </w:rPr>
      </w:pPr>
    </w:p>
    <w:tbl>
      <w:tblPr>
        <w:tblW w:w="0" w:type="auto"/>
        <w:jc w:val="left"/>
        <w:tblInd w:w="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707"/>
        <w:gridCol w:w="1584"/>
        <w:gridCol w:w="1585"/>
        <w:gridCol w:w="1530"/>
        <w:gridCol w:w="1636"/>
        <w:gridCol w:w="1559"/>
      </w:tblGrid>
      <w:tr>
        <w:trPr>
          <w:trHeight w:val="602" w:hRule="exact"/>
        </w:trPr>
        <w:tc>
          <w:tcPr>
            <w:tcW w:w="1707" w:type="dxa"/>
            <w:tcBorders>
              <w:left w:val="nil"/>
              <w:right w:val="nil"/>
            </w:tcBorders>
          </w:tcPr>
          <w:p>
            <w:pPr>
              <w:pStyle w:val="TableParagraph"/>
              <w:spacing w:line="252" w:lineRule="exact"/>
              <w:ind w:left="108" w:right="88" w:firstLine="256"/>
              <w:rPr>
                <w:b/>
                <w:sz w:val="22"/>
              </w:rPr>
            </w:pPr>
            <w:r>
              <w:rPr>
                <w:b/>
                <w:sz w:val="22"/>
              </w:rPr>
              <w:t>Variables Independiente</w:t>
            </w:r>
          </w:p>
        </w:tc>
        <w:tc>
          <w:tcPr>
            <w:tcW w:w="1584" w:type="dxa"/>
            <w:tcBorders>
              <w:left w:val="nil"/>
              <w:right w:val="nil"/>
            </w:tcBorders>
          </w:tcPr>
          <w:p>
            <w:pPr>
              <w:pStyle w:val="TableParagraph"/>
              <w:spacing w:line="252" w:lineRule="exact"/>
              <w:ind w:left="193" w:right="173" w:firstLine="67"/>
              <w:rPr>
                <w:b/>
                <w:sz w:val="22"/>
              </w:rPr>
            </w:pPr>
            <w:r>
              <w:rPr>
                <w:b/>
                <w:sz w:val="22"/>
              </w:rPr>
              <w:t>Definición Conceptual</w:t>
            </w:r>
          </w:p>
        </w:tc>
        <w:tc>
          <w:tcPr>
            <w:tcW w:w="1585" w:type="dxa"/>
            <w:tcBorders>
              <w:left w:val="nil"/>
              <w:right w:val="nil"/>
            </w:tcBorders>
          </w:tcPr>
          <w:p>
            <w:pPr>
              <w:pStyle w:val="TableParagraph"/>
              <w:spacing w:line="252" w:lineRule="exact"/>
              <w:ind w:left="162" w:right="131" w:firstLine="103"/>
              <w:rPr>
                <w:b/>
                <w:sz w:val="22"/>
              </w:rPr>
            </w:pPr>
            <w:r>
              <w:rPr>
                <w:b/>
                <w:sz w:val="22"/>
              </w:rPr>
              <w:t>Definición Operacional</w:t>
            </w:r>
          </w:p>
        </w:tc>
        <w:tc>
          <w:tcPr>
            <w:tcW w:w="1530" w:type="dxa"/>
            <w:tcBorders>
              <w:left w:val="nil"/>
              <w:right w:val="nil"/>
            </w:tcBorders>
          </w:tcPr>
          <w:p>
            <w:pPr>
              <w:pStyle w:val="TableParagraph"/>
              <w:spacing w:line="252" w:lineRule="exact"/>
              <w:ind w:left="365" w:right="288" w:firstLine="38"/>
              <w:rPr>
                <w:b/>
                <w:sz w:val="22"/>
              </w:rPr>
            </w:pPr>
            <w:r>
              <w:rPr>
                <w:b/>
                <w:sz w:val="22"/>
              </w:rPr>
              <w:t>Tipo de Variable</w:t>
            </w:r>
          </w:p>
        </w:tc>
        <w:tc>
          <w:tcPr>
            <w:tcW w:w="1636" w:type="dxa"/>
            <w:tcBorders>
              <w:left w:val="nil"/>
              <w:right w:val="nil"/>
            </w:tcBorders>
          </w:tcPr>
          <w:p>
            <w:pPr>
              <w:pStyle w:val="TableParagraph"/>
              <w:spacing w:line="252" w:lineRule="exact"/>
              <w:ind w:left="362" w:right="248" w:hanging="58"/>
              <w:rPr>
                <w:b/>
                <w:sz w:val="22"/>
              </w:rPr>
            </w:pPr>
            <w:r>
              <w:rPr>
                <w:b/>
                <w:sz w:val="22"/>
              </w:rPr>
              <w:t>Unidad de Medición</w:t>
            </w:r>
          </w:p>
        </w:tc>
        <w:tc>
          <w:tcPr>
            <w:tcW w:w="1559" w:type="dxa"/>
            <w:tcBorders>
              <w:left w:val="nil"/>
              <w:right w:val="nil"/>
            </w:tcBorders>
          </w:tcPr>
          <w:p>
            <w:pPr>
              <w:pStyle w:val="TableParagraph"/>
              <w:spacing w:line="252" w:lineRule="exact"/>
              <w:ind w:left="296" w:right="259" w:hanging="32"/>
              <w:rPr>
                <w:b/>
                <w:sz w:val="22"/>
              </w:rPr>
            </w:pPr>
            <w:r>
              <w:rPr>
                <w:b/>
                <w:sz w:val="22"/>
              </w:rPr>
              <w:t>Escala de Medición</w:t>
            </w:r>
          </w:p>
        </w:tc>
      </w:tr>
      <w:tr>
        <w:trPr>
          <w:trHeight w:val="2993" w:hRule="exact"/>
        </w:trPr>
        <w:tc>
          <w:tcPr>
            <w:tcW w:w="1707" w:type="dxa"/>
            <w:tcBorders>
              <w:left w:val="nil"/>
              <w:bottom w:val="nil"/>
              <w:right w:val="nil"/>
            </w:tcBorders>
          </w:tcPr>
          <w:p>
            <w:pPr>
              <w:pStyle w:val="TableParagraph"/>
              <w:spacing w:line="227" w:lineRule="exact"/>
              <w:ind w:left="508" w:right="88"/>
              <w:rPr>
                <w:b/>
                <w:sz w:val="20"/>
              </w:rPr>
            </w:pPr>
            <w:r>
              <w:rPr>
                <w:b/>
                <w:sz w:val="20"/>
              </w:rPr>
              <w:t>GSTM1</w:t>
            </w:r>
          </w:p>
        </w:tc>
        <w:tc>
          <w:tcPr>
            <w:tcW w:w="1584" w:type="dxa"/>
            <w:tcBorders>
              <w:left w:val="nil"/>
              <w:bottom w:val="nil"/>
              <w:right w:val="nil"/>
            </w:tcBorders>
          </w:tcPr>
          <w:p>
            <w:pPr>
              <w:pStyle w:val="TableParagraph"/>
              <w:ind w:left="106" w:right="90"/>
              <w:rPr>
                <w:sz w:val="20"/>
              </w:rPr>
            </w:pPr>
            <w:r>
              <w:rPr>
                <w:sz w:val="20"/>
              </w:rPr>
              <w:t>El gen GSTM1 ubicado en el cromosoma 1, región p13.3, está formado por 8 exones, tiene una longitud de 4.2 kb. y es polimórfico, ya que cuenta con 4 variantes</w:t>
            </w:r>
          </w:p>
          <w:p>
            <w:pPr>
              <w:pStyle w:val="TableParagraph"/>
              <w:tabs>
                <w:tab w:pos="106" w:val="left" w:leader="none"/>
                <w:tab w:pos="7893" w:val="left" w:leader="none"/>
              </w:tabs>
              <w:spacing w:line="228" w:lineRule="exact"/>
              <w:ind w:left="-1722" w:right="-6310"/>
              <w:rPr>
                <w:sz w:val="20"/>
              </w:rPr>
            </w:pPr>
            <w:r>
              <w:rPr>
                <w:w w:val="99"/>
                <w:sz w:val="20"/>
                <w:u w:val="single"/>
              </w:rPr>
              <w:t> </w:t>
            </w:r>
            <w:r>
              <w:rPr>
                <w:sz w:val="20"/>
                <w:u w:val="single"/>
              </w:rPr>
              <w:tab/>
              <w:t>alélicas</w:t>
              <w:tab/>
            </w:r>
          </w:p>
        </w:tc>
        <w:tc>
          <w:tcPr>
            <w:tcW w:w="1585" w:type="dxa"/>
            <w:tcBorders>
              <w:left w:val="nil"/>
              <w:bottom w:val="nil"/>
              <w:right w:val="nil"/>
            </w:tcBorders>
          </w:tcPr>
          <w:p>
            <w:pPr>
              <w:pStyle w:val="TableParagraph"/>
              <w:ind w:left="112" w:right="96"/>
              <w:rPr>
                <w:sz w:val="20"/>
              </w:rPr>
            </w:pPr>
            <w:r>
              <w:rPr>
                <w:sz w:val="20"/>
              </w:rPr>
              <w:t>Detección de presencia o ausencia del gen GSTM1 en cada participante</w:t>
            </w:r>
          </w:p>
        </w:tc>
        <w:tc>
          <w:tcPr>
            <w:tcW w:w="1530" w:type="dxa"/>
            <w:tcBorders>
              <w:left w:val="nil"/>
              <w:bottom w:val="nil"/>
              <w:right w:val="nil"/>
            </w:tcBorders>
          </w:tcPr>
          <w:p>
            <w:pPr>
              <w:pStyle w:val="TableParagraph"/>
              <w:ind w:left="118" w:right="288"/>
              <w:rPr>
                <w:sz w:val="20"/>
              </w:rPr>
            </w:pPr>
            <w:r>
              <w:rPr>
                <w:w w:val="95"/>
                <w:sz w:val="20"/>
              </w:rPr>
              <w:t>Cualitativa </w:t>
            </w:r>
            <w:r>
              <w:rPr>
                <w:sz w:val="20"/>
              </w:rPr>
              <w:t>nominal</w:t>
            </w:r>
          </w:p>
        </w:tc>
        <w:tc>
          <w:tcPr>
            <w:tcW w:w="1636" w:type="dxa"/>
            <w:tcBorders>
              <w:left w:val="nil"/>
              <w:bottom w:val="nil"/>
              <w:right w:val="nil"/>
            </w:tcBorders>
          </w:tcPr>
          <w:p>
            <w:pPr/>
          </w:p>
        </w:tc>
        <w:tc>
          <w:tcPr>
            <w:tcW w:w="1559" w:type="dxa"/>
            <w:tcBorders>
              <w:left w:val="nil"/>
              <w:bottom w:val="nil"/>
              <w:right w:val="nil"/>
            </w:tcBorders>
          </w:tcPr>
          <w:p>
            <w:pPr>
              <w:pStyle w:val="TableParagraph"/>
              <w:ind w:left="94" w:right="477"/>
              <w:rPr>
                <w:sz w:val="20"/>
              </w:rPr>
            </w:pPr>
            <w:r>
              <w:rPr>
                <w:sz w:val="20"/>
              </w:rPr>
              <w:t>Presente o nulo</w:t>
            </w:r>
          </w:p>
        </w:tc>
      </w:tr>
    </w:tbl>
    <w:p>
      <w:pPr>
        <w:spacing w:after="0"/>
        <w:rPr>
          <w:sz w:val="20"/>
        </w:rPr>
        <w:sectPr>
          <w:pgSz w:w="12240" w:h="15840"/>
          <w:pgMar w:header="733" w:footer="1039" w:top="1020" w:bottom="1220" w:left="1480" w:right="9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91"/>
        <w:gridCol w:w="1951"/>
        <w:gridCol w:w="1630"/>
        <w:gridCol w:w="1440"/>
        <w:gridCol w:w="1371"/>
        <w:gridCol w:w="1618"/>
      </w:tblGrid>
      <w:tr>
        <w:trPr>
          <w:trHeight w:val="605" w:hRule="exact"/>
        </w:trPr>
        <w:tc>
          <w:tcPr>
            <w:tcW w:w="1591" w:type="dxa"/>
            <w:tcBorders>
              <w:left w:val="nil"/>
              <w:right w:val="nil"/>
            </w:tcBorders>
          </w:tcPr>
          <w:p>
            <w:pPr>
              <w:pStyle w:val="TableParagraph"/>
              <w:ind w:left="122" w:firstLine="232"/>
              <w:rPr>
                <w:b/>
                <w:sz w:val="20"/>
              </w:rPr>
            </w:pPr>
            <w:r>
              <w:rPr>
                <w:b/>
                <w:sz w:val="20"/>
              </w:rPr>
              <w:t>Variables </w:t>
            </w:r>
            <w:r>
              <w:rPr>
                <w:b/>
                <w:w w:val="95"/>
                <w:sz w:val="20"/>
              </w:rPr>
              <w:t>Independiente</w:t>
            </w:r>
          </w:p>
        </w:tc>
        <w:tc>
          <w:tcPr>
            <w:tcW w:w="1951" w:type="dxa"/>
            <w:tcBorders>
              <w:left w:val="nil"/>
              <w:right w:val="nil"/>
            </w:tcBorders>
          </w:tcPr>
          <w:p>
            <w:pPr>
              <w:pStyle w:val="TableParagraph"/>
              <w:ind w:left="436" w:right="137" w:firstLine="62"/>
              <w:rPr>
                <w:b/>
                <w:sz w:val="20"/>
              </w:rPr>
            </w:pPr>
            <w:r>
              <w:rPr>
                <w:b/>
                <w:sz w:val="20"/>
              </w:rPr>
              <w:t>Definición </w:t>
            </w:r>
            <w:r>
              <w:rPr>
                <w:b/>
                <w:w w:val="95"/>
                <w:sz w:val="20"/>
              </w:rPr>
              <w:t>Conceptual</w:t>
            </w:r>
          </w:p>
        </w:tc>
        <w:tc>
          <w:tcPr>
            <w:tcW w:w="1630" w:type="dxa"/>
            <w:tcBorders>
              <w:left w:val="nil"/>
              <w:right w:val="nil"/>
            </w:tcBorders>
          </w:tcPr>
          <w:p>
            <w:pPr>
              <w:pStyle w:val="TableParagraph"/>
              <w:ind w:left="252" w:right="116" w:firstLine="96"/>
              <w:rPr>
                <w:b/>
                <w:sz w:val="20"/>
              </w:rPr>
            </w:pPr>
            <w:r>
              <w:rPr>
                <w:b/>
                <w:sz w:val="20"/>
              </w:rPr>
              <w:t>Definición </w:t>
            </w:r>
            <w:r>
              <w:rPr>
                <w:b/>
                <w:w w:val="95"/>
                <w:sz w:val="20"/>
              </w:rPr>
              <w:t>Operacional</w:t>
            </w:r>
          </w:p>
        </w:tc>
        <w:tc>
          <w:tcPr>
            <w:tcW w:w="1440" w:type="dxa"/>
            <w:tcBorders>
              <w:left w:val="nil"/>
              <w:right w:val="nil"/>
            </w:tcBorders>
          </w:tcPr>
          <w:p>
            <w:pPr>
              <w:pStyle w:val="TableParagraph"/>
              <w:ind w:left="415" w:firstLine="31"/>
              <w:rPr>
                <w:b/>
                <w:sz w:val="20"/>
              </w:rPr>
            </w:pPr>
            <w:r>
              <w:rPr>
                <w:b/>
                <w:sz w:val="20"/>
              </w:rPr>
              <w:t>Tipo de </w:t>
            </w:r>
            <w:r>
              <w:rPr>
                <w:b/>
                <w:w w:val="95"/>
                <w:sz w:val="20"/>
              </w:rPr>
              <w:t>Variable</w:t>
            </w:r>
          </w:p>
        </w:tc>
        <w:tc>
          <w:tcPr>
            <w:tcW w:w="1371" w:type="dxa"/>
            <w:tcBorders>
              <w:left w:val="nil"/>
              <w:right w:val="nil"/>
            </w:tcBorders>
          </w:tcPr>
          <w:p>
            <w:pPr>
              <w:pStyle w:val="TableParagraph"/>
              <w:ind w:left="329" w:right="103" w:hanging="48"/>
              <w:rPr>
                <w:b/>
                <w:sz w:val="20"/>
              </w:rPr>
            </w:pPr>
            <w:r>
              <w:rPr>
                <w:b/>
                <w:sz w:val="20"/>
              </w:rPr>
              <w:t>Unidad de Medición</w:t>
            </w:r>
          </w:p>
        </w:tc>
        <w:tc>
          <w:tcPr>
            <w:tcW w:w="1618" w:type="dxa"/>
            <w:tcBorders>
              <w:left w:val="nil"/>
              <w:right w:val="nil"/>
            </w:tcBorders>
          </w:tcPr>
          <w:p>
            <w:pPr>
              <w:pStyle w:val="TableParagraph"/>
              <w:ind w:left="384" w:right="320" w:hanging="29"/>
              <w:rPr>
                <w:b/>
                <w:sz w:val="20"/>
              </w:rPr>
            </w:pPr>
            <w:r>
              <w:rPr>
                <w:b/>
                <w:sz w:val="20"/>
              </w:rPr>
              <w:t>Escala de Medición</w:t>
            </w:r>
          </w:p>
        </w:tc>
      </w:tr>
      <w:tr>
        <w:trPr>
          <w:trHeight w:val="4272" w:hRule="exact"/>
        </w:trPr>
        <w:tc>
          <w:tcPr>
            <w:tcW w:w="1591" w:type="dxa"/>
            <w:tcBorders>
              <w:left w:val="nil"/>
              <w:bottom w:val="nil"/>
              <w:right w:val="nil"/>
            </w:tcBorders>
          </w:tcPr>
          <w:p>
            <w:pPr>
              <w:pStyle w:val="TableParagraph"/>
              <w:spacing w:line="225" w:lineRule="exact"/>
              <w:ind w:left="472"/>
              <w:rPr>
                <w:b/>
                <w:sz w:val="20"/>
              </w:rPr>
            </w:pPr>
            <w:r>
              <w:rPr>
                <w:b/>
                <w:sz w:val="20"/>
              </w:rPr>
              <w:t>GSTP1</w:t>
            </w:r>
          </w:p>
        </w:tc>
        <w:tc>
          <w:tcPr>
            <w:tcW w:w="1951" w:type="dxa"/>
            <w:tcBorders>
              <w:left w:val="nil"/>
              <w:bottom w:val="nil"/>
              <w:right w:val="nil"/>
            </w:tcBorders>
          </w:tcPr>
          <w:p>
            <w:pPr>
              <w:pStyle w:val="TableParagraph"/>
              <w:ind w:left="115" w:right="137"/>
              <w:rPr>
                <w:sz w:val="20"/>
              </w:rPr>
            </w:pPr>
            <w:r>
              <w:rPr>
                <w:sz w:val="20"/>
              </w:rPr>
              <w:t>La secuencia de este gen se localiza en el cromosoma 11, Es polimórfico, cuenta con tres variantes alélicas: GSTP1a, alelo silvestre; GSTP1b, este polimorfismo se encuentra ubicado en el exon 5.</w:t>
            </w:r>
          </w:p>
          <w:p>
            <w:pPr>
              <w:pStyle w:val="TableParagraph"/>
              <w:ind w:left="115" w:right="170"/>
              <w:rPr>
                <w:sz w:val="20"/>
              </w:rPr>
            </w:pPr>
            <w:r>
              <w:rPr>
                <w:sz w:val="20"/>
              </w:rPr>
              <w:t>GSTP1c, posee la misma mutación que GSTP1b en el exón 5 y una segunda mutación en el exón 6</w:t>
            </w:r>
          </w:p>
        </w:tc>
        <w:tc>
          <w:tcPr>
            <w:tcW w:w="1630" w:type="dxa"/>
            <w:tcBorders>
              <w:left w:val="nil"/>
              <w:bottom w:val="nil"/>
              <w:right w:val="nil"/>
            </w:tcBorders>
          </w:tcPr>
          <w:p>
            <w:pPr>
              <w:pStyle w:val="TableParagraph"/>
              <w:ind w:left="115" w:right="116"/>
              <w:rPr>
                <w:sz w:val="20"/>
              </w:rPr>
            </w:pPr>
            <w:r>
              <w:rPr>
                <w:sz w:val="20"/>
              </w:rPr>
              <w:t>Detección de las variantes alélicas del gen GSTP1</w:t>
            </w:r>
          </w:p>
        </w:tc>
        <w:tc>
          <w:tcPr>
            <w:tcW w:w="1440" w:type="dxa"/>
            <w:tcBorders>
              <w:left w:val="nil"/>
              <w:bottom w:val="nil"/>
              <w:right w:val="nil"/>
            </w:tcBorders>
          </w:tcPr>
          <w:p>
            <w:pPr>
              <w:pStyle w:val="TableParagraph"/>
              <w:ind w:left="137"/>
              <w:rPr>
                <w:sz w:val="20"/>
              </w:rPr>
            </w:pPr>
            <w:r>
              <w:rPr>
                <w:w w:val="95"/>
                <w:sz w:val="20"/>
              </w:rPr>
              <w:t>Cualitativa </w:t>
            </w:r>
            <w:r>
              <w:rPr>
                <w:sz w:val="20"/>
              </w:rPr>
              <w:t>nominal</w:t>
            </w:r>
          </w:p>
        </w:tc>
        <w:tc>
          <w:tcPr>
            <w:tcW w:w="1371" w:type="dxa"/>
            <w:tcBorders>
              <w:left w:val="nil"/>
              <w:bottom w:val="nil"/>
              <w:right w:val="nil"/>
            </w:tcBorders>
          </w:tcPr>
          <w:p>
            <w:pPr>
              <w:pStyle w:val="TableParagraph"/>
              <w:ind w:left="248" w:right="413"/>
              <w:jc w:val="both"/>
              <w:rPr>
                <w:sz w:val="20"/>
              </w:rPr>
            </w:pPr>
            <w:r>
              <w:rPr>
                <w:sz w:val="20"/>
              </w:rPr>
              <w:t>Tipo de </w:t>
            </w:r>
            <w:r>
              <w:rPr>
                <w:w w:val="95"/>
                <w:sz w:val="20"/>
              </w:rPr>
              <w:t>variante </w:t>
            </w:r>
            <w:r>
              <w:rPr>
                <w:sz w:val="20"/>
              </w:rPr>
              <w:t>alélica</w:t>
            </w:r>
          </w:p>
        </w:tc>
        <w:tc>
          <w:tcPr>
            <w:tcW w:w="1618" w:type="dxa"/>
            <w:tcBorders>
              <w:left w:val="nil"/>
              <w:bottom w:val="nil"/>
              <w:right w:val="nil"/>
            </w:tcBorders>
          </w:tcPr>
          <w:p>
            <w:pPr>
              <w:pStyle w:val="TableParagraph"/>
              <w:ind w:left="125" w:right="724"/>
              <w:jc w:val="both"/>
              <w:rPr>
                <w:sz w:val="20"/>
              </w:rPr>
            </w:pPr>
            <w:r>
              <w:rPr>
                <w:sz w:val="20"/>
              </w:rPr>
              <w:t>Variante silvestre GSTP1a</w:t>
            </w:r>
          </w:p>
          <w:p>
            <w:pPr>
              <w:pStyle w:val="TableParagraph"/>
              <w:ind w:left="125" w:right="317"/>
              <w:rPr>
                <w:sz w:val="20"/>
              </w:rPr>
            </w:pPr>
            <w:r>
              <w:rPr>
                <w:sz w:val="20"/>
              </w:rPr>
              <w:t>Polimorfismo GSTP1b</w:t>
            </w:r>
          </w:p>
          <w:p>
            <w:pPr>
              <w:pStyle w:val="TableParagraph"/>
              <w:ind w:left="125" w:right="317"/>
              <w:rPr>
                <w:sz w:val="20"/>
              </w:rPr>
            </w:pPr>
            <w:r>
              <w:rPr>
                <w:sz w:val="20"/>
              </w:rPr>
              <w:t>Polimorfismo GSTP1c</w:t>
            </w:r>
          </w:p>
        </w:tc>
      </w:tr>
      <w:tr>
        <w:trPr>
          <w:trHeight w:val="6541" w:hRule="exact"/>
        </w:trPr>
        <w:tc>
          <w:tcPr>
            <w:tcW w:w="1591" w:type="dxa"/>
            <w:tcBorders>
              <w:top w:val="nil"/>
              <w:left w:val="nil"/>
              <w:bottom w:val="nil"/>
              <w:right w:val="nil"/>
            </w:tcBorders>
          </w:tcPr>
          <w:p>
            <w:pPr>
              <w:pStyle w:val="TableParagraph"/>
              <w:spacing w:before="103"/>
              <w:ind w:left="108"/>
              <w:rPr>
                <w:b/>
                <w:sz w:val="20"/>
              </w:rPr>
            </w:pPr>
            <w:r>
              <w:rPr>
                <w:b/>
                <w:sz w:val="20"/>
              </w:rPr>
              <w:t>GSTT1</w:t>
            </w:r>
          </w:p>
        </w:tc>
        <w:tc>
          <w:tcPr>
            <w:tcW w:w="1951" w:type="dxa"/>
            <w:tcBorders>
              <w:top w:val="nil"/>
              <w:left w:val="nil"/>
              <w:bottom w:val="nil"/>
              <w:right w:val="nil"/>
            </w:tcBorders>
          </w:tcPr>
          <w:p>
            <w:pPr>
              <w:pStyle w:val="TableParagraph"/>
              <w:spacing w:before="106"/>
              <w:ind w:left="115" w:right="137"/>
              <w:rPr>
                <w:sz w:val="20"/>
              </w:rPr>
            </w:pPr>
            <w:r>
              <w:rPr>
                <w:sz w:val="20"/>
              </w:rPr>
              <w:t>Este gen se encuentra ubicado en el cromosoma 22, región p11.2</w:t>
            </w:r>
          </w:p>
          <w:p>
            <w:pPr>
              <w:pStyle w:val="TableParagraph"/>
              <w:ind w:left="115" w:right="103"/>
              <w:rPr>
                <w:sz w:val="20"/>
              </w:rPr>
            </w:pPr>
            <w:r>
              <w:rPr>
                <w:sz w:val="20"/>
              </w:rPr>
              <w:t>(Figura 3), está conformado por cinco exones y se encuentra flanqueado por dos regiones homologas HA3 y HA5. Es</w:t>
            </w:r>
          </w:p>
          <w:p>
            <w:pPr>
              <w:pStyle w:val="TableParagraph"/>
              <w:ind w:left="115"/>
              <w:rPr>
                <w:sz w:val="20"/>
              </w:rPr>
            </w:pPr>
            <w:r>
              <w:rPr>
                <w:sz w:val="20"/>
              </w:rPr>
              <w:t>polimórfico y posee dos variantes, GSTT1 silvestre y GSTT1 0 o nulo.</w:t>
            </w:r>
          </w:p>
          <w:p>
            <w:pPr>
              <w:pStyle w:val="TableParagraph"/>
              <w:ind w:left="115" w:right="112"/>
              <w:rPr>
                <w:sz w:val="20"/>
              </w:rPr>
            </w:pPr>
            <w:r>
              <w:rPr>
                <w:sz w:val="20"/>
              </w:rPr>
              <w:t>Este último polimorfismo es consecuencia de una recombinación homóloga de las regiones HA3 y HA5 que dan como resultado una delesión de 5.4 kb y en consecuencia la enzima no se</w:t>
            </w:r>
          </w:p>
          <w:p>
            <w:pPr>
              <w:pStyle w:val="TableParagraph"/>
              <w:tabs>
                <w:tab w:pos="114" w:val="left" w:leader="none"/>
                <w:tab w:pos="8010" w:val="left" w:leader="none"/>
              </w:tabs>
              <w:ind w:left="-1606" w:right="-6060"/>
              <w:rPr>
                <w:sz w:val="20"/>
              </w:rPr>
            </w:pPr>
            <w:r>
              <w:rPr>
                <w:w w:val="99"/>
                <w:sz w:val="20"/>
                <w:u w:val="single"/>
              </w:rPr>
              <w:t> </w:t>
            </w:r>
            <w:r>
              <w:rPr>
                <w:sz w:val="20"/>
                <w:u w:val="single"/>
              </w:rPr>
              <w:tab/>
              <w:t>traduce</w:t>
              <w:tab/>
            </w:r>
          </w:p>
        </w:tc>
        <w:tc>
          <w:tcPr>
            <w:tcW w:w="1630" w:type="dxa"/>
            <w:tcBorders>
              <w:top w:val="nil"/>
              <w:left w:val="nil"/>
              <w:bottom w:val="nil"/>
              <w:right w:val="nil"/>
            </w:tcBorders>
          </w:tcPr>
          <w:p>
            <w:pPr>
              <w:pStyle w:val="TableParagraph"/>
              <w:spacing w:before="106"/>
              <w:ind w:left="115" w:right="116"/>
              <w:rPr>
                <w:sz w:val="20"/>
              </w:rPr>
            </w:pPr>
            <w:r>
              <w:rPr>
                <w:sz w:val="20"/>
              </w:rPr>
              <w:t>Detección de las variantes alélicas del gen GSTT1</w:t>
            </w:r>
          </w:p>
        </w:tc>
        <w:tc>
          <w:tcPr>
            <w:tcW w:w="1440" w:type="dxa"/>
            <w:tcBorders>
              <w:top w:val="nil"/>
              <w:left w:val="nil"/>
              <w:bottom w:val="nil"/>
              <w:right w:val="nil"/>
            </w:tcBorders>
          </w:tcPr>
          <w:p>
            <w:pPr>
              <w:pStyle w:val="TableParagraph"/>
              <w:spacing w:before="106"/>
              <w:ind w:left="137"/>
              <w:rPr>
                <w:sz w:val="20"/>
              </w:rPr>
            </w:pPr>
            <w:r>
              <w:rPr>
                <w:w w:val="95"/>
                <w:sz w:val="20"/>
              </w:rPr>
              <w:t>Cualitativa </w:t>
            </w:r>
            <w:r>
              <w:rPr>
                <w:sz w:val="20"/>
              </w:rPr>
              <w:t>nominal</w:t>
            </w:r>
          </w:p>
        </w:tc>
        <w:tc>
          <w:tcPr>
            <w:tcW w:w="1371" w:type="dxa"/>
            <w:tcBorders>
              <w:top w:val="nil"/>
              <w:left w:val="nil"/>
              <w:bottom w:val="nil"/>
              <w:right w:val="nil"/>
            </w:tcBorders>
          </w:tcPr>
          <w:p>
            <w:pPr>
              <w:pStyle w:val="TableParagraph"/>
              <w:spacing w:before="106"/>
              <w:ind w:left="248" w:right="413"/>
              <w:jc w:val="both"/>
              <w:rPr>
                <w:sz w:val="20"/>
              </w:rPr>
            </w:pPr>
            <w:r>
              <w:rPr>
                <w:sz w:val="20"/>
              </w:rPr>
              <w:t>Tipo de </w:t>
            </w:r>
            <w:r>
              <w:rPr>
                <w:w w:val="95"/>
                <w:sz w:val="20"/>
              </w:rPr>
              <w:t>variante </w:t>
            </w:r>
            <w:r>
              <w:rPr>
                <w:sz w:val="20"/>
              </w:rPr>
              <w:t>alélica</w:t>
            </w:r>
          </w:p>
        </w:tc>
        <w:tc>
          <w:tcPr>
            <w:tcW w:w="1618" w:type="dxa"/>
            <w:tcBorders>
              <w:top w:val="nil"/>
              <w:left w:val="nil"/>
              <w:bottom w:val="nil"/>
              <w:right w:val="nil"/>
            </w:tcBorders>
          </w:tcPr>
          <w:p>
            <w:pPr>
              <w:pStyle w:val="TableParagraph"/>
              <w:spacing w:before="106"/>
              <w:ind w:left="125" w:right="505"/>
              <w:rPr>
                <w:sz w:val="20"/>
              </w:rPr>
            </w:pPr>
            <w:r>
              <w:rPr>
                <w:sz w:val="20"/>
              </w:rPr>
              <w:t>Presente o nulo</w:t>
            </w:r>
          </w:p>
        </w:tc>
      </w:tr>
    </w:tbl>
    <w:p>
      <w:pPr>
        <w:spacing w:after="0"/>
        <w:rPr>
          <w:sz w:val="20"/>
        </w:rPr>
        <w:sectPr>
          <w:pgSz w:w="12240" w:h="15840"/>
          <w:pgMar w:header="733" w:footer="1039" w:top="1020" w:bottom="1220" w:left="1480" w:right="940"/>
        </w:sectPr>
      </w:pPr>
    </w:p>
    <w:p>
      <w:pPr>
        <w:pStyle w:val="BodyText"/>
        <w:rPr>
          <w:rFonts w:ascii="Times New Roman"/>
          <w:sz w:val="20"/>
        </w:rPr>
      </w:pPr>
    </w:p>
    <w:p>
      <w:pPr>
        <w:pStyle w:val="BodyText"/>
        <w:rPr>
          <w:rFonts w:ascii="Times New Roman"/>
          <w:sz w:val="20"/>
        </w:rPr>
      </w:pPr>
    </w:p>
    <w:p>
      <w:pPr>
        <w:pStyle w:val="BodyText"/>
        <w:rPr>
          <w:rFonts w:ascii="Times New Roman"/>
          <w:sz w:val="27"/>
        </w:rPr>
      </w:pPr>
    </w:p>
    <w:tbl>
      <w:tblPr>
        <w:tblW w:w="0" w:type="auto"/>
        <w:jc w:val="left"/>
        <w:tblInd w:w="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68"/>
        <w:gridCol w:w="1523"/>
        <w:gridCol w:w="1865"/>
        <w:gridCol w:w="1351"/>
        <w:gridCol w:w="1413"/>
        <w:gridCol w:w="1881"/>
      </w:tblGrid>
      <w:tr>
        <w:trPr>
          <w:trHeight w:val="562" w:hRule="exact"/>
        </w:trPr>
        <w:tc>
          <w:tcPr>
            <w:tcW w:w="1568" w:type="dxa"/>
            <w:tcBorders>
              <w:left w:val="nil"/>
              <w:right w:val="nil"/>
            </w:tcBorders>
          </w:tcPr>
          <w:p>
            <w:pPr>
              <w:pStyle w:val="TableParagraph"/>
              <w:ind w:left="115" w:firstLine="232"/>
              <w:rPr>
                <w:b/>
                <w:sz w:val="20"/>
              </w:rPr>
            </w:pPr>
            <w:r>
              <w:rPr>
                <w:b/>
                <w:sz w:val="20"/>
              </w:rPr>
              <w:t>Variables </w:t>
            </w:r>
            <w:r>
              <w:rPr>
                <w:b/>
                <w:w w:val="95"/>
                <w:sz w:val="20"/>
              </w:rPr>
              <w:t>Independiente</w:t>
            </w:r>
          </w:p>
        </w:tc>
        <w:tc>
          <w:tcPr>
            <w:tcW w:w="1523" w:type="dxa"/>
            <w:tcBorders>
              <w:left w:val="nil"/>
              <w:right w:val="nil"/>
            </w:tcBorders>
          </w:tcPr>
          <w:p>
            <w:pPr>
              <w:pStyle w:val="TableParagraph"/>
              <w:ind w:left="193" w:right="24" w:firstLine="62"/>
              <w:rPr>
                <w:b/>
                <w:sz w:val="20"/>
              </w:rPr>
            </w:pPr>
            <w:r>
              <w:rPr>
                <w:b/>
                <w:sz w:val="20"/>
              </w:rPr>
              <w:t>Definición </w:t>
            </w:r>
            <w:r>
              <w:rPr>
                <w:b/>
                <w:w w:val="95"/>
                <w:sz w:val="20"/>
              </w:rPr>
              <w:t>Conceptual</w:t>
            </w:r>
          </w:p>
        </w:tc>
        <w:tc>
          <w:tcPr>
            <w:tcW w:w="1865" w:type="dxa"/>
            <w:tcBorders>
              <w:left w:val="nil"/>
              <w:right w:val="nil"/>
            </w:tcBorders>
          </w:tcPr>
          <w:p>
            <w:pPr>
              <w:pStyle w:val="TableParagraph"/>
              <w:ind w:left="325" w:right="109" w:firstLine="96"/>
              <w:rPr>
                <w:b/>
                <w:sz w:val="20"/>
              </w:rPr>
            </w:pPr>
            <w:r>
              <w:rPr>
                <w:b/>
                <w:sz w:val="20"/>
              </w:rPr>
              <w:t>Definición </w:t>
            </w:r>
            <w:r>
              <w:rPr>
                <w:b/>
                <w:w w:val="95"/>
                <w:sz w:val="20"/>
              </w:rPr>
              <w:t>Operacional</w:t>
            </w:r>
          </w:p>
        </w:tc>
        <w:tc>
          <w:tcPr>
            <w:tcW w:w="1351" w:type="dxa"/>
            <w:tcBorders>
              <w:left w:val="nil"/>
              <w:right w:val="nil"/>
            </w:tcBorders>
          </w:tcPr>
          <w:p>
            <w:pPr>
              <w:pStyle w:val="TableParagraph"/>
              <w:ind w:left="327" w:firstLine="31"/>
              <w:rPr>
                <w:b/>
                <w:sz w:val="20"/>
              </w:rPr>
            </w:pPr>
            <w:r>
              <w:rPr>
                <w:b/>
                <w:sz w:val="20"/>
              </w:rPr>
              <w:t>Tipo de </w:t>
            </w:r>
            <w:r>
              <w:rPr>
                <w:b/>
                <w:w w:val="95"/>
                <w:sz w:val="20"/>
              </w:rPr>
              <w:t>Variable</w:t>
            </w:r>
          </w:p>
        </w:tc>
        <w:tc>
          <w:tcPr>
            <w:tcW w:w="1413" w:type="dxa"/>
            <w:tcBorders>
              <w:left w:val="nil"/>
              <w:right w:val="nil"/>
            </w:tcBorders>
          </w:tcPr>
          <w:p>
            <w:pPr>
              <w:pStyle w:val="TableParagraph"/>
              <w:ind w:left="315" w:right="159" w:hanging="48"/>
              <w:rPr>
                <w:b/>
                <w:sz w:val="20"/>
              </w:rPr>
            </w:pPr>
            <w:r>
              <w:rPr>
                <w:b/>
                <w:sz w:val="20"/>
              </w:rPr>
              <w:t>Unidad de Medición</w:t>
            </w:r>
          </w:p>
        </w:tc>
        <w:tc>
          <w:tcPr>
            <w:tcW w:w="1881" w:type="dxa"/>
            <w:tcBorders>
              <w:left w:val="nil"/>
              <w:right w:val="nil"/>
            </w:tcBorders>
          </w:tcPr>
          <w:p>
            <w:pPr>
              <w:pStyle w:val="TableParagraph"/>
              <w:ind w:left="508" w:right="457" w:hanging="27"/>
              <w:rPr>
                <w:b/>
                <w:sz w:val="20"/>
              </w:rPr>
            </w:pPr>
            <w:r>
              <w:rPr>
                <w:b/>
                <w:sz w:val="20"/>
              </w:rPr>
              <w:t>Escala de Medición</w:t>
            </w:r>
          </w:p>
        </w:tc>
      </w:tr>
      <w:tr>
        <w:trPr>
          <w:trHeight w:val="4044" w:hRule="exact"/>
        </w:trPr>
        <w:tc>
          <w:tcPr>
            <w:tcW w:w="1568" w:type="dxa"/>
            <w:tcBorders>
              <w:left w:val="nil"/>
              <w:bottom w:val="nil"/>
              <w:right w:val="nil"/>
            </w:tcBorders>
          </w:tcPr>
          <w:p>
            <w:pPr>
              <w:pStyle w:val="TableParagraph"/>
              <w:spacing w:line="227" w:lineRule="exact"/>
              <w:ind w:left="239" w:right="176"/>
              <w:jc w:val="center"/>
              <w:rPr>
                <w:b/>
                <w:sz w:val="20"/>
              </w:rPr>
            </w:pPr>
            <w:r>
              <w:rPr>
                <w:b/>
                <w:sz w:val="20"/>
              </w:rPr>
              <w:t>Plaguicidas</w:t>
            </w:r>
          </w:p>
        </w:tc>
        <w:tc>
          <w:tcPr>
            <w:tcW w:w="1523" w:type="dxa"/>
            <w:tcBorders>
              <w:left w:val="nil"/>
              <w:bottom w:val="nil"/>
              <w:right w:val="nil"/>
            </w:tcBorders>
          </w:tcPr>
          <w:p>
            <w:pPr>
              <w:pStyle w:val="TableParagraph"/>
              <w:ind w:left="99" w:right="24"/>
              <w:rPr>
                <w:sz w:val="20"/>
              </w:rPr>
            </w:pPr>
            <w:r>
              <w:rPr>
                <w:sz w:val="20"/>
              </w:rPr>
              <w:t>Cualquier sustancia o mezcla de sustancias destinadas a prevenir, destruir o controlar cualquier plaga las especies no deseadas de plantas o animales que dañan o que interfieren en la producción.</w:t>
            </w:r>
          </w:p>
        </w:tc>
        <w:tc>
          <w:tcPr>
            <w:tcW w:w="1865" w:type="dxa"/>
            <w:tcBorders>
              <w:left w:val="nil"/>
              <w:bottom w:val="nil"/>
              <w:right w:val="nil"/>
            </w:tcBorders>
          </w:tcPr>
          <w:p>
            <w:pPr>
              <w:pStyle w:val="TableParagraph"/>
              <w:ind w:left="46" w:right="109"/>
              <w:rPr>
                <w:sz w:val="20"/>
              </w:rPr>
            </w:pPr>
            <w:r>
              <w:rPr>
                <w:sz w:val="20"/>
              </w:rPr>
              <w:t>Sustancias químicas utilizadas para proteger de organismos nocivos la producción y calidad de las flores, con capacidad mutágena y cancerígena, por contener ingredientes con propiedades para cambiar el acido </w:t>
            </w:r>
            <w:r>
              <w:rPr>
                <w:w w:val="95"/>
                <w:sz w:val="20"/>
              </w:rPr>
              <w:t>desoxirribonucleico </w:t>
            </w:r>
            <w:r>
              <w:rPr>
                <w:sz w:val="20"/>
              </w:rPr>
              <w:t>(ADN)</w:t>
            </w:r>
          </w:p>
        </w:tc>
        <w:tc>
          <w:tcPr>
            <w:tcW w:w="1351" w:type="dxa"/>
            <w:tcBorders>
              <w:left w:val="nil"/>
              <w:bottom w:val="nil"/>
              <w:right w:val="nil"/>
            </w:tcBorders>
          </w:tcPr>
          <w:p>
            <w:pPr>
              <w:pStyle w:val="TableParagraph"/>
              <w:ind w:left="111"/>
              <w:rPr>
                <w:sz w:val="20"/>
              </w:rPr>
            </w:pPr>
            <w:r>
              <w:rPr>
                <w:w w:val="95"/>
                <w:sz w:val="20"/>
              </w:rPr>
              <w:t>Cualitativa, </w:t>
            </w:r>
            <w:r>
              <w:rPr>
                <w:sz w:val="20"/>
              </w:rPr>
              <w:t>nominal</w:t>
            </w:r>
          </w:p>
        </w:tc>
        <w:tc>
          <w:tcPr>
            <w:tcW w:w="1413" w:type="dxa"/>
            <w:tcBorders>
              <w:left w:val="nil"/>
              <w:bottom w:val="nil"/>
              <w:right w:val="nil"/>
            </w:tcBorders>
          </w:tcPr>
          <w:p>
            <w:pPr>
              <w:pStyle w:val="TableParagraph"/>
              <w:ind w:left="186" w:right="159"/>
              <w:rPr>
                <w:sz w:val="20"/>
              </w:rPr>
            </w:pPr>
            <w:r>
              <w:rPr>
                <w:sz w:val="20"/>
              </w:rPr>
              <w:t>Tipo de </w:t>
            </w:r>
            <w:r>
              <w:rPr>
                <w:w w:val="95"/>
                <w:sz w:val="20"/>
              </w:rPr>
              <w:t>plaguicida</w:t>
            </w:r>
          </w:p>
        </w:tc>
        <w:tc>
          <w:tcPr>
            <w:tcW w:w="1881" w:type="dxa"/>
            <w:tcBorders>
              <w:left w:val="nil"/>
              <w:bottom w:val="nil"/>
              <w:right w:val="nil"/>
            </w:tcBorders>
          </w:tcPr>
          <w:p>
            <w:pPr>
              <w:pStyle w:val="TableParagraph"/>
              <w:ind w:left="114"/>
              <w:rPr>
                <w:sz w:val="20"/>
              </w:rPr>
            </w:pPr>
            <w:r>
              <w:rPr>
                <w:w w:val="95"/>
                <w:sz w:val="20"/>
              </w:rPr>
              <w:t>Organofosforados, </w:t>
            </w:r>
            <w:r>
              <w:rPr>
                <w:sz w:val="20"/>
              </w:rPr>
              <w:t>carbamatos, triazinas, imidazoles, clorobencenos</w:t>
            </w:r>
          </w:p>
        </w:tc>
      </w:tr>
      <w:tr>
        <w:trPr>
          <w:trHeight w:val="1939" w:hRule="exact"/>
        </w:trPr>
        <w:tc>
          <w:tcPr>
            <w:tcW w:w="1568" w:type="dxa"/>
            <w:tcBorders>
              <w:top w:val="nil"/>
              <w:left w:val="nil"/>
              <w:bottom w:val="nil"/>
              <w:right w:val="nil"/>
            </w:tcBorders>
          </w:tcPr>
          <w:p>
            <w:pPr>
              <w:pStyle w:val="TableParagraph"/>
              <w:spacing w:before="103"/>
              <w:ind w:left="188" w:right="176"/>
              <w:jc w:val="center"/>
              <w:rPr>
                <w:b/>
                <w:sz w:val="20"/>
              </w:rPr>
            </w:pPr>
            <w:r>
              <w:rPr>
                <w:b/>
                <w:sz w:val="20"/>
              </w:rPr>
              <w:t>Edad</w:t>
            </w:r>
          </w:p>
        </w:tc>
        <w:tc>
          <w:tcPr>
            <w:tcW w:w="1523" w:type="dxa"/>
            <w:tcBorders>
              <w:top w:val="nil"/>
              <w:left w:val="nil"/>
              <w:bottom w:val="nil"/>
              <w:right w:val="nil"/>
            </w:tcBorders>
          </w:tcPr>
          <w:p>
            <w:pPr>
              <w:pStyle w:val="TableParagraph"/>
              <w:spacing w:before="106"/>
              <w:ind w:left="126" w:right="242"/>
              <w:rPr>
                <w:sz w:val="20"/>
              </w:rPr>
            </w:pPr>
            <w:r>
              <w:rPr>
                <w:sz w:val="20"/>
              </w:rPr>
              <w:t>Duración de la vida de un organismo, medida en unidades de tiempo, desde su</w:t>
            </w:r>
          </w:p>
          <w:p>
            <w:pPr>
              <w:pStyle w:val="TableParagraph"/>
              <w:tabs>
                <w:tab w:pos="126" w:val="left" w:leader="none"/>
                <w:tab w:pos="8033" w:val="left" w:leader="none"/>
              </w:tabs>
              <w:spacing w:line="228" w:lineRule="exact"/>
              <w:ind w:left="-1583" w:right="-6511"/>
              <w:rPr>
                <w:sz w:val="20"/>
              </w:rPr>
            </w:pPr>
            <w:r>
              <w:rPr>
                <w:w w:val="99"/>
                <w:sz w:val="20"/>
                <w:u w:val="single"/>
              </w:rPr>
              <w:t> </w:t>
            </w:r>
            <w:r>
              <w:rPr>
                <w:sz w:val="20"/>
                <w:u w:val="single"/>
              </w:rPr>
              <w:tab/>
              <w:t>nacimiento.</w:t>
              <w:tab/>
            </w:r>
          </w:p>
        </w:tc>
        <w:tc>
          <w:tcPr>
            <w:tcW w:w="1865" w:type="dxa"/>
            <w:tcBorders>
              <w:top w:val="nil"/>
              <w:left w:val="nil"/>
              <w:bottom w:val="nil"/>
              <w:right w:val="nil"/>
            </w:tcBorders>
          </w:tcPr>
          <w:p>
            <w:pPr>
              <w:pStyle w:val="TableParagraph"/>
              <w:spacing w:before="106"/>
              <w:ind w:left="46" w:right="198"/>
              <w:rPr>
                <w:sz w:val="20"/>
              </w:rPr>
            </w:pPr>
            <w:r>
              <w:rPr>
                <w:sz w:val="20"/>
              </w:rPr>
              <w:t>La edad de los participantes comprende desde el nacimiento a la fecha de estudio.</w:t>
            </w:r>
          </w:p>
        </w:tc>
        <w:tc>
          <w:tcPr>
            <w:tcW w:w="1351" w:type="dxa"/>
            <w:tcBorders>
              <w:top w:val="nil"/>
              <w:left w:val="nil"/>
              <w:bottom w:val="nil"/>
              <w:right w:val="nil"/>
            </w:tcBorders>
          </w:tcPr>
          <w:p>
            <w:pPr>
              <w:pStyle w:val="TableParagraph"/>
              <w:spacing w:before="106"/>
              <w:ind w:left="111"/>
              <w:rPr>
                <w:sz w:val="20"/>
              </w:rPr>
            </w:pPr>
            <w:r>
              <w:rPr>
                <w:w w:val="95"/>
                <w:sz w:val="20"/>
              </w:rPr>
              <w:t>Cuantitativa </w:t>
            </w:r>
            <w:r>
              <w:rPr>
                <w:sz w:val="20"/>
              </w:rPr>
              <w:t>Continua</w:t>
            </w:r>
          </w:p>
        </w:tc>
        <w:tc>
          <w:tcPr>
            <w:tcW w:w="1413" w:type="dxa"/>
            <w:tcBorders>
              <w:top w:val="nil"/>
              <w:left w:val="nil"/>
              <w:bottom w:val="nil"/>
              <w:right w:val="nil"/>
            </w:tcBorders>
          </w:tcPr>
          <w:p>
            <w:pPr>
              <w:pStyle w:val="TableParagraph"/>
              <w:spacing w:before="106"/>
              <w:ind w:left="186"/>
              <w:rPr>
                <w:sz w:val="20"/>
              </w:rPr>
            </w:pPr>
            <w:r>
              <w:rPr>
                <w:sz w:val="20"/>
              </w:rPr>
              <w:t>Años-meses</w:t>
            </w:r>
          </w:p>
        </w:tc>
        <w:tc>
          <w:tcPr>
            <w:tcW w:w="1881" w:type="dxa"/>
            <w:tcBorders>
              <w:top w:val="nil"/>
              <w:left w:val="nil"/>
              <w:bottom w:val="nil"/>
              <w:right w:val="nil"/>
            </w:tcBorders>
          </w:tcPr>
          <w:p>
            <w:pPr>
              <w:pStyle w:val="TableParagraph"/>
              <w:spacing w:before="122"/>
              <w:ind w:left="114" w:right="457"/>
              <w:rPr>
                <w:sz w:val="20"/>
              </w:rPr>
            </w:pPr>
            <w:r>
              <w:rPr>
                <w:sz w:val="20"/>
              </w:rPr>
              <w:t>18 a  ≤ 24</w:t>
            </w:r>
          </w:p>
          <w:p>
            <w:pPr>
              <w:pStyle w:val="TableParagraph"/>
              <w:spacing w:before="10"/>
              <w:ind w:left="114" w:right="457"/>
              <w:rPr>
                <w:sz w:val="20"/>
              </w:rPr>
            </w:pPr>
            <w:r>
              <w:rPr>
                <w:sz w:val="20"/>
              </w:rPr>
              <w:t>&gt;24 a ≤ 30</w:t>
            </w:r>
          </w:p>
          <w:p>
            <w:pPr>
              <w:pStyle w:val="TableParagraph"/>
              <w:spacing w:before="10"/>
              <w:ind w:left="114" w:right="457"/>
              <w:rPr>
                <w:sz w:val="20"/>
              </w:rPr>
            </w:pPr>
            <w:r>
              <w:rPr>
                <w:sz w:val="20"/>
              </w:rPr>
              <w:t>&gt;30 a ≤ 36</w:t>
            </w:r>
          </w:p>
          <w:p>
            <w:pPr>
              <w:pStyle w:val="TableParagraph"/>
              <w:spacing w:before="10"/>
              <w:ind w:left="114" w:right="457"/>
              <w:rPr>
                <w:sz w:val="20"/>
              </w:rPr>
            </w:pPr>
            <w:r>
              <w:rPr>
                <w:sz w:val="20"/>
              </w:rPr>
              <w:t>&gt;36 a ≤ 42</w:t>
            </w:r>
          </w:p>
          <w:p>
            <w:pPr>
              <w:pStyle w:val="TableParagraph"/>
              <w:spacing w:before="10"/>
              <w:ind w:left="114"/>
              <w:rPr>
                <w:sz w:val="20"/>
              </w:rPr>
            </w:pPr>
            <w:r>
              <w:rPr>
                <w:sz w:val="20"/>
              </w:rPr>
              <w:t>&gt;42 años o más</w:t>
            </w:r>
          </w:p>
        </w:tc>
      </w:tr>
    </w:tbl>
    <w:p>
      <w:pPr>
        <w:spacing w:after="0"/>
        <w:rPr>
          <w:sz w:val="20"/>
        </w:rPr>
        <w:sectPr>
          <w:pgSz w:w="12240" w:h="15840"/>
          <w:pgMar w:header="733" w:footer="1039" w:top="1020" w:bottom="1220" w:left="1480" w:right="940"/>
        </w:sect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90"/>
        <w:gridCol w:w="1720"/>
        <w:gridCol w:w="1641"/>
        <w:gridCol w:w="1412"/>
        <w:gridCol w:w="1584"/>
        <w:gridCol w:w="1655"/>
      </w:tblGrid>
      <w:tr>
        <w:trPr>
          <w:trHeight w:val="332" w:hRule="exact"/>
        </w:trPr>
        <w:tc>
          <w:tcPr>
            <w:tcW w:w="1590" w:type="dxa"/>
            <w:tcBorders>
              <w:top w:val="thinThickMediumGap" w:sz="18" w:space="0" w:color="612322"/>
              <w:bottom w:val="single" w:sz="8" w:space="0" w:color="000000"/>
            </w:tcBorders>
          </w:tcPr>
          <w:p>
            <w:pPr/>
          </w:p>
        </w:tc>
        <w:tc>
          <w:tcPr>
            <w:tcW w:w="1720" w:type="dxa"/>
            <w:tcBorders>
              <w:top w:val="thinThickMediumGap" w:sz="18" w:space="0" w:color="612322"/>
              <w:bottom w:val="single" w:sz="8" w:space="0" w:color="000000"/>
            </w:tcBorders>
          </w:tcPr>
          <w:p>
            <w:pPr/>
          </w:p>
        </w:tc>
        <w:tc>
          <w:tcPr>
            <w:tcW w:w="1641" w:type="dxa"/>
            <w:tcBorders>
              <w:top w:val="thinThickMediumGap" w:sz="18" w:space="0" w:color="612322"/>
              <w:bottom w:val="single" w:sz="8" w:space="0" w:color="000000"/>
            </w:tcBorders>
          </w:tcPr>
          <w:p>
            <w:pPr/>
          </w:p>
        </w:tc>
        <w:tc>
          <w:tcPr>
            <w:tcW w:w="1412" w:type="dxa"/>
            <w:tcBorders>
              <w:top w:val="thinThickMediumGap" w:sz="18" w:space="0" w:color="612322"/>
              <w:bottom w:val="single" w:sz="8" w:space="0" w:color="000000"/>
            </w:tcBorders>
          </w:tcPr>
          <w:p>
            <w:pPr/>
          </w:p>
        </w:tc>
        <w:tc>
          <w:tcPr>
            <w:tcW w:w="1584" w:type="dxa"/>
            <w:tcBorders>
              <w:top w:val="thinThickMediumGap" w:sz="18" w:space="0" w:color="612322"/>
              <w:bottom w:val="single" w:sz="8" w:space="0" w:color="000000"/>
            </w:tcBorders>
          </w:tcPr>
          <w:p>
            <w:pPr/>
          </w:p>
        </w:tc>
        <w:tc>
          <w:tcPr>
            <w:tcW w:w="1655" w:type="dxa"/>
            <w:tcBorders>
              <w:top w:val="thinThickMediumGap" w:sz="18" w:space="0" w:color="612322"/>
              <w:bottom w:val="single" w:sz="8" w:space="0" w:color="000000"/>
            </w:tcBorders>
          </w:tcPr>
          <w:p>
            <w:pPr/>
          </w:p>
        </w:tc>
      </w:tr>
      <w:tr>
        <w:trPr>
          <w:trHeight w:val="605" w:hRule="exact"/>
        </w:trPr>
        <w:tc>
          <w:tcPr>
            <w:tcW w:w="1590" w:type="dxa"/>
            <w:tcBorders>
              <w:top w:val="single" w:sz="8" w:space="0" w:color="000000"/>
              <w:bottom w:val="single" w:sz="8" w:space="0" w:color="000000"/>
            </w:tcBorders>
          </w:tcPr>
          <w:p>
            <w:pPr>
              <w:pStyle w:val="TableParagraph"/>
              <w:spacing w:line="228" w:lineRule="exact" w:before="2"/>
              <w:ind w:left="120" w:firstLine="232"/>
              <w:rPr>
                <w:b/>
                <w:sz w:val="20"/>
              </w:rPr>
            </w:pPr>
            <w:r>
              <w:rPr>
                <w:b/>
                <w:sz w:val="20"/>
              </w:rPr>
              <w:t>Variables </w:t>
            </w:r>
            <w:r>
              <w:rPr>
                <w:b/>
                <w:w w:val="95"/>
                <w:sz w:val="20"/>
              </w:rPr>
              <w:t>Independiente</w:t>
            </w:r>
          </w:p>
        </w:tc>
        <w:tc>
          <w:tcPr>
            <w:tcW w:w="1720" w:type="dxa"/>
            <w:tcBorders>
              <w:top w:val="single" w:sz="8" w:space="0" w:color="000000"/>
              <w:bottom w:val="single" w:sz="8" w:space="0" w:color="000000"/>
            </w:tcBorders>
          </w:tcPr>
          <w:p>
            <w:pPr>
              <w:pStyle w:val="TableParagraph"/>
              <w:spacing w:line="228" w:lineRule="exact" w:before="2"/>
              <w:ind w:left="317" w:right="127" w:firstLine="60"/>
              <w:rPr>
                <w:b/>
                <w:sz w:val="20"/>
              </w:rPr>
            </w:pPr>
            <w:r>
              <w:rPr>
                <w:b/>
                <w:sz w:val="20"/>
              </w:rPr>
              <w:t>Definición </w:t>
            </w:r>
            <w:r>
              <w:rPr>
                <w:b/>
                <w:w w:val="95"/>
                <w:sz w:val="20"/>
              </w:rPr>
              <w:t>Conceptual</w:t>
            </w:r>
          </w:p>
        </w:tc>
        <w:tc>
          <w:tcPr>
            <w:tcW w:w="1641" w:type="dxa"/>
            <w:tcBorders>
              <w:top w:val="single" w:sz="8" w:space="0" w:color="000000"/>
              <w:bottom w:val="single" w:sz="8" w:space="0" w:color="000000"/>
            </w:tcBorders>
          </w:tcPr>
          <w:p>
            <w:pPr>
              <w:pStyle w:val="TableParagraph"/>
              <w:spacing w:line="228" w:lineRule="exact" w:before="2"/>
              <w:ind w:left="244" w:right="87" w:firstLine="93"/>
              <w:rPr>
                <w:b/>
                <w:sz w:val="20"/>
              </w:rPr>
            </w:pPr>
            <w:r>
              <w:rPr>
                <w:b/>
                <w:sz w:val="20"/>
              </w:rPr>
              <w:t>Definición </w:t>
            </w:r>
            <w:r>
              <w:rPr>
                <w:b/>
                <w:w w:val="95"/>
                <w:sz w:val="20"/>
              </w:rPr>
              <w:t>Operacional</w:t>
            </w:r>
          </w:p>
        </w:tc>
        <w:tc>
          <w:tcPr>
            <w:tcW w:w="1412" w:type="dxa"/>
            <w:tcBorders>
              <w:top w:val="single" w:sz="8" w:space="0" w:color="000000"/>
              <w:bottom w:val="single" w:sz="8" w:space="0" w:color="000000"/>
            </w:tcBorders>
          </w:tcPr>
          <w:p>
            <w:pPr>
              <w:pStyle w:val="TableParagraph"/>
              <w:spacing w:line="228" w:lineRule="exact" w:before="2"/>
              <w:ind w:left="387" w:firstLine="31"/>
              <w:rPr>
                <w:b/>
                <w:sz w:val="20"/>
              </w:rPr>
            </w:pPr>
            <w:r>
              <w:rPr>
                <w:b/>
                <w:sz w:val="20"/>
              </w:rPr>
              <w:t>Tipo de </w:t>
            </w:r>
            <w:r>
              <w:rPr>
                <w:b/>
                <w:w w:val="95"/>
                <w:sz w:val="20"/>
              </w:rPr>
              <w:t>Variable</w:t>
            </w:r>
          </w:p>
        </w:tc>
        <w:tc>
          <w:tcPr>
            <w:tcW w:w="1584" w:type="dxa"/>
            <w:tcBorders>
              <w:top w:val="single" w:sz="8" w:space="0" w:color="000000"/>
              <w:bottom w:val="single" w:sz="8" w:space="0" w:color="000000"/>
            </w:tcBorders>
          </w:tcPr>
          <w:p>
            <w:pPr>
              <w:pStyle w:val="TableParagraph"/>
              <w:spacing w:line="228" w:lineRule="exact" w:before="2"/>
              <w:ind w:left="466" w:right="179" w:hanging="48"/>
              <w:rPr>
                <w:b/>
                <w:sz w:val="20"/>
              </w:rPr>
            </w:pPr>
            <w:r>
              <w:rPr>
                <w:b/>
                <w:sz w:val="20"/>
              </w:rPr>
              <w:t>Unidad de Medición</w:t>
            </w:r>
          </w:p>
        </w:tc>
        <w:tc>
          <w:tcPr>
            <w:tcW w:w="1655" w:type="dxa"/>
            <w:tcBorders>
              <w:top w:val="single" w:sz="8" w:space="0" w:color="000000"/>
              <w:bottom w:val="single" w:sz="8" w:space="0" w:color="000000"/>
            </w:tcBorders>
          </w:tcPr>
          <w:p>
            <w:pPr>
              <w:pStyle w:val="TableParagraph"/>
              <w:spacing w:line="228" w:lineRule="exact" w:before="2"/>
              <w:ind w:left="433" w:right="305" w:hanging="27"/>
              <w:rPr>
                <w:b/>
                <w:sz w:val="20"/>
              </w:rPr>
            </w:pPr>
            <w:r>
              <w:rPr>
                <w:b/>
                <w:sz w:val="20"/>
              </w:rPr>
              <w:t>Escala de Medición</w:t>
            </w:r>
          </w:p>
        </w:tc>
      </w:tr>
      <w:tr>
        <w:trPr>
          <w:trHeight w:val="1972" w:hRule="exact"/>
        </w:trPr>
        <w:tc>
          <w:tcPr>
            <w:tcW w:w="1590" w:type="dxa"/>
            <w:tcBorders>
              <w:top w:val="single" w:sz="8" w:space="0" w:color="000000"/>
            </w:tcBorders>
          </w:tcPr>
          <w:p>
            <w:pPr>
              <w:pStyle w:val="TableParagraph"/>
              <w:ind w:left="213" w:firstLine="50"/>
              <w:rPr>
                <w:b/>
                <w:sz w:val="20"/>
              </w:rPr>
            </w:pPr>
            <w:r>
              <w:rPr>
                <w:b/>
                <w:sz w:val="20"/>
              </w:rPr>
              <w:t>Exposición </w:t>
            </w:r>
            <w:r>
              <w:rPr>
                <w:b/>
                <w:w w:val="95"/>
                <w:sz w:val="20"/>
              </w:rPr>
              <w:t>ocupacional</w:t>
            </w:r>
          </w:p>
        </w:tc>
        <w:tc>
          <w:tcPr>
            <w:tcW w:w="1720" w:type="dxa"/>
            <w:tcBorders>
              <w:top w:val="single" w:sz="8" w:space="0" w:color="000000"/>
            </w:tcBorders>
          </w:tcPr>
          <w:p>
            <w:pPr>
              <w:pStyle w:val="TableParagraph"/>
              <w:ind w:left="111" w:right="127"/>
              <w:rPr>
                <w:sz w:val="20"/>
              </w:rPr>
            </w:pPr>
            <w:r>
              <w:rPr>
                <w:sz w:val="20"/>
              </w:rPr>
              <w:t>Incidencia de sustancias, radiaciones, etc, u otras condiciones durante el trabajo</w:t>
            </w:r>
          </w:p>
        </w:tc>
        <w:tc>
          <w:tcPr>
            <w:tcW w:w="1641" w:type="dxa"/>
            <w:tcBorders>
              <w:top w:val="single" w:sz="8" w:space="0" w:color="000000"/>
            </w:tcBorders>
          </w:tcPr>
          <w:p>
            <w:pPr>
              <w:pStyle w:val="TableParagraph"/>
              <w:ind w:left="110" w:right="109"/>
              <w:rPr>
                <w:sz w:val="20"/>
              </w:rPr>
            </w:pPr>
            <w:r>
              <w:rPr>
                <w:sz w:val="20"/>
              </w:rPr>
              <w:t>Tiempo de exposición de los</w:t>
            </w:r>
            <w:r>
              <w:rPr>
                <w:spacing w:val="-6"/>
                <w:sz w:val="20"/>
              </w:rPr>
              <w:t> </w:t>
            </w:r>
            <w:r>
              <w:rPr>
                <w:sz w:val="20"/>
              </w:rPr>
              <w:t>trabajadores en invernaderos a plaguicidas de al menos 2 años</w:t>
            </w:r>
          </w:p>
        </w:tc>
        <w:tc>
          <w:tcPr>
            <w:tcW w:w="1412" w:type="dxa"/>
            <w:tcBorders>
              <w:top w:val="single" w:sz="8" w:space="0" w:color="000000"/>
            </w:tcBorders>
          </w:tcPr>
          <w:p>
            <w:pPr>
              <w:pStyle w:val="TableParagraph"/>
              <w:ind w:left="109"/>
              <w:rPr>
                <w:sz w:val="20"/>
              </w:rPr>
            </w:pPr>
            <w:r>
              <w:rPr>
                <w:w w:val="95"/>
                <w:sz w:val="20"/>
              </w:rPr>
              <w:t>Cuantitativa </w:t>
            </w:r>
            <w:r>
              <w:rPr>
                <w:sz w:val="20"/>
              </w:rPr>
              <w:t>nominal</w:t>
            </w:r>
          </w:p>
        </w:tc>
        <w:tc>
          <w:tcPr>
            <w:tcW w:w="1584" w:type="dxa"/>
            <w:tcBorders>
              <w:top w:val="single" w:sz="8" w:space="0" w:color="000000"/>
            </w:tcBorders>
          </w:tcPr>
          <w:p>
            <w:pPr>
              <w:pStyle w:val="TableParagraph"/>
              <w:spacing w:line="227" w:lineRule="exact"/>
              <w:ind w:left="248" w:right="179"/>
              <w:rPr>
                <w:sz w:val="20"/>
              </w:rPr>
            </w:pPr>
            <w:r>
              <w:rPr>
                <w:sz w:val="20"/>
              </w:rPr>
              <w:t>Años-meses</w:t>
            </w:r>
          </w:p>
        </w:tc>
        <w:tc>
          <w:tcPr>
            <w:tcW w:w="1655" w:type="dxa"/>
            <w:tcBorders>
              <w:top w:val="single" w:sz="8" w:space="0" w:color="000000"/>
            </w:tcBorders>
          </w:tcPr>
          <w:p>
            <w:pPr>
              <w:pStyle w:val="TableParagraph"/>
              <w:spacing w:line="227" w:lineRule="exact"/>
              <w:ind w:left="278" w:right="558"/>
              <w:jc w:val="center"/>
              <w:rPr>
                <w:sz w:val="20"/>
              </w:rPr>
            </w:pPr>
            <w:r>
              <w:rPr>
                <w:sz w:val="20"/>
              </w:rPr>
              <w:t>2  a   ≤ 5</w:t>
            </w:r>
          </w:p>
          <w:p>
            <w:pPr>
              <w:pStyle w:val="TableParagraph"/>
              <w:ind w:left="188" w:right="305"/>
              <w:rPr>
                <w:sz w:val="20"/>
              </w:rPr>
            </w:pPr>
            <w:r>
              <w:rPr>
                <w:sz w:val="20"/>
              </w:rPr>
              <w:t>&gt;5  a  ≤ 8</w:t>
            </w:r>
          </w:p>
          <w:p>
            <w:pPr>
              <w:pStyle w:val="TableParagraph"/>
              <w:ind w:left="188" w:right="305"/>
              <w:rPr>
                <w:sz w:val="20"/>
              </w:rPr>
            </w:pPr>
            <w:r>
              <w:rPr>
                <w:sz w:val="20"/>
              </w:rPr>
              <w:t>&gt;8 años o más</w:t>
            </w:r>
          </w:p>
        </w:tc>
      </w:tr>
      <w:tr>
        <w:trPr>
          <w:trHeight w:val="2530" w:hRule="exact"/>
        </w:trPr>
        <w:tc>
          <w:tcPr>
            <w:tcW w:w="1590" w:type="dxa"/>
          </w:tcPr>
          <w:p>
            <w:pPr>
              <w:pStyle w:val="TableParagraph"/>
              <w:spacing w:before="103"/>
              <w:ind w:left="331" w:hanging="216"/>
              <w:rPr>
                <w:b/>
                <w:sz w:val="20"/>
              </w:rPr>
            </w:pPr>
            <w:r>
              <w:rPr>
                <w:b/>
                <w:sz w:val="20"/>
              </w:rPr>
              <w:t>No exposición ambiental</w:t>
            </w:r>
          </w:p>
        </w:tc>
        <w:tc>
          <w:tcPr>
            <w:tcW w:w="1720" w:type="dxa"/>
          </w:tcPr>
          <w:p>
            <w:pPr>
              <w:pStyle w:val="TableParagraph"/>
              <w:spacing w:before="106"/>
              <w:ind w:left="111" w:right="108"/>
              <w:rPr>
                <w:sz w:val="20"/>
              </w:rPr>
            </w:pPr>
            <w:r>
              <w:rPr>
                <w:w w:val="95"/>
                <w:sz w:val="20"/>
              </w:rPr>
              <w:t>Concentraciones </w:t>
            </w:r>
            <w:r>
              <w:rPr>
                <w:sz w:val="20"/>
              </w:rPr>
              <w:t>inocuas de una sustancia tóxica o ausencia de la misma, que es liberada  al medio ambiente, que no causa alteraciones en la salud humana</w:t>
            </w:r>
          </w:p>
        </w:tc>
        <w:tc>
          <w:tcPr>
            <w:tcW w:w="1641" w:type="dxa"/>
          </w:tcPr>
          <w:p>
            <w:pPr>
              <w:pStyle w:val="TableParagraph"/>
              <w:spacing w:before="106"/>
              <w:ind w:left="110" w:right="87" w:firstLine="55"/>
              <w:rPr>
                <w:sz w:val="20"/>
              </w:rPr>
            </w:pPr>
            <w:r>
              <w:rPr>
                <w:sz w:val="20"/>
              </w:rPr>
              <w:t>No existe una exposición a los plaguicidas ya sea de forma laboral o </w:t>
            </w:r>
            <w:r>
              <w:rPr>
                <w:w w:val="95"/>
                <w:sz w:val="20"/>
              </w:rPr>
              <w:t>ambientalmente</w:t>
            </w:r>
          </w:p>
        </w:tc>
        <w:tc>
          <w:tcPr>
            <w:tcW w:w="1412" w:type="dxa"/>
          </w:tcPr>
          <w:p>
            <w:pPr>
              <w:pStyle w:val="TableParagraph"/>
              <w:spacing w:before="106"/>
              <w:ind w:left="109"/>
              <w:rPr>
                <w:sz w:val="20"/>
              </w:rPr>
            </w:pPr>
            <w:r>
              <w:rPr>
                <w:w w:val="95"/>
                <w:sz w:val="20"/>
              </w:rPr>
              <w:t>Cualitativa </w:t>
            </w:r>
            <w:r>
              <w:rPr>
                <w:sz w:val="20"/>
              </w:rPr>
              <w:t>nominal</w:t>
            </w:r>
          </w:p>
        </w:tc>
        <w:tc>
          <w:tcPr>
            <w:tcW w:w="1584" w:type="dxa"/>
          </w:tcPr>
          <w:p>
            <w:pPr/>
          </w:p>
        </w:tc>
        <w:tc>
          <w:tcPr>
            <w:tcW w:w="1655" w:type="dxa"/>
          </w:tcPr>
          <w:p>
            <w:pPr>
              <w:pStyle w:val="TableParagraph"/>
              <w:spacing w:before="106"/>
              <w:ind w:left="188" w:right="305"/>
              <w:rPr>
                <w:sz w:val="20"/>
              </w:rPr>
            </w:pPr>
            <w:r>
              <w:rPr>
                <w:sz w:val="20"/>
              </w:rPr>
              <w:t>Si o No</w:t>
            </w:r>
          </w:p>
        </w:tc>
      </w:tr>
      <w:tr>
        <w:trPr>
          <w:trHeight w:val="6080" w:hRule="exact"/>
        </w:trPr>
        <w:tc>
          <w:tcPr>
            <w:tcW w:w="1590" w:type="dxa"/>
          </w:tcPr>
          <w:p>
            <w:pPr>
              <w:pStyle w:val="TableParagraph"/>
              <w:spacing w:before="103"/>
              <w:ind w:left="242" w:firstLine="311"/>
              <w:rPr>
                <w:b/>
                <w:sz w:val="20"/>
              </w:rPr>
            </w:pPr>
            <w:r>
              <w:rPr>
                <w:b/>
                <w:sz w:val="20"/>
              </w:rPr>
              <w:t>Dieta </w:t>
            </w:r>
            <w:r>
              <w:rPr>
                <w:b/>
                <w:w w:val="95"/>
                <w:sz w:val="20"/>
              </w:rPr>
              <w:t>cariogénica</w:t>
            </w:r>
          </w:p>
        </w:tc>
        <w:tc>
          <w:tcPr>
            <w:tcW w:w="1720" w:type="dxa"/>
          </w:tcPr>
          <w:p>
            <w:pPr>
              <w:pStyle w:val="TableParagraph"/>
              <w:spacing w:before="106"/>
              <w:ind w:left="111" w:right="172"/>
              <w:rPr>
                <w:sz w:val="20"/>
              </w:rPr>
            </w:pPr>
            <w:r>
              <w:rPr>
                <w:sz w:val="20"/>
              </w:rPr>
              <w:t>Aquella de consistencia blanda, con alto contenido de hidratos de carbono, especialmente azúcaes fermentables como la sacrosa, que se deposita con facilidad en las superficies dentarias retentivas</w:t>
            </w:r>
          </w:p>
        </w:tc>
        <w:tc>
          <w:tcPr>
            <w:tcW w:w="1641" w:type="dxa"/>
          </w:tcPr>
          <w:p>
            <w:pPr>
              <w:pStyle w:val="TableParagraph"/>
              <w:spacing w:before="106"/>
              <w:ind w:left="110" w:right="121"/>
              <w:rPr>
                <w:sz w:val="20"/>
              </w:rPr>
            </w:pPr>
            <w:r>
              <w:rPr>
                <w:sz w:val="20"/>
              </w:rPr>
              <w:t>La frecuencia de ingesta de alimentos cariogénicos se extraerá de la pregunta «¡con qué frecuencia consume los siguientes alimentos?».</w:t>
            </w:r>
          </w:p>
          <w:p>
            <w:pPr>
              <w:pStyle w:val="TableParagraph"/>
              <w:ind w:left="110" w:right="139"/>
              <w:rPr>
                <w:sz w:val="20"/>
              </w:rPr>
            </w:pPr>
            <w:r>
              <w:rPr>
                <w:sz w:val="20"/>
              </w:rPr>
              <w:t>Se analizara lo referente a la ingesta de dulces sólidos, refrescos con azúcar y refrigerios o comidas saladas por ser estos 3 grupos de alimentos los que se asocian mas frecuentemente</w:t>
            </w:r>
            <w:r>
              <w:rPr>
                <w:w w:val="99"/>
                <w:sz w:val="20"/>
              </w:rPr>
              <w:t> </w:t>
            </w:r>
            <w:r>
              <w:rPr>
                <w:sz w:val="20"/>
              </w:rPr>
              <w:t>a</w:t>
            </w:r>
            <w:r>
              <w:rPr>
                <w:spacing w:val="-5"/>
                <w:sz w:val="20"/>
              </w:rPr>
              <w:t> </w:t>
            </w:r>
            <w:r>
              <w:rPr>
                <w:sz w:val="20"/>
              </w:rPr>
              <w:t>riesgo</w:t>
            </w:r>
          </w:p>
          <w:p>
            <w:pPr>
              <w:pStyle w:val="TableParagraph"/>
              <w:tabs>
                <w:tab w:pos="110" w:val="left" w:leader="none"/>
                <w:tab w:pos="6291" w:val="left" w:leader="none"/>
              </w:tabs>
              <w:spacing w:line="228" w:lineRule="exact"/>
              <w:ind w:left="-3325" w:right="-4651"/>
              <w:rPr>
                <w:sz w:val="20"/>
              </w:rPr>
            </w:pPr>
            <w:r>
              <w:rPr>
                <w:w w:val="99"/>
                <w:sz w:val="20"/>
                <w:u w:val="single"/>
              </w:rPr>
              <w:t> </w:t>
            </w:r>
            <w:r>
              <w:rPr>
                <w:sz w:val="20"/>
                <w:u w:val="single"/>
              </w:rPr>
              <w:tab/>
              <w:t>cariogénico</w:t>
              <w:tab/>
            </w:r>
          </w:p>
        </w:tc>
        <w:tc>
          <w:tcPr>
            <w:tcW w:w="1412" w:type="dxa"/>
          </w:tcPr>
          <w:p>
            <w:pPr>
              <w:pStyle w:val="TableParagraph"/>
              <w:spacing w:before="106"/>
              <w:ind w:left="109"/>
              <w:rPr>
                <w:sz w:val="20"/>
              </w:rPr>
            </w:pPr>
            <w:r>
              <w:rPr>
                <w:w w:val="95"/>
                <w:sz w:val="20"/>
              </w:rPr>
              <w:t>Cualitativa </w:t>
            </w:r>
            <w:r>
              <w:rPr>
                <w:sz w:val="20"/>
              </w:rPr>
              <w:t>ordinal</w:t>
            </w:r>
          </w:p>
        </w:tc>
        <w:tc>
          <w:tcPr>
            <w:tcW w:w="1584" w:type="dxa"/>
          </w:tcPr>
          <w:p>
            <w:pPr>
              <w:pStyle w:val="TableParagraph"/>
              <w:spacing w:before="106"/>
              <w:ind w:left="639" w:right="169" w:hanging="233"/>
              <w:rPr>
                <w:sz w:val="20"/>
              </w:rPr>
            </w:pPr>
            <w:r>
              <w:rPr>
                <w:sz w:val="20"/>
              </w:rPr>
              <w:t>Número de veces</w:t>
            </w:r>
          </w:p>
        </w:tc>
        <w:tc>
          <w:tcPr>
            <w:tcW w:w="1655" w:type="dxa"/>
          </w:tcPr>
          <w:p>
            <w:pPr>
              <w:pStyle w:val="TableParagraph"/>
              <w:spacing w:before="106"/>
              <w:ind w:left="188" w:right="137"/>
              <w:rPr>
                <w:sz w:val="20"/>
              </w:rPr>
            </w:pPr>
            <w:r>
              <w:rPr>
                <w:sz w:val="20"/>
              </w:rPr>
              <w:t>alta ingesta= diariamente mediano=una o más veces por semana poco= nunca o menos de una vez a la semana</w:t>
            </w:r>
          </w:p>
        </w:tc>
      </w:tr>
    </w:tbl>
    <w:p>
      <w:pPr>
        <w:spacing w:after="0"/>
        <w:rPr>
          <w:sz w:val="20"/>
        </w:rPr>
        <w:sectPr>
          <w:headerReference w:type="default" r:id="rId17"/>
          <w:pgSz w:w="12240" w:h="15840"/>
          <w:pgMar w:header="713" w:footer="1039" w:top="900" w:bottom="1220" w:left="1480" w:right="940"/>
        </w:sectPr>
      </w:pPr>
    </w:p>
    <w:tbl>
      <w:tblPr>
        <w:tblW w:w="0" w:type="auto"/>
        <w:jc w:val="left"/>
        <w:tblInd w:w="13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12"/>
        <w:gridCol w:w="1593"/>
        <w:gridCol w:w="1770"/>
        <w:gridCol w:w="1531"/>
        <w:gridCol w:w="1646"/>
        <w:gridCol w:w="1706"/>
      </w:tblGrid>
      <w:tr>
        <w:trPr>
          <w:trHeight w:val="332" w:hRule="exact"/>
        </w:trPr>
        <w:tc>
          <w:tcPr>
            <w:tcW w:w="1512" w:type="dxa"/>
            <w:tcBorders>
              <w:top w:val="thinThickMediumGap" w:sz="18" w:space="0" w:color="612322"/>
              <w:bottom w:val="single" w:sz="8" w:space="0" w:color="000000"/>
            </w:tcBorders>
          </w:tcPr>
          <w:p>
            <w:pPr/>
          </w:p>
        </w:tc>
        <w:tc>
          <w:tcPr>
            <w:tcW w:w="1593" w:type="dxa"/>
            <w:tcBorders>
              <w:top w:val="thinThickMediumGap" w:sz="18" w:space="0" w:color="612322"/>
              <w:bottom w:val="single" w:sz="8" w:space="0" w:color="000000"/>
            </w:tcBorders>
          </w:tcPr>
          <w:p>
            <w:pPr/>
          </w:p>
        </w:tc>
        <w:tc>
          <w:tcPr>
            <w:tcW w:w="1770" w:type="dxa"/>
            <w:tcBorders>
              <w:top w:val="thinThickMediumGap" w:sz="18" w:space="0" w:color="612322"/>
              <w:bottom w:val="single" w:sz="8" w:space="0" w:color="000000"/>
            </w:tcBorders>
          </w:tcPr>
          <w:p>
            <w:pPr/>
          </w:p>
        </w:tc>
        <w:tc>
          <w:tcPr>
            <w:tcW w:w="1531" w:type="dxa"/>
            <w:tcBorders>
              <w:top w:val="thinThickMediumGap" w:sz="18" w:space="0" w:color="612322"/>
              <w:bottom w:val="single" w:sz="8" w:space="0" w:color="000000"/>
            </w:tcBorders>
          </w:tcPr>
          <w:p>
            <w:pPr/>
          </w:p>
        </w:tc>
        <w:tc>
          <w:tcPr>
            <w:tcW w:w="1646" w:type="dxa"/>
            <w:tcBorders>
              <w:top w:val="thinThickMediumGap" w:sz="18" w:space="0" w:color="612322"/>
              <w:bottom w:val="single" w:sz="8" w:space="0" w:color="000000"/>
            </w:tcBorders>
          </w:tcPr>
          <w:p>
            <w:pPr/>
          </w:p>
        </w:tc>
        <w:tc>
          <w:tcPr>
            <w:tcW w:w="1706" w:type="dxa"/>
            <w:tcBorders>
              <w:top w:val="thinThickMediumGap" w:sz="18" w:space="0" w:color="612322"/>
              <w:bottom w:val="single" w:sz="8" w:space="0" w:color="000000"/>
            </w:tcBorders>
          </w:tcPr>
          <w:p>
            <w:pPr/>
          </w:p>
        </w:tc>
      </w:tr>
      <w:tr>
        <w:trPr>
          <w:trHeight w:val="605" w:hRule="exact"/>
        </w:trPr>
        <w:tc>
          <w:tcPr>
            <w:tcW w:w="1512" w:type="dxa"/>
            <w:tcBorders>
              <w:top w:val="single" w:sz="8" w:space="0" w:color="000000"/>
              <w:bottom w:val="single" w:sz="8" w:space="0" w:color="000000"/>
            </w:tcBorders>
          </w:tcPr>
          <w:p>
            <w:pPr>
              <w:pStyle w:val="TableParagraph"/>
              <w:spacing w:line="228" w:lineRule="exact" w:before="2"/>
              <w:ind w:left="43" w:firstLine="232"/>
              <w:rPr>
                <w:b/>
                <w:sz w:val="20"/>
              </w:rPr>
            </w:pPr>
            <w:r>
              <w:rPr>
                <w:b/>
                <w:sz w:val="20"/>
              </w:rPr>
              <w:t>Variables </w:t>
            </w:r>
            <w:r>
              <w:rPr>
                <w:b/>
                <w:w w:val="95"/>
                <w:sz w:val="20"/>
              </w:rPr>
              <w:t>Independiente</w:t>
            </w:r>
          </w:p>
        </w:tc>
        <w:tc>
          <w:tcPr>
            <w:tcW w:w="1593" w:type="dxa"/>
            <w:tcBorders>
              <w:top w:val="single" w:sz="8" w:space="0" w:color="000000"/>
              <w:bottom w:val="single" w:sz="8" w:space="0" w:color="000000"/>
            </w:tcBorders>
          </w:tcPr>
          <w:p>
            <w:pPr>
              <w:pStyle w:val="TableParagraph"/>
              <w:spacing w:line="228" w:lineRule="exact" w:before="2"/>
              <w:ind w:left="264" w:right="130" w:firstLine="60"/>
              <w:rPr>
                <w:b/>
                <w:sz w:val="20"/>
              </w:rPr>
            </w:pPr>
            <w:r>
              <w:rPr>
                <w:b/>
                <w:sz w:val="20"/>
              </w:rPr>
              <w:t>Definición </w:t>
            </w:r>
            <w:r>
              <w:rPr>
                <w:b/>
                <w:w w:val="95"/>
                <w:sz w:val="20"/>
              </w:rPr>
              <w:t>Conceptual</w:t>
            </w:r>
          </w:p>
        </w:tc>
        <w:tc>
          <w:tcPr>
            <w:tcW w:w="1770" w:type="dxa"/>
            <w:tcBorders>
              <w:top w:val="single" w:sz="8" w:space="0" w:color="000000"/>
              <w:bottom w:val="single" w:sz="8" w:space="0" w:color="000000"/>
            </w:tcBorders>
          </w:tcPr>
          <w:p>
            <w:pPr>
              <w:pStyle w:val="TableParagraph"/>
              <w:spacing w:line="228" w:lineRule="exact" w:before="2"/>
              <w:ind w:left="356" w:right="204" w:firstLine="93"/>
              <w:rPr>
                <w:b/>
                <w:sz w:val="20"/>
              </w:rPr>
            </w:pPr>
            <w:r>
              <w:rPr>
                <w:b/>
                <w:sz w:val="20"/>
              </w:rPr>
              <w:t>Definición </w:t>
            </w:r>
            <w:r>
              <w:rPr>
                <w:b/>
                <w:w w:val="95"/>
                <w:sz w:val="20"/>
              </w:rPr>
              <w:t>Operacional</w:t>
            </w:r>
          </w:p>
        </w:tc>
        <w:tc>
          <w:tcPr>
            <w:tcW w:w="1531" w:type="dxa"/>
            <w:tcBorders>
              <w:top w:val="single" w:sz="8" w:space="0" w:color="000000"/>
              <w:bottom w:val="single" w:sz="8" w:space="0" w:color="000000"/>
            </w:tcBorders>
          </w:tcPr>
          <w:p>
            <w:pPr>
              <w:pStyle w:val="TableParagraph"/>
              <w:spacing w:line="228" w:lineRule="exact" w:before="2"/>
              <w:ind w:left="495" w:firstLine="31"/>
              <w:rPr>
                <w:b/>
                <w:sz w:val="20"/>
              </w:rPr>
            </w:pPr>
            <w:r>
              <w:rPr>
                <w:b/>
                <w:sz w:val="20"/>
              </w:rPr>
              <w:t>Tipo de </w:t>
            </w:r>
            <w:r>
              <w:rPr>
                <w:b/>
                <w:w w:val="95"/>
                <w:sz w:val="20"/>
              </w:rPr>
              <w:t>Variable</w:t>
            </w:r>
          </w:p>
        </w:tc>
        <w:tc>
          <w:tcPr>
            <w:tcW w:w="1646" w:type="dxa"/>
            <w:tcBorders>
              <w:top w:val="single" w:sz="8" w:space="0" w:color="000000"/>
              <w:bottom w:val="single" w:sz="8" w:space="0" w:color="000000"/>
            </w:tcBorders>
          </w:tcPr>
          <w:p>
            <w:pPr>
              <w:pStyle w:val="TableParagraph"/>
              <w:spacing w:line="228" w:lineRule="exact" w:before="2"/>
              <w:ind w:left="517" w:hanging="48"/>
              <w:rPr>
                <w:b/>
                <w:sz w:val="20"/>
              </w:rPr>
            </w:pPr>
            <w:r>
              <w:rPr>
                <w:b/>
                <w:sz w:val="20"/>
              </w:rPr>
              <w:t>Unidad de Medición</w:t>
            </w:r>
          </w:p>
        </w:tc>
        <w:tc>
          <w:tcPr>
            <w:tcW w:w="1706" w:type="dxa"/>
            <w:tcBorders>
              <w:top w:val="single" w:sz="8" w:space="0" w:color="000000"/>
              <w:bottom w:val="single" w:sz="8" w:space="0" w:color="000000"/>
            </w:tcBorders>
          </w:tcPr>
          <w:p>
            <w:pPr>
              <w:pStyle w:val="TableParagraph"/>
              <w:spacing w:line="228" w:lineRule="exact" w:before="2"/>
              <w:ind w:left="469" w:right="320" w:hanging="27"/>
              <w:rPr>
                <w:b/>
                <w:sz w:val="20"/>
              </w:rPr>
            </w:pPr>
            <w:r>
              <w:rPr>
                <w:b/>
                <w:sz w:val="20"/>
              </w:rPr>
              <w:t>Escala de Medición</w:t>
            </w:r>
          </w:p>
        </w:tc>
      </w:tr>
      <w:tr>
        <w:trPr>
          <w:trHeight w:val="1511" w:hRule="exact"/>
        </w:trPr>
        <w:tc>
          <w:tcPr>
            <w:tcW w:w="1512" w:type="dxa"/>
            <w:tcBorders>
              <w:top w:val="single" w:sz="8" w:space="0" w:color="000000"/>
            </w:tcBorders>
          </w:tcPr>
          <w:p>
            <w:pPr>
              <w:pStyle w:val="TableParagraph"/>
              <w:ind w:left="76" w:right="147" w:firstLine="2"/>
              <w:jc w:val="center"/>
              <w:rPr>
                <w:b/>
                <w:sz w:val="20"/>
              </w:rPr>
            </w:pPr>
            <w:r>
              <w:rPr>
                <w:b/>
                <w:sz w:val="20"/>
              </w:rPr>
              <w:t>Hábitos higiénicos </w:t>
            </w:r>
            <w:r>
              <w:rPr>
                <w:b/>
                <w:w w:val="95"/>
                <w:sz w:val="20"/>
              </w:rPr>
              <w:t>bucodentales</w:t>
            </w:r>
          </w:p>
        </w:tc>
        <w:tc>
          <w:tcPr>
            <w:tcW w:w="1593" w:type="dxa"/>
            <w:tcBorders>
              <w:top w:val="single" w:sz="8" w:space="0" w:color="000000"/>
            </w:tcBorders>
          </w:tcPr>
          <w:p>
            <w:pPr>
              <w:pStyle w:val="TableParagraph"/>
              <w:ind w:left="115" w:right="130"/>
              <w:rPr>
                <w:sz w:val="20"/>
              </w:rPr>
            </w:pPr>
            <w:r>
              <w:rPr>
                <w:sz w:val="20"/>
              </w:rPr>
              <w:t>Acciones necesarias para mantener la salud bucodental</w:t>
            </w:r>
          </w:p>
        </w:tc>
        <w:tc>
          <w:tcPr>
            <w:tcW w:w="1770" w:type="dxa"/>
            <w:tcBorders>
              <w:top w:val="single" w:sz="8" w:space="0" w:color="000000"/>
            </w:tcBorders>
          </w:tcPr>
          <w:p>
            <w:pPr>
              <w:pStyle w:val="TableParagraph"/>
              <w:ind w:left="123" w:right="204"/>
              <w:rPr>
                <w:sz w:val="20"/>
              </w:rPr>
            </w:pPr>
            <w:r>
              <w:rPr>
                <w:sz w:val="20"/>
              </w:rPr>
              <w:t>Frecuencia de uso de los elementos necesarios para la higiene bucodental</w:t>
            </w:r>
          </w:p>
        </w:tc>
        <w:tc>
          <w:tcPr>
            <w:tcW w:w="1531" w:type="dxa"/>
            <w:tcBorders>
              <w:top w:val="single" w:sz="8" w:space="0" w:color="000000"/>
            </w:tcBorders>
          </w:tcPr>
          <w:p>
            <w:pPr>
              <w:pStyle w:val="TableParagraph"/>
              <w:ind w:left="190"/>
              <w:rPr>
                <w:sz w:val="20"/>
              </w:rPr>
            </w:pPr>
            <w:r>
              <w:rPr>
                <w:w w:val="95"/>
                <w:sz w:val="20"/>
              </w:rPr>
              <w:t>Cuantitativa </w:t>
            </w:r>
            <w:r>
              <w:rPr>
                <w:sz w:val="20"/>
              </w:rPr>
              <w:t>discreta</w:t>
            </w:r>
          </w:p>
        </w:tc>
        <w:tc>
          <w:tcPr>
            <w:tcW w:w="1646" w:type="dxa"/>
            <w:tcBorders>
              <w:top w:val="single" w:sz="8" w:space="0" w:color="000000"/>
            </w:tcBorders>
          </w:tcPr>
          <w:p>
            <w:pPr>
              <w:pStyle w:val="TableParagraph"/>
              <w:ind w:left="260"/>
              <w:rPr>
                <w:sz w:val="20"/>
              </w:rPr>
            </w:pPr>
            <w:r>
              <w:rPr>
                <w:sz w:val="20"/>
              </w:rPr>
              <w:t>Número de veces al día</w:t>
            </w:r>
          </w:p>
        </w:tc>
        <w:tc>
          <w:tcPr>
            <w:tcW w:w="1706" w:type="dxa"/>
            <w:tcBorders>
              <w:top w:val="single" w:sz="8" w:space="0" w:color="000000"/>
            </w:tcBorders>
          </w:tcPr>
          <w:p>
            <w:pPr>
              <w:pStyle w:val="TableParagraph"/>
              <w:spacing w:line="227" w:lineRule="exact"/>
              <w:ind w:left="213" w:right="320"/>
              <w:rPr>
                <w:sz w:val="20"/>
              </w:rPr>
            </w:pPr>
            <w:r>
              <w:rPr>
                <w:sz w:val="20"/>
              </w:rPr>
              <w:t>˂ 1 vez</w:t>
            </w:r>
          </w:p>
          <w:p>
            <w:pPr>
              <w:pStyle w:val="TableParagraph"/>
              <w:numPr>
                <w:ilvl w:val="0"/>
                <w:numId w:val="21"/>
              </w:numPr>
              <w:tabs>
                <w:tab w:pos="380" w:val="left" w:leader="none"/>
              </w:tabs>
              <w:spacing w:line="240" w:lineRule="auto" w:before="0" w:after="0"/>
              <w:ind w:left="379" w:right="0" w:hanging="166"/>
              <w:jc w:val="left"/>
              <w:rPr>
                <w:sz w:val="20"/>
              </w:rPr>
            </w:pPr>
            <w:r>
              <w:rPr>
                <w:sz w:val="20"/>
              </w:rPr>
              <w:t>vez</w:t>
            </w:r>
          </w:p>
          <w:p>
            <w:pPr>
              <w:pStyle w:val="TableParagraph"/>
              <w:numPr>
                <w:ilvl w:val="0"/>
                <w:numId w:val="21"/>
              </w:numPr>
              <w:tabs>
                <w:tab w:pos="380" w:val="left" w:leader="none"/>
              </w:tabs>
              <w:spacing w:line="240" w:lineRule="auto" w:before="0" w:after="0"/>
              <w:ind w:left="379" w:right="0" w:hanging="166"/>
              <w:jc w:val="left"/>
              <w:rPr>
                <w:sz w:val="20"/>
              </w:rPr>
            </w:pPr>
            <w:r>
              <w:rPr>
                <w:sz w:val="20"/>
              </w:rPr>
              <w:t>veces</w:t>
            </w:r>
          </w:p>
          <w:p>
            <w:pPr>
              <w:pStyle w:val="TableParagraph"/>
              <w:numPr>
                <w:ilvl w:val="0"/>
                <w:numId w:val="21"/>
              </w:numPr>
              <w:tabs>
                <w:tab w:pos="380" w:val="left" w:leader="none"/>
              </w:tabs>
              <w:spacing w:line="240" w:lineRule="auto" w:before="0" w:after="0"/>
              <w:ind w:left="379" w:right="0" w:hanging="166"/>
              <w:jc w:val="left"/>
              <w:rPr>
                <w:sz w:val="20"/>
              </w:rPr>
            </w:pPr>
            <w:r>
              <w:rPr>
                <w:sz w:val="20"/>
              </w:rPr>
              <w:t>o mas</w:t>
            </w:r>
          </w:p>
        </w:tc>
      </w:tr>
      <w:tr>
        <w:trPr>
          <w:trHeight w:val="2403" w:hRule="exact"/>
        </w:trPr>
        <w:tc>
          <w:tcPr>
            <w:tcW w:w="1512" w:type="dxa"/>
          </w:tcPr>
          <w:p>
            <w:pPr>
              <w:pStyle w:val="TableParagraph"/>
              <w:spacing w:before="103"/>
              <w:ind w:left="153" w:firstLine="184"/>
              <w:rPr>
                <w:b/>
                <w:sz w:val="20"/>
              </w:rPr>
            </w:pPr>
            <w:r>
              <w:rPr>
                <w:b/>
                <w:sz w:val="20"/>
              </w:rPr>
              <w:t>Nivel de </w:t>
            </w:r>
            <w:r>
              <w:rPr>
                <w:b/>
                <w:w w:val="95"/>
                <w:sz w:val="20"/>
              </w:rPr>
              <w:t>Escolaridad</w:t>
            </w:r>
          </w:p>
        </w:tc>
        <w:tc>
          <w:tcPr>
            <w:tcW w:w="1593" w:type="dxa"/>
          </w:tcPr>
          <w:p>
            <w:pPr>
              <w:pStyle w:val="TableParagraph"/>
              <w:spacing w:before="106"/>
              <w:ind w:left="115" w:right="121"/>
              <w:rPr>
                <w:sz w:val="20"/>
              </w:rPr>
            </w:pPr>
            <w:r>
              <w:rPr>
                <w:sz w:val="20"/>
              </w:rPr>
              <w:t>Periodo de tiempo que dura la estancia de un niño o joven</w:t>
            </w:r>
            <w:r>
              <w:rPr>
                <w:spacing w:val="-7"/>
                <w:sz w:val="20"/>
              </w:rPr>
              <w:t> </w:t>
            </w:r>
            <w:r>
              <w:rPr>
                <w:sz w:val="20"/>
              </w:rPr>
              <w:t>en una escuela para estudiar y recibir la enseñanza</w:t>
            </w:r>
          </w:p>
          <w:p>
            <w:pPr>
              <w:pStyle w:val="TableParagraph"/>
              <w:tabs>
                <w:tab w:pos="115" w:val="left" w:leader="none"/>
                <w:tab w:pos="8245" w:val="left" w:leader="none"/>
              </w:tabs>
              <w:ind w:left="-1606" w:right="-6653"/>
              <w:rPr>
                <w:sz w:val="20"/>
              </w:rPr>
            </w:pPr>
            <w:r>
              <w:rPr>
                <w:w w:val="99"/>
                <w:sz w:val="20"/>
                <w:u w:val="single"/>
              </w:rPr>
              <w:t> </w:t>
            </w:r>
            <w:r>
              <w:rPr>
                <w:sz w:val="20"/>
                <w:u w:val="single"/>
              </w:rPr>
              <w:tab/>
              <w:t>adecuada</w:t>
              <w:tab/>
            </w:r>
          </w:p>
        </w:tc>
        <w:tc>
          <w:tcPr>
            <w:tcW w:w="1770" w:type="dxa"/>
          </w:tcPr>
          <w:p>
            <w:pPr>
              <w:pStyle w:val="TableParagraph"/>
              <w:spacing w:before="106"/>
              <w:ind w:left="123" w:right="171" w:firstLine="55"/>
              <w:rPr>
                <w:sz w:val="20"/>
              </w:rPr>
            </w:pPr>
            <w:r>
              <w:rPr>
                <w:sz w:val="20"/>
              </w:rPr>
              <w:t>El nivel máximo de estudios</w:t>
            </w:r>
          </w:p>
        </w:tc>
        <w:tc>
          <w:tcPr>
            <w:tcW w:w="1531" w:type="dxa"/>
          </w:tcPr>
          <w:p>
            <w:pPr>
              <w:pStyle w:val="TableParagraph"/>
              <w:spacing w:before="106"/>
              <w:ind w:left="190"/>
              <w:rPr>
                <w:sz w:val="20"/>
              </w:rPr>
            </w:pPr>
            <w:r>
              <w:rPr>
                <w:w w:val="95"/>
                <w:sz w:val="20"/>
              </w:rPr>
              <w:t>Cuantitativa </w:t>
            </w:r>
            <w:r>
              <w:rPr>
                <w:sz w:val="20"/>
              </w:rPr>
              <w:t>continua</w:t>
            </w:r>
          </w:p>
        </w:tc>
        <w:tc>
          <w:tcPr>
            <w:tcW w:w="1646" w:type="dxa"/>
          </w:tcPr>
          <w:p>
            <w:pPr>
              <w:pStyle w:val="TableParagraph"/>
              <w:spacing w:before="106"/>
              <w:ind w:left="260"/>
              <w:rPr>
                <w:sz w:val="20"/>
              </w:rPr>
            </w:pPr>
            <w:r>
              <w:rPr>
                <w:sz w:val="20"/>
              </w:rPr>
              <w:t>Años-meses</w:t>
            </w:r>
          </w:p>
        </w:tc>
        <w:tc>
          <w:tcPr>
            <w:tcW w:w="1706" w:type="dxa"/>
          </w:tcPr>
          <w:p>
            <w:pPr>
              <w:pStyle w:val="TableParagraph"/>
              <w:spacing w:before="106"/>
              <w:ind w:left="213" w:right="161" w:firstLine="55"/>
              <w:rPr>
                <w:sz w:val="20"/>
              </w:rPr>
            </w:pPr>
            <w:r>
              <w:rPr>
                <w:sz w:val="20"/>
              </w:rPr>
              <w:t>Años y meses que recibió enseñanza en una escuela</w:t>
            </w:r>
          </w:p>
        </w:tc>
      </w:tr>
    </w:tbl>
    <w:p>
      <w:pPr>
        <w:spacing w:after="0"/>
        <w:rPr>
          <w:sz w:val="20"/>
        </w:rPr>
        <w:sectPr>
          <w:pgSz w:w="12240" w:h="15840"/>
          <w:pgMar w:header="713" w:footer="1039" w:top="900" w:bottom="1220" w:left="1540" w:right="700"/>
        </w:sectPr>
      </w:pPr>
    </w:p>
    <w:p>
      <w:pPr>
        <w:pStyle w:val="BodyText"/>
        <w:spacing w:before="3"/>
        <w:rPr>
          <w:rFonts w:ascii="Times New Roman"/>
          <w:sz w:val="18"/>
        </w:rPr>
      </w:pPr>
    </w:p>
    <w:p>
      <w:pPr>
        <w:pStyle w:val="Heading2"/>
        <w:numPr>
          <w:ilvl w:val="1"/>
          <w:numId w:val="22"/>
        </w:numPr>
        <w:tabs>
          <w:tab w:pos="707" w:val="left" w:leader="none"/>
        </w:tabs>
        <w:spacing w:line="240" w:lineRule="auto" w:before="65" w:after="0"/>
        <w:ind w:left="706" w:right="0" w:hanging="544"/>
        <w:jc w:val="left"/>
      </w:pPr>
      <w:bookmarkStart w:name="_TOC_250017" w:id="24"/>
      <w:r>
        <w:rPr>
          <w:sz w:val="28"/>
        </w:rPr>
        <w:t>M</w:t>
      </w:r>
      <w:bookmarkEnd w:id="24"/>
      <w:r>
        <w:rPr/>
        <w:t>ateriales</w:t>
      </w:r>
    </w:p>
    <w:p>
      <w:pPr>
        <w:pStyle w:val="BodyText"/>
        <w:rPr>
          <w:b/>
          <w:sz w:val="28"/>
        </w:rPr>
      </w:pPr>
    </w:p>
    <w:p>
      <w:pPr>
        <w:pStyle w:val="BodyText"/>
        <w:spacing w:before="4"/>
        <w:rPr>
          <w:b/>
          <w:sz w:val="36"/>
        </w:rPr>
      </w:pPr>
    </w:p>
    <w:p>
      <w:pPr>
        <w:pStyle w:val="ListParagraph"/>
        <w:numPr>
          <w:ilvl w:val="2"/>
          <w:numId w:val="22"/>
        </w:numPr>
        <w:tabs>
          <w:tab w:pos="881" w:val="left" w:leader="none"/>
          <w:tab w:pos="882" w:val="left" w:leader="none"/>
        </w:tabs>
        <w:spacing w:line="240" w:lineRule="auto" w:before="0" w:after="0"/>
        <w:ind w:left="882" w:right="0" w:hanging="360"/>
        <w:jc w:val="left"/>
        <w:rPr>
          <w:sz w:val="22"/>
        </w:rPr>
      </w:pPr>
      <w:r>
        <w:rPr>
          <w:sz w:val="22"/>
        </w:rPr>
        <w:t>1 Caja de Guantes desechables para</w:t>
      </w:r>
      <w:r>
        <w:rPr>
          <w:spacing w:val="-6"/>
          <w:sz w:val="22"/>
        </w:rPr>
        <w:t> </w:t>
      </w:r>
      <w:r>
        <w:rPr>
          <w:sz w:val="22"/>
        </w:rPr>
        <w:t>examinar</w:t>
      </w:r>
    </w:p>
    <w:p>
      <w:pPr>
        <w:pStyle w:val="ListParagraph"/>
        <w:numPr>
          <w:ilvl w:val="2"/>
          <w:numId w:val="22"/>
        </w:numPr>
        <w:tabs>
          <w:tab w:pos="881" w:val="left" w:leader="none"/>
          <w:tab w:pos="882" w:val="left" w:leader="none"/>
        </w:tabs>
        <w:spacing w:line="240" w:lineRule="auto" w:before="128" w:after="0"/>
        <w:ind w:left="882" w:right="0" w:hanging="360"/>
        <w:jc w:val="left"/>
        <w:rPr>
          <w:sz w:val="22"/>
        </w:rPr>
      </w:pPr>
      <w:r>
        <w:rPr>
          <w:sz w:val="22"/>
        </w:rPr>
        <w:t>80 tubos vacutainer con 2 mL de</w:t>
      </w:r>
      <w:r>
        <w:rPr>
          <w:spacing w:val="-9"/>
          <w:sz w:val="22"/>
        </w:rPr>
        <w:t> </w:t>
      </w:r>
      <w:r>
        <w:rPr>
          <w:sz w:val="22"/>
        </w:rPr>
        <w:t>heparina</w:t>
      </w:r>
    </w:p>
    <w:p>
      <w:pPr>
        <w:pStyle w:val="ListParagraph"/>
        <w:numPr>
          <w:ilvl w:val="2"/>
          <w:numId w:val="22"/>
        </w:numPr>
        <w:tabs>
          <w:tab w:pos="881" w:val="left" w:leader="none"/>
          <w:tab w:pos="882" w:val="left" w:leader="none"/>
        </w:tabs>
        <w:spacing w:line="240" w:lineRule="auto" w:before="126" w:after="0"/>
        <w:ind w:left="882" w:right="0" w:hanging="360"/>
        <w:jc w:val="left"/>
        <w:rPr>
          <w:sz w:val="22"/>
        </w:rPr>
      </w:pPr>
      <w:r>
        <w:rPr>
          <w:sz w:val="22"/>
        </w:rPr>
        <w:t>Kit de extracción de ADN Zymo Research Zr Genomic DNA</w:t>
      </w:r>
      <w:r>
        <w:rPr>
          <w:spacing w:val="-17"/>
          <w:sz w:val="22"/>
        </w:rPr>
        <w:t> </w:t>
      </w:r>
      <w:r>
        <w:rPr>
          <w:sz w:val="22"/>
        </w:rPr>
        <w:t>II</w:t>
      </w:r>
    </w:p>
    <w:p>
      <w:pPr>
        <w:pStyle w:val="ListParagraph"/>
        <w:numPr>
          <w:ilvl w:val="2"/>
          <w:numId w:val="22"/>
        </w:numPr>
        <w:tabs>
          <w:tab w:pos="874" w:val="left" w:leader="none"/>
          <w:tab w:pos="875" w:val="left" w:leader="none"/>
        </w:tabs>
        <w:spacing w:line="240" w:lineRule="auto" w:before="126" w:after="0"/>
        <w:ind w:left="874" w:right="0" w:hanging="355"/>
        <w:jc w:val="left"/>
        <w:rPr>
          <w:sz w:val="22"/>
        </w:rPr>
      </w:pPr>
      <w:r>
        <w:rPr>
          <w:sz w:val="22"/>
        </w:rPr>
        <w:t>Termociclador de punto final (Techne</w:t>
      </w:r>
      <w:r>
        <w:rPr>
          <w:spacing w:val="-11"/>
          <w:sz w:val="22"/>
        </w:rPr>
        <w:t> </w:t>
      </w:r>
      <w:r>
        <w:rPr>
          <w:sz w:val="22"/>
        </w:rPr>
        <w:t>TC-512)</w:t>
      </w:r>
    </w:p>
    <w:p>
      <w:pPr>
        <w:pStyle w:val="ListParagraph"/>
        <w:numPr>
          <w:ilvl w:val="2"/>
          <w:numId w:val="22"/>
        </w:numPr>
        <w:tabs>
          <w:tab w:pos="874" w:val="left" w:leader="none"/>
          <w:tab w:pos="875" w:val="left" w:leader="none"/>
        </w:tabs>
        <w:spacing w:line="240" w:lineRule="auto" w:before="126" w:after="0"/>
        <w:ind w:left="874" w:right="0" w:hanging="355"/>
        <w:jc w:val="left"/>
        <w:rPr>
          <w:sz w:val="22"/>
        </w:rPr>
      </w:pPr>
      <w:r>
        <w:rPr>
          <w:sz w:val="22"/>
        </w:rPr>
        <w:t>Centrifuga</w:t>
      </w:r>
      <w:r>
        <w:rPr>
          <w:spacing w:val="-6"/>
          <w:sz w:val="22"/>
        </w:rPr>
        <w:t> </w:t>
      </w:r>
      <w:r>
        <w:rPr>
          <w:sz w:val="22"/>
        </w:rPr>
        <w:t>(Eppendorf)</w:t>
      </w:r>
    </w:p>
    <w:p>
      <w:pPr>
        <w:pStyle w:val="ListParagraph"/>
        <w:numPr>
          <w:ilvl w:val="2"/>
          <w:numId w:val="22"/>
        </w:numPr>
        <w:tabs>
          <w:tab w:pos="874" w:val="left" w:leader="none"/>
          <w:tab w:pos="875" w:val="left" w:leader="none"/>
        </w:tabs>
        <w:spacing w:line="240" w:lineRule="auto" w:before="126" w:after="0"/>
        <w:ind w:left="874" w:right="0" w:hanging="355"/>
        <w:jc w:val="left"/>
        <w:rPr>
          <w:sz w:val="22"/>
        </w:rPr>
      </w:pPr>
      <w:r>
        <w:rPr>
          <w:sz w:val="22"/>
        </w:rPr>
        <w:t>Microondas</w:t>
      </w:r>
    </w:p>
    <w:p>
      <w:pPr>
        <w:pStyle w:val="ListParagraph"/>
        <w:numPr>
          <w:ilvl w:val="2"/>
          <w:numId w:val="22"/>
        </w:numPr>
        <w:tabs>
          <w:tab w:pos="874" w:val="left" w:leader="none"/>
          <w:tab w:pos="875" w:val="left" w:leader="none"/>
        </w:tabs>
        <w:spacing w:line="240" w:lineRule="auto" w:before="126" w:after="0"/>
        <w:ind w:left="874" w:right="0" w:hanging="355"/>
        <w:jc w:val="left"/>
        <w:rPr>
          <w:sz w:val="22"/>
        </w:rPr>
      </w:pPr>
      <w:r>
        <w:rPr>
          <w:sz w:val="22"/>
        </w:rPr>
        <w:t>Equipo de electroforesis (cubeta, soporte, peine, fuente de</w:t>
      </w:r>
      <w:r>
        <w:rPr>
          <w:spacing w:val="-15"/>
          <w:sz w:val="22"/>
        </w:rPr>
        <w:t> </w:t>
      </w:r>
      <w:r>
        <w:rPr>
          <w:sz w:val="22"/>
        </w:rPr>
        <w:t>alimentación)</w:t>
      </w:r>
    </w:p>
    <w:p>
      <w:pPr>
        <w:pStyle w:val="ListParagraph"/>
        <w:numPr>
          <w:ilvl w:val="2"/>
          <w:numId w:val="22"/>
        </w:numPr>
        <w:tabs>
          <w:tab w:pos="874" w:val="left" w:leader="none"/>
          <w:tab w:pos="875" w:val="left" w:leader="none"/>
        </w:tabs>
        <w:spacing w:line="240" w:lineRule="auto" w:before="127" w:after="0"/>
        <w:ind w:left="874" w:right="0" w:hanging="355"/>
        <w:jc w:val="left"/>
        <w:rPr>
          <w:sz w:val="22"/>
        </w:rPr>
      </w:pPr>
      <w:r>
        <w:rPr>
          <w:sz w:val="22"/>
        </w:rPr>
        <w:t>Transiluminador de luz</w:t>
      </w:r>
      <w:r>
        <w:rPr>
          <w:spacing w:val="-7"/>
          <w:sz w:val="22"/>
        </w:rPr>
        <w:t> </w:t>
      </w:r>
      <w:r>
        <w:rPr>
          <w:sz w:val="22"/>
        </w:rPr>
        <w:t>UV</w:t>
      </w:r>
    </w:p>
    <w:p>
      <w:pPr>
        <w:pStyle w:val="ListParagraph"/>
        <w:numPr>
          <w:ilvl w:val="2"/>
          <w:numId w:val="22"/>
        </w:numPr>
        <w:tabs>
          <w:tab w:pos="874" w:val="left" w:leader="none"/>
          <w:tab w:pos="875" w:val="left" w:leader="none"/>
        </w:tabs>
        <w:spacing w:line="240" w:lineRule="auto" w:before="126" w:after="0"/>
        <w:ind w:left="874" w:right="0" w:hanging="355"/>
        <w:jc w:val="left"/>
        <w:rPr>
          <w:sz w:val="22"/>
        </w:rPr>
      </w:pPr>
      <w:r>
        <w:rPr>
          <w:sz w:val="22"/>
        </w:rPr>
        <w:t>Micropipetas</w:t>
      </w:r>
      <w:r>
        <w:rPr>
          <w:spacing w:val="-7"/>
          <w:sz w:val="22"/>
        </w:rPr>
        <w:t> </w:t>
      </w:r>
      <w:r>
        <w:rPr>
          <w:sz w:val="22"/>
        </w:rPr>
        <w:t>automáticas</w:t>
      </w:r>
    </w:p>
    <w:p>
      <w:pPr>
        <w:pStyle w:val="ListParagraph"/>
        <w:numPr>
          <w:ilvl w:val="2"/>
          <w:numId w:val="22"/>
        </w:numPr>
        <w:tabs>
          <w:tab w:pos="874" w:val="left" w:leader="none"/>
          <w:tab w:pos="875" w:val="left" w:leader="none"/>
        </w:tabs>
        <w:spacing w:line="240" w:lineRule="auto" w:before="128" w:after="0"/>
        <w:ind w:left="874" w:right="0" w:hanging="355"/>
        <w:jc w:val="left"/>
        <w:rPr>
          <w:sz w:val="22"/>
        </w:rPr>
      </w:pPr>
      <w:r>
        <w:rPr>
          <w:sz w:val="22"/>
        </w:rPr>
        <w:t>Tubos eppendorf de 1.5</w:t>
      </w:r>
      <w:r>
        <w:rPr>
          <w:spacing w:val="-3"/>
          <w:sz w:val="22"/>
        </w:rPr>
        <w:t> </w:t>
      </w:r>
      <w:r>
        <w:rPr>
          <w:sz w:val="22"/>
        </w:rPr>
        <w:t>mL</w:t>
      </w:r>
    </w:p>
    <w:p>
      <w:pPr>
        <w:pStyle w:val="ListParagraph"/>
        <w:numPr>
          <w:ilvl w:val="2"/>
          <w:numId w:val="22"/>
        </w:numPr>
        <w:tabs>
          <w:tab w:pos="874" w:val="left" w:leader="none"/>
          <w:tab w:pos="875" w:val="left" w:leader="none"/>
        </w:tabs>
        <w:spacing w:line="240" w:lineRule="auto" w:before="126" w:after="0"/>
        <w:ind w:left="874" w:right="0" w:hanging="355"/>
        <w:jc w:val="left"/>
        <w:rPr>
          <w:sz w:val="22"/>
        </w:rPr>
      </w:pPr>
      <w:r>
        <w:rPr>
          <w:sz w:val="22"/>
        </w:rPr>
        <w:t>Agarosa al</w:t>
      </w:r>
      <w:r>
        <w:rPr>
          <w:spacing w:val="-2"/>
          <w:sz w:val="22"/>
        </w:rPr>
        <w:t> </w:t>
      </w:r>
      <w:r>
        <w:rPr>
          <w:sz w:val="22"/>
        </w:rPr>
        <w:t>2%</w:t>
      </w:r>
    </w:p>
    <w:p>
      <w:pPr>
        <w:pStyle w:val="ListParagraph"/>
        <w:numPr>
          <w:ilvl w:val="2"/>
          <w:numId w:val="22"/>
        </w:numPr>
        <w:tabs>
          <w:tab w:pos="874" w:val="left" w:leader="none"/>
          <w:tab w:pos="875" w:val="left" w:leader="none"/>
        </w:tabs>
        <w:spacing w:line="240" w:lineRule="auto" w:before="126" w:after="0"/>
        <w:ind w:left="874" w:right="0" w:hanging="355"/>
        <w:jc w:val="left"/>
        <w:rPr>
          <w:sz w:val="22"/>
        </w:rPr>
      </w:pPr>
      <w:r>
        <w:rPr>
          <w:sz w:val="22"/>
        </w:rPr>
        <w:t>Bromuro de etidio al</w:t>
      </w:r>
      <w:r>
        <w:rPr>
          <w:spacing w:val="-4"/>
          <w:sz w:val="22"/>
        </w:rPr>
        <w:t> </w:t>
      </w:r>
      <w:r>
        <w:rPr>
          <w:sz w:val="22"/>
        </w:rPr>
        <w:t>2%</w:t>
      </w:r>
    </w:p>
    <w:p>
      <w:pPr>
        <w:pStyle w:val="ListParagraph"/>
        <w:numPr>
          <w:ilvl w:val="2"/>
          <w:numId w:val="22"/>
        </w:numPr>
        <w:tabs>
          <w:tab w:pos="874" w:val="left" w:leader="none"/>
          <w:tab w:pos="875" w:val="left" w:leader="none"/>
        </w:tabs>
        <w:spacing w:line="240" w:lineRule="auto" w:before="126" w:after="0"/>
        <w:ind w:left="874" w:right="0" w:hanging="355"/>
        <w:jc w:val="left"/>
        <w:rPr>
          <w:sz w:val="22"/>
        </w:rPr>
      </w:pPr>
      <w:r>
        <w:rPr>
          <w:sz w:val="22"/>
        </w:rPr>
        <w:t>Buffer de carga</w:t>
      </w:r>
      <w:r>
        <w:rPr>
          <w:spacing w:val="-4"/>
          <w:sz w:val="22"/>
        </w:rPr>
        <w:t> </w:t>
      </w:r>
      <w:r>
        <w:rPr>
          <w:sz w:val="22"/>
        </w:rPr>
        <w:t>(Orange)</w:t>
      </w:r>
    </w:p>
    <w:p>
      <w:pPr>
        <w:pStyle w:val="ListParagraph"/>
        <w:numPr>
          <w:ilvl w:val="2"/>
          <w:numId w:val="22"/>
        </w:numPr>
        <w:tabs>
          <w:tab w:pos="874" w:val="left" w:leader="none"/>
          <w:tab w:pos="875" w:val="left" w:leader="none"/>
        </w:tabs>
        <w:spacing w:line="240" w:lineRule="auto" w:before="126" w:after="0"/>
        <w:ind w:left="874" w:right="0" w:hanging="355"/>
        <w:jc w:val="left"/>
        <w:rPr>
          <w:sz w:val="22"/>
        </w:rPr>
      </w:pPr>
      <w:r>
        <w:rPr>
          <w:sz w:val="22"/>
        </w:rPr>
        <w:t>Agua</w:t>
      </w:r>
      <w:r>
        <w:rPr>
          <w:spacing w:val="-5"/>
          <w:sz w:val="22"/>
        </w:rPr>
        <w:t> </w:t>
      </w:r>
      <w:r>
        <w:rPr>
          <w:sz w:val="22"/>
        </w:rPr>
        <w:t>destilada</w:t>
      </w:r>
    </w:p>
    <w:p>
      <w:pPr>
        <w:pStyle w:val="ListParagraph"/>
        <w:numPr>
          <w:ilvl w:val="2"/>
          <w:numId w:val="22"/>
        </w:numPr>
        <w:tabs>
          <w:tab w:pos="874" w:val="left" w:leader="none"/>
          <w:tab w:pos="875" w:val="left" w:leader="none"/>
        </w:tabs>
        <w:spacing w:line="240" w:lineRule="auto" w:before="126" w:after="0"/>
        <w:ind w:left="874" w:right="0" w:hanging="355"/>
        <w:jc w:val="left"/>
        <w:rPr>
          <w:sz w:val="22"/>
        </w:rPr>
      </w:pPr>
      <w:r>
        <w:rPr>
          <w:sz w:val="22"/>
        </w:rPr>
        <w:t>Primers:</w:t>
      </w:r>
    </w:p>
    <w:p>
      <w:pPr>
        <w:pStyle w:val="BodyText"/>
        <w:rPr>
          <w:sz w:val="20"/>
        </w:rPr>
      </w:pPr>
    </w:p>
    <w:p>
      <w:pPr>
        <w:pStyle w:val="BodyText"/>
        <w:spacing w:before="2"/>
      </w:pPr>
    </w:p>
    <w:tbl>
      <w:tblPr>
        <w:tblW w:w="0" w:type="auto"/>
        <w:jc w:val="left"/>
        <w:tblInd w:w="9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87"/>
        <w:gridCol w:w="4661"/>
        <w:gridCol w:w="1457"/>
      </w:tblGrid>
      <w:tr>
        <w:trPr>
          <w:trHeight w:val="626" w:hRule="exact"/>
        </w:trPr>
        <w:tc>
          <w:tcPr>
            <w:tcW w:w="1187" w:type="dxa"/>
            <w:tcBorders>
              <w:left w:val="nil"/>
              <w:right w:val="nil"/>
            </w:tcBorders>
          </w:tcPr>
          <w:p>
            <w:pPr>
              <w:pStyle w:val="TableParagraph"/>
              <w:spacing w:before="69"/>
              <w:ind w:left="172" w:right="187"/>
              <w:jc w:val="center"/>
              <w:rPr>
                <w:b/>
                <w:sz w:val="20"/>
              </w:rPr>
            </w:pPr>
            <w:r>
              <w:rPr>
                <w:b/>
                <w:sz w:val="20"/>
              </w:rPr>
              <w:t>Primers</w:t>
            </w:r>
          </w:p>
        </w:tc>
        <w:tc>
          <w:tcPr>
            <w:tcW w:w="4661" w:type="dxa"/>
            <w:tcBorders>
              <w:left w:val="nil"/>
              <w:right w:val="nil"/>
            </w:tcBorders>
          </w:tcPr>
          <w:p>
            <w:pPr>
              <w:pStyle w:val="TableParagraph"/>
              <w:spacing w:before="69"/>
              <w:ind w:left="1805" w:right="1825"/>
              <w:jc w:val="center"/>
              <w:rPr>
                <w:b/>
                <w:sz w:val="20"/>
              </w:rPr>
            </w:pPr>
            <w:r>
              <w:rPr>
                <w:b/>
                <w:sz w:val="20"/>
              </w:rPr>
              <w:t>Secuencia</w:t>
            </w:r>
          </w:p>
        </w:tc>
        <w:tc>
          <w:tcPr>
            <w:tcW w:w="1457" w:type="dxa"/>
            <w:tcBorders>
              <w:left w:val="nil"/>
              <w:right w:val="nil"/>
            </w:tcBorders>
          </w:tcPr>
          <w:p>
            <w:pPr>
              <w:pStyle w:val="TableParagraph"/>
              <w:spacing w:before="69"/>
              <w:ind w:left="340" w:right="101" w:hanging="116"/>
              <w:rPr>
                <w:b/>
                <w:sz w:val="20"/>
              </w:rPr>
            </w:pPr>
            <w:r>
              <w:rPr>
                <w:b/>
                <w:sz w:val="20"/>
              </w:rPr>
              <w:t>Tamaño del amplicon</w:t>
            </w:r>
          </w:p>
        </w:tc>
      </w:tr>
      <w:tr>
        <w:trPr>
          <w:trHeight w:val="622" w:hRule="exact"/>
        </w:trPr>
        <w:tc>
          <w:tcPr>
            <w:tcW w:w="1187" w:type="dxa"/>
            <w:tcBorders>
              <w:left w:val="nil"/>
              <w:bottom w:val="nil"/>
              <w:right w:val="nil"/>
            </w:tcBorders>
          </w:tcPr>
          <w:p>
            <w:pPr>
              <w:pStyle w:val="TableParagraph"/>
              <w:spacing w:before="69"/>
              <w:ind w:left="192" w:right="186"/>
              <w:jc w:val="center"/>
              <w:rPr>
                <w:sz w:val="20"/>
              </w:rPr>
            </w:pPr>
            <w:r>
              <w:rPr>
                <w:sz w:val="20"/>
              </w:rPr>
              <w:t>GSTP1b</w:t>
            </w:r>
          </w:p>
        </w:tc>
        <w:tc>
          <w:tcPr>
            <w:tcW w:w="4661" w:type="dxa"/>
            <w:tcBorders>
              <w:left w:val="nil"/>
              <w:bottom w:val="nil"/>
              <w:right w:val="nil"/>
            </w:tcBorders>
          </w:tcPr>
          <w:p>
            <w:pPr>
              <w:pStyle w:val="TableParagraph"/>
              <w:spacing w:before="69"/>
              <w:ind w:left="596" w:right="521" w:hanging="32"/>
              <w:rPr>
                <w:sz w:val="20"/>
              </w:rPr>
            </w:pPr>
            <w:r>
              <w:rPr>
                <w:sz w:val="20"/>
              </w:rPr>
              <w:t>F 5‟- ACCCCAGGGCTCTATGGGAA-3‟ R 5‟-TGAGGGCACAAGAAGCCCCT-3</w:t>
            </w:r>
          </w:p>
        </w:tc>
        <w:tc>
          <w:tcPr>
            <w:tcW w:w="1457" w:type="dxa"/>
            <w:tcBorders>
              <w:left w:val="nil"/>
              <w:bottom w:val="nil"/>
              <w:right w:val="nil"/>
            </w:tcBorders>
          </w:tcPr>
          <w:p>
            <w:pPr>
              <w:pStyle w:val="TableParagraph"/>
              <w:spacing w:before="69"/>
              <w:ind w:right="399"/>
              <w:jc w:val="right"/>
              <w:rPr>
                <w:sz w:val="20"/>
              </w:rPr>
            </w:pPr>
            <w:r>
              <w:rPr>
                <w:w w:val="95"/>
                <w:sz w:val="20"/>
              </w:rPr>
              <w:t>176pb</w:t>
            </w:r>
          </w:p>
        </w:tc>
      </w:tr>
      <w:tr>
        <w:trPr>
          <w:trHeight w:val="604" w:hRule="exact"/>
        </w:trPr>
        <w:tc>
          <w:tcPr>
            <w:tcW w:w="1187" w:type="dxa"/>
            <w:tcBorders>
              <w:top w:val="nil"/>
              <w:left w:val="nil"/>
              <w:bottom w:val="nil"/>
              <w:right w:val="nil"/>
            </w:tcBorders>
          </w:tcPr>
          <w:p>
            <w:pPr>
              <w:pStyle w:val="TableParagraph"/>
              <w:spacing w:before="61"/>
              <w:ind w:left="185" w:right="187"/>
              <w:jc w:val="center"/>
              <w:rPr>
                <w:sz w:val="20"/>
              </w:rPr>
            </w:pPr>
            <w:r>
              <w:rPr>
                <w:sz w:val="20"/>
              </w:rPr>
              <w:t>GSTP1c</w:t>
            </w:r>
          </w:p>
        </w:tc>
        <w:tc>
          <w:tcPr>
            <w:tcW w:w="4661" w:type="dxa"/>
            <w:tcBorders>
              <w:top w:val="nil"/>
              <w:left w:val="nil"/>
              <w:bottom w:val="nil"/>
              <w:right w:val="nil"/>
            </w:tcBorders>
          </w:tcPr>
          <w:p>
            <w:pPr>
              <w:pStyle w:val="TableParagraph"/>
              <w:spacing w:before="61"/>
              <w:ind w:left="414" w:right="388" w:hanging="27"/>
              <w:rPr>
                <w:sz w:val="20"/>
              </w:rPr>
            </w:pPr>
            <w:r>
              <w:rPr>
                <w:w w:val="95"/>
                <w:sz w:val="20"/>
              </w:rPr>
              <w:t>F  5-‟TGGCAGCTGAAGTGGACAGGATT-3‟ R   5‟-ATGGCTCACACCTGTGTCCATCT-3‟</w:t>
            </w:r>
          </w:p>
        </w:tc>
        <w:tc>
          <w:tcPr>
            <w:tcW w:w="1457" w:type="dxa"/>
            <w:tcBorders>
              <w:top w:val="nil"/>
              <w:left w:val="nil"/>
              <w:bottom w:val="nil"/>
              <w:right w:val="nil"/>
            </w:tcBorders>
          </w:tcPr>
          <w:p>
            <w:pPr>
              <w:pStyle w:val="TableParagraph"/>
              <w:spacing w:before="61"/>
              <w:ind w:right="370"/>
              <w:jc w:val="right"/>
              <w:rPr>
                <w:sz w:val="20"/>
              </w:rPr>
            </w:pPr>
            <w:r>
              <w:rPr>
                <w:sz w:val="20"/>
              </w:rPr>
              <w:t>332 pb</w:t>
            </w:r>
          </w:p>
        </w:tc>
      </w:tr>
      <w:tr>
        <w:trPr>
          <w:trHeight w:val="604" w:hRule="exact"/>
        </w:trPr>
        <w:tc>
          <w:tcPr>
            <w:tcW w:w="1187" w:type="dxa"/>
            <w:tcBorders>
              <w:top w:val="nil"/>
              <w:left w:val="nil"/>
              <w:bottom w:val="nil"/>
              <w:right w:val="nil"/>
            </w:tcBorders>
          </w:tcPr>
          <w:p>
            <w:pPr>
              <w:pStyle w:val="TableParagraph"/>
              <w:spacing w:before="60"/>
              <w:ind w:left="75" w:right="187"/>
              <w:jc w:val="center"/>
              <w:rPr>
                <w:sz w:val="20"/>
              </w:rPr>
            </w:pPr>
            <w:r>
              <w:rPr>
                <w:sz w:val="20"/>
              </w:rPr>
              <w:t>GSTT1</w:t>
            </w:r>
          </w:p>
        </w:tc>
        <w:tc>
          <w:tcPr>
            <w:tcW w:w="4661" w:type="dxa"/>
            <w:tcBorders>
              <w:top w:val="nil"/>
              <w:left w:val="nil"/>
              <w:bottom w:val="nil"/>
              <w:right w:val="nil"/>
            </w:tcBorders>
          </w:tcPr>
          <w:p>
            <w:pPr>
              <w:pStyle w:val="TableParagraph"/>
              <w:spacing w:before="60"/>
              <w:ind w:left="428" w:right="192" w:hanging="222"/>
              <w:rPr>
                <w:sz w:val="20"/>
              </w:rPr>
            </w:pPr>
            <w:r>
              <w:rPr>
                <w:sz w:val="20"/>
              </w:rPr>
              <w:t>F 5'-TTC CTT ACT GGT CCT CAC ATC TC-3„ R  5'TCA CCG GAT CAT GGC CAG CA-3„</w:t>
            </w:r>
          </w:p>
        </w:tc>
        <w:tc>
          <w:tcPr>
            <w:tcW w:w="1457" w:type="dxa"/>
            <w:tcBorders>
              <w:top w:val="nil"/>
              <w:left w:val="nil"/>
              <w:bottom w:val="nil"/>
              <w:right w:val="nil"/>
            </w:tcBorders>
          </w:tcPr>
          <w:p>
            <w:pPr>
              <w:pStyle w:val="TableParagraph"/>
              <w:spacing w:before="60"/>
              <w:ind w:right="399"/>
              <w:jc w:val="right"/>
              <w:rPr>
                <w:sz w:val="20"/>
              </w:rPr>
            </w:pPr>
            <w:r>
              <w:rPr>
                <w:w w:val="95"/>
                <w:sz w:val="20"/>
              </w:rPr>
              <w:t>480pb</w:t>
            </w:r>
          </w:p>
        </w:tc>
      </w:tr>
      <w:tr>
        <w:trPr>
          <w:trHeight w:val="605" w:hRule="exact"/>
        </w:trPr>
        <w:tc>
          <w:tcPr>
            <w:tcW w:w="1187" w:type="dxa"/>
            <w:tcBorders>
              <w:top w:val="nil"/>
              <w:left w:val="nil"/>
              <w:bottom w:val="nil"/>
              <w:right w:val="nil"/>
            </w:tcBorders>
          </w:tcPr>
          <w:p>
            <w:pPr>
              <w:pStyle w:val="TableParagraph"/>
              <w:spacing w:before="61"/>
              <w:ind w:left="119" w:right="187"/>
              <w:jc w:val="center"/>
              <w:rPr>
                <w:sz w:val="20"/>
              </w:rPr>
            </w:pPr>
            <w:r>
              <w:rPr>
                <w:sz w:val="20"/>
              </w:rPr>
              <w:t>GSTM1</w:t>
            </w:r>
          </w:p>
        </w:tc>
        <w:tc>
          <w:tcPr>
            <w:tcW w:w="4661" w:type="dxa"/>
            <w:tcBorders>
              <w:top w:val="nil"/>
              <w:left w:val="nil"/>
              <w:bottom w:val="nil"/>
              <w:right w:val="nil"/>
            </w:tcBorders>
          </w:tcPr>
          <w:p>
            <w:pPr>
              <w:pStyle w:val="TableParagraph"/>
              <w:spacing w:before="61"/>
              <w:ind w:left="282" w:right="281" w:firstLine="21"/>
              <w:rPr>
                <w:sz w:val="20"/>
              </w:rPr>
            </w:pPr>
            <w:r>
              <w:rPr>
                <w:sz w:val="20"/>
              </w:rPr>
              <w:t>F 5'GAA CTC CCT GAA AAG CTA AAG C 3' R 5' GTT GGG CTC AAA TAT ACG GTG G 3'</w:t>
            </w:r>
          </w:p>
        </w:tc>
        <w:tc>
          <w:tcPr>
            <w:tcW w:w="1457" w:type="dxa"/>
            <w:tcBorders>
              <w:top w:val="nil"/>
              <w:left w:val="nil"/>
              <w:bottom w:val="nil"/>
              <w:right w:val="nil"/>
            </w:tcBorders>
          </w:tcPr>
          <w:p>
            <w:pPr>
              <w:pStyle w:val="TableParagraph"/>
              <w:spacing w:before="61"/>
              <w:ind w:right="370"/>
              <w:jc w:val="right"/>
              <w:rPr>
                <w:sz w:val="20"/>
              </w:rPr>
            </w:pPr>
            <w:r>
              <w:rPr>
                <w:sz w:val="20"/>
              </w:rPr>
              <w:t>215 pb</w:t>
            </w:r>
          </w:p>
        </w:tc>
      </w:tr>
      <w:tr>
        <w:trPr>
          <w:trHeight w:val="607" w:hRule="exact"/>
        </w:trPr>
        <w:tc>
          <w:tcPr>
            <w:tcW w:w="1187" w:type="dxa"/>
            <w:tcBorders>
              <w:top w:val="nil"/>
              <w:left w:val="nil"/>
              <w:right w:val="nil"/>
            </w:tcBorders>
          </w:tcPr>
          <w:p>
            <w:pPr>
              <w:pStyle w:val="TableParagraph"/>
              <w:spacing w:before="61"/>
              <w:ind w:left="192" w:right="187"/>
              <w:jc w:val="center"/>
              <w:rPr>
                <w:sz w:val="20"/>
              </w:rPr>
            </w:pPr>
            <w:r>
              <w:rPr>
                <w:sz w:val="20"/>
              </w:rPr>
              <w:t>CYP1A1</w:t>
            </w:r>
          </w:p>
        </w:tc>
        <w:tc>
          <w:tcPr>
            <w:tcW w:w="4661" w:type="dxa"/>
            <w:tcBorders>
              <w:top w:val="nil"/>
              <w:left w:val="nil"/>
              <w:right w:val="nil"/>
            </w:tcBorders>
          </w:tcPr>
          <w:p>
            <w:pPr>
              <w:pStyle w:val="TableParagraph"/>
              <w:spacing w:before="61"/>
              <w:ind w:left="582" w:right="552" w:firstLine="31"/>
              <w:rPr>
                <w:sz w:val="20"/>
              </w:rPr>
            </w:pPr>
            <w:r>
              <w:rPr>
                <w:sz w:val="20"/>
              </w:rPr>
              <w:t>F 5‟-TAACACTGATCTGGCTGCAG-3 </w:t>
            </w:r>
            <w:r>
              <w:rPr>
                <w:w w:val="95"/>
                <w:sz w:val="20"/>
              </w:rPr>
              <w:t>R   5‟-GGGAAGGCTCCATCAGCATC-3‟</w:t>
            </w:r>
          </w:p>
        </w:tc>
        <w:tc>
          <w:tcPr>
            <w:tcW w:w="1457" w:type="dxa"/>
            <w:tcBorders>
              <w:top w:val="nil"/>
              <w:left w:val="nil"/>
              <w:right w:val="nil"/>
            </w:tcBorders>
          </w:tcPr>
          <w:p>
            <w:pPr>
              <w:pStyle w:val="TableParagraph"/>
              <w:spacing w:before="61"/>
              <w:ind w:right="399"/>
              <w:jc w:val="right"/>
              <w:rPr>
                <w:sz w:val="20"/>
              </w:rPr>
            </w:pPr>
            <w:r>
              <w:rPr>
                <w:w w:val="95"/>
                <w:sz w:val="20"/>
              </w:rPr>
              <w:t>420pb</w:t>
            </w:r>
          </w:p>
        </w:tc>
      </w:tr>
    </w:tbl>
    <w:p>
      <w:pPr>
        <w:spacing w:after="0"/>
        <w:jc w:val="right"/>
        <w:rPr>
          <w:sz w:val="20"/>
        </w:rPr>
        <w:sectPr>
          <w:headerReference w:type="default" r:id="rId18"/>
          <w:pgSz w:w="12240" w:h="15840"/>
          <w:pgMar w:header="733" w:footer="1039" w:top="1020" w:bottom="1220" w:left="1540" w:right="1520"/>
        </w:sectPr>
      </w:pPr>
    </w:p>
    <w:p>
      <w:pPr>
        <w:pStyle w:val="BodyText"/>
        <w:rPr>
          <w:sz w:val="18"/>
        </w:rPr>
      </w:pPr>
    </w:p>
    <w:p>
      <w:pPr>
        <w:pStyle w:val="Heading2"/>
        <w:numPr>
          <w:ilvl w:val="1"/>
          <w:numId w:val="23"/>
        </w:numPr>
        <w:tabs>
          <w:tab w:pos="633" w:val="left" w:leader="none"/>
        </w:tabs>
        <w:spacing w:line="240" w:lineRule="auto" w:before="69" w:after="0"/>
        <w:ind w:left="632" w:right="0" w:hanging="470"/>
        <w:jc w:val="both"/>
      </w:pPr>
      <w:r>
        <w:rPr/>
        <w:t>Método</w:t>
      </w:r>
    </w:p>
    <w:p>
      <w:pPr>
        <w:pStyle w:val="BodyText"/>
        <w:rPr>
          <w:b/>
        </w:rPr>
      </w:pPr>
    </w:p>
    <w:p>
      <w:pPr>
        <w:pStyle w:val="BodyText"/>
        <w:rPr>
          <w:b/>
          <w:sz w:val="33"/>
        </w:rPr>
      </w:pPr>
    </w:p>
    <w:p>
      <w:pPr>
        <w:pStyle w:val="Heading2"/>
        <w:numPr>
          <w:ilvl w:val="2"/>
          <w:numId w:val="23"/>
        </w:numPr>
        <w:tabs>
          <w:tab w:pos="767" w:val="left" w:leader="none"/>
        </w:tabs>
        <w:spacing w:line="240" w:lineRule="auto" w:before="0" w:after="0"/>
        <w:ind w:left="766" w:right="0" w:hanging="604"/>
        <w:jc w:val="both"/>
      </w:pPr>
      <w:bookmarkStart w:name="_TOC_250016" w:id="25"/>
      <w:r>
        <w:rPr/>
        <w:t>Aplicación de</w:t>
      </w:r>
      <w:r>
        <w:rPr>
          <w:spacing w:val="-9"/>
        </w:rPr>
        <w:t> </w:t>
      </w:r>
      <w:bookmarkEnd w:id="25"/>
      <w:r>
        <w:rPr/>
        <w:t>cuestionario</w:t>
      </w:r>
    </w:p>
    <w:p>
      <w:pPr>
        <w:pStyle w:val="BodyText"/>
        <w:spacing w:line="360" w:lineRule="auto" w:before="139"/>
        <w:ind w:left="162" w:right="176"/>
        <w:jc w:val="both"/>
      </w:pPr>
      <w:r>
        <w:rPr/>
        <w:t>Para el grupo de personas expuestas a plaguicidas se acudió directamente a los invernaderos del municipio de Villa Guerrero, Edo. de México, en cuanto al grupo de personas no expuestas ocupacionalmente se invitaron a aquellos que acudían al Hospital Lic. Adolfo López Mateos a donar sangre en el banco estatal de  sangre.</w:t>
      </w:r>
    </w:p>
    <w:p>
      <w:pPr>
        <w:pStyle w:val="BodyText"/>
        <w:spacing w:line="360" w:lineRule="auto" w:before="205"/>
        <w:ind w:left="162" w:right="176"/>
        <w:jc w:val="both"/>
      </w:pPr>
      <w:r>
        <w:rPr/>
        <w:t>Para ambos grupos se les invitó a participar en el estudio voluntariamente. Una vez que aceptaron y firmaron la carta de consentimiento informado (anexo 1), se les aplicó un cuestionario relacionado a sus hábitos higiénicos y dietéticos (anexo 2).</w:t>
      </w:r>
    </w:p>
    <w:p>
      <w:pPr>
        <w:pStyle w:val="BodyText"/>
      </w:pPr>
    </w:p>
    <w:p>
      <w:pPr>
        <w:pStyle w:val="Heading2"/>
        <w:numPr>
          <w:ilvl w:val="2"/>
          <w:numId w:val="23"/>
        </w:numPr>
        <w:tabs>
          <w:tab w:pos="765" w:val="left" w:leader="none"/>
        </w:tabs>
        <w:spacing w:line="240" w:lineRule="auto" w:before="142" w:after="0"/>
        <w:ind w:left="764" w:right="0" w:hanging="602"/>
        <w:jc w:val="both"/>
      </w:pPr>
      <w:bookmarkStart w:name="_TOC_250015" w:id="26"/>
      <w:r>
        <w:rPr/>
        <w:t>Toma de</w:t>
      </w:r>
      <w:r>
        <w:rPr>
          <w:spacing w:val="-6"/>
        </w:rPr>
        <w:t> </w:t>
      </w:r>
      <w:bookmarkEnd w:id="26"/>
      <w:r>
        <w:rPr/>
        <w:t>muestras</w:t>
      </w:r>
    </w:p>
    <w:p>
      <w:pPr>
        <w:pStyle w:val="BodyText"/>
        <w:spacing w:line="360" w:lineRule="auto" w:before="139"/>
        <w:ind w:left="162" w:right="177"/>
        <w:jc w:val="both"/>
      </w:pPr>
      <w:r>
        <w:rPr/>
        <w:t>A cada participante se le tomó una muestra de 5 mL de sangre periférica en tubos vacutainer con heparina. Las muestras se transportaron en una hielera, en  máximo 4 hrs al Laboratorio de Genética de la Facultad de Química, UAEM, y se mantuvieron en refrigeración a una temperatura de 4-6°C hasta su</w:t>
      </w:r>
      <w:r>
        <w:rPr>
          <w:spacing w:val="-18"/>
        </w:rPr>
        <w:t> </w:t>
      </w:r>
      <w:r>
        <w:rPr/>
        <w:t>procesamiento.</w:t>
      </w:r>
    </w:p>
    <w:p>
      <w:pPr>
        <w:pStyle w:val="BodyText"/>
      </w:pPr>
    </w:p>
    <w:p>
      <w:pPr>
        <w:pStyle w:val="Heading2"/>
        <w:numPr>
          <w:ilvl w:val="2"/>
          <w:numId w:val="23"/>
        </w:numPr>
        <w:tabs>
          <w:tab w:pos="764" w:val="left" w:leader="none"/>
        </w:tabs>
        <w:spacing w:line="240" w:lineRule="auto" w:before="142" w:after="0"/>
        <w:ind w:left="763" w:right="0" w:hanging="601"/>
        <w:jc w:val="both"/>
      </w:pPr>
      <w:bookmarkStart w:name="_TOC_250014" w:id="27"/>
      <w:r>
        <w:rPr/>
        <w:t>Identificación de</w:t>
      </w:r>
      <w:r>
        <w:rPr>
          <w:spacing w:val="-7"/>
        </w:rPr>
        <w:t> </w:t>
      </w:r>
      <w:bookmarkEnd w:id="27"/>
      <w:r>
        <w:rPr/>
        <w:t>caries</w:t>
      </w:r>
    </w:p>
    <w:p>
      <w:pPr>
        <w:pStyle w:val="BodyText"/>
        <w:spacing w:line="360" w:lineRule="auto" w:before="137"/>
        <w:ind w:left="162" w:right="179"/>
        <w:jc w:val="both"/>
      </w:pPr>
      <w:r>
        <w:rPr/>
        <w:t>Se realizó la identificación de caries clínica y visualmente con ayuda de un explorador y espejo bucal. Se clasificaron las lesiones como:</w:t>
      </w:r>
    </w:p>
    <w:p>
      <w:pPr>
        <w:pStyle w:val="BodyText"/>
      </w:pPr>
    </w:p>
    <w:p>
      <w:pPr>
        <w:pStyle w:val="ListParagraph"/>
        <w:numPr>
          <w:ilvl w:val="0"/>
          <w:numId w:val="24"/>
        </w:numPr>
        <w:tabs>
          <w:tab w:pos="510" w:val="left" w:leader="none"/>
        </w:tabs>
        <w:spacing w:line="360" w:lineRule="auto" w:before="142" w:after="0"/>
        <w:ind w:left="162" w:right="186" w:firstLine="0"/>
        <w:jc w:val="both"/>
        <w:rPr>
          <w:sz w:val="24"/>
        </w:rPr>
      </w:pPr>
      <w:r>
        <w:rPr>
          <w:sz w:val="24"/>
        </w:rPr>
        <w:t>Lesión superficial. Cuando la desmineralización se encuentra limitada a la superficie del    esmalte, sin ser una</w:t>
      </w:r>
      <w:r>
        <w:rPr>
          <w:spacing w:val="-17"/>
          <w:sz w:val="24"/>
        </w:rPr>
        <w:t> </w:t>
      </w:r>
      <w:r>
        <w:rPr>
          <w:sz w:val="24"/>
        </w:rPr>
        <w:t>cavidad.</w:t>
      </w:r>
    </w:p>
    <w:p>
      <w:pPr>
        <w:pStyle w:val="ListParagraph"/>
        <w:numPr>
          <w:ilvl w:val="0"/>
          <w:numId w:val="24"/>
        </w:numPr>
        <w:tabs>
          <w:tab w:pos="448" w:val="left" w:leader="none"/>
        </w:tabs>
        <w:spacing w:line="360" w:lineRule="auto" w:before="5" w:after="0"/>
        <w:ind w:left="162" w:right="180" w:firstLine="0"/>
        <w:jc w:val="both"/>
        <w:rPr>
          <w:sz w:val="24"/>
        </w:rPr>
      </w:pPr>
      <w:r>
        <w:rPr>
          <w:sz w:val="24"/>
        </w:rPr>
        <w:t>Lesión cavitada. La lesión forma una cavidad y alcanza un extenso compromiso de la</w:t>
      </w:r>
      <w:r>
        <w:rPr>
          <w:spacing w:val="-5"/>
          <w:sz w:val="24"/>
        </w:rPr>
        <w:t> </w:t>
      </w:r>
      <w:r>
        <w:rPr>
          <w:sz w:val="24"/>
        </w:rPr>
        <w:t>dentina.</w:t>
      </w:r>
    </w:p>
    <w:p>
      <w:pPr>
        <w:spacing w:after="0" w:line="360" w:lineRule="auto"/>
        <w:jc w:val="both"/>
        <w:rPr>
          <w:sz w:val="24"/>
        </w:rPr>
        <w:sectPr>
          <w:pgSz w:w="12240" w:h="15840"/>
          <w:pgMar w:header="733" w:footer="1039" w:top="1020" w:bottom="1220" w:left="1540" w:right="1520"/>
        </w:sectPr>
      </w:pPr>
    </w:p>
    <w:p>
      <w:pPr>
        <w:pStyle w:val="BodyText"/>
        <w:rPr>
          <w:sz w:val="18"/>
        </w:rPr>
      </w:pPr>
    </w:p>
    <w:p>
      <w:pPr>
        <w:pStyle w:val="Heading2"/>
        <w:numPr>
          <w:ilvl w:val="2"/>
          <w:numId w:val="23"/>
        </w:numPr>
        <w:tabs>
          <w:tab w:pos="764" w:val="left" w:leader="none"/>
        </w:tabs>
        <w:spacing w:line="240" w:lineRule="auto" w:before="69" w:after="0"/>
        <w:ind w:left="763" w:right="0" w:hanging="601"/>
        <w:jc w:val="both"/>
      </w:pPr>
      <w:bookmarkStart w:name="_TOC_250013" w:id="28"/>
      <w:bookmarkEnd w:id="28"/>
      <w:r>
        <w:rPr/>
        <w:t>Genotipificación</w:t>
      </w:r>
    </w:p>
    <w:p>
      <w:pPr>
        <w:pStyle w:val="BodyText"/>
        <w:spacing w:line="360" w:lineRule="auto" w:before="139"/>
        <w:ind w:left="162" w:right="186"/>
        <w:jc w:val="both"/>
      </w:pPr>
      <w:r>
        <w:rPr/>
        <w:t>Para la extracción de DNA se utilizaron 100 μL de sangre, usando el kit para purificación de DNA genómico. Las muestras de sangre fueron congeladas a menos 79°C.</w:t>
      </w:r>
    </w:p>
    <w:p>
      <w:pPr>
        <w:pStyle w:val="BodyText"/>
      </w:pPr>
    </w:p>
    <w:p>
      <w:pPr>
        <w:pStyle w:val="BodyText"/>
        <w:spacing w:line="360" w:lineRule="auto" w:before="142"/>
        <w:ind w:left="162" w:right="182"/>
        <w:jc w:val="both"/>
      </w:pPr>
      <w:r>
        <w:rPr/>
        <w:t>El procedimiento se realizó mediante el método por columna que consta de los siguientes pasos:</w:t>
      </w:r>
    </w:p>
    <w:p>
      <w:pPr>
        <w:pStyle w:val="ListParagraph"/>
        <w:numPr>
          <w:ilvl w:val="3"/>
          <w:numId w:val="23"/>
        </w:numPr>
        <w:tabs>
          <w:tab w:pos="870" w:val="left" w:leader="none"/>
        </w:tabs>
        <w:spacing w:line="240" w:lineRule="auto" w:before="4" w:after="0"/>
        <w:ind w:left="870" w:right="0" w:hanging="281"/>
        <w:jc w:val="left"/>
        <w:rPr>
          <w:sz w:val="22"/>
        </w:rPr>
      </w:pPr>
      <w:r>
        <w:rPr>
          <w:sz w:val="22"/>
        </w:rPr>
        <w:t>Adicionar 400 µL de Genomic Lysis Buffer a 100 µL de sangre</w:t>
      </w:r>
      <w:r>
        <w:rPr>
          <w:spacing w:val="-19"/>
          <w:sz w:val="22"/>
        </w:rPr>
        <w:t> </w:t>
      </w:r>
      <w:r>
        <w:rPr>
          <w:sz w:val="22"/>
        </w:rPr>
        <w:t>total.</w:t>
      </w:r>
    </w:p>
    <w:p>
      <w:pPr>
        <w:pStyle w:val="ListParagraph"/>
        <w:numPr>
          <w:ilvl w:val="3"/>
          <w:numId w:val="23"/>
        </w:numPr>
        <w:tabs>
          <w:tab w:pos="870" w:val="left" w:leader="none"/>
        </w:tabs>
        <w:spacing w:line="360" w:lineRule="auto" w:before="126" w:after="0"/>
        <w:ind w:left="870" w:right="178" w:hanging="281"/>
        <w:jc w:val="left"/>
        <w:rPr>
          <w:sz w:val="24"/>
        </w:rPr>
      </w:pPr>
      <w:r>
        <w:rPr>
          <w:sz w:val="24"/>
        </w:rPr>
        <w:t>Mezclar en el vortex de 4 a 6 segundos y dejar reposar a temperatura ambiente 5</w:t>
      </w:r>
      <w:r>
        <w:rPr>
          <w:spacing w:val="-4"/>
          <w:sz w:val="24"/>
        </w:rPr>
        <w:t> </w:t>
      </w:r>
      <w:r>
        <w:rPr>
          <w:sz w:val="24"/>
        </w:rPr>
        <w:t>minutos.</w:t>
      </w:r>
    </w:p>
    <w:p>
      <w:pPr>
        <w:pStyle w:val="ListParagraph"/>
        <w:numPr>
          <w:ilvl w:val="3"/>
          <w:numId w:val="23"/>
        </w:numPr>
        <w:tabs>
          <w:tab w:pos="870" w:val="left" w:leader="none"/>
        </w:tabs>
        <w:spacing w:line="240" w:lineRule="auto" w:before="5" w:after="0"/>
        <w:ind w:left="870" w:right="0" w:hanging="281"/>
        <w:jc w:val="left"/>
        <w:rPr>
          <w:sz w:val="24"/>
        </w:rPr>
      </w:pPr>
      <w:r>
        <w:rPr>
          <w:sz w:val="24"/>
        </w:rPr>
        <w:t>Transferir la mezcla a una columna colocada sobre un tubo</w:t>
      </w:r>
      <w:r>
        <w:rPr>
          <w:spacing w:val="-27"/>
          <w:sz w:val="24"/>
        </w:rPr>
        <w:t> </w:t>
      </w:r>
      <w:r>
        <w:rPr>
          <w:sz w:val="24"/>
        </w:rPr>
        <w:t>colector,</w:t>
      </w:r>
    </w:p>
    <w:p>
      <w:pPr>
        <w:pStyle w:val="ListParagraph"/>
        <w:numPr>
          <w:ilvl w:val="3"/>
          <w:numId w:val="23"/>
        </w:numPr>
        <w:tabs>
          <w:tab w:pos="870" w:val="left" w:leader="none"/>
        </w:tabs>
        <w:spacing w:line="240" w:lineRule="auto" w:before="137" w:after="0"/>
        <w:ind w:left="870" w:right="0" w:hanging="281"/>
        <w:jc w:val="left"/>
        <w:rPr>
          <w:sz w:val="24"/>
        </w:rPr>
      </w:pPr>
      <w:r>
        <w:rPr>
          <w:sz w:val="24"/>
        </w:rPr>
        <w:t>Centrifugar la mezcla a 10 000 rpm durante 1</w:t>
      </w:r>
      <w:r>
        <w:rPr>
          <w:spacing w:val="-13"/>
          <w:sz w:val="24"/>
        </w:rPr>
        <w:t> </w:t>
      </w:r>
      <w:r>
        <w:rPr>
          <w:sz w:val="24"/>
        </w:rPr>
        <w:t>minuto.</w:t>
      </w:r>
    </w:p>
    <w:p>
      <w:pPr>
        <w:pStyle w:val="ListParagraph"/>
        <w:numPr>
          <w:ilvl w:val="3"/>
          <w:numId w:val="23"/>
        </w:numPr>
        <w:tabs>
          <w:tab w:pos="870" w:val="left" w:leader="none"/>
        </w:tabs>
        <w:spacing w:line="240" w:lineRule="auto" w:before="139" w:after="0"/>
        <w:ind w:left="870" w:right="0" w:hanging="281"/>
        <w:jc w:val="left"/>
        <w:rPr>
          <w:sz w:val="24"/>
        </w:rPr>
      </w:pPr>
      <w:r>
        <w:rPr>
          <w:sz w:val="24"/>
        </w:rPr>
        <w:t>Decantar el centrifugado y llevar la columna a un nuevo tubo</w:t>
      </w:r>
      <w:r>
        <w:rPr>
          <w:spacing w:val="-25"/>
          <w:sz w:val="24"/>
        </w:rPr>
        <w:t> </w:t>
      </w:r>
      <w:r>
        <w:rPr>
          <w:sz w:val="24"/>
        </w:rPr>
        <w:t>colector.</w:t>
      </w:r>
    </w:p>
    <w:p>
      <w:pPr>
        <w:pStyle w:val="ListParagraph"/>
        <w:numPr>
          <w:ilvl w:val="3"/>
          <w:numId w:val="23"/>
        </w:numPr>
        <w:tabs>
          <w:tab w:pos="870" w:val="left" w:leader="none"/>
        </w:tabs>
        <w:spacing w:line="240" w:lineRule="auto" w:before="137" w:after="0"/>
        <w:ind w:left="870" w:right="0" w:hanging="281"/>
        <w:jc w:val="left"/>
        <w:rPr>
          <w:sz w:val="24"/>
        </w:rPr>
      </w:pPr>
      <w:r>
        <w:rPr>
          <w:sz w:val="24"/>
        </w:rPr>
        <w:t>Adicionar 200 </w:t>
      </w:r>
      <w:r>
        <w:rPr>
          <w:spacing w:val="3"/>
          <w:sz w:val="24"/>
        </w:rPr>
        <w:t>µL </w:t>
      </w:r>
      <w:r>
        <w:rPr>
          <w:sz w:val="24"/>
        </w:rPr>
        <w:t>de DNA Pre-Wash Buffer al interior de la</w:t>
      </w:r>
      <w:r>
        <w:rPr>
          <w:spacing w:val="-29"/>
          <w:sz w:val="24"/>
        </w:rPr>
        <w:t> </w:t>
      </w:r>
      <w:r>
        <w:rPr>
          <w:sz w:val="24"/>
        </w:rPr>
        <w:t>columna.</w:t>
      </w:r>
    </w:p>
    <w:p>
      <w:pPr>
        <w:pStyle w:val="ListParagraph"/>
        <w:numPr>
          <w:ilvl w:val="3"/>
          <w:numId w:val="23"/>
        </w:numPr>
        <w:tabs>
          <w:tab w:pos="870" w:val="left" w:leader="none"/>
        </w:tabs>
        <w:spacing w:line="240" w:lineRule="auto" w:before="139" w:after="0"/>
        <w:ind w:left="870" w:right="0" w:hanging="281"/>
        <w:jc w:val="left"/>
        <w:rPr>
          <w:sz w:val="24"/>
        </w:rPr>
      </w:pPr>
      <w:r>
        <w:rPr>
          <w:sz w:val="24"/>
        </w:rPr>
        <w:t>Centrifugar a 10 000 rpm durante 1</w:t>
      </w:r>
      <w:r>
        <w:rPr>
          <w:spacing w:val="-13"/>
          <w:sz w:val="24"/>
        </w:rPr>
        <w:t> </w:t>
      </w:r>
      <w:r>
        <w:rPr>
          <w:sz w:val="24"/>
        </w:rPr>
        <w:t>minuto.</w:t>
      </w:r>
    </w:p>
    <w:p>
      <w:pPr>
        <w:pStyle w:val="ListParagraph"/>
        <w:numPr>
          <w:ilvl w:val="3"/>
          <w:numId w:val="23"/>
        </w:numPr>
        <w:tabs>
          <w:tab w:pos="870" w:val="left" w:leader="none"/>
        </w:tabs>
        <w:spacing w:line="240" w:lineRule="auto" w:before="137" w:after="0"/>
        <w:ind w:left="870" w:right="0" w:hanging="281"/>
        <w:jc w:val="left"/>
        <w:rPr>
          <w:sz w:val="24"/>
        </w:rPr>
      </w:pPr>
      <w:r>
        <w:rPr>
          <w:sz w:val="24"/>
        </w:rPr>
        <w:t>Adicionar 500 </w:t>
      </w:r>
      <w:r>
        <w:rPr>
          <w:spacing w:val="3"/>
          <w:sz w:val="24"/>
        </w:rPr>
        <w:t>µL </w:t>
      </w:r>
      <w:r>
        <w:rPr>
          <w:sz w:val="24"/>
        </w:rPr>
        <w:t>de g-DNA Wash Buffer al interior de la</w:t>
      </w:r>
      <w:r>
        <w:rPr>
          <w:spacing w:val="-31"/>
          <w:sz w:val="24"/>
        </w:rPr>
        <w:t> </w:t>
      </w:r>
      <w:r>
        <w:rPr>
          <w:sz w:val="24"/>
        </w:rPr>
        <w:t>columna.</w:t>
      </w:r>
    </w:p>
    <w:p>
      <w:pPr>
        <w:pStyle w:val="ListParagraph"/>
        <w:numPr>
          <w:ilvl w:val="3"/>
          <w:numId w:val="23"/>
        </w:numPr>
        <w:tabs>
          <w:tab w:pos="870" w:val="left" w:leader="none"/>
        </w:tabs>
        <w:spacing w:line="240" w:lineRule="auto" w:before="139" w:after="0"/>
        <w:ind w:left="870" w:right="0" w:hanging="281"/>
        <w:jc w:val="left"/>
        <w:rPr>
          <w:sz w:val="24"/>
        </w:rPr>
      </w:pPr>
      <w:r>
        <w:rPr>
          <w:sz w:val="24"/>
        </w:rPr>
        <w:t>Centrifugar a 10 000 rpm por 1</w:t>
      </w:r>
      <w:r>
        <w:rPr>
          <w:spacing w:val="-11"/>
          <w:sz w:val="24"/>
        </w:rPr>
        <w:t> </w:t>
      </w:r>
      <w:r>
        <w:rPr>
          <w:sz w:val="24"/>
        </w:rPr>
        <w:t>minuto.</w:t>
      </w:r>
    </w:p>
    <w:p>
      <w:pPr>
        <w:pStyle w:val="ListParagraph"/>
        <w:numPr>
          <w:ilvl w:val="3"/>
          <w:numId w:val="23"/>
        </w:numPr>
        <w:tabs>
          <w:tab w:pos="938" w:val="left" w:leader="none"/>
        </w:tabs>
        <w:spacing w:line="240" w:lineRule="auto" w:before="137" w:after="0"/>
        <w:ind w:left="937" w:right="0" w:hanging="492"/>
        <w:jc w:val="left"/>
        <w:rPr>
          <w:sz w:val="24"/>
        </w:rPr>
      </w:pPr>
      <w:r>
        <w:rPr>
          <w:sz w:val="24"/>
        </w:rPr>
        <w:t>Transferir la columna a un tubo</w:t>
      </w:r>
      <w:r>
        <w:rPr>
          <w:spacing w:val="-18"/>
          <w:sz w:val="24"/>
        </w:rPr>
        <w:t> </w:t>
      </w:r>
      <w:r>
        <w:rPr>
          <w:sz w:val="24"/>
        </w:rPr>
        <w:t>eppendorf.</w:t>
      </w:r>
    </w:p>
    <w:p>
      <w:pPr>
        <w:pStyle w:val="ListParagraph"/>
        <w:numPr>
          <w:ilvl w:val="3"/>
          <w:numId w:val="23"/>
        </w:numPr>
        <w:tabs>
          <w:tab w:pos="938" w:val="left" w:leader="none"/>
        </w:tabs>
        <w:spacing w:line="240" w:lineRule="auto" w:before="139" w:after="0"/>
        <w:ind w:left="937" w:right="0" w:hanging="492"/>
        <w:jc w:val="left"/>
        <w:rPr>
          <w:sz w:val="24"/>
        </w:rPr>
      </w:pPr>
      <w:r>
        <w:rPr>
          <w:sz w:val="24"/>
        </w:rPr>
        <w:t>Adicionar 50 </w:t>
      </w:r>
      <w:r>
        <w:rPr>
          <w:spacing w:val="2"/>
          <w:sz w:val="24"/>
        </w:rPr>
        <w:t>µL </w:t>
      </w:r>
      <w:r>
        <w:rPr>
          <w:sz w:val="24"/>
        </w:rPr>
        <w:t>de DNA Elution Buffer a 60 °C al interior de la</w:t>
      </w:r>
      <w:r>
        <w:rPr>
          <w:spacing w:val="-35"/>
          <w:sz w:val="24"/>
        </w:rPr>
        <w:t> </w:t>
      </w:r>
      <w:r>
        <w:rPr>
          <w:sz w:val="24"/>
        </w:rPr>
        <w:t>columna.</w:t>
      </w:r>
    </w:p>
    <w:p>
      <w:pPr>
        <w:pStyle w:val="ListParagraph"/>
        <w:numPr>
          <w:ilvl w:val="3"/>
          <w:numId w:val="23"/>
        </w:numPr>
        <w:tabs>
          <w:tab w:pos="938" w:val="left" w:leader="none"/>
        </w:tabs>
        <w:spacing w:line="240" w:lineRule="auto" w:before="137" w:after="0"/>
        <w:ind w:left="937" w:right="0" w:hanging="492"/>
        <w:jc w:val="left"/>
        <w:rPr>
          <w:sz w:val="24"/>
        </w:rPr>
      </w:pPr>
      <w:r>
        <w:rPr>
          <w:sz w:val="24"/>
        </w:rPr>
        <w:t>Incubar 5 minutos a temperatura</w:t>
      </w:r>
      <w:r>
        <w:rPr>
          <w:spacing w:val="-15"/>
          <w:sz w:val="24"/>
        </w:rPr>
        <w:t> </w:t>
      </w:r>
      <w:r>
        <w:rPr>
          <w:sz w:val="24"/>
        </w:rPr>
        <w:t>ambiente.</w:t>
      </w:r>
    </w:p>
    <w:p>
      <w:pPr>
        <w:pStyle w:val="ListParagraph"/>
        <w:numPr>
          <w:ilvl w:val="3"/>
          <w:numId w:val="23"/>
        </w:numPr>
        <w:tabs>
          <w:tab w:pos="938" w:val="left" w:leader="none"/>
        </w:tabs>
        <w:spacing w:line="240" w:lineRule="auto" w:before="139" w:after="0"/>
        <w:ind w:left="937" w:right="0" w:hanging="492"/>
        <w:jc w:val="left"/>
        <w:rPr>
          <w:sz w:val="24"/>
        </w:rPr>
      </w:pPr>
      <w:r>
        <w:rPr>
          <w:sz w:val="24"/>
        </w:rPr>
        <w:t>Centrifugar a 14 500 rpm por 30 segundos para eluir el DNA de la</w:t>
      </w:r>
      <w:r>
        <w:rPr>
          <w:spacing w:val="-22"/>
          <w:sz w:val="24"/>
        </w:rPr>
        <w:t> </w:t>
      </w:r>
      <w:r>
        <w:rPr>
          <w:sz w:val="24"/>
        </w:rPr>
        <w:t>columna.</w:t>
      </w:r>
    </w:p>
    <w:p>
      <w:pPr>
        <w:pStyle w:val="BodyText"/>
      </w:pPr>
    </w:p>
    <w:p>
      <w:pPr>
        <w:pStyle w:val="BodyText"/>
      </w:pPr>
    </w:p>
    <w:p>
      <w:pPr>
        <w:pStyle w:val="BodyText"/>
        <w:spacing w:line="360" w:lineRule="auto"/>
        <w:ind w:left="162" w:right="184"/>
        <w:jc w:val="both"/>
      </w:pPr>
      <w:r>
        <w:rPr/>
        <w:t>Se verificó la efectividad de la extracción de DNA, mediante un corrimiento electroforético en gel de agarosa al 1 %, mezclando 8 µL de la muestra con 1 µL de buffer de carga Orange, dejándolo correr por 30 minutos a 100 V/35 A.</w:t>
      </w:r>
    </w:p>
    <w:p>
      <w:pPr>
        <w:pStyle w:val="BodyText"/>
      </w:pPr>
    </w:p>
    <w:p>
      <w:pPr>
        <w:pStyle w:val="Heading2"/>
        <w:numPr>
          <w:ilvl w:val="2"/>
          <w:numId w:val="23"/>
        </w:numPr>
        <w:tabs>
          <w:tab w:pos="765" w:val="left" w:leader="none"/>
        </w:tabs>
        <w:spacing w:line="240" w:lineRule="auto" w:before="142" w:after="0"/>
        <w:ind w:left="764" w:right="0" w:hanging="602"/>
        <w:jc w:val="both"/>
      </w:pPr>
      <w:bookmarkStart w:name="_TOC_250012" w:id="29"/>
      <w:r>
        <w:rPr/>
        <w:t>Detección de</w:t>
      </w:r>
      <w:r>
        <w:rPr>
          <w:spacing w:val="-5"/>
        </w:rPr>
        <w:t> </w:t>
      </w:r>
      <w:bookmarkEnd w:id="29"/>
      <w:r>
        <w:rPr/>
        <w:t>polimorfismos</w:t>
      </w:r>
    </w:p>
    <w:p>
      <w:pPr>
        <w:pStyle w:val="BodyText"/>
        <w:rPr>
          <w:b/>
        </w:rPr>
      </w:pPr>
    </w:p>
    <w:p>
      <w:pPr>
        <w:pStyle w:val="BodyText"/>
        <w:rPr>
          <w:b/>
        </w:rPr>
      </w:pPr>
    </w:p>
    <w:p>
      <w:pPr>
        <w:spacing w:before="0"/>
        <w:ind w:left="162" w:right="0" w:firstLine="0"/>
        <w:jc w:val="both"/>
        <w:rPr>
          <w:b/>
          <w:sz w:val="24"/>
        </w:rPr>
      </w:pPr>
      <w:r>
        <w:rPr>
          <w:b/>
          <w:sz w:val="24"/>
        </w:rPr>
        <w:t>Reacción en Cadena de la Polimerasa</w:t>
      </w:r>
    </w:p>
    <w:p>
      <w:pPr>
        <w:pStyle w:val="BodyText"/>
        <w:spacing w:line="360" w:lineRule="auto" w:before="137"/>
        <w:ind w:left="162" w:right="181"/>
        <w:jc w:val="both"/>
      </w:pPr>
      <w:r>
        <w:rPr/>
        <w:t>Se realizó una PCR múltiple de GSTM1 con CYP1A1 (Tabla 1), este último gen funciona como control por que es constitutivo, y otra PCR múltiple para detectar GSTT1 con CYP1A1 (Tabla 2) como control. El termociclador de punto final se</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60" w:lineRule="auto" w:before="69"/>
        <w:ind w:left="162" w:right="186"/>
        <w:jc w:val="both"/>
      </w:pPr>
      <w:r>
        <w:rPr/>
        <w:t>programó para 35 ciclos: desnaturalización por 2 min a 94°C, la alineación por 2 min a 62° C y alargamiento por 1 min a 72° C, una extensión de 10 minutos a  72°C para terminar el</w:t>
      </w:r>
      <w:r>
        <w:rPr>
          <w:spacing w:val="-11"/>
        </w:rPr>
        <w:t> </w:t>
      </w:r>
      <w:r>
        <w:rPr/>
        <w:t>proceso.</w:t>
      </w:r>
    </w:p>
    <w:p>
      <w:pPr>
        <w:pStyle w:val="BodyText"/>
        <w:spacing w:before="5"/>
        <w:rPr>
          <w:sz w:val="30"/>
        </w:rPr>
      </w:pPr>
    </w:p>
    <w:p>
      <w:pPr>
        <w:spacing w:before="0"/>
        <w:ind w:left="1246" w:right="126" w:hanging="24"/>
        <w:jc w:val="left"/>
        <w:rPr>
          <w:sz w:val="22"/>
        </w:rPr>
      </w:pPr>
      <w:r>
        <w:rPr>
          <w:sz w:val="22"/>
        </w:rPr>
        <w:t>TABLA 1.Reactivos para PCR de punto final para GSTM1 y CYP1A1</w:t>
      </w:r>
    </w:p>
    <w:p>
      <w:pPr>
        <w:pStyle w:val="BodyText"/>
        <w:spacing w:before="10" w:after="1"/>
        <w:rPr>
          <w:sz w:val="17"/>
        </w:rPr>
      </w:pPr>
    </w:p>
    <w:tbl>
      <w:tblPr>
        <w:tblW w:w="0" w:type="auto"/>
        <w:jc w:val="left"/>
        <w:tblInd w:w="25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82"/>
        <w:gridCol w:w="1717"/>
      </w:tblGrid>
      <w:tr>
        <w:trPr>
          <w:trHeight w:val="364" w:hRule="exact"/>
        </w:trPr>
        <w:tc>
          <w:tcPr>
            <w:tcW w:w="2382" w:type="dxa"/>
            <w:tcBorders>
              <w:bottom w:val="single" w:sz="8" w:space="0" w:color="000000"/>
            </w:tcBorders>
          </w:tcPr>
          <w:p>
            <w:pPr>
              <w:pStyle w:val="TableParagraph"/>
              <w:spacing w:line="226" w:lineRule="exact"/>
              <w:ind w:left="108"/>
              <w:rPr>
                <w:sz w:val="22"/>
              </w:rPr>
            </w:pPr>
            <w:r>
              <w:rPr>
                <w:sz w:val="22"/>
              </w:rPr>
              <w:t>Reactivo</w:t>
            </w:r>
          </w:p>
        </w:tc>
        <w:tc>
          <w:tcPr>
            <w:tcW w:w="1717" w:type="dxa"/>
            <w:tcBorders>
              <w:bottom w:val="single" w:sz="8" w:space="0" w:color="000000"/>
            </w:tcBorders>
          </w:tcPr>
          <w:p>
            <w:pPr>
              <w:pStyle w:val="TableParagraph"/>
              <w:spacing w:line="226" w:lineRule="exact"/>
              <w:ind w:left="175" w:right="177"/>
              <w:jc w:val="center"/>
              <w:rPr>
                <w:sz w:val="22"/>
              </w:rPr>
            </w:pPr>
            <w:r>
              <w:rPr>
                <w:sz w:val="22"/>
              </w:rPr>
              <w:t>Volumen (µL)</w:t>
            </w:r>
          </w:p>
        </w:tc>
      </w:tr>
      <w:tr>
        <w:trPr>
          <w:trHeight w:val="343" w:hRule="exact"/>
        </w:trPr>
        <w:tc>
          <w:tcPr>
            <w:tcW w:w="2382" w:type="dxa"/>
            <w:tcBorders>
              <w:top w:val="single" w:sz="8" w:space="0" w:color="000000"/>
            </w:tcBorders>
          </w:tcPr>
          <w:p>
            <w:pPr>
              <w:pStyle w:val="TableParagraph"/>
              <w:spacing w:line="264" w:lineRule="exact"/>
              <w:ind w:left="108"/>
              <w:rPr>
                <w:sz w:val="22"/>
              </w:rPr>
            </w:pPr>
            <w:r>
              <w:rPr>
                <w:sz w:val="22"/>
              </w:rPr>
              <w:t>H</w:t>
            </w:r>
            <w:r>
              <w:rPr>
                <w:position w:val="-2"/>
                <w:sz w:val="14"/>
              </w:rPr>
              <w:t>2</w:t>
            </w:r>
            <w:r>
              <w:rPr>
                <w:sz w:val="22"/>
              </w:rPr>
              <w:t>0 desionizada</w:t>
            </w:r>
          </w:p>
        </w:tc>
        <w:tc>
          <w:tcPr>
            <w:tcW w:w="1717" w:type="dxa"/>
            <w:tcBorders>
              <w:top w:val="single" w:sz="8" w:space="0" w:color="000000"/>
            </w:tcBorders>
          </w:tcPr>
          <w:p>
            <w:pPr>
              <w:pStyle w:val="TableParagraph"/>
              <w:spacing w:line="251" w:lineRule="exact"/>
              <w:ind w:left="175" w:right="176"/>
              <w:jc w:val="center"/>
              <w:rPr>
                <w:sz w:val="22"/>
              </w:rPr>
            </w:pPr>
            <w:r>
              <w:rPr>
                <w:sz w:val="22"/>
              </w:rPr>
              <w:t>11.9</w:t>
            </w:r>
          </w:p>
        </w:tc>
      </w:tr>
      <w:tr>
        <w:trPr>
          <w:trHeight w:val="371" w:hRule="exact"/>
        </w:trPr>
        <w:tc>
          <w:tcPr>
            <w:tcW w:w="2382" w:type="dxa"/>
          </w:tcPr>
          <w:p>
            <w:pPr>
              <w:pStyle w:val="TableParagraph"/>
              <w:spacing w:before="44"/>
              <w:ind w:left="108"/>
              <w:rPr>
                <w:sz w:val="22"/>
              </w:rPr>
            </w:pPr>
            <w:r>
              <w:rPr>
                <w:sz w:val="22"/>
              </w:rPr>
              <w:t>5x Buffer Green PCR</w:t>
            </w:r>
          </w:p>
        </w:tc>
        <w:tc>
          <w:tcPr>
            <w:tcW w:w="1717" w:type="dxa"/>
          </w:tcPr>
          <w:p>
            <w:pPr>
              <w:pStyle w:val="TableParagraph"/>
              <w:spacing w:before="44"/>
              <w:ind w:right="6"/>
              <w:jc w:val="center"/>
              <w:rPr>
                <w:sz w:val="22"/>
              </w:rPr>
            </w:pPr>
            <w:r>
              <w:rPr>
                <w:w w:val="100"/>
                <w:sz w:val="22"/>
              </w:rPr>
              <w:t>5</w:t>
            </w:r>
          </w:p>
        </w:tc>
      </w:tr>
      <w:tr>
        <w:trPr>
          <w:trHeight w:val="389" w:hRule="exact"/>
        </w:trPr>
        <w:tc>
          <w:tcPr>
            <w:tcW w:w="2382" w:type="dxa"/>
          </w:tcPr>
          <w:p>
            <w:pPr>
              <w:pStyle w:val="TableParagraph"/>
              <w:spacing w:before="51"/>
              <w:ind w:left="108"/>
              <w:rPr>
                <w:sz w:val="14"/>
              </w:rPr>
            </w:pPr>
            <w:r>
              <w:rPr>
                <w:sz w:val="22"/>
              </w:rPr>
              <w:t>MgCl</w:t>
            </w:r>
            <w:r>
              <w:rPr>
                <w:position w:val="-2"/>
                <w:sz w:val="14"/>
              </w:rPr>
              <w:t>2</w:t>
            </w:r>
          </w:p>
        </w:tc>
        <w:tc>
          <w:tcPr>
            <w:tcW w:w="1717" w:type="dxa"/>
          </w:tcPr>
          <w:p>
            <w:pPr>
              <w:pStyle w:val="TableParagraph"/>
              <w:spacing w:before="51"/>
              <w:ind w:left="173" w:right="177"/>
              <w:jc w:val="center"/>
              <w:rPr>
                <w:sz w:val="22"/>
              </w:rPr>
            </w:pPr>
            <w:r>
              <w:rPr>
                <w:sz w:val="22"/>
              </w:rPr>
              <w:t>1.5</w:t>
            </w:r>
          </w:p>
        </w:tc>
      </w:tr>
      <w:tr>
        <w:trPr>
          <w:trHeight w:val="373" w:hRule="exact"/>
        </w:trPr>
        <w:tc>
          <w:tcPr>
            <w:tcW w:w="2382" w:type="dxa"/>
          </w:tcPr>
          <w:p>
            <w:pPr>
              <w:pStyle w:val="TableParagraph"/>
              <w:spacing w:before="45"/>
              <w:ind w:left="108"/>
              <w:rPr>
                <w:sz w:val="22"/>
              </w:rPr>
            </w:pPr>
            <w:r>
              <w:rPr>
                <w:sz w:val="22"/>
              </w:rPr>
              <w:t>dNTPs</w:t>
            </w:r>
          </w:p>
        </w:tc>
        <w:tc>
          <w:tcPr>
            <w:tcW w:w="1717" w:type="dxa"/>
          </w:tcPr>
          <w:p>
            <w:pPr>
              <w:pStyle w:val="TableParagraph"/>
              <w:spacing w:before="45"/>
              <w:ind w:left="173" w:right="177"/>
              <w:jc w:val="center"/>
              <w:rPr>
                <w:sz w:val="22"/>
              </w:rPr>
            </w:pPr>
            <w:r>
              <w:rPr>
                <w:sz w:val="22"/>
              </w:rPr>
              <w:t>1.5</w:t>
            </w:r>
          </w:p>
        </w:tc>
      </w:tr>
      <w:tr>
        <w:trPr>
          <w:trHeight w:val="379" w:hRule="exact"/>
        </w:trPr>
        <w:tc>
          <w:tcPr>
            <w:tcW w:w="2382" w:type="dxa"/>
          </w:tcPr>
          <w:p>
            <w:pPr>
              <w:pStyle w:val="TableParagraph"/>
              <w:spacing w:before="51"/>
              <w:ind w:left="108"/>
              <w:rPr>
                <w:sz w:val="22"/>
              </w:rPr>
            </w:pPr>
            <w:r>
              <w:rPr>
                <w:sz w:val="22"/>
              </w:rPr>
              <w:t>CYP1A1f</w:t>
            </w:r>
          </w:p>
        </w:tc>
        <w:tc>
          <w:tcPr>
            <w:tcW w:w="1717" w:type="dxa"/>
          </w:tcPr>
          <w:p>
            <w:pPr>
              <w:pStyle w:val="TableParagraph"/>
              <w:spacing w:before="51"/>
              <w:ind w:left="173" w:right="177"/>
              <w:jc w:val="center"/>
              <w:rPr>
                <w:sz w:val="22"/>
              </w:rPr>
            </w:pPr>
            <w:r>
              <w:rPr>
                <w:sz w:val="22"/>
              </w:rPr>
              <w:t>1.0</w:t>
            </w:r>
          </w:p>
        </w:tc>
      </w:tr>
      <w:tr>
        <w:trPr>
          <w:trHeight w:val="379" w:hRule="exact"/>
        </w:trPr>
        <w:tc>
          <w:tcPr>
            <w:tcW w:w="2382" w:type="dxa"/>
          </w:tcPr>
          <w:p>
            <w:pPr>
              <w:pStyle w:val="TableParagraph"/>
              <w:spacing w:before="51"/>
              <w:ind w:left="108"/>
              <w:rPr>
                <w:sz w:val="22"/>
              </w:rPr>
            </w:pPr>
            <w:r>
              <w:rPr>
                <w:sz w:val="22"/>
              </w:rPr>
              <w:t>CYP1A1r</w:t>
            </w:r>
          </w:p>
        </w:tc>
        <w:tc>
          <w:tcPr>
            <w:tcW w:w="1717" w:type="dxa"/>
          </w:tcPr>
          <w:p>
            <w:pPr>
              <w:pStyle w:val="TableParagraph"/>
              <w:spacing w:before="51"/>
              <w:ind w:left="173" w:right="177"/>
              <w:jc w:val="center"/>
              <w:rPr>
                <w:sz w:val="22"/>
              </w:rPr>
            </w:pPr>
            <w:r>
              <w:rPr>
                <w:sz w:val="22"/>
              </w:rPr>
              <w:t>1.0</w:t>
            </w:r>
          </w:p>
        </w:tc>
      </w:tr>
      <w:tr>
        <w:trPr>
          <w:trHeight w:val="379" w:hRule="exact"/>
        </w:trPr>
        <w:tc>
          <w:tcPr>
            <w:tcW w:w="2382" w:type="dxa"/>
          </w:tcPr>
          <w:p>
            <w:pPr>
              <w:pStyle w:val="TableParagraph"/>
              <w:spacing w:before="51"/>
              <w:ind w:left="108"/>
              <w:rPr>
                <w:sz w:val="22"/>
              </w:rPr>
            </w:pPr>
            <w:r>
              <w:rPr>
                <w:sz w:val="22"/>
              </w:rPr>
              <w:t>GSTM1 f</w:t>
            </w:r>
          </w:p>
        </w:tc>
        <w:tc>
          <w:tcPr>
            <w:tcW w:w="1717" w:type="dxa"/>
          </w:tcPr>
          <w:p>
            <w:pPr>
              <w:pStyle w:val="TableParagraph"/>
              <w:spacing w:before="51"/>
              <w:ind w:left="173" w:right="177"/>
              <w:jc w:val="center"/>
              <w:rPr>
                <w:sz w:val="22"/>
              </w:rPr>
            </w:pPr>
            <w:r>
              <w:rPr>
                <w:sz w:val="22"/>
              </w:rPr>
              <w:t>1.0</w:t>
            </w:r>
          </w:p>
        </w:tc>
      </w:tr>
      <w:tr>
        <w:trPr>
          <w:trHeight w:val="379" w:hRule="exact"/>
        </w:trPr>
        <w:tc>
          <w:tcPr>
            <w:tcW w:w="2382" w:type="dxa"/>
          </w:tcPr>
          <w:p>
            <w:pPr>
              <w:pStyle w:val="TableParagraph"/>
              <w:spacing w:before="51"/>
              <w:ind w:left="108"/>
              <w:rPr>
                <w:sz w:val="22"/>
              </w:rPr>
            </w:pPr>
            <w:r>
              <w:rPr>
                <w:sz w:val="22"/>
              </w:rPr>
              <w:t>GSTM1 r</w:t>
            </w:r>
          </w:p>
        </w:tc>
        <w:tc>
          <w:tcPr>
            <w:tcW w:w="1717" w:type="dxa"/>
          </w:tcPr>
          <w:p>
            <w:pPr>
              <w:pStyle w:val="TableParagraph"/>
              <w:spacing w:before="51"/>
              <w:ind w:left="173" w:right="177"/>
              <w:jc w:val="center"/>
              <w:rPr>
                <w:sz w:val="22"/>
              </w:rPr>
            </w:pPr>
            <w:r>
              <w:rPr>
                <w:sz w:val="22"/>
              </w:rPr>
              <w:t>1.0</w:t>
            </w:r>
          </w:p>
        </w:tc>
      </w:tr>
      <w:tr>
        <w:trPr>
          <w:trHeight w:val="379" w:hRule="exact"/>
        </w:trPr>
        <w:tc>
          <w:tcPr>
            <w:tcW w:w="2382" w:type="dxa"/>
          </w:tcPr>
          <w:p>
            <w:pPr>
              <w:pStyle w:val="TableParagraph"/>
              <w:spacing w:before="51"/>
              <w:ind w:left="108"/>
              <w:rPr>
                <w:sz w:val="22"/>
              </w:rPr>
            </w:pPr>
            <w:r>
              <w:rPr>
                <w:sz w:val="22"/>
              </w:rPr>
              <w:t>Taq Polimerasa</w:t>
            </w:r>
          </w:p>
        </w:tc>
        <w:tc>
          <w:tcPr>
            <w:tcW w:w="1717" w:type="dxa"/>
          </w:tcPr>
          <w:p>
            <w:pPr>
              <w:pStyle w:val="TableParagraph"/>
              <w:spacing w:before="51"/>
              <w:ind w:left="173" w:right="177"/>
              <w:jc w:val="center"/>
              <w:rPr>
                <w:sz w:val="22"/>
              </w:rPr>
            </w:pPr>
            <w:r>
              <w:rPr>
                <w:sz w:val="22"/>
              </w:rPr>
              <w:t>0.1</w:t>
            </w:r>
          </w:p>
        </w:tc>
      </w:tr>
      <w:tr>
        <w:trPr>
          <w:trHeight w:val="379" w:hRule="exact"/>
        </w:trPr>
        <w:tc>
          <w:tcPr>
            <w:tcW w:w="2382" w:type="dxa"/>
          </w:tcPr>
          <w:p>
            <w:pPr>
              <w:pStyle w:val="TableParagraph"/>
              <w:spacing w:before="51"/>
              <w:ind w:left="108"/>
              <w:rPr>
                <w:sz w:val="22"/>
              </w:rPr>
            </w:pPr>
            <w:r>
              <w:rPr>
                <w:sz w:val="22"/>
              </w:rPr>
              <w:t>DNA templado</w:t>
            </w:r>
          </w:p>
        </w:tc>
        <w:tc>
          <w:tcPr>
            <w:tcW w:w="1717" w:type="dxa"/>
          </w:tcPr>
          <w:p>
            <w:pPr>
              <w:pStyle w:val="TableParagraph"/>
              <w:spacing w:before="51"/>
              <w:ind w:right="6"/>
              <w:jc w:val="center"/>
              <w:rPr>
                <w:sz w:val="22"/>
              </w:rPr>
            </w:pPr>
            <w:r>
              <w:rPr>
                <w:w w:val="100"/>
                <w:sz w:val="22"/>
              </w:rPr>
              <w:t>2</w:t>
            </w:r>
          </w:p>
        </w:tc>
      </w:tr>
      <w:tr>
        <w:trPr>
          <w:trHeight w:val="445" w:hRule="exact"/>
        </w:trPr>
        <w:tc>
          <w:tcPr>
            <w:tcW w:w="2382" w:type="dxa"/>
            <w:tcBorders>
              <w:bottom w:val="single" w:sz="8" w:space="0" w:color="000000"/>
            </w:tcBorders>
          </w:tcPr>
          <w:p>
            <w:pPr>
              <w:pStyle w:val="TableParagraph"/>
              <w:spacing w:before="51"/>
              <w:ind w:left="108"/>
              <w:rPr>
                <w:sz w:val="22"/>
              </w:rPr>
            </w:pPr>
            <w:r>
              <w:rPr>
                <w:sz w:val="22"/>
              </w:rPr>
              <w:t>TOTAL</w:t>
            </w:r>
          </w:p>
        </w:tc>
        <w:tc>
          <w:tcPr>
            <w:tcW w:w="1717" w:type="dxa"/>
            <w:tcBorders>
              <w:bottom w:val="single" w:sz="8" w:space="0" w:color="000000"/>
            </w:tcBorders>
          </w:tcPr>
          <w:p>
            <w:pPr>
              <w:pStyle w:val="TableParagraph"/>
              <w:spacing w:before="51"/>
              <w:ind w:left="546"/>
              <w:rPr>
                <w:sz w:val="22"/>
              </w:rPr>
            </w:pPr>
            <w:r>
              <w:rPr>
                <w:sz w:val="22"/>
              </w:rPr>
              <w:t>25  µL</w:t>
            </w:r>
          </w:p>
        </w:tc>
      </w:tr>
    </w:tbl>
    <w:p>
      <w:pPr>
        <w:pStyle w:val="BodyText"/>
        <w:rPr>
          <w:sz w:val="22"/>
        </w:rPr>
      </w:pPr>
    </w:p>
    <w:p>
      <w:pPr>
        <w:pStyle w:val="BodyText"/>
        <w:rPr>
          <w:sz w:val="22"/>
        </w:rPr>
      </w:pPr>
    </w:p>
    <w:p>
      <w:pPr>
        <w:spacing w:before="157"/>
        <w:ind w:left="1246" w:right="126" w:firstLine="0"/>
        <w:jc w:val="left"/>
        <w:rPr>
          <w:sz w:val="22"/>
        </w:rPr>
      </w:pPr>
      <w:r>
        <w:rPr>
          <w:sz w:val="22"/>
        </w:rPr>
        <w:t>TABLA 2.Reactivos para PCR de punto final para GSTT1 y CYP1A1</w:t>
      </w:r>
    </w:p>
    <w:p>
      <w:pPr>
        <w:pStyle w:val="BodyText"/>
        <w:spacing w:before="1"/>
        <w:rPr>
          <w:sz w:val="27"/>
        </w:rPr>
      </w:pPr>
    </w:p>
    <w:tbl>
      <w:tblPr>
        <w:tblW w:w="0" w:type="auto"/>
        <w:jc w:val="left"/>
        <w:tblInd w:w="249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69"/>
        <w:gridCol w:w="1780"/>
      </w:tblGrid>
      <w:tr>
        <w:trPr>
          <w:trHeight w:val="381" w:hRule="exact"/>
        </w:trPr>
        <w:tc>
          <w:tcPr>
            <w:tcW w:w="2469" w:type="dxa"/>
            <w:tcBorders>
              <w:bottom w:val="single" w:sz="8" w:space="0" w:color="000000"/>
            </w:tcBorders>
          </w:tcPr>
          <w:p>
            <w:pPr>
              <w:pStyle w:val="TableParagraph"/>
              <w:spacing w:line="226" w:lineRule="exact"/>
              <w:ind w:left="107"/>
              <w:rPr>
                <w:sz w:val="22"/>
              </w:rPr>
            </w:pPr>
            <w:r>
              <w:rPr>
                <w:sz w:val="22"/>
              </w:rPr>
              <w:t>Reactivo</w:t>
            </w:r>
          </w:p>
        </w:tc>
        <w:tc>
          <w:tcPr>
            <w:tcW w:w="1780" w:type="dxa"/>
            <w:tcBorders>
              <w:bottom w:val="single" w:sz="8" w:space="0" w:color="000000"/>
            </w:tcBorders>
          </w:tcPr>
          <w:p>
            <w:pPr>
              <w:pStyle w:val="TableParagraph"/>
              <w:spacing w:line="226" w:lineRule="exact"/>
              <w:ind w:left="259" w:right="154"/>
              <w:jc w:val="center"/>
              <w:rPr>
                <w:sz w:val="22"/>
              </w:rPr>
            </w:pPr>
            <w:r>
              <w:rPr>
                <w:sz w:val="22"/>
              </w:rPr>
              <w:t>Volumen (µL)</w:t>
            </w:r>
          </w:p>
        </w:tc>
      </w:tr>
      <w:tr>
        <w:trPr>
          <w:trHeight w:val="344" w:hRule="exact"/>
        </w:trPr>
        <w:tc>
          <w:tcPr>
            <w:tcW w:w="2469" w:type="dxa"/>
            <w:tcBorders>
              <w:top w:val="single" w:sz="8" w:space="0" w:color="000000"/>
            </w:tcBorders>
          </w:tcPr>
          <w:p>
            <w:pPr>
              <w:pStyle w:val="TableParagraph"/>
              <w:spacing w:line="264" w:lineRule="exact"/>
              <w:ind w:left="107"/>
              <w:rPr>
                <w:sz w:val="22"/>
              </w:rPr>
            </w:pPr>
            <w:r>
              <w:rPr>
                <w:sz w:val="22"/>
              </w:rPr>
              <w:t>H</w:t>
            </w:r>
            <w:r>
              <w:rPr>
                <w:position w:val="-2"/>
                <w:sz w:val="14"/>
              </w:rPr>
              <w:t>2</w:t>
            </w:r>
            <w:r>
              <w:rPr>
                <w:sz w:val="22"/>
              </w:rPr>
              <w:t>0 desionizada</w:t>
            </w:r>
          </w:p>
        </w:tc>
        <w:tc>
          <w:tcPr>
            <w:tcW w:w="1780" w:type="dxa"/>
            <w:tcBorders>
              <w:top w:val="single" w:sz="8" w:space="0" w:color="000000"/>
            </w:tcBorders>
          </w:tcPr>
          <w:p>
            <w:pPr>
              <w:pStyle w:val="TableParagraph"/>
              <w:spacing w:line="251" w:lineRule="exact"/>
              <w:ind w:left="259" w:right="152"/>
              <w:jc w:val="center"/>
              <w:rPr>
                <w:sz w:val="22"/>
              </w:rPr>
            </w:pPr>
            <w:r>
              <w:rPr>
                <w:sz w:val="22"/>
              </w:rPr>
              <w:t>11.9</w:t>
            </w:r>
          </w:p>
        </w:tc>
      </w:tr>
      <w:tr>
        <w:trPr>
          <w:trHeight w:val="373" w:hRule="exact"/>
        </w:trPr>
        <w:tc>
          <w:tcPr>
            <w:tcW w:w="2469" w:type="dxa"/>
          </w:tcPr>
          <w:p>
            <w:pPr>
              <w:pStyle w:val="TableParagraph"/>
              <w:spacing w:before="45"/>
              <w:ind w:left="107"/>
              <w:rPr>
                <w:sz w:val="22"/>
              </w:rPr>
            </w:pPr>
            <w:r>
              <w:rPr>
                <w:sz w:val="22"/>
              </w:rPr>
              <w:t>5x Buffer Green PCR</w:t>
            </w:r>
          </w:p>
        </w:tc>
        <w:tc>
          <w:tcPr>
            <w:tcW w:w="1780" w:type="dxa"/>
          </w:tcPr>
          <w:p>
            <w:pPr>
              <w:pStyle w:val="TableParagraph"/>
              <w:spacing w:before="45"/>
              <w:ind w:left="107"/>
              <w:jc w:val="center"/>
              <w:rPr>
                <w:sz w:val="22"/>
              </w:rPr>
            </w:pPr>
            <w:r>
              <w:rPr>
                <w:w w:val="100"/>
                <w:sz w:val="22"/>
              </w:rPr>
              <w:t>5</w:t>
            </w:r>
          </w:p>
        </w:tc>
      </w:tr>
      <w:tr>
        <w:trPr>
          <w:trHeight w:val="387" w:hRule="exact"/>
        </w:trPr>
        <w:tc>
          <w:tcPr>
            <w:tcW w:w="2469" w:type="dxa"/>
          </w:tcPr>
          <w:p>
            <w:pPr>
              <w:pStyle w:val="TableParagraph"/>
              <w:spacing w:before="51"/>
              <w:ind w:left="107"/>
              <w:rPr>
                <w:sz w:val="14"/>
              </w:rPr>
            </w:pPr>
            <w:r>
              <w:rPr>
                <w:sz w:val="22"/>
              </w:rPr>
              <w:t>MgCl</w:t>
            </w:r>
            <w:r>
              <w:rPr>
                <w:position w:val="-2"/>
                <w:sz w:val="14"/>
              </w:rPr>
              <w:t>2</w:t>
            </w:r>
          </w:p>
        </w:tc>
        <w:tc>
          <w:tcPr>
            <w:tcW w:w="1780" w:type="dxa"/>
          </w:tcPr>
          <w:p>
            <w:pPr>
              <w:pStyle w:val="TableParagraph"/>
              <w:spacing w:before="51"/>
              <w:ind w:left="259" w:right="151"/>
              <w:jc w:val="center"/>
              <w:rPr>
                <w:sz w:val="22"/>
              </w:rPr>
            </w:pPr>
            <w:r>
              <w:rPr>
                <w:sz w:val="22"/>
              </w:rPr>
              <w:t>1.5</w:t>
            </w:r>
          </w:p>
        </w:tc>
      </w:tr>
      <w:tr>
        <w:trPr>
          <w:trHeight w:val="371" w:hRule="exact"/>
        </w:trPr>
        <w:tc>
          <w:tcPr>
            <w:tcW w:w="2469" w:type="dxa"/>
          </w:tcPr>
          <w:p>
            <w:pPr>
              <w:pStyle w:val="TableParagraph"/>
              <w:spacing w:before="44"/>
              <w:ind w:left="107"/>
              <w:rPr>
                <w:sz w:val="22"/>
              </w:rPr>
            </w:pPr>
            <w:r>
              <w:rPr>
                <w:sz w:val="22"/>
              </w:rPr>
              <w:t>dNTPs</w:t>
            </w:r>
          </w:p>
        </w:tc>
        <w:tc>
          <w:tcPr>
            <w:tcW w:w="1780" w:type="dxa"/>
          </w:tcPr>
          <w:p>
            <w:pPr>
              <w:pStyle w:val="TableParagraph"/>
              <w:spacing w:before="44"/>
              <w:ind w:left="259" w:right="151"/>
              <w:jc w:val="center"/>
              <w:rPr>
                <w:sz w:val="22"/>
              </w:rPr>
            </w:pPr>
            <w:r>
              <w:rPr>
                <w:sz w:val="22"/>
              </w:rPr>
              <w:t>1.5</w:t>
            </w:r>
          </w:p>
        </w:tc>
      </w:tr>
      <w:tr>
        <w:trPr>
          <w:trHeight w:val="379" w:hRule="exact"/>
        </w:trPr>
        <w:tc>
          <w:tcPr>
            <w:tcW w:w="2469" w:type="dxa"/>
          </w:tcPr>
          <w:p>
            <w:pPr>
              <w:pStyle w:val="TableParagraph"/>
              <w:spacing w:before="51"/>
              <w:ind w:left="107"/>
              <w:rPr>
                <w:sz w:val="22"/>
              </w:rPr>
            </w:pPr>
            <w:r>
              <w:rPr>
                <w:sz w:val="22"/>
              </w:rPr>
              <w:t>CYP1A1f</w:t>
            </w:r>
          </w:p>
        </w:tc>
        <w:tc>
          <w:tcPr>
            <w:tcW w:w="1780" w:type="dxa"/>
          </w:tcPr>
          <w:p>
            <w:pPr>
              <w:pStyle w:val="TableParagraph"/>
              <w:spacing w:before="51"/>
              <w:ind w:left="259" w:right="151"/>
              <w:jc w:val="center"/>
              <w:rPr>
                <w:sz w:val="22"/>
              </w:rPr>
            </w:pPr>
            <w:r>
              <w:rPr>
                <w:sz w:val="22"/>
              </w:rPr>
              <w:t>1.0</w:t>
            </w:r>
          </w:p>
        </w:tc>
      </w:tr>
      <w:tr>
        <w:trPr>
          <w:trHeight w:val="379" w:hRule="exact"/>
        </w:trPr>
        <w:tc>
          <w:tcPr>
            <w:tcW w:w="2469" w:type="dxa"/>
          </w:tcPr>
          <w:p>
            <w:pPr>
              <w:pStyle w:val="TableParagraph"/>
              <w:spacing w:before="51"/>
              <w:ind w:left="107"/>
              <w:rPr>
                <w:sz w:val="22"/>
              </w:rPr>
            </w:pPr>
            <w:r>
              <w:rPr>
                <w:sz w:val="22"/>
              </w:rPr>
              <w:t>CYP1A1r</w:t>
            </w:r>
          </w:p>
        </w:tc>
        <w:tc>
          <w:tcPr>
            <w:tcW w:w="1780" w:type="dxa"/>
          </w:tcPr>
          <w:p>
            <w:pPr>
              <w:pStyle w:val="TableParagraph"/>
              <w:spacing w:before="51"/>
              <w:ind w:left="259" w:right="151"/>
              <w:jc w:val="center"/>
              <w:rPr>
                <w:sz w:val="22"/>
              </w:rPr>
            </w:pPr>
            <w:r>
              <w:rPr>
                <w:sz w:val="22"/>
              </w:rPr>
              <w:t>1.0</w:t>
            </w:r>
          </w:p>
        </w:tc>
      </w:tr>
      <w:tr>
        <w:trPr>
          <w:trHeight w:val="380" w:hRule="exact"/>
        </w:trPr>
        <w:tc>
          <w:tcPr>
            <w:tcW w:w="2469" w:type="dxa"/>
          </w:tcPr>
          <w:p>
            <w:pPr>
              <w:pStyle w:val="TableParagraph"/>
              <w:spacing w:before="52"/>
              <w:ind w:left="107"/>
              <w:rPr>
                <w:sz w:val="22"/>
              </w:rPr>
            </w:pPr>
            <w:r>
              <w:rPr>
                <w:sz w:val="22"/>
              </w:rPr>
              <w:t>GSTT1 f</w:t>
            </w:r>
          </w:p>
        </w:tc>
        <w:tc>
          <w:tcPr>
            <w:tcW w:w="1780" w:type="dxa"/>
          </w:tcPr>
          <w:p>
            <w:pPr>
              <w:pStyle w:val="TableParagraph"/>
              <w:spacing w:before="52"/>
              <w:ind w:left="259" w:right="151"/>
              <w:jc w:val="center"/>
              <w:rPr>
                <w:sz w:val="22"/>
              </w:rPr>
            </w:pPr>
            <w:r>
              <w:rPr>
                <w:sz w:val="22"/>
              </w:rPr>
              <w:t>1.0</w:t>
            </w:r>
          </w:p>
        </w:tc>
      </w:tr>
      <w:tr>
        <w:trPr>
          <w:trHeight w:val="379" w:hRule="exact"/>
        </w:trPr>
        <w:tc>
          <w:tcPr>
            <w:tcW w:w="2469" w:type="dxa"/>
          </w:tcPr>
          <w:p>
            <w:pPr>
              <w:pStyle w:val="TableParagraph"/>
              <w:spacing w:before="51"/>
              <w:ind w:left="107"/>
              <w:rPr>
                <w:sz w:val="22"/>
              </w:rPr>
            </w:pPr>
            <w:r>
              <w:rPr>
                <w:sz w:val="22"/>
              </w:rPr>
              <w:t>GSTT1 r</w:t>
            </w:r>
          </w:p>
        </w:tc>
        <w:tc>
          <w:tcPr>
            <w:tcW w:w="1780" w:type="dxa"/>
          </w:tcPr>
          <w:p>
            <w:pPr>
              <w:pStyle w:val="TableParagraph"/>
              <w:spacing w:before="51"/>
              <w:ind w:left="259" w:right="151"/>
              <w:jc w:val="center"/>
              <w:rPr>
                <w:sz w:val="22"/>
              </w:rPr>
            </w:pPr>
            <w:r>
              <w:rPr>
                <w:sz w:val="22"/>
              </w:rPr>
              <w:t>1.0</w:t>
            </w:r>
          </w:p>
        </w:tc>
      </w:tr>
      <w:tr>
        <w:trPr>
          <w:trHeight w:val="379" w:hRule="exact"/>
        </w:trPr>
        <w:tc>
          <w:tcPr>
            <w:tcW w:w="2469" w:type="dxa"/>
          </w:tcPr>
          <w:p>
            <w:pPr>
              <w:pStyle w:val="TableParagraph"/>
              <w:spacing w:before="51"/>
              <w:ind w:left="107"/>
              <w:rPr>
                <w:sz w:val="22"/>
              </w:rPr>
            </w:pPr>
            <w:r>
              <w:rPr>
                <w:sz w:val="22"/>
              </w:rPr>
              <w:t>Taq Polimerasa</w:t>
            </w:r>
          </w:p>
        </w:tc>
        <w:tc>
          <w:tcPr>
            <w:tcW w:w="1780" w:type="dxa"/>
          </w:tcPr>
          <w:p>
            <w:pPr>
              <w:pStyle w:val="TableParagraph"/>
              <w:spacing w:before="51"/>
              <w:ind w:left="259" w:right="151"/>
              <w:jc w:val="center"/>
              <w:rPr>
                <w:sz w:val="22"/>
              </w:rPr>
            </w:pPr>
            <w:r>
              <w:rPr>
                <w:sz w:val="22"/>
              </w:rPr>
              <w:t>0.1</w:t>
            </w:r>
          </w:p>
        </w:tc>
      </w:tr>
      <w:tr>
        <w:trPr>
          <w:trHeight w:val="380" w:hRule="exact"/>
        </w:trPr>
        <w:tc>
          <w:tcPr>
            <w:tcW w:w="2469" w:type="dxa"/>
          </w:tcPr>
          <w:p>
            <w:pPr>
              <w:pStyle w:val="TableParagraph"/>
              <w:spacing w:before="51"/>
              <w:ind w:left="107"/>
              <w:rPr>
                <w:sz w:val="22"/>
              </w:rPr>
            </w:pPr>
            <w:r>
              <w:rPr>
                <w:sz w:val="22"/>
              </w:rPr>
              <w:t>DNA templado</w:t>
            </w:r>
          </w:p>
        </w:tc>
        <w:tc>
          <w:tcPr>
            <w:tcW w:w="1780" w:type="dxa"/>
          </w:tcPr>
          <w:p>
            <w:pPr>
              <w:pStyle w:val="TableParagraph"/>
              <w:spacing w:before="51"/>
              <w:ind w:left="107"/>
              <w:jc w:val="center"/>
              <w:rPr>
                <w:sz w:val="22"/>
              </w:rPr>
            </w:pPr>
            <w:r>
              <w:rPr>
                <w:w w:val="100"/>
                <w:sz w:val="22"/>
              </w:rPr>
              <w:t>2</w:t>
            </w:r>
          </w:p>
        </w:tc>
      </w:tr>
      <w:tr>
        <w:trPr>
          <w:trHeight w:val="444" w:hRule="exact"/>
        </w:trPr>
        <w:tc>
          <w:tcPr>
            <w:tcW w:w="2469" w:type="dxa"/>
            <w:tcBorders>
              <w:bottom w:val="single" w:sz="8" w:space="0" w:color="000000"/>
            </w:tcBorders>
          </w:tcPr>
          <w:p>
            <w:pPr>
              <w:pStyle w:val="TableParagraph"/>
              <w:spacing w:before="53"/>
              <w:ind w:left="107"/>
              <w:rPr>
                <w:sz w:val="22"/>
              </w:rPr>
            </w:pPr>
            <w:r>
              <w:rPr>
                <w:sz w:val="22"/>
              </w:rPr>
              <w:t>TOTAL</w:t>
            </w:r>
          </w:p>
        </w:tc>
        <w:tc>
          <w:tcPr>
            <w:tcW w:w="1780" w:type="dxa"/>
            <w:tcBorders>
              <w:bottom w:val="single" w:sz="8" w:space="0" w:color="000000"/>
            </w:tcBorders>
          </w:tcPr>
          <w:p>
            <w:pPr>
              <w:pStyle w:val="TableParagraph"/>
              <w:spacing w:before="53"/>
              <w:ind w:left="634"/>
              <w:rPr>
                <w:sz w:val="22"/>
              </w:rPr>
            </w:pPr>
            <w:r>
              <w:rPr>
                <w:sz w:val="22"/>
              </w:rPr>
              <w:t>25  µL</w:t>
            </w:r>
          </w:p>
        </w:tc>
      </w:tr>
    </w:tbl>
    <w:p>
      <w:pPr>
        <w:spacing w:after="0"/>
        <w:rPr>
          <w:sz w:val="22"/>
        </w:rPr>
        <w:sectPr>
          <w:pgSz w:w="12240" w:h="15840"/>
          <w:pgMar w:header="733" w:footer="1039" w:top="1020" w:bottom="1220" w:left="1540" w:right="1520"/>
        </w:sectPr>
      </w:pPr>
    </w:p>
    <w:p>
      <w:pPr>
        <w:pStyle w:val="BodyText"/>
        <w:rPr>
          <w:sz w:val="18"/>
        </w:rPr>
      </w:pPr>
    </w:p>
    <w:p>
      <w:pPr>
        <w:pStyle w:val="Heading2"/>
        <w:spacing w:before="69"/>
      </w:pPr>
      <w:r>
        <w:rPr/>
        <w:t>Electroforesis del amplicón de GSTM1 Y GSTT1</w:t>
      </w:r>
    </w:p>
    <w:p>
      <w:pPr>
        <w:pStyle w:val="BodyText"/>
        <w:spacing w:before="5"/>
        <w:rPr>
          <w:b/>
          <w:sz w:val="29"/>
        </w:rPr>
      </w:pPr>
    </w:p>
    <w:p>
      <w:pPr>
        <w:pStyle w:val="BodyText"/>
        <w:spacing w:line="360" w:lineRule="auto"/>
        <w:ind w:left="162" w:right="182"/>
        <w:jc w:val="both"/>
      </w:pPr>
      <w:r>
        <w:rPr/>
        <w:t>Se llevó a cabo una electroforesis horizontal de los productos de reacción de la PCR en agarosa al 2 %. Se mezclaron 4 µL del amplicon con 1 µL de buffer de carga y se colocaron dentro de un pozo, en otro pozo se deposito 5 µL de marcador de peso molecular de 100 pb para la identificación de los genes, dejándolo correr por 1 hora a 100 V/35 A.</w:t>
      </w:r>
    </w:p>
    <w:p>
      <w:pPr>
        <w:pStyle w:val="BodyText"/>
        <w:spacing w:before="4"/>
        <w:rPr>
          <w:sz w:val="33"/>
        </w:rPr>
      </w:pPr>
    </w:p>
    <w:p>
      <w:pPr>
        <w:pStyle w:val="Heading2"/>
        <w:spacing w:before="1"/>
      </w:pPr>
      <w:r>
        <w:rPr/>
        <w:t>Tinción</w:t>
      </w:r>
    </w:p>
    <w:p>
      <w:pPr>
        <w:pStyle w:val="BodyText"/>
        <w:spacing w:line="360" w:lineRule="auto" w:before="137"/>
        <w:ind w:left="162" w:right="174"/>
        <w:jc w:val="both"/>
      </w:pPr>
      <w:r>
        <w:rPr/>
        <w:t>Se tiñeron las bandas obtenidas con una solución de bromuro de etidio al 1% por 15 minutos y se revelaron en el transiluminador. Se tomó como control de la PCR la presencia del gen CYP1A1 con una banda de 312 pb, la presencia de una banda de 480 pb corresponde al gen GSTT1 y una banda de 215 pb corresponde al gen</w:t>
      </w:r>
      <w:r>
        <w:rPr>
          <w:spacing w:val="-5"/>
        </w:rPr>
        <w:t> </w:t>
      </w:r>
      <w:r>
        <w:rPr/>
        <w:t>GSTM1.</w:t>
      </w:r>
    </w:p>
    <w:p>
      <w:pPr>
        <w:pStyle w:val="BodyText"/>
      </w:pPr>
    </w:p>
    <w:p>
      <w:pPr>
        <w:pStyle w:val="Heading2"/>
        <w:spacing w:before="142"/>
      </w:pPr>
      <w:r>
        <w:rPr/>
        <w:t>Detección de polimorfismos de GSTP1</w:t>
      </w:r>
    </w:p>
    <w:p>
      <w:pPr>
        <w:pStyle w:val="BodyText"/>
        <w:spacing w:line="360" w:lineRule="auto" w:before="139"/>
        <w:ind w:left="162" w:right="175"/>
        <w:jc w:val="both"/>
      </w:pPr>
      <w:r>
        <w:rPr/>
        <w:t>Los polimorfismos de GSTP1b y GSTP1c se ubican en diferentes regiones del  gen, exón 5 y exón 6 respectivamente, por lo que se realizó la amplificación de las dos regiones por separado, para PCR de punto final y empleando dos pares de primers, el propio para cada gen. Se realizó la amplificación empleando las  mismas condiciones y amplificando cada gen por separado pero en la misma corrida.</w:t>
      </w:r>
    </w:p>
    <w:p>
      <w:pPr>
        <w:pStyle w:val="BodyText"/>
      </w:pPr>
    </w:p>
    <w:p>
      <w:pPr>
        <w:pStyle w:val="BodyText"/>
        <w:spacing w:line="360" w:lineRule="auto" w:before="142"/>
        <w:ind w:left="162" w:right="174"/>
        <w:jc w:val="both"/>
        <w:rPr>
          <w:sz w:val="22"/>
        </w:rPr>
      </w:pPr>
      <w:r>
        <w:rPr/>
        <w:t>Para la amplificación del exón cinco se espera un amplicón de 176 pb, mientras que para el exón seis uno de 332 pb. Se realizó la mezcla de los componentes para una PCR de punto final con un volumen final de 25 μL (Tabla 3). El termociclador (Ependorff) se programó para 35 ciclos: desnaturalización por 2 min a 94°C, la alineación por 2 min a 62° C y alargamiento por 1 min a 72° C, una extensión de 10 minutos a 72 C para terminar el proceso</w:t>
      </w:r>
      <w:r>
        <w:rPr>
          <w:sz w:val="22"/>
        </w:rPr>
        <w:t>.</w:t>
      </w:r>
    </w:p>
    <w:p>
      <w:pPr>
        <w:spacing w:after="0" w:line="360" w:lineRule="auto"/>
        <w:jc w:val="both"/>
        <w:rPr>
          <w:sz w:val="22"/>
        </w:rPr>
        <w:sectPr>
          <w:pgSz w:w="12240" w:h="15840"/>
          <w:pgMar w:header="733" w:footer="1039" w:top="1020" w:bottom="1220" w:left="1540" w:right="1520"/>
        </w:sectPr>
      </w:pPr>
    </w:p>
    <w:p>
      <w:pPr>
        <w:pStyle w:val="BodyText"/>
        <w:spacing w:before="8"/>
        <w:rPr>
          <w:sz w:val="17"/>
        </w:rPr>
      </w:pPr>
    </w:p>
    <w:p>
      <w:pPr>
        <w:spacing w:before="72"/>
        <w:ind w:left="1570" w:right="126" w:firstLine="0"/>
        <w:jc w:val="left"/>
        <w:rPr>
          <w:sz w:val="22"/>
        </w:rPr>
      </w:pPr>
      <w:r>
        <w:rPr>
          <w:sz w:val="22"/>
        </w:rPr>
        <w:t>TABLA 3. Reactivos para  la  PCR de punto final para GSTP1</w:t>
      </w:r>
    </w:p>
    <w:p>
      <w:pPr>
        <w:pStyle w:val="BodyText"/>
        <w:rPr>
          <w:sz w:val="20"/>
        </w:rPr>
      </w:pPr>
    </w:p>
    <w:p>
      <w:pPr>
        <w:pStyle w:val="BodyText"/>
        <w:spacing w:before="1"/>
        <w:rPr>
          <w:sz w:val="11"/>
        </w:rPr>
      </w:pPr>
    </w:p>
    <w:tbl>
      <w:tblPr>
        <w:tblW w:w="0" w:type="auto"/>
        <w:jc w:val="left"/>
        <w:tblInd w:w="26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8"/>
        <w:gridCol w:w="1818"/>
      </w:tblGrid>
      <w:tr>
        <w:trPr>
          <w:trHeight w:val="366" w:hRule="exact"/>
        </w:trPr>
        <w:tc>
          <w:tcPr>
            <w:tcW w:w="2118" w:type="dxa"/>
            <w:tcBorders>
              <w:bottom w:val="single" w:sz="8" w:space="0" w:color="000000"/>
            </w:tcBorders>
          </w:tcPr>
          <w:p>
            <w:pPr>
              <w:pStyle w:val="TableParagraph"/>
              <w:spacing w:line="226" w:lineRule="exact"/>
              <w:ind w:left="686"/>
              <w:rPr>
                <w:sz w:val="22"/>
              </w:rPr>
            </w:pPr>
            <w:r>
              <w:rPr>
                <w:sz w:val="22"/>
              </w:rPr>
              <w:t>Reactivo</w:t>
            </w:r>
          </w:p>
        </w:tc>
        <w:tc>
          <w:tcPr>
            <w:tcW w:w="1818" w:type="dxa"/>
            <w:tcBorders>
              <w:bottom w:val="single" w:sz="8" w:space="0" w:color="000000"/>
            </w:tcBorders>
          </w:tcPr>
          <w:p>
            <w:pPr>
              <w:pStyle w:val="TableParagraph"/>
              <w:spacing w:line="226" w:lineRule="exact"/>
              <w:ind w:left="351" w:right="236"/>
              <w:jc w:val="center"/>
              <w:rPr>
                <w:sz w:val="22"/>
              </w:rPr>
            </w:pPr>
            <w:r>
              <w:rPr>
                <w:sz w:val="22"/>
              </w:rPr>
              <w:t>Volumen(µl)</w:t>
            </w:r>
          </w:p>
        </w:tc>
      </w:tr>
      <w:tr>
        <w:trPr>
          <w:trHeight w:val="343" w:hRule="exact"/>
        </w:trPr>
        <w:tc>
          <w:tcPr>
            <w:tcW w:w="2118" w:type="dxa"/>
            <w:tcBorders>
              <w:top w:val="single" w:sz="8" w:space="0" w:color="000000"/>
            </w:tcBorders>
          </w:tcPr>
          <w:p>
            <w:pPr>
              <w:pStyle w:val="TableParagraph"/>
              <w:spacing w:line="264" w:lineRule="exact"/>
              <w:ind w:left="105"/>
              <w:rPr>
                <w:sz w:val="22"/>
              </w:rPr>
            </w:pPr>
            <w:r>
              <w:rPr>
                <w:sz w:val="22"/>
              </w:rPr>
              <w:t>H</w:t>
            </w:r>
            <w:r>
              <w:rPr>
                <w:position w:val="-2"/>
                <w:sz w:val="14"/>
              </w:rPr>
              <w:t>2</w:t>
            </w:r>
            <w:r>
              <w:rPr>
                <w:sz w:val="22"/>
              </w:rPr>
              <w:t>O desionizada</w:t>
            </w:r>
          </w:p>
        </w:tc>
        <w:tc>
          <w:tcPr>
            <w:tcW w:w="1818" w:type="dxa"/>
            <w:tcBorders>
              <w:top w:val="single" w:sz="8" w:space="0" w:color="000000"/>
            </w:tcBorders>
          </w:tcPr>
          <w:p>
            <w:pPr>
              <w:pStyle w:val="TableParagraph"/>
              <w:spacing w:line="251" w:lineRule="exact"/>
              <w:ind w:left="351" w:right="235"/>
              <w:jc w:val="center"/>
              <w:rPr>
                <w:sz w:val="22"/>
              </w:rPr>
            </w:pPr>
            <w:r>
              <w:rPr>
                <w:sz w:val="22"/>
              </w:rPr>
              <w:t>13.9</w:t>
            </w:r>
          </w:p>
        </w:tc>
      </w:tr>
      <w:tr>
        <w:trPr>
          <w:trHeight w:val="379" w:hRule="exact"/>
        </w:trPr>
        <w:tc>
          <w:tcPr>
            <w:tcW w:w="2118" w:type="dxa"/>
          </w:tcPr>
          <w:p>
            <w:pPr>
              <w:pStyle w:val="TableParagraph"/>
              <w:spacing w:before="44"/>
              <w:ind w:left="105"/>
              <w:rPr>
                <w:sz w:val="14"/>
              </w:rPr>
            </w:pPr>
            <w:r>
              <w:rPr>
                <w:sz w:val="22"/>
              </w:rPr>
              <w:t>MgCl</w:t>
            </w:r>
            <w:r>
              <w:rPr>
                <w:position w:val="-2"/>
                <w:sz w:val="14"/>
              </w:rPr>
              <w:t>2</w:t>
            </w:r>
          </w:p>
        </w:tc>
        <w:tc>
          <w:tcPr>
            <w:tcW w:w="1818" w:type="dxa"/>
          </w:tcPr>
          <w:p>
            <w:pPr>
              <w:pStyle w:val="TableParagraph"/>
              <w:spacing w:before="44"/>
              <w:ind w:left="349" w:right="236"/>
              <w:jc w:val="center"/>
              <w:rPr>
                <w:sz w:val="22"/>
              </w:rPr>
            </w:pPr>
            <w:r>
              <w:rPr>
                <w:sz w:val="22"/>
              </w:rPr>
              <w:t>1.5</w:t>
            </w:r>
          </w:p>
        </w:tc>
      </w:tr>
      <w:tr>
        <w:trPr>
          <w:trHeight w:val="376" w:hRule="exact"/>
        </w:trPr>
        <w:tc>
          <w:tcPr>
            <w:tcW w:w="2118" w:type="dxa"/>
          </w:tcPr>
          <w:p>
            <w:pPr>
              <w:pStyle w:val="TableParagraph"/>
              <w:spacing w:before="44"/>
              <w:ind w:left="105"/>
              <w:rPr>
                <w:sz w:val="22"/>
              </w:rPr>
            </w:pPr>
            <w:r>
              <w:rPr>
                <w:sz w:val="22"/>
              </w:rPr>
              <w:t>dNTPs</w:t>
            </w:r>
          </w:p>
        </w:tc>
        <w:tc>
          <w:tcPr>
            <w:tcW w:w="1818" w:type="dxa"/>
          </w:tcPr>
          <w:p>
            <w:pPr>
              <w:pStyle w:val="TableParagraph"/>
              <w:spacing w:before="44"/>
              <w:ind w:left="658"/>
              <w:rPr>
                <w:sz w:val="22"/>
              </w:rPr>
            </w:pPr>
            <w:r>
              <w:rPr>
                <w:sz w:val="22"/>
              </w:rPr>
              <w:t>0.5 µL</w:t>
            </w:r>
          </w:p>
        </w:tc>
      </w:tr>
      <w:tr>
        <w:trPr>
          <w:trHeight w:val="392" w:hRule="exact"/>
        </w:trPr>
        <w:tc>
          <w:tcPr>
            <w:tcW w:w="2118" w:type="dxa"/>
          </w:tcPr>
          <w:p>
            <w:pPr>
              <w:pStyle w:val="TableParagraph"/>
              <w:spacing w:before="56"/>
              <w:ind w:left="105"/>
              <w:rPr>
                <w:sz w:val="22"/>
              </w:rPr>
            </w:pPr>
            <w:r>
              <w:rPr>
                <w:sz w:val="22"/>
              </w:rPr>
              <w:t>Primer F</w:t>
            </w:r>
          </w:p>
        </w:tc>
        <w:tc>
          <w:tcPr>
            <w:tcW w:w="1818" w:type="dxa"/>
          </w:tcPr>
          <w:p>
            <w:pPr>
              <w:pStyle w:val="TableParagraph"/>
              <w:spacing w:before="56"/>
              <w:ind w:left="351" w:right="235"/>
              <w:jc w:val="center"/>
              <w:rPr>
                <w:sz w:val="22"/>
              </w:rPr>
            </w:pPr>
            <w:r>
              <w:rPr>
                <w:sz w:val="22"/>
              </w:rPr>
              <w:t>1 µL</w:t>
            </w:r>
          </w:p>
        </w:tc>
      </w:tr>
      <w:tr>
        <w:trPr>
          <w:trHeight w:val="388" w:hRule="exact"/>
        </w:trPr>
        <w:tc>
          <w:tcPr>
            <w:tcW w:w="2118" w:type="dxa"/>
          </w:tcPr>
          <w:p>
            <w:pPr>
              <w:pStyle w:val="TableParagraph"/>
              <w:spacing w:before="60"/>
              <w:ind w:left="105"/>
              <w:rPr>
                <w:sz w:val="22"/>
              </w:rPr>
            </w:pPr>
            <w:r>
              <w:rPr>
                <w:sz w:val="22"/>
              </w:rPr>
              <w:t>Primer R</w:t>
            </w:r>
          </w:p>
        </w:tc>
        <w:tc>
          <w:tcPr>
            <w:tcW w:w="1818" w:type="dxa"/>
          </w:tcPr>
          <w:p>
            <w:pPr>
              <w:pStyle w:val="TableParagraph"/>
              <w:spacing w:before="60"/>
              <w:ind w:left="351" w:right="235"/>
              <w:jc w:val="center"/>
              <w:rPr>
                <w:sz w:val="22"/>
              </w:rPr>
            </w:pPr>
            <w:r>
              <w:rPr>
                <w:sz w:val="22"/>
              </w:rPr>
              <w:t>1 µL</w:t>
            </w:r>
          </w:p>
        </w:tc>
      </w:tr>
      <w:tr>
        <w:trPr>
          <w:trHeight w:val="379" w:hRule="exact"/>
        </w:trPr>
        <w:tc>
          <w:tcPr>
            <w:tcW w:w="2118" w:type="dxa"/>
          </w:tcPr>
          <w:p>
            <w:pPr>
              <w:pStyle w:val="TableParagraph"/>
              <w:spacing w:before="51"/>
              <w:ind w:left="105"/>
              <w:rPr>
                <w:sz w:val="22"/>
              </w:rPr>
            </w:pPr>
            <w:r>
              <w:rPr>
                <w:sz w:val="22"/>
              </w:rPr>
              <w:t>Taq Polimerasa</w:t>
            </w:r>
          </w:p>
        </w:tc>
        <w:tc>
          <w:tcPr>
            <w:tcW w:w="1818" w:type="dxa"/>
          </w:tcPr>
          <w:p>
            <w:pPr>
              <w:pStyle w:val="TableParagraph"/>
              <w:spacing w:before="51"/>
              <w:ind w:left="658"/>
              <w:rPr>
                <w:sz w:val="22"/>
              </w:rPr>
            </w:pPr>
            <w:r>
              <w:rPr>
                <w:sz w:val="22"/>
              </w:rPr>
              <w:t>0.1 µL</w:t>
            </w:r>
          </w:p>
        </w:tc>
      </w:tr>
      <w:tr>
        <w:trPr>
          <w:trHeight w:val="379" w:hRule="exact"/>
        </w:trPr>
        <w:tc>
          <w:tcPr>
            <w:tcW w:w="2118" w:type="dxa"/>
          </w:tcPr>
          <w:p>
            <w:pPr>
              <w:pStyle w:val="TableParagraph"/>
              <w:spacing w:before="51"/>
              <w:ind w:left="105"/>
              <w:rPr>
                <w:sz w:val="22"/>
              </w:rPr>
            </w:pPr>
            <w:r>
              <w:rPr>
                <w:sz w:val="22"/>
              </w:rPr>
              <w:t>5x Buffer PCR</w:t>
            </w:r>
          </w:p>
        </w:tc>
        <w:tc>
          <w:tcPr>
            <w:tcW w:w="1818" w:type="dxa"/>
          </w:tcPr>
          <w:p>
            <w:pPr>
              <w:pStyle w:val="TableParagraph"/>
              <w:spacing w:before="51"/>
              <w:ind w:left="351" w:right="235"/>
              <w:jc w:val="center"/>
              <w:rPr>
                <w:sz w:val="22"/>
              </w:rPr>
            </w:pPr>
            <w:r>
              <w:rPr>
                <w:sz w:val="22"/>
              </w:rPr>
              <w:t>5 µL</w:t>
            </w:r>
          </w:p>
        </w:tc>
      </w:tr>
      <w:tr>
        <w:trPr>
          <w:trHeight w:val="380" w:hRule="exact"/>
        </w:trPr>
        <w:tc>
          <w:tcPr>
            <w:tcW w:w="2118" w:type="dxa"/>
          </w:tcPr>
          <w:p>
            <w:pPr>
              <w:pStyle w:val="TableParagraph"/>
              <w:spacing w:before="52"/>
              <w:ind w:left="105"/>
              <w:rPr>
                <w:sz w:val="22"/>
              </w:rPr>
            </w:pPr>
            <w:r>
              <w:rPr>
                <w:sz w:val="22"/>
              </w:rPr>
              <w:t>DNA templado</w:t>
            </w:r>
          </w:p>
        </w:tc>
        <w:tc>
          <w:tcPr>
            <w:tcW w:w="1818" w:type="dxa"/>
          </w:tcPr>
          <w:p>
            <w:pPr>
              <w:pStyle w:val="TableParagraph"/>
              <w:spacing w:before="52"/>
              <w:ind w:left="351" w:right="235"/>
              <w:jc w:val="center"/>
              <w:rPr>
                <w:sz w:val="22"/>
              </w:rPr>
            </w:pPr>
            <w:r>
              <w:rPr>
                <w:sz w:val="22"/>
              </w:rPr>
              <w:t>2 µL</w:t>
            </w:r>
          </w:p>
        </w:tc>
      </w:tr>
      <w:tr>
        <w:trPr>
          <w:trHeight w:val="445" w:hRule="exact"/>
        </w:trPr>
        <w:tc>
          <w:tcPr>
            <w:tcW w:w="2118" w:type="dxa"/>
            <w:tcBorders>
              <w:bottom w:val="single" w:sz="8" w:space="0" w:color="000000"/>
            </w:tcBorders>
          </w:tcPr>
          <w:p>
            <w:pPr>
              <w:pStyle w:val="TableParagraph"/>
              <w:spacing w:before="51"/>
              <w:ind w:left="105"/>
              <w:rPr>
                <w:sz w:val="22"/>
              </w:rPr>
            </w:pPr>
            <w:r>
              <w:rPr>
                <w:sz w:val="22"/>
              </w:rPr>
              <w:t>TOTAL</w:t>
            </w:r>
          </w:p>
        </w:tc>
        <w:tc>
          <w:tcPr>
            <w:tcW w:w="1818" w:type="dxa"/>
            <w:tcBorders>
              <w:bottom w:val="single" w:sz="8" w:space="0" w:color="000000"/>
            </w:tcBorders>
          </w:tcPr>
          <w:p>
            <w:pPr>
              <w:pStyle w:val="TableParagraph"/>
              <w:spacing w:before="51"/>
              <w:ind w:left="351" w:right="232"/>
              <w:jc w:val="center"/>
              <w:rPr>
                <w:sz w:val="22"/>
              </w:rPr>
            </w:pPr>
            <w:r>
              <w:rPr>
                <w:sz w:val="22"/>
              </w:rPr>
              <w:t>25 µL</w:t>
            </w:r>
          </w:p>
        </w:tc>
      </w:tr>
    </w:tbl>
    <w:p>
      <w:pPr>
        <w:pStyle w:val="BodyText"/>
        <w:rPr>
          <w:sz w:val="22"/>
        </w:rPr>
      </w:pPr>
    </w:p>
    <w:p>
      <w:pPr>
        <w:pStyle w:val="BodyText"/>
        <w:spacing w:before="4"/>
        <w:rPr>
          <w:sz w:val="20"/>
        </w:rPr>
      </w:pPr>
    </w:p>
    <w:p>
      <w:pPr>
        <w:pStyle w:val="BodyText"/>
        <w:spacing w:line="360" w:lineRule="auto"/>
        <w:ind w:left="162" w:right="186"/>
        <w:jc w:val="both"/>
      </w:pPr>
      <w:r>
        <w:rPr/>
        <w:t>Los productos de las PCR se verificaron mediante una electroforesis en gel de agarosa al 2%, por 60 minutos a 100V/35A. Una banda de 176 pb corresponde al gen GSTP1b y una banda de 332 pb corresponde al gen GSTP1c.</w:t>
      </w:r>
    </w:p>
    <w:p>
      <w:pPr>
        <w:pStyle w:val="BodyText"/>
      </w:pPr>
    </w:p>
    <w:p>
      <w:pPr>
        <w:pStyle w:val="BodyText"/>
        <w:spacing w:before="8"/>
        <w:rPr>
          <w:sz w:val="35"/>
        </w:rPr>
      </w:pPr>
    </w:p>
    <w:p>
      <w:pPr>
        <w:pStyle w:val="Heading2"/>
      </w:pPr>
      <w:r>
        <w:rPr/>
        <w:t>Digestiones Enzimáticas</w:t>
      </w:r>
    </w:p>
    <w:p>
      <w:pPr>
        <w:pStyle w:val="BodyText"/>
        <w:spacing w:line="360" w:lineRule="auto" w:before="137"/>
        <w:ind w:left="162" w:right="176"/>
        <w:jc w:val="both"/>
      </w:pPr>
      <w:r>
        <w:rPr/>
        <w:t>La mezcla total de los reactivos de las digestiones enzimáticas se realizaron en un tubo estéril colocado en hielo, utilizando 10.0 µL de los productos de las PCR.</w:t>
      </w:r>
    </w:p>
    <w:p>
      <w:pPr>
        <w:pStyle w:val="BodyText"/>
      </w:pPr>
    </w:p>
    <w:p>
      <w:pPr>
        <w:pStyle w:val="BodyText"/>
        <w:spacing w:before="142"/>
        <w:ind w:left="162"/>
        <w:jc w:val="both"/>
      </w:pPr>
      <w:r>
        <w:rPr/>
        <w:t>Descripción de enzimas de restricción:</w:t>
      </w:r>
    </w:p>
    <w:p>
      <w:pPr>
        <w:pStyle w:val="BodyText"/>
        <w:spacing w:before="4"/>
        <w:rPr>
          <w:sz w:val="29"/>
        </w:rPr>
      </w:pPr>
    </w:p>
    <w:p>
      <w:pPr>
        <w:pStyle w:val="ListParagraph"/>
        <w:numPr>
          <w:ilvl w:val="0"/>
          <w:numId w:val="25"/>
        </w:numPr>
        <w:tabs>
          <w:tab w:pos="446" w:val="left" w:leader="none"/>
        </w:tabs>
        <w:spacing w:line="240" w:lineRule="auto" w:before="0" w:after="0"/>
        <w:ind w:left="445" w:right="0" w:hanging="283"/>
        <w:jc w:val="both"/>
        <w:rPr>
          <w:sz w:val="22"/>
        </w:rPr>
      </w:pPr>
      <w:r>
        <w:rPr>
          <w:sz w:val="22"/>
        </w:rPr>
        <w:t>Enzima </w:t>
      </w:r>
      <w:r>
        <w:rPr>
          <w:i/>
          <w:sz w:val="22"/>
        </w:rPr>
        <w:t>BsmAI </w:t>
      </w:r>
      <w:r>
        <w:rPr>
          <w:sz w:val="22"/>
        </w:rPr>
        <w:t>para identificar polimorfismos del gen</w:t>
      </w:r>
      <w:r>
        <w:rPr>
          <w:spacing w:val="-22"/>
          <w:sz w:val="22"/>
        </w:rPr>
        <w:t> </w:t>
      </w:r>
      <w:r>
        <w:rPr>
          <w:sz w:val="22"/>
        </w:rPr>
        <w:t>GSTP1b:</w:t>
      </w:r>
    </w:p>
    <w:p>
      <w:pPr>
        <w:pStyle w:val="BodyText"/>
        <w:rPr>
          <w:sz w:val="20"/>
        </w:rPr>
      </w:pPr>
    </w:p>
    <w:p>
      <w:pPr>
        <w:pStyle w:val="BodyText"/>
        <w:spacing w:before="7" w:after="1"/>
        <w:rPr>
          <w:sz w:val="10"/>
        </w:rPr>
      </w:pPr>
    </w:p>
    <w:tbl>
      <w:tblPr>
        <w:tblW w:w="0" w:type="auto"/>
        <w:jc w:val="left"/>
        <w:tblInd w:w="72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18"/>
        <w:gridCol w:w="3047"/>
      </w:tblGrid>
      <w:tr>
        <w:trPr>
          <w:trHeight w:val="300" w:hRule="exact"/>
        </w:trPr>
        <w:tc>
          <w:tcPr>
            <w:tcW w:w="2918" w:type="dxa"/>
          </w:tcPr>
          <w:p>
            <w:pPr>
              <w:pStyle w:val="TableParagraph"/>
              <w:spacing w:line="226" w:lineRule="exact"/>
              <w:ind w:left="221"/>
              <w:rPr>
                <w:sz w:val="22"/>
              </w:rPr>
            </w:pPr>
            <w:r>
              <w:rPr>
                <w:sz w:val="22"/>
              </w:rPr>
              <w:t>Sitio de reconocimiento</w:t>
            </w:r>
          </w:p>
        </w:tc>
        <w:tc>
          <w:tcPr>
            <w:tcW w:w="3047" w:type="dxa"/>
          </w:tcPr>
          <w:p>
            <w:pPr>
              <w:pStyle w:val="TableParagraph"/>
              <w:spacing w:line="226" w:lineRule="exact"/>
              <w:ind w:left="369" w:right="179"/>
              <w:jc w:val="center"/>
              <w:rPr>
                <w:sz w:val="22"/>
              </w:rPr>
            </w:pPr>
            <w:r>
              <w:rPr>
                <w:sz w:val="22"/>
              </w:rPr>
              <w:t>Temperatura de reacción</w:t>
            </w:r>
          </w:p>
        </w:tc>
      </w:tr>
      <w:tr>
        <w:trPr>
          <w:trHeight w:val="680" w:hRule="exact"/>
        </w:trPr>
        <w:tc>
          <w:tcPr>
            <w:tcW w:w="2918" w:type="dxa"/>
          </w:tcPr>
          <w:p>
            <w:pPr>
              <w:pStyle w:val="TableParagraph"/>
              <w:spacing w:before="51"/>
              <w:ind w:left="219"/>
              <w:rPr>
                <w:sz w:val="22"/>
              </w:rPr>
            </w:pPr>
            <w:r>
              <w:rPr>
                <w:sz w:val="22"/>
              </w:rPr>
              <w:t>5'...G T C T C (N)1^...3'</w:t>
            </w:r>
          </w:p>
          <w:p>
            <w:pPr>
              <w:pStyle w:val="TableParagraph"/>
              <w:spacing w:before="127"/>
              <w:ind w:left="200"/>
              <w:rPr>
                <w:sz w:val="22"/>
              </w:rPr>
            </w:pPr>
            <w:r>
              <w:rPr>
                <w:sz w:val="22"/>
              </w:rPr>
              <w:t>3'...C A G A G (N)5^...5'</w:t>
            </w:r>
          </w:p>
        </w:tc>
        <w:tc>
          <w:tcPr>
            <w:tcW w:w="3047" w:type="dxa"/>
          </w:tcPr>
          <w:p>
            <w:pPr>
              <w:pStyle w:val="TableParagraph"/>
              <w:spacing w:before="51"/>
              <w:ind w:left="369" w:right="179"/>
              <w:jc w:val="center"/>
              <w:rPr>
                <w:sz w:val="22"/>
              </w:rPr>
            </w:pPr>
            <w:r>
              <w:rPr>
                <w:sz w:val="22"/>
              </w:rPr>
              <w:t>55°C</w:t>
            </w:r>
          </w:p>
        </w:tc>
      </w:tr>
    </w:tbl>
    <w:p>
      <w:pPr>
        <w:pStyle w:val="BodyText"/>
        <w:rPr>
          <w:sz w:val="20"/>
        </w:rPr>
      </w:pPr>
    </w:p>
    <w:p>
      <w:pPr>
        <w:pStyle w:val="BodyText"/>
        <w:rPr>
          <w:sz w:val="18"/>
        </w:rPr>
      </w:pPr>
    </w:p>
    <w:p>
      <w:pPr>
        <w:pStyle w:val="ListParagraph"/>
        <w:numPr>
          <w:ilvl w:val="0"/>
          <w:numId w:val="25"/>
        </w:numPr>
        <w:tabs>
          <w:tab w:pos="446" w:val="left" w:leader="none"/>
        </w:tabs>
        <w:spacing w:line="240" w:lineRule="auto" w:before="73" w:after="0"/>
        <w:ind w:left="445" w:right="0" w:hanging="283"/>
        <w:jc w:val="left"/>
        <w:rPr>
          <w:sz w:val="22"/>
        </w:rPr>
      </w:pPr>
      <w:r>
        <w:rPr>
          <w:sz w:val="22"/>
        </w:rPr>
        <w:t>Enzima </w:t>
      </w:r>
      <w:r>
        <w:rPr>
          <w:i/>
          <w:sz w:val="22"/>
        </w:rPr>
        <w:t>AciI </w:t>
      </w:r>
      <w:r>
        <w:rPr>
          <w:sz w:val="22"/>
        </w:rPr>
        <w:t>para identificar polimorfismos del gen</w:t>
      </w:r>
      <w:r>
        <w:rPr>
          <w:spacing w:val="-17"/>
          <w:sz w:val="22"/>
        </w:rPr>
        <w:t> </w:t>
      </w:r>
      <w:r>
        <w:rPr>
          <w:sz w:val="22"/>
        </w:rPr>
        <w:t>GSTP1C</w:t>
      </w:r>
    </w:p>
    <w:p>
      <w:pPr>
        <w:pStyle w:val="BodyText"/>
        <w:rPr>
          <w:sz w:val="20"/>
        </w:rPr>
      </w:pPr>
    </w:p>
    <w:p>
      <w:pPr>
        <w:pStyle w:val="BodyText"/>
        <w:spacing w:before="10"/>
        <w:rPr>
          <w:sz w:val="10"/>
        </w:rPr>
      </w:pPr>
    </w:p>
    <w:tbl>
      <w:tblPr>
        <w:tblW w:w="0" w:type="auto"/>
        <w:jc w:val="left"/>
        <w:tblInd w:w="74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89"/>
        <w:gridCol w:w="3055"/>
      </w:tblGrid>
      <w:tr>
        <w:trPr>
          <w:trHeight w:val="300" w:hRule="exact"/>
        </w:trPr>
        <w:tc>
          <w:tcPr>
            <w:tcW w:w="2889" w:type="dxa"/>
          </w:tcPr>
          <w:p>
            <w:pPr>
              <w:pStyle w:val="TableParagraph"/>
              <w:spacing w:line="226" w:lineRule="exact"/>
              <w:ind w:left="200"/>
              <w:rPr>
                <w:sz w:val="22"/>
              </w:rPr>
            </w:pPr>
            <w:r>
              <w:rPr>
                <w:sz w:val="22"/>
              </w:rPr>
              <w:t>Sitio de reconocimiento</w:t>
            </w:r>
          </w:p>
        </w:tc>
        <w:tc>
          <w:tcPr>
            <w:tcW w:w="3055" w:type="dxa"/>
          </w:tcPr>
          <w:p>
            <w:pPr>
              <w:pStyle w:val="TableParagraph"/>
              <w:spacing w:line="226" w:lineRule="exact"/>
              <w:ind w:left="377" w:right="179"/>
              <w:jc w:val="center"/>
              <w:rPr>
                <w:sz w:val="22"/>
              </w:rPr>
            </w:pPr>
            <w:r>
              <w:rPr>
                <w:sz w:val="22"/>
              </w:rPr>
              <w:t>Temperatura de reacción</w:t>
            </w:r>
          </w:p>
        </w:tc>
      </w:tr>
      <w:tr>
        <w:trPr>
          <w:trHeight w:val="679" w:hRule="exact"/>
        </w:trPr>
        <w:tc>
          <w:tcPr>
            <w:tcW w:w="2889" w:type="dxa"/>
          </w:tcPr>
          <w:p>
            <w:pPr>
              <w:pStyle w:val="TableParagraph"/>
              <w:spacing w:before="51"/>
              <w:ind w:left="555"/>
              <w:rPr>
                <w:sz w:val="22"/>
              </w:rPr>
            </w:pPr>
            <w:r>
              <w:rPr>
                <w:sz w:val="22"/>
              </w:rPr>
              <w:t>5‟...C ^ CGC...3'</w:t>
            </w:r>
          </w:p>
          <w:p>
            <w:pPr>
              <w:pStyle w:val="TableParagraph"/>
              <w:spacing w:before="126"/>
              <w:ind w:left="545"/>
              <w:rPr>
                <w:sz w:val="22"/>
              </w:rPr>
            </w:pPr>
            <w:r>
              <w:rPr>
                <w:sz w:val="22"/>
              </w:rPr>
              <w:t>3'...GCG ^ G...5'</w:t>
            </w:r>
          </w:p>
        </w:tc>
        <w:tc>
          <w:tcPr>
            <w:tcW w:w="3055" w:type="dxa"/>
          </w:tcPr>
          <w:p>
            <w:pPr>
              <w:pStyle w:val="TableParagraph"/>
              <w:spacing w:before="51"/>
              <w:ind w:left="377" w:right="179"/>
              <w:jc w:val="center"/>
              <w:rPr>
                <w:sz w:val="22"/>
              </w:rPr>
            </w:pPr>
            <w:r>
              <w:rPr>
                <w:sz w:val="22"/>
              </w:rPr>
              <w:t>37°C</w:t>
            </w:r>
          </w:p>
        </w:tc>
      </w:tr>
    </w:tbl>
    <w:p>
      <w:pPr>
        <w:spacing w:after="0"/>
        <w:jc w:val="center"/>
        <w:rPr>
          <w:sz w:val="22"/>
        </w:rPr>
        <w:sectPr>
          <w:pgSz w:w="12240" w:h="15840"/>
          <w:pgMar w:header="733" w:footer="1039" w:top="1020" w:bottom="1220" w:left="1540" w:right="1520"/>
        </w:sectPr>
      </w:pPr>
    </w:p>
    <w:p>
      <w:pPr>
        <w:pStyle w:val="BodyText"/>
        <w:rPr>
          <w:sz w:val="18"/>
        </w:rPr>
      </w:pPr>
    </w:p>
    <w:p>
      <w:pPr>
        <w:pStyle w:val="BodyText"/>
        <w:spacing w:line="360" w:lineRule="auto" w:before="69"/>
        <w:ind w:left="162" w:right="185"/>
        <w:jc w:val="both"/>
      </w:pPr>
      <w:r>
        <w:rPr/>
        <w:t>Las condiciones para realizar las digestiones enzimáticas fueron de acuerdo a lo que indica el fabricante (Thermo Scientific, fermentas). Se combinaron los componentes de la reacción a temperatura ambiente y en el orden que se muestra en la Tabla 4:</w:t>
      </w:r>
    </w:p>
    <w:p>
      <w:pPr>
        <w:pStyle w:val="BodyText"/>
        <w:spacing w:before="2"/>
        <w:rPr>
          <w:sz w:val="30"/>
        </w:rPr>
      </w:pPr>
    </w:p>
    <w:p>
      <w:pPr>
        <w:spacing w:before="1"/>
        <w:ind w:left="1246" w:right="126" w:firstLine="0"/>
        <w:jc w:val="left"/>
        <w:rPr>
          <w:sz w:val="22"/>
        </w:rPr>
      </w:pPr>
      <w:r>
        <w:rPr>
          <w:sz w:val="22"/>
        </w:rPr>
        <w:t>TABLA 4. Reactivos y condiciones para las digestiones con BsmAI y Acil</w:t>
      </w:r>
    </w:p>
    <w:p>
      <w:pPr>
        <w:pStyle w:val="BodyText"/>
        <w:spacing w:before="2"/>
        <w:rPr>
          <w:sz w:val="23"/>
        </w:rPr>
      </w:pPr>
    </w:p>
    <w:tbl>
      <w:tblPr>
        <w:tblW w:w="0" w:type="auto"/>
        <w:jc w:val="left"/>
        <w:tblInd w:w="177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13"/>
        <w:gridCol w:w="2211"/>
      </w:tblGrid>
      <w:tr>
        <w:trPr>
          <w:trHeight w:val="349" w:hRule="exact"/>
        </w:trPr>
        <w:tc>
          <w:tcPr>
            <w:tcW w:w="3413" w:type="dxa"/>
            <w:tcBorders>
              <w:bottom w:val="single" w:sz="8" w:space="0" w:color="000000"/>
            </w:tcBorders>
          </w:tcPr>
          <w:p>
            <w:pPr>
              <w:pStyle w:val="TableParagraph"/>
              <w:spacing w:line="226" w:lineRule="exact"/>
              <w:ind w:left="105"/>
              <w:rPr>
                <w:sz w:val="22"/>
              </w:rPr>
            </w:pPr>
            <w:r>
              <w:rPr>
                <w:sz w:val="22"/>
              </w:rPr>
              <w:t>Reactivo</w:t>
            </w:r>
          </w:p>
        </w:tc>
        <w:tc>
          <w:tcPr>
            <w:tcW w:w="2211" w:type="dxa"/>
            <w:tcBorders>
              <w:bottom w:val="single" w:sz="8" w:space="0" w:color="000000"/>
            </w:tcBorders>
          </w:tcPr>
          <w:p>
            <w:pPr>
              <w:pStyle w:val="TableParagraph"/>
              <w:spacing w:line="226" w:lineRule="exact"/>
              <w:ind w:left="483"/>
              <w:rPr>
                <w:sz w:val="22"/>
              </w:rPr>
            </w:pPr>
            <w:r>
              <w:rPr>
                <w:sz w:val="22"/>
              </w:rPr>
              <w:t>Volumen (µL)</w:t>
            </w:r>
          </w:p>
        </w:tc>
      </w:tr>
      <w:tr>
        <w:trPr>
          <w:trHeight w:val="361" w:hRule="exact"/>
        </w:trPr>
        <w:tc>
          <w:tcPr>
            <w:tcW w:w="3413" w:type="dxa"/>
            <w:tcBorders>
              <w:top w:val="single" w:sz="8" w:space="0" w:color="000000"/>
            </w:tcBorders>
          </w:tcPr>
          <w:p>
            <w:pPr>
              <w:pStyle w:val="TableParagraph"/>
              <w:ind w:left="105"/>
              <w:rPr>
                <w:sz w:val="22"/>
              </w:rPr>
            </w:pPr>
            <w:r>
              <w:rPr>
                <w:sz w:val="22"/>
              </w:rPr>
              <w:t>H</w:t>
            </w:r>
            <w:r>
              <w:rPr>
                <w:position w:val="-2"/>
                <w:sz w:val="14"/>
              </w:rPr>
              <w:t>2</w:t>
            </w:r>
            <w:r>
              <w:rPr>
                <w:sz w:val="22"/>
              </w:rPr>
              <w:t>O Desionizada</w:t>
            </w:r>
          </w:p>
        </w:tc>
        <w:tc>
          <w:tcPr>
            <w:tcW w:w="2211" w:type="dxa"/>
            <w:tcBorders>
              <w:top w:val="single" w:sz="8" w:space="0" w:color="000000"/>
            </w:tcBorders>
          </w:tcPr>
          <w:p>
            <w:pPr>
              <w:pStyle w:val="TableParagraph"/>
              <w:ind w:left="912" w:right="830"/>
              <w:jc w:val="center"/>
              <w:rPr>
                <w:sz w:val="22"/>
              </w:rPr>
            </w:pPr>
            <w:r>
              <w:rPr>
                <w:sz w:val="22"/>
              </w:rPr>
              <w:t>17.0</w:t>
            </w:r>
          </w:p>
        </w:tc>
      </w:tr>
      <w:tr>
        <w:trPr>
          <w:trHeight w:val="390" w:hRule="exact"/>
        </w:trPr>
        <w:tc>
          <w:tcPr>
            <w:tcW w:w="3413" w:type="dxa"/>
          </w:tcPr>
          <w:p>
            <w:pPr>
              <w:pStyle w:val="TableParagraph"/>
              <w:spacing w:before="59"/>
              <w:ind w:left="105"/>
              <w:rPr>
                <w:sz w:val="22"/>
              </w:rPr>
            </w:pPr>
            <w:r>
              <w:rPr>
                <w:sz w:val="22"/>
              </w:rPr>
              <w:t>10X FastDigest Green Buffer</w:t>
            </w:r>
          </w:p>
        </w:tc>
        <w:tc>
          <w:tcPr>
            <w:tcW w:w="2211" w:type="dxa"/>
          </w:tcPr>
          <w:p>
            <w:pPr>
              <w:pStyle w:val="TableParagraph"/>
              <w:spacing w:before="59"/>
              <w:ind w:left="909" w:right="830"/>
              <w:jc w:val="center"/>
              <w:rPr>
                <w:sz w:val="22"/>
              </w:rPr>
            </w:pPr>
            <w:r>
              <w:rPr>
                <w:sz w:val="22"/>
              </w:rPr>
              <w:t>2.0</w:t>
            </w:r>
          </w:p>
        </w:tc>
      </w:tr>
      <w:tr>
        <w:trPr>
          <w:trHeight w:val="384" w:hRule="exact"/>
        </w:trPr>
        <w:tc>
          <w:tcPr>
            <w:tcW w:w="3413" w:type="dxa"/>
          </w:tcPr>
          <w:p>
            <w:pPr>
              <w:pStyle w:val="TableParagraph"/>
              <w:spacing w:before="54"/>
              <w:ind w:left="105"/>
              <w:rPr>
                <w:sz w:val="22"/>
              </w:rPr>
            </w:pPr>
            <w:r>
              <w:rPr>
                <w:sz w:val="22"/>
              </w:rPr>
              <w:t>Producto de PCR</w:t>
            </w:r>
          </w:p>
        </w:tc>
        <w:tc>
          <w:tcPr>
            <w:tcW w:w="2211" w:type="dxa"/>
          </w:tcPr>
          <w:p>
            <w:pPr>
              <w:pStyle w:val="TableParagraph"/>
              <w:spacing w:before="54"/>
              <w:ind w:left="909" w:right="830"/>
              <w:jc w:val="center"/>
              <w:rPr>
                <w:sz w:val="22"/>
              </w:rPr>
            </w:pPr>
            <w:r>
              <w:rPr>
                <w:sz w:val="22"/>
              </w:rPr>
              <w:t>10</w:t>
            </w:r>
          </w:p>
        </w:tc>
      </w:tr>
      <w:tr>
        <w:trPr>
          <w:trHeight w:val="319" w:hRule="exact"/>
        </w:trPr>
        <w:tc>
          <w:tcPr>
            <w:tcW w:w="3413" w:type="dxa"/>
          </w:tcPr>
          <w:p>
            <w:pPr>
              <w:pStyle w:val="TableParagraph"/>
              <w:spacing w:before="54"/>
              <w:ind w:left="105"/>
              <w:rPr>
                <w:sz w:val="22"/>
              </w:rPr>
            </w:pPr>
            <w:r>
              <w:rPr>
                <w:sz w:val="22"/>
              </w:rPr>
              <w:t>Enzima FastDigest</w:t>
            </w:r>
          </w:p>
        </w:tc>
        <w:tc>
          <w:tcPr>
            <w:tcW w:w="2211" w:type="dxa"/>
          </w:tcPr>
          <w:p>
            <w:pPr>
              <w:pStyle w:val="TableParagraph"/>
              <w:spacing w:before="54"/>
              <w:ind w:left="909" w:right="830"/>
              <w:jc w:val="center"/>
              <w:rPr>
                <w:sz w:val="22"/>
              </w:rPr>
            </w:pPr>
            <w:r>
              <w:rPr>
                <w:sz w:val="22"/>
              </w:rPr>
              <w:t>1.0</w:t>
            </w:r>
          </w:p>
        </w:tc>
      </w:tr>
      <w:tr>
        <w:trPr>
          <w:trHeight w:val="238" w:hRule="exact"/>
        </w:trPr>
        <w:tc>
          <w:tcPr>
            <w:tcW w:w="3413" w:type="dxa"/>
          </w:tcPr>
          <w:p>
            <w:pPr>
              <w:pStyle w:val="TableParagraph"/>
              <w:tabs>
                <w:tab w:pos="4436" w:val="left" w:leader="none"/>
              </w:tabs>
              <w:spacing w:line="242" w:lineRule="exact"/>
              <w:ind w:left="-15" w:right="-1024"/>
              <w:rPr>
                <w:sz w:val="22"/>
              </w:rPr>
            </w:pPr>
            <w:r>
              <w:rPr>
                <w:w w:val="100"/>
                <w:sz w:val="22"/>
                <w:u w:val="single"/>
              </w:rPr>
              <w:t> </w:t>
            </w:r>
            <w:r>
              <w:rPr>
                <w:spacing w:val="-3"/>
                <w:sz w:val="22"/>
                <w:u w:val="single"/>
              </w:rPr>
              <w:t> </w:t>
            </w:r>
            <w:r>
              <w:rPr>
                <w:sz w:val="22"/>
                <w:u w:val="single"/>
              </w:rPr>
              <w:t>Total</w:t>
              <w:tab/>
            </w:r>
          </w:p>
        </w:tc>
        <w:tc>
          <w:tcPr>
            <w:tcW w:w="2211" w:type="dxa"/>
          </w:tcPr>
          <w:p>
            <w:pPr>
              <w:pStyle w:val="TableParagraph"/>
              <w:tabs>
                <w:tab w:pos="2210" w:val="left" w:leader="none"/>
              </w:tabs>
              <w:spacing w:line="242" w:lineRule="exact"/>
              <w:ind w:left="1023"/>
              <w:rPr>
                <w:sz w:val="22"/>
              </w:rPr>
            </w:pPr>
            <w:r>
              <w:rPr>
                <w:sz w:val="22"/>
                <w:u w:val="single"/>
              </w:rPr>
              <w:t>30</w:t>
              <w:tab/>
            </w:r>
          </w:p>
        </w:tc>
      </w:tr>
    </w:tbl>
    <w:p>
      <w:pPr>
        <w:pStyle w:val="BodyText"/>
        <w:rPr>
          <w:sz w:val="20"/>
        </w:rPr>
      </w:pPr>
    </w:p>
    <w:p>
      <w:pPr>
        <w:pStyle w:val="BodyText"/>
        <w:spacing w:before="11"/>
        <w:rPr>
          <w:sz w:val="18"/>
        </w:rPr>
      </w:pPr>
    </w:p>
    <w:p>
      <w:pPr>
        <w:pStyle w:val="BodyText"/>
        <w:spacing w:line="360" w:lineRule="auto" w:before="70"/>
        <w:ind w:left="162" w:right="126"/>
      </w:pPr>
      <w:r>
        <w:rPr/>
        <w:t>Los productos de las digestiones se verificaron, mediante una electroforesis en gel de agarosa al 3 %, dejándolo correr por 90 minutos a 100 V/35 A.</w:t>
      </w:r>
    </w:p>
    <w:p>
      <w:pPr>
        <w:pStyle w:val="BodyText"/>
      </w:pPr>
    </w:p>
    <w:p>
      <w:pPr>
        <w:pStyle w:val="BodyText"/>
        <w:spacing w:before="3"/>
        <w:rPr>
          <w:sz w:val="21"/>
        </w:rPr>
      </w:pPr>
    </w:p>
    <w:p>
      <w:pPr>
        <w:pStyle w:val="BodyText"/>
        <w:spacing w:line="357" w:lineRule="auto"/>
        <w:ind w:left="589" w:right="126" w:hanging="428"/>
        <w:rPr>
          <w:i/>
        </w:rPr>
      </w:pPr>
      <w:r>
        <w:rPr/>
        <w:t>Se detectaron los polimorfismos de acuerdo a los fragmentos encontrados. a.Digestión con </w:t>
      </w:r>
      <w:r>
        <w:rPr>
          <w:i/>
        </w:rPr>
        <w:t>BsmAI:</w:t>
      </w:r>
    </w:p>
    <w:p>
      <w:pPr>
        <w:pStyle w:val="ListParagraph"/>
        <w:numPr>
          <w:ilvl w:val="1"/>
          <w:numId w:val="25"/>
        </w:numPr>
        <w:tabs>
          <w:tab w:pos="1241" w:val="left" w:leader="none"/>
          <w:tab w:pos="1242" w:val="left" w:leader="none"/>
        </w:tabs>
        <w:spacing w:line="240" w:lineRule="auto" w:before="209" w:after="0"/>
        <w:ind w:left="1242" w:right="0" w:hanging="360"/>
        <w:jc w:val="left"/>
        <w:rPr>
          <w:sz w:val="22"/>
        </w:rPr>
      </w:pPr>
      <w:r>
        <w:rPr>
          <w:sz w:val="22"/>
        </w:rPr>
        <w:t>GSTP1a: un fragmento de 176</w:t>
      </w:r>
      <w:r>
        <w:rPr>
          <w:spacing w:val="-9"/>
          <w:sz w:val="22"/>
        </w:rPr>
        <w:t> </w:t>
      </w:r>
      <w:r>
        <w:rPr>
          <w:sz w:val="22"/>
        </w:rPr>
        <w:t>pb.</w:t>
      </w:r>
    </w:p>
    <w:p>
      <w:pPr>
        <w:pStyle w:val="ListParagraph"/>
        <w:numPr>
          <w:ilvl w:val="1"/>
          <w:numId w:val="25"/>
        </w:numPr>
        <w:tabs>
          <w:tab w:pos="1242" w:val="left" w:leader="none"/>
        </w:tabs>
        <w:spacing w:line="355" w:lineRule="auto" w:before="124" w:after="0"/>
        <w:ind w:left="1242" w:right="180" w:hanging="360"/>
        <w:jc w:val="both"/>
        <w:rPr>
          <w:sz w:val="22"/>
        </w:rPr>
      </w:pPr>
      <w:r>
        <w:rPr>
          <w:sz w:val="22"/>
        </w:rPr>
        <w:t>GSTP1b: los fragmentos de 176 pb, 91 pb. y 85 pb. corresponden a GSTP1b heterocigoto y los fragmentos de 91 pb. y 85 pb. corresponden a GSTP1b homocigoto.</w:t>
      </w:r>
    </w:p>
    <w:p>
      <w:pPr>
        <w:pStyle w:val="BodyText"/>
        <w:rPr>
          <w:sz w:val="22"/>
        </w:rPr>
      </w:pPr>
    </w:p>
    <w:p>
      <w:pPr>
        <w:pStyle w:val="ListParagraph"/>
        <w:numPr>
          <w:ilvl w:val="0"/>
          <w:numId w:val="26"/>
        </w:numPr>
        <w:tabs>
          <w:tab w:pos="858" w:val="left" w:leader="none"/>
        </w:tabs>
        <w:spacing w:line="240" w:lineRule="auto" w:before="132" w:after="0"/>
        <w:ind w:left="857" w:right="0" w:hanging="268"/>
        <w:jc w:val="left"/>
        <w:rPr>
          <w:sz w:val="24"/>
        </w:rPr>
      </w:pPr>
      <w:r>
        <w:rPr>
          <w:sz w:val="24"/>
        </w:rPr>
        <w:t>Digestión con</w:t>
      </w:r>
      <w:r>
        <w:rPr>
          <w:spacing w:val="-7"/>
          <w:sz w:val="24"/>
        </w:rPr>
        <w:t> </w:t>
      </w:r>
      <w:r>
        <w:rPr>
          <w:i/>
          <w:sz w:val="24"/>
        </w:rPr>
        <w:t>Aci</w:t>
      </w:r>
      <w:r>
        <w:rPr>
          <w:sz w:val="24"/>
        </w:rPr>
        <w:t>I:</w:t>
      </w:r>
    </w:p>
    <w:p>
      <w:pPr>
        <w:pStyle w:val="BodyText"/>
        <w:spacing w:before="6"/>
        <w:rPr>
          <w:sz w:val="29"/>
        </w:rPr>
      </w:pPr>
    </w:p>
    <w:p>
      <w:pPr>
        <w:pStyle w:val="ListParagraph"/>
        <w:numPr>
          <w:ilvl w:val="1"/>
          <w:numId w:val="26"/>
        </w:numPr>
        <w:tabs>
          <w:tab w:pos="1242" w:val="left" w:leader="none"/>
        </w:tabs>
        <w:spacing w:line="355" w:lineRule="auto" w:before="0" w:after="0"/>
        <w:ind w:left="1242" w:right="180" w:hanging="360"/>
        <w:jc w:val="both"/>
        <w:rPr>
          <w:sz w:val="22"/>
        </w:rPr>
      </w:pPr>
      <w:r>
        <w:rPr>
          <w:sz w:val="22"/>
        </w:rPr>
        <w:t>GSTP1c: el fragmento de 332 pb. corresponde a GSTP1c homocigoto y los fragmentos de 332 pb, 174 pb. y 158 pb. corresponden a  GSTP1c heterocigoto, una banda de 158 pb y 174 pb corresponde a GSTP1c</w:t>
      </w:r>
      <w:r>
        <w:rPr>
          <w:spacing w:val="-21"/>
          <w:sz w:val="22"/>
        </w:rPr>
        <w:t> </w:t>
      </w:r>
      <w:r>
        <w:rPr>
          <w:sz w:val="22"/>
        </w:rPr>
        <w:t>silvestre.</w:t>
      </w:r>
    </w:p>
    <w:p>
      <w:pPr>
        <w:pStyle w:val="BodyText"/>
        <w:spacing w:before="9"/>
        <w:rPr>
          <w:sz w:val="30"/>
        </w:rPr>
      </w:pPr>
    </w:p>
    <w:p>
      <w:pPr>
        <w:pStyle w:val="Heading2"/>
        <w:numPr>
          <w:ilvl w:val="1"/>
          <w:numId w:val="27"/>
        </w:numPr>
        <w:tabs>
          <w:tab w:pos="566" w:val="left" w:leader="none"/>
        </w:tabs>
        <w:spacing w:line="240" w:lineRule="auto" w:before="0" w:after="0"/>
        <w:ind w:left="565" w:right="0" w:hanging="403"/>
        <w:jc w:val="left"/>
      </w:pPr>
      <w:r>
        <w:rPr/>
        <w:t>INSTRUMENTOS DE RECOLECCION DE</w:t>
      </w:r>
      <w:r>
        <w:rPr>
          <w:spacing w:val="-11"/>
        </w:rPr>
        <w:t> </w:t>
      </w:r>
      <w:r>
        <w:rPr/>
        <w:t>INFORMACIÓN</w:t>
      </w:r>
    </w:p>
    <w:p>
      <w:pPr>
        <w:pStyle w:val="BodyText"/>
        <w:spacing w:line="360" w:lineRule="auto" w:before="137"/>
        <w:ind w:left="162" w:right="126"/>
      </w:pPr>
      <w:r>
        <w:rPr/>
        <w:t>Se aplicó un cuestionario, a todos los individuos, también se registro la presencia de caries individualmente. (Anexos 3 y 4)</w:t>
      </w:r>
    </w:p>
    <w:p>
      <w:pPr>
        <w:spacing w:after="0" w:line="360" w:lineRule="auto"/>
        <w:sectPr>
          <w:pgSz w:w="12240" w:h="15840"/>
          <w:pgMar w:header="733" w:footer="1039" w:top="1020" w:bottom="1220" w:left="1540" w:right="1520"/>
        </w:sectPr>
      </w:pPr>
    </w:p>
    <w:p>
      <w:pPr>
        <w:pStyle w:val="BodyText"/>
        <w:rPr>
          <w:sz w:val="18"/>
        </w:rPr>
      </w:pPr>
    </w:p>
    <w:p>
      <w:pPr>
        <w:pStyle w:val="Heading2"/>
        <w:numPr>
          <w:ilvl w:val="1"/>
          <w:numId w:val="27"/>
        </w:numPr>
        <w:tabs>
          <w:tab w:pos="698" w:val="left" w:leader="none"/>
        </w:tabs>
        <w:spacing w:line="240" w:lineRule="auto" w:before="69" w:after="0"/>
        <w:ind w:left="697" w:right="0" w:hanging="535"/>
        <w:jc w:val="both"/>
      </w:pPr>
      <w:bookmarkStart w:name="_TOC_250011" w:id="30"/>
      <w:r>
        <w:rPr/>
        <w:t>LEVANTAMIENTO Y ANÁLISIS DE LA</w:t>
      </w:r>
      <w:r>
        <w:rPr>
          <w:spacing w:val="-16"/>
        </w:rPr>
        <w:t> </w:t>
      </w:r>
      <w:bookmarkEnd w:id="30"/>
      <w:r>
        <w:rPr/>
        <w:t>INFORMACIÓN</w:t>
      </w:r>
    </w:p>
    <w:p>
      <w:pPr>
        <w:pStyle w:val="BodyText"/>
        <w:spacing w:line="360" w:lineRule="auto" w:before="139"/>
        <w:ind w:left="162" w:right="177"/>
        <w:jc w:val="both"/>
      </w:pPr>
      <w:r>
        <w:rPr/>
        <w:t>Se realizó observación de forma directa, llevando a cabo un registró diario de todos los</w:t>
      </w:r>
      <w:r>
        <w:rPr>
          <w:spacing w:val="-6"/>
        </w:rPr>
        <w:t> </w:t>
      </w:r>
      <w:r>
        <w:rPr/>
        <w:t>datos.</w:t>
      </w:r>
    </w:p>
    <w:p>
      <w:pPr>
        <w:pStyle w:val="BodyText"/>
      </w:pPr>
    </w:p>
    <w:p>
      <w:pPr>
        <w:pStyle w:val="BodyText"/>
        <w:spacing w:line="360" w:lineRule="auto" w:before="142"/>
        <w:ind w:left="162" w:right="182"/>
        <w:jc w:val="both"/>
      </w:pPr>
      <w:r>
        <w:rPr/>
        <w:t>Para la determinación de los polimorfismos presentes se registraron los resultados observados en los geles de agarosa, en el instrumento de recolección de la información.</w:t>
      </w:r>
    </w:p>
    <w:p>
      <w:pPr>
        <w:pStyle w:val="BodyText"/>
      </w:pPr>
    </w:p>
    <w:p>
      <w:pPr>
        <w:pStyle w:val="BodyText"/>
        <w:spacing w:line="360" w:lineRule="auto" w:before="142"/>
        <w:ind w:left="162" w:right="181"/>
        <w:jc w:val="both"/>
      </w:pPr>
      <w:r>
        <w:rPr/>
        <w:t>Posteriormente se construyó una base de datos (Microsoft Excel 2011) y se realizó un análisis (IBM SPSS Statistics 19) descriptivo para conocer el comportamiento de nuestros datos. Además se realizó una regresión multinominal para conocer si existe una asociación entre la caries y los polimorfismos.</w:t>
      </w:r>
    </w:p>
    <w:p>
      <w:pPr>
        <w:spacing w:after="0" w:line="360" w:lineRule="auto"/>
        <w:jc w:val="both"/>
        <w:sectPr>
          <w:pgSz w:w="12240" w:h="15840"/>
          <w:pgMar w:header="733" w:footer="1039" w:top="1020" w:bottom="1220" w:left="1540" w:right="1520"/>
        </w:sectPr>
      </w:pPr>
    </w:p>
    <w:p>
      <w:pPr>
        <w:pStyle w:val="BodyText"/>
        <w:spacing w:before="3"/>
        <w:rPr>
          <w:sz w:val="18"/>
        </w:rPr>
      </w:pPr>
    </w:p>
    <w:p>
      <w:pPr>
        <w:pStyle w:val="Heading1"/>
        <w:numPr>
          <w:ilvl w:val="0"/>
          <w:numId w:val="15"/>
        </w:numPr>
        <w:tabs>
          <w:tab w:pos="3828" w:val="left" w:leader="none"/>
        </w:tabs>
        <w:spacing w:line="240" w:lineRule="auto" w:before="65" w:after="0"/>
        <w:ind w:left="3827" w:right="0" w:hanging="422"/>
        <w:jc w:val="left"/>
      </w:pPr>
      <w:bookmarkStart w:name="_TOC_250010" w:id="31"/>
      <w:bookmarkEnd w:id="31"/>
      <w:r>
        <w:rPr/>
        <w:t>RESULTADOS</w:t>
      </w:r>
    </w:p>
    <w:p>
      <w:pPr>
        <w:pStyle w:val="BodyText"/>
        <w:rPr>
          <w:b/>
          <w:sz w:val="20"/>
        </w:rPr>
      </w:pPr>
    </w:p>
    <w:p>
      <w:pPr>
        <w:pStyle w:val="BodyText"/>
        <w:rPr>
          <w:b/>
          <w:sz w:val="20"/>
        </w:rPr>
      </w:pPr>
    </w:p>
    <w:p>
      <w:pPr>
        <w:pStyle w:val="BodyText"/>
        <w:spacing w:before="2"/>
        <w:rPr>
          <w:b/>
          <w:sz w:val="19"/>
        </w:rPr>
      </w:pPr>
    </w:p>
    <w:p>
      <w:pPr>
        <w:pStyle w:val="Heading2"/>
        <w:numPr>
          <w:ilvl w:val="1"/>
          <w:numId w:val="28"/>
        </w:numPr>
        <w:tabs>
          <w:tab w:pos="635" w:val="left" w:leader="none"/>
        </w:tabs>
        <w:spacing w:line="240" w:lineRule="auto" w:before="0" w:after="0"/>
        <w:ind w:left="634" w:right="0" w:hanging="472"/>
        <w:jc w:val="left"/>
      </w:pPr>
      <w:bookmarkStart w:name="_TOC_250009" w:id="32"/>
      <w:r>
        <w:rPr/>
        <w:t>Artículo</w:t>
      </w:r>
      <w:r>
        <w:rPr>
          <w:spacing w:val="-9"/>
        </w:rPr>
        <w:t> </w:t>
      </w:r>
      <w:bookmarkEnd w:id="32"/>
      <w:r>
        <w:rPr/>
        <w:t>científico</w:t>
      </w:r>
    </w:p>
    <w:p>
      <w:pPr>
        <w:pStyle w:val="BodyText"/>
        <w:rPr>
          <w:b/>
        </w:rPr>
      </w:pPr>
    </w:p>
    <w:p>
      <w:pPr>
        <w:pStyle w:val="BodyText"/>
        <w:rPr>
          <w:b/>
        </w:rPr>
      </w:pPr>
    </w:p>
    <w:p>
      <w:pPr>
        <w:pStyle w:val="ListParagraph"/>
        <w:numPr>
          <w:ilvl w:val="2"/>
          <w:numId w:val="28"/>
        </w:numPr>
        <w:tabs>
          <w:tab w:pos="764" w:val="left" w:leader="none"/>
        </w:tabs>
        <w:spacing w:line="240" w:lineRule="auto" w:before="206" w:after="0"/>
        <w:ind w:left="763" w:right="0" w:hanging="601"/>
        <w:jc w:val="left"/>
        <w:rPr>
          <w:b/>
          <w:sz w:val="24"/>
        </w:rPr>
      </w:pPr>
      <w:r>
        <w:rPr>
          <w:b/>
          <w:sz w:val="24"/>
        </w:rPr>
        <w:t>Envío  del artículo  revista</w:t>
      </w:r>
      <w:r>
        <w:rPr>
          <w:b/>
          <w:spacing w:val="-9"/>
          <w:sz w:val="24"/>
        </w:rPr>
        <w:t> </w:t>
      </w:r>
      <w:r>
        <w:rPr>
          <w:b/>
          <w:sz w:val="24"/>
        </w:rPr>
        <w:t>indexada</w:t>
      </w:r>
    </w:p>
    <w:p>
      <w:pPr>
        <w:pStyle w:val="BodyText"/>
        <w:rPr>
          <w:b/>
          <w:sz w:val="20"/>
        </w:rPr>
      </w:pPr>
    </w:p>
    <w:p>
      <w:pPr>
        <w:pStyle w:val="BodyText"/>
        <w:spacing w:before="1"/>
        <w:rPr>
          <w:b/>
          <w:sz w:val="25"/>
        </w:rPr>
      </w:pPr>
      <w:r>
        <w:rPr/>
        <w:drawing>
          <wp:anchor distT="0" distB="0" distL="0" distR="0" allowOverlap="1" layoutInCell="1" locked="0" behindDoc="0" simplePos="0" relativeHeight="1216">
            <wp:simplePos x="0" y="0"/>
            <wp:positionH relativeFrom="page">
              <wp:posOffset>1201419</wp:posOffset>
            </wp:positionH>
            <wp:positionV relativeFrom="paragraph">
              <wp:posOffset>208381</wp:posOffset>
            </wp:positionV>
            <wp:extent cx="5502871" cy="5146262"/>
            <wp:effectExtent l="0" t="0" r="0" b="0"/>
            <wp:wrapTopAndBottom/>
            <wp:docPr id="5" name="image8.png" descr=""/>
            <wp:cNvGraphicFramePr>
              <a:graphicFrameLocks noChangeAspect="1"/>
            </wp:cNvGraphicFramePr>
            <a:graphic>
              <a:graphicData uri="http://schemas.openxmlformats.org/drawingml/2006/picture">
                <pic:pic>
                  <pic:nvPicPr>
                    <pic:cNvPr id="6" name="image8.png"/>
                    <pic:cNvPicPr/>
                  </pic:nvPicPr>
                  <pic:blipFill>
                    <a:blip r:embed="rId19" cstate="print"/>
                    <a:stretch>
                      <a:fillRect/>
                    </a:stretch>
                  </pic:blipFill>
                  <pic:spPr>
                    <a:xfrm>
                      <a:off x="0" y="0"/>
                      <a:ext cx="5502871" cy="5146262"/>
                    </a:xfrm>
                    <a:prstGeom prst="rect">
                      <a:avLst/>
                    </a:prstGeom>
                  </pic:spPr>
                </pic:pic>
              </a:graphicData>
            </a:graphic>
          </wp:anchor>
        </w:drawing>
      </w:r>
    </w:p>
    <w:p>
      <w:pPr>
        <w:spacing w:after="0"/>
        <w:rPr>
          <w:sz w:val="25"/>
        </w:rPr>
        <w:sectPr>
          <w:pgSz w:w="12240" w:h="15840"/>
          <w:pgMar w:header="733" w:footer="1039" w:top="1020" w:bottom="1220" w:left="1540" w:right="1500"/>
        </w:sectPr>
      </w:pPr>
    </w:p>
    <w:p>
      <w:pPr>
        <w:pStyle w:val="BodyText"/>
        <w:spacing w:before="9"/>
        <w:rPr>
          <w:b/>
          <w:sz w:val="17"/>
        </w:rPr>
      </w:pPr>
    </w:p>
    <w:p>
      <w:pPr>
        <w:spacing w:before="69"/>
        <w:ind w:left="2605" w:right="877" w:hanging="1412"/>
        <w:jc w:val="left"/>
        <w:rPr>
          <w:b/>
          <w:sz w:val="24"/>
        </w:rPr>
      </w:pPr>
      <w:r>
        <w:rPr>
          <w:b/>
          <w:sz w:val="24"/>
        </w:rPr>
        <w:t>EFFECT OF GSTM1, GSTT1 AND GSTP1 POLYMORPHISMS ON DENTAL CARIES FREQUENCY</w:t>
      </w:r>
    </w:p>
    <w:p>
      <w:pPr>
        <w:pStyle w:val="BodyText"/>
        <w:rPr>
          <w:b/>
        </w:rPr>
      </w:pPr>
    </w:p>
    <w:p>
      <w:pPr>
        <w:spacing w:line="260" w:lineRule="exact" w:before="0"/>
        <w:ind w:left="162" w:right="0" w:firstLine="0"/>
        <w:jc w:val="both"/>
        <w:rPr>
          <w:b/>
          <w:sz w:val="24"/>
        </w:rPr>
      </w:pPr>
      <w:r>
        <w:rPr>
          <w:b/>
          <w:sz w:val="24"/>
        </w:rPr>
        <w:t>Authors</w:t>
      </w:r>
    </w:p>
    <w:p>
      <w:pPr>
        <w:pStyle w:val="BodyText"/>
        <w:spacing w:line="295" w:lineRule="exact"/>
        <w:ind w:left="162"/>
        <w:jc w:val="both"/>
      </w:pPr>
      <w:r>
        <w:rPr>
          <w:position w:val="11"/>
          <w:sz w:val="16"/>
        </w:rPr>
        <w:t>1</w:t>
      </w:r>
      <w:r>
        <w:rPr/>
        <w:t>Mariana Gabriela Lecourtois Amézquita, </w:t>
      </w:r>
      <w:r>
        <w:rPr>
          <w:position w:val="11"/>
          <w:sz w:val="16"/>
        </w:rPr>
        <w:t>1</w:t>
      </w:r>
      <w:r>
        <w:rPr/>
        <w:t>Alberto Salgado Valdés, </w:t>
      </w:r>
      <w:r>
        <w:rPr>
          <w:position w:val="11"/>
          <w:sz w:val="16"/>
        </w:rPr>
        <w:t>2</w:t>
      </w:r>
      <w:r>
        <w:rPr/>
        <w:t>Julieta Castillo</w:t>
      </w:r>
    </w:p>
    <w:p>
      <w:pPr>
        <w:pStyle w:val="BodyText"/>
        <w:spacing w:before="8"/>
        <w:ind w:left="162"/>
        <w:jc w:val="both"/>
      </w:pPr>
      <w:r>
        <w:rPr/>
        <w:t>Cadena, </w:t>
      </w:r>
      <w:r>
        <w:rPr>
          <w:position w:val="11"/>
          <w:sz w:val="16"/>
        </w:rPr>
        <w:t>1</w:t>
      </w:r>
      <w:r>
        <w:rPr/>
        <w:t>Ángel Visoso Salgado</w:t>
      </w:r>
    </w:p>
    <w:p>
      <w:pPr>
        <w:pStyle w:val="BodyText"/>
        <w:spacing w:line="276" w:lineRule="auto" w:before="205"/>
        <w:ind w:left="162" w:right="803"/>
      </w:pPr>
      <w:r>
        <w:rPr>
          <w:position w:val="11"/>
          <w:sz w:val="16"/>
        </w:rPr>
        <w:t>1</w:t>
      </w:r>
      <w:r>
        <w:rPr/>
        <w:t>Faculty of Dentistry, </w:t>
      </w:r>
      <w:r>
        <w:rPr>
          <w:position w:val="11"/>
          <w:sz w:val="16"/>
        </w:rPr>
        <w:t>2</w:t>
      </w:r>
      <w:r>
        <w:rPr/>
        <w:t>Faculty of Quemistry, Autonomus University of State of Mexico, Toluca. México.</w:t>
      </w:r>
    </w:p>
    <w:p>
      <w:pPr>
        <w:pStyle w:val="BodyText"/>
        <w:spacing w:before="5"/>
      </w:pPr>
    </w:p>
    <w:p>
      <w:pPr>
        <w:pStyle w:val="Heading2"/>
      </w:pPr>
      <w:r>
        <w:rPr/>
        <w:t>SUMMARY</w:t>
      </w:r>
    </w:p>
    <w:p>
      <w:pPr>
        <w:pStyle w:val="BodyText"/>
        <w:rPr>
          <w:b/>
        </w:rPr>
      </w:pPr>
    </w:p>
    <w:p>
      <w:pPr>
        <w:pStyle w:val="BodyText"/>
        <w:spacing w:line="360" w:lineRule="auto" w:before="142"/>
        <w:ind w:left="162" w:right="178" w:firstLine="67"/>
        <w:jc w:val="both"/>
      </w:pPr>
      <w:r>
        <w:rPr/>
        <w:t>Objective: To identify the polymorphisms of glutathione S-transferase in growers occupationally exposed to pesticides and to know whether there is any association between these polymorphisms and the presence of dental caries. Methods: we conducted a comparative cross-sectional study, consisting of two groups of 80 subjects each, according to occupational exposure to pesticides as exposed (floriculturists) and unexposed to pesticides. The caries was diagnosed with the DIAGNOdent pen and GSTM1, GSTT1, GSTP1c, GSTP1b polymorphisms were genotyped using endpoint PCR procedure. Results: In the exposed group, the presence of GSTM1 (+/+) was associated with less frequency of dental caries (p = 0.01), as well as in the non-exposed group (p = 0.02). In the unexposed group, the presence of GSTT1 (+/+) was associated with less frequency of caries (p = 0.05). Likewise, in the exposed group an association was found between the presence of wild allele GSTP1c (a/a) with less cavities (p = 0.05) also in the non-exposed group (p = 0.04). Conclusions: This study demonstrates the role played by genetic polymorphisms of GST in susceptibility to caries and can be used as biomarkers of susceptibility to decay.</w:t>
      </w:r>
    </w:p>
    <w:p>
      <w:pPr>
        <w:spacing w:after="0" w:line="360" w:lineRule="auto"/>
        <w:jc w:val="both"/>
        <w:sectPr>
          <w:pgSz w:w="12240" w:h="15840"/>
          <w:pgMar w:header="733" w:footer="1039" w:top="1020" w:bottom="1220" w:left="1540" w:right="1520"/>
        </w:sectPr>
      </w:pPr>
    </w:p>
    <w:p>
      <w:pPr>
        <w:pStyle w:val="BodyText"/>
        <w:rPr>
          <w:sz w:val="18"/>
        </w:rPr>
      </w:pPr>
    </w:p>
    <w:p>
      <w:pPr>
        <w:pStyle w:val="Heading2"/>
        <w:spacing w:before="69"/>
      </w:pPr>
      <w:r>
        <w:rPr/>
        <w:t>INTRODUCTION</w:t>
      </w:r>
    </w:p>
    <w:p>
      <w:pPr>
        <w:pStyle w:val="BodyText"/>
        <w:rPr>
          <w:b/>
        </w:rPr>
      </w:pPr>
    </w:p>
    <w:p>
      <w:pPr>
        <w:pStyle w:val="BodyText"/>
        <w:spacing w:line="360" w:lineRule="auto" w:before="142"/>
        <w:ind w:left="162" w:right="179"/>
        <w:jc w:val="both"/>
      </w:pPr>
      <w:r>
        <w:rPr/>
        <w:t>Tooth decay is among the most prevalent disease affecting humans. The World Health Organization (WHO) states that decay affects between 60 and 90% of the population worldwide. It is a complex disease, and it is a multifactorial process, being a progressive condition, costly and causing psychological effects (1).</w:t>
      </w:r>
    </w:p>
    <w:p>
      <w:pPr>
        <w:pStyle w:val="BodyText"/>
        <w:spacing w:before="7"/>
      </w:pPr>
    </w:p>
    <w:p>
      <w:pPr>
        <w:pStyle w:val="BodyText"/>
        <w:spacing w:line="360" w:lineRule="auto"/>
        <w:ind w:left="162" w:right="176"/>
        <w:jc w:val="both"/>
      </w:pPr>
      <w:r>
        <w:rPr/>
        <w:t>The occurrence and progression of caries is influenced by both environmental factors and genetic factors, but it is common to focus attention on external factors that contribute to the presence of cavities, with comparatively little attention paid to the individual differences in disease susceptibility, which can be explained by genetic load (2, 3).</w:t>
      </w:r>
    </w:p>
    <w:p>
      <w:pPr>
        <w:pStyle w:val="BodyText"/>
        <w:spacing w:before="7"/>
      </w:pPr>
    </w:p>
    <w:p>
      <w:pPr>
        <w:pStyle w:val="BodyText"/>
        <w:spacing w:line="360" w:lineRule="auto"/>
        <w:ind w:left="162" w:right="180"/>
        <w:jc w:val="both"/>
      </w:pPr>
      <w:r>
        <w:rPr/>
        <w:t>Whereas the etiology of caries is multifactorial, it is know the contribution of several factors such as bacterial flora, tooth structure, dietary habits, oral hygiene, salivary flow and composition, however, the genetic factor has been understudied. The importance of genetic load is supported by twin studies, which estimate that 40 to 60% of the caries susceptibility is genetically determined. To date are few studies linking specific genes with dental caries. (4, 5, 6, 7, 8).</w:t>
      </w:r>
    </w:p>
    <w:p>
      <w:pPr>
        <w:pStyle w:val="BodyText"/>
        <w:spacing w:before="7"/>
      </w:pPr>
    </w:p>
    <w:p>
      <w:pPr>
        <w:pStyle w:val="BodyText"/>
        <w:spacing w:line="360" w:lineRule="auto"/>
        <w:ind w:left="162" w:right="175"/>
        <w:jc w:val="both"/>
      </w:pPr>
      <w:r>
        <w:rPr/>
        <w:t>With genetic load present, individuals are exposed daily to multiple disease risk factors, one of them are pesticides, which may have beneficial effects on society (prevention, control and destruction of pest, eradication vectors spreaders of diseases), but also have adverse effects such as damage to health (acute and persistent damage to the nervous system, respiratory and endocrine, teratogenic and carcinogenic, reproductive problems). The social groups in direct contact with these chemicals, such as floriculturists, have increased risk of adverse effects that have been associated with pesticides (10).</w:t>
      </w:r>
    </w:p>
    <w:p>
      <w:pPr>
        <w:pStyle w:val="BodyText"/>
        <w:spacing w:before="7"/>
      </w:pPr>
    </w:p>
    <w:p>
      <w:pPr>
        <w:pStyle w:val="BodyText"/>
        <w:spacing w:line="360" w:lineRule="auto"/>
        <w:ind w:left="162" w:right="186"/>
        <w:jc w:val="both"/>
      </w:pPr>
      <w:r>
        <w:rPr/>
        <w:t>However, human beings have individual defense mechanisms in the genome, so that each person's body can detoxify xenobiotics differentially. These defense mechanisms are genetic polymorphisms, of which depend on the response of the aggressors, in this case pesticides (11).</w:t>
      </w:r>
    </w:p>
    <w:p>
      <w:pPr>
        <w:spacing w:after="0" w:line="360" w:lineRule="auto"/>
        <w:jc w:val="both"/>
        <w:sectPr>
          <w:pgSz w:w="12240" w:h="15840"/>
          <w:pgMar w:header="733" w:footer="1039" w:top="1020" w:bottom="1220" w:left="1540" w:right="1520"/>
        </w:sectPr>
      </w:pPr>
    </w:p>
    <w:p>
      <w:pPr>
        <w:pStyle w:val="BodyText"/>
        <w:rPr>
          <w:sz w:val="20"/>
        </w:rPr>
      </w:pPr>
    </w:p>
    <w:p>
      <w:pPr>
        <w:pStyle w:val="BodyText"/>
        <w:rPr>
          <w:sz w:val="20"/>
        </w:rPr>
      </w:pPr>
    </w:p>
    <w:p>
      <w:pPr>
        <w:pStyle w:val="BodyText"/>
        <w:rPr>
          <w:sz w:val="20"/>
        </w:rPr>
      </w:pPr>
    </w:p>
    <w:p>
      <w:pPr>
        <w:pStyle w:val="BodyText"/>
        <w:spacing w:before="4"/>
        <w:rPr>
          <w:sz w:val="18"/>
        </w:rPr>
      </w:pPr>
    </w:p>
    <w:p>
      <w:pPr>
        <w:pStyle w:val="BodyText"/>
        <w:spacing w:line="360" w:lineRule="auto" w:before="69"/>
        <w:ind w:left="162" w:right="175"/>
        <w:jc w:val="both"/>
      </w:pPr>
      <w:r>
        <w:rPr/>
        <w:t>Polymorphisms consists in variations present among individuals of the same species, either at the genetic level or protein level, so we can explain much of the variation in individual susceptibility. Polymorphisms of the gene coding for the enzyme glutathione S-transferase represent the largest group of phase  II xenobiotic biotransformation and detoxification enzymes act as its ability to  catalyze the conjugation of glutathione with electrophilic compounds. Also, plays  an important role in the purification of free radicals, and thus protects the cell from the damaging effects of oxidative stress (11,</w:t>
      </w:r>
      <w:r>
        <w:rPr>
          <w:spacing w:val="-16"/>
        </w:rPr>
        <w:t> </w:t>
      </w:r>
      <w:r>
        <w:rPr/>
        <w:t>12).</w:t>
      </w:r>
    </w:p>
    <w:p>
      <w:pPr>
        <w:pStyle w:val="BodyText"/>
        <w:spacing w:before="7"/>
      </w:pPr>
    </w:p>
    <w:p>
      <w:pPr>
        <w:pStyle w:val="BodyText"/>
        <w:spacing w:line="360" w:lineRule="auto"/>
        <w:ind w:left="162" w:right="182"/>
        <w:jc w:val="both"/>
      </w:pPr>
      <w:r>
        <w:rPr/>
        <w:t>The presence of polymorphisms in genes coding for GSTs can alter their function, and the study of these can help the understanding of the risk of exposure to different xenobiotics at population and individual level (12).</w:t>
      </w:r>
    </w:p>
    <w:p>
      <w:pPr>
        <w:pStyle w:val="BodyText"/>
        <w:spacing w:before="7"/>
      </w:pPr>
    </w:p>
    <w:p>
      <w:pPr>
        <w:pStyle w:val="BodyText"/>
        <w:spacing w:line="360" w:lineRule="auto"/>
        <w:ind w:left="162" w:right="176"/>
        <w:jc w:val="both"/>
      </w:pPr>
      <w:r>
        <w:rPr/>
        <w:t>The family of isoenzymes of glutathione S-transferase is classified into eight classes: Alpha (α), Mu (μ), Pi (л), Kappa (K), Theta (Θ), Omega (Ω), Sigma (ε) and Zeta (Z). The Mu class isoenzyme acts in the detoxification of electrophilic compounds, such as pesticides currently considered as an evolutionary response of the cells to oxidative stress. The sequence of GSTM1 gene consists of five regions, M1, M2, M3, M4 and M5. M1 being far the most studied, which is located on chromosome 1, region p13.3 and it is formed by 8 exons, has a length of 4.2 kb. and is polymorphic since it has four allelic variants: A, B, C and 0 (null allele). Homozygotes GSTM1 null result in the absence of enzymatic activity (13,14,15,  16,</w:t>
      </w:r>
      <w:r>
        <w:rPr>
          <w:spacing w:val="-3"/>
        </w:rPr>
        <w:t> </w:t>
      </w:r>
      <w:r>
        <w:rPr/>
        <w:t>17).</w:t>
      </w:r>
    </w:p>
    <w:p>
      <w:pPr>
        <w:pStyle w:val="BodyText"/>
        <w:spacing w:before="7"/>
      </w:pPr>
    </w:p>
    <w:p>
      <w:pPr>
        <w:pStyle w:val="BodyText"/>
        <w:spacing w:line="360" w:lineRule="auto"/>
        <w:ind w:left="162" w:right="179"/>
        <w:jc w:val="both"/>
      </w:pPr>
      <w:r>
        <w:rPr/>
        <w:t>The GSTT1 sequence is located on chromosome 22, is polymorphic and has two variants, GSTT1 wild GSTT1 0 or null. This class participates in the detoxification  of pesticides and is considered as a factor in the development of skin cancer (16, 17).</w:t>
      </w:r>
    </w:p>
    <w:p>
      <w:pPr>
        <w:pStyle w:val="BodyText"/>
        <w:spacing w:before="7"/>
      </w:pPr>
    </w:p>
    <w:p>
      <w:pPr>
        <w:pStyle w:val="BodyText"/>
        <w:spacing w:line="360" w:lineRule="auto"/>
        <w:ind w:left="162" w:right="176"/>
        <w:jc w:val="both"/>
      </w:pPr>
      <w:r>
        <w:rPr/>
        <w:t>The GSTP1 polymorphism is located on chromosome 11 and has three allelic variants: GSTP1a, wild allele; GSTP1b located in exon 5 and is the result of a</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60" w:lineRule="auto" w:before="69"/>
        <w:ind w:left="162" w:right="186"/>
        <w:jc w:val="both"/>
      </w:pPr>
      <w:r>
        <w:rPr/>
        <w:t>mutation at codon 104, ATC (Ile) to GTC (Val) and a third variant GSTP1c which has the same mutation at codon 104 that GSTP1b, but has a second mutation located in exon 6, 113 codon GCG (Ala) to GTG (Val) (17, 18, 19, 20).</w:t>
      </w:r>
    </w:p>
    <w:p>
      <w:pPr>
        <w:pStyle w:val="BodyText"/>
        <w:spacing w:before="7"/>
      </w:pPr>
    </w:p>
    <w:p>
      <w:pPr>
        <w:pStyle w:val="BodyText"/>
        <w:spacing w:line="360" w:lineRule="auto"/>
        <w:ind w:left="162" w:right="180"/>
        <w:jc w:val="both"/>
      </w:pPr>
      <w:r>
        <w:rPr/>
        <w:t>But, beyond that already known that these isoenzymes detoxify the body of xenobiotics such as pesticides is also known that exposure to environmental pollutants is likely to have cavities, so the aim of this study focuses on identifying polymorphisms of glutathione S-transferase in growers occupationally exposed to pesticides and to know whether there is any association between these polymorphisms and the presence of dental caries.</w:t>
      </w:r>
    </w:p>
    <w:p>
      <w:pPr>
        <w:pStyle w:val="BodyText"/>
        <w:spacing w:before="7"/>
      </w:pPr>
    </w:p>
    <w:p>
      <w:pPr>
        <w:pStyle w:val="Heading2"/>
      </w:pPr>
      <w:r>
        <w:rPr/>
        <w:t>MATERIALS AND METHODS</w:t>
      </w:r>
    </w:p>
    <w:p>
      <w:pPr>
        <w:pStyle w:val="BodyText"/>
        <w:rPr>
          <w:b/>
        </w:rPr>
      </w:pPr>
    </w:p>
    <w:p>
      <w:pPr>
        <w:spacing w:before="141"/>
        <w:ind w:left="162" w:right="0" w:firstLine="0"/>
        <w:jc w:val="both"/>
        <w:rPr>
          <w:b/>
          <w:sz w:val="24"/>
        </w:rPr>
      </w:pPr>
      <w:r>
        <w:rPr>
          <w:b/>
          <w:sz w:val="24"/>
        </w:rPr>
        <w:t>Selection of individuals</w:t>
      </w:r>
    </w:p>
    <w:p>
      <w:pPr>
        <w:pStyle w:val="BodyText"/>
        <w:rPr>
          <w:b/>
        </w:rPr>
      </w:pPr>
    </w:p>
    <w:p>
      <w:pPr>
        <w:pStyle w:val="BodyText"/>
        <w:spacing w:line="360" w:lineRule="auto" w:before="141"/>
        <w:ind w:left="162" w:right="179"/>
        <w:jc w:val="both"/>
      </w:pPr>
      <w:r>
        <w:rPr/>
        <w:t>We performed a comparative cross-sectional study, consisting of two groups of 80 subjects each: 1)Group occupationally exposed to pesticides and 2)Group occupationally unexposed to pesticides.</w:t>
      </w:r>
    </w:p>
    <w:p>
      <w:pPr>
        <w:pStyle w:val="BodyText"/>
        <w:spacing w:before="8"/>
      </w:pPr>
    </w:p>
    <w:p>
      <w:pPr>
        <w:pStyle w:val="BodyText"/>
        <w:ind w:left="162"/>
        <w:jc w:val="both"/>
      </w:pPr>
      <w:r>
        <w:rPr/>
        <w:t>The criteria for inclusion in the study were:</w:t>
      </w:r>
    </w:p>
    <w:p>
      <w:pPr>
        <w:pStyle w:val="BodyText"/>
      </w:pPr>
    </w:p>
    <w:p>
      <w:pPr>
        <w:pStyle w:val="ListParagraph"/>
        <w:numPr>
          <w:ilvl w:val="3"/>
          <w:numId w:val="28"/>
        </w:numPr>
        <w:tabs>
          <w:tab w:pos="881" w:val="left" w:leader="none"/>
          <w:tab w:pos="882" w:val="left" w:leader="none"/>
        </w:tabs>
        <w:spacing w:line="350" w:lineRule="auto" w:before="144" w:after="0"/>
        <w:ind w:left="882" w:right="185" w:hanging="360"/>
        <w:jc w:val="left"/>
        <w:rPr>
          <w:sz w:val="24"/>
        </w:rPr>
      </w:pPr>
      <w:r>
        <w:rPr>
          <w:sz w:val="24"/>
        </w:rPr>
        <w:t>Men and women who work in greenhouses and were exposed to pesticides in Villa Guerrero,</w:t>
      </w:r>
      <w:r>
        <w:rPr>
          <w:spacing w:val="-8"/>
          <w:sz w:val="24"/>
        </w:rPr>
        <w:t> </w:t>
      </w:r>
      <w:r>
        <w:rPr>
          <w:sz w:val="24"/>
        </w:rPr>
        <w:t>Mexico</w:t>
      </w:r>
    </w:p>
    <w:p>
      <w:pPr>
        <w:pStyle w:val="ListParagraph"/>
        <w:numPr>
          <w:ilvl w:val="3"/>
          <w:numId w:val="28"/>
        </w:numPr>
        <w:tabs>
          <w:tab w:pos="882" w:val="left" w:leader="none"/>
        </w:tabs>
        <w:spacing w:line="348" w:lineRule="auto" w:before="29" w:after="0"/>
        <w:ind w:left="882" w:right="185" w:hanging="360"/>
        <w:jc w:val="both"/>
        <w:rPr>
          <w:sz w:val="24"/>
        </w:rPr>
      </w:pPr>
      <w:r>
        <w:rPr>
          <w:position w:val="2"/>
          <w:sz w:val="24"/>
        </w:rPr>
        <w:t>Men and women who were not occupationally exposed to pesticides, </w:t>
      </w:r>
      <w:r>
        <w:rPr>
          <w:sz w:val="24"/>
        </w:rPr>
        <w:t>attending the Adolfo Lopez Mateos Hospital to donate blood at the state blood bank and living in the city of Toluca and Metepec,</w:t>
      </w:r>
      <w:r>
        <w:rPr>
          <w:spacing w:val="-24"/>
          <w:sz w:val="24"/>
        </w:rPr>
        <w:t> </w:t>
      </w:r>
      <w:r>
        <w:rPr>
          <w:sz w:val="24"/>
        </w:rPr>
        <w:t>Mexico.</w:t>
      </w:r>
    </w:p>
    <w:p>
      <w:pPr>
        <w:pStyle w:val="ListParagraph"/>
        <w:numPr>
          <w:ilvl w:val="3"/>
          <w:numId w:val="28"/>
        </w:numPr>
        <w:tabs>
          <w:tab w:pos="881" w:val="left" w:leader="none"/>
          <w:tab w:pos="882" w:val="left" w:leader="none"/>
        </w:tabs>
        <w:spacing w:line="240" w:lineRule="auto" w:before="34" w:after="0"/>
        <w:ind w:left="882" w:right="0" w:hanging="360"/>
        <w:jc w:val="left"/>
        <w:rPr>
          <w:sz w:val="24"/>
        </w:rPr>
      </w:pPr>
      <w:r>
        <w:rPr>
          <w:position w:val="2"/>
          <w:sz w:val="24"/>
        </w:rPr>
        <w:t>Over 18 years</w:t>
      </w:r>
      <w:r>
        <w:rPr>
          <w:spacing w:val="-4"/>
          <w:position w:val="2"/>
          <w:sz w:val="24"/>
        </w:rPr>
        <w:t> </w:t>
      </w:r>
      <w:r>
        <w:rPr>
          <w:position w:val="2"/>
          <w:sz w:val="24"/>
        </w:rPr>
        <w:t>old</w:t>
      </w:r>
    </w:p>
    <w:p>
      <w:pPr>
        <w:pStyle w:val="ListParagraph"/>
        <w:numPr>
          <w:ilvl w:val="3"/>
          <w:numId w:val="28"/>
        </w:numPr>
        <w:tabs>
          <w:tab w:pos="881" w:val="left" w:leader="none"/>
          <w:tab w:pos="882" w:val="left" w:leader="none"/>
        </w:tabs>
        <w:spacing w:line="566" w:lineRule="auto" w:before="130" w:after="0"/>
        <w:ind w:left="162" w:right="5040" w:firstLine="360"/>
        <w:jc w:val="left"/>
        <w:rPr>
          <w:sz w:val="24"/>
        </w:rPr>
      </w:pPr>
      <w:r>
        <w:rPr>
          <w:position w:val="2"/>
          <w:sz w:val="24"/>
        </w:rPr>
        <w:t>Signed informed consent letter </w:t>
      </w:r>
      <w:r>
        <w:rPr>
          <w:sz w:val="24"/>
        </w:rPr>
        <w:t>The exclusion criteria</w:t>
      </w:r>
      <w:r>
        <w:rPr>
          <w:spacing w:val="-11"/>
          <w:sz w:val="24"/>
        </w:rPr>
        <w:t> </w:t>
      </w:r>
      <w:r>
        <w:rPr>
          <w:sz w:val="24"/>
        </w:rPr>
        <w:t>were:</w:t>
      </w:r>
    </w:p>
    <w:p>
      <w:pPr>
        <w:pStyle w:val="ListParagraph"/>
        <w:numPr>
          <w:ilvl w:val="3"/>
          <w:numId w:val="28"/>
        </w:numPr>
        <w:tabs>
          <w:tab w:pos="881" w:val="left" w:leader="none"/>
          <w:tab w:pos="882" w:val="left" w:leader="none"/>
        </w:tabs>
        <w:spacing w:line="240" w:lineRule="auto" w:before="69" w:after="0"/>
        <w:ind w:left="882" w:right="0" w:hanging="360"/>
        <w:jc w:val="left"/>
        <w:rPr>
          <w:sz w:val="24"/>
        </w:rPr>
      </w:pPr>
      <w:r>
        <w:rPr>
          <w:position w:val="2"/>
          <w:sz w:val="24"/>
        </w:rPr>
        <w:t>Under 18 years</w:t>
      </w:r>
      <w:r>
        <w:rPr>
          <w:spacing w:val="-4"/>
          <w:position w:val="2"/>
          <w:sz w:val="24"/>
        </w:rPr>
        <w:t> </w:t>
      </w:r>
      <w:r>
        <w:rPr>
          <w:position w:val="2"/>
          <w:sz w:val="24"/>
        </w:rPr>
        <w:t>old</w:t>
      </w:r>
    </w:p>
    <w:p>
      <w:pPr>
        <w:pStyle w:val="ListParagraph"/>
        <w:numPr>
          <w:ilvl w:val="3"/>
          <w:numId w:val="28"/>
        </w:numPr>
        <w:tabs>
          <w:tab w:pos="881" w:val="left" w:leader="none"/>
          <w:tab w:pos="882" w:val="left" w:leader="none"/>
        </w:tabs>
        <w:spacing w:line="240" w:lineRule="auto" w:before="131" w:after="0"/>
        <w:ind w:left="882" w:right="0" w:hanging="360"/>
        <w:jc w:val="left"/>
        <w:rPr>
          <w:sz w:val="24"/>
        </w:rPr>
      </w:pPr>
      <w:r>
        <w:rPr>
          <w:position w:val="2"/>
          <w:sz w:val="24"/>
        </w:rPr>
        <w:t>Pregnant</w:t>
      </w:r>
    </w:p>
    <w:p>
      <w:pPr>
        <w:spacing w:after="0" w:line="240" w:lineRule="auto"/>
        <w:jc w:val="left"/>
        <w:rPr>
          <w:sz w:val="24"/>
        </w:rPr>
        <w:sectPr>
          <w:pgSz w:w="12240" w:h="15840"/>
          <w:pgMar w:header="733" w:footer="1039" w:top="1020" w:bottom="1220" w:left="1540" w:right="1520"/>
        </w:sectPr>
      </w:pPr>
    </w:p>
    <w:p>
      <w:pPr>
        <w:pStyle w:val="BodyText"/>
        <w:spacing w:before="5"/>
        <w:rPr>
          <w:sz w:val="19"/>
        </w:rPr>
      </w:pPr>
    </w:p>
    <w:p>
      <w:pPr>
        <w:pStyle w:val="ListParagraph"/>
        <w:numPr>
          <w:ilvl w:val="3"/>
          <w:numId w:val="28"/>
        </w:numPr>
        <w:tabs>
          <w:tab w:pos="882" w:val="left" w:leader="none"/>
        </w:tabs>
        <w:spacing w:line="348" w:lineRule="auto" w:before="69" w:after="0"/>
        <w:ind w:left="882" w:right="183" w:hanging="360"/>
        <w:jc w:val="both"/>
        <w:rPr>
          <w:sz w:val="24"/>
        </w:rPr>
      </w:pPr>
      <w:r>
        <w:rPr>
          <w:position w:val="2"/>
          <w:sz w:val="24"/>
        </w:rPr>
        <w:t>People with chronic diseases that increase the risk of tooth decay by </w:t>
      </w:r>
      <w:r>
        <w:rPr>
          <w:sz w:val="24"/>
        </w:rPr>
        <w:t>themselves or by treatment (diabetes, cardiovascular disease, cancer, kidney disease,</w:t>
      </w:r>
      <w:r>
        <w:rPr>
          <w:spacing w:val="-11"/>
          <w:sz w:val="24"/>
        </w:rPr>
        <w:t> </w:t>
      </w:r>
      <w:r>
        <w:rPr>
          <w:sz w:val="24"/>
        </w:rPr>
        <w:t>epilepsy)</w:t>
      </w:r>
    </w:p>
    <w:p>
      <w:pPr>
        <w:pStyle w:val="ListParagraph"/>
        <w:numPr>
          <w:ilvl w:val="3"/>
          <w:numId w:val="28"/>
        </w:numPr>
        <w:tabs>
          <w:tab w:pos="881" w:val="left" w:leader="none"/>
          <w:tab w:pos="882" w:val="left" w:leader="none"/>
        </w:tabs>
        <w:spacing w:line="240" w:lineRule="auto" w:before="32" w:after="0"/>
        <w:ind w:left="882" w:right="0" w:hanging="360"/>
        <w:jc w:val="left"/>
        <w:rPr>
          <w:sz w:val="24"/>
        </w:rPr>
      </w:pPr>
      <w:r>
        <w:rPr>
          <w:position w:val="2"/>
          <w:sz w:val="24"/>
        </w:rPr>
        <w:t>Not agree to participate in the</w:t>
      </w:r>
      <w:r>
        <w:rPr>
          <w:spacing w:val="-11"/>
          <w:position w:val="2"/>
          <w:sz w:val="24"/>
        </w:rPr>
        <w:t> </w:t>
      </w:r>
      <w:r>
        <w:rPr>
          <w:position w:val="2"/>
          <w:sz w:val="24"/>
        </w:rPr>
        <w:t>study</w:t>
      </w:r>
    </w:p>
    <w:p>
      <w:pPr>
        <w:pStyle w:val="BodyText"/>
        <w:spacing w:before="5"/>
        <w:rPr>
          <w:sz w:val="34"/>
        </w:rPr>
      </w:pPr>
    </w:p>
    <w:p>
      <w:pPr>
        <w:pStyle w:val="Heading2"/>
      </w:pPr>
      <w:r>
        <w:rPr/>
        <w:t>Application of a questionnaire</w:t>
      </w:r>
    </w:p>
    <w:p>
      <w:pPr>
        <w:pStyle w:val="BodyText"/>
        <w:spacing w:line="360" w:lineRule="auto" w:before="139"/>
        <w:ind w:left="162" w:right="182"/>
        <w:jc w:val="both"/>
      </w:pPr>
      <w:r>
        <w:rPr/>
        <w:t>In the exposed group, the approach was performed directly in greenhouses and in the unexposed group was invited to involve people who were not occupationally exposed to pesticides. Those who accepted were given a questionnaire about oral hygiene habits, intake of cariogenic diet or not, and exposure to pesticides or not.</w:t>
      </w:r>
    </w:p>
    <w:p>
      <w:pPr>
        <w:pStyle w:val="BodyText"/>
      </w:pPr>
    </w:p>
    <w:p>
      <w:pPr>
        <w:pStyle w:val="Heading2"/>
        <w:spacing w:before="142"/>
      </w:pPr>
      <w:r>
        <w:rPr/>
        <w:t>Diagnosis of dental caries</w:t>
      </w:r>
    </w:p>
    <w:p>
      <w:pPr>
        <w:pStyle w:val="BodyText"/>
        <w:spacing w:line="360" w:lineRule="auto" w:before="139"/>
        <w:ind w:left="162" w:right="182"/>
        <w:jc w:val="both"/>
      </w:pPr>
      <w:r>
        <w:rPr/>
        <w:t>The oral cavity was revised to everyone who participated in the study, and later  with the support of System DIAGNOdent pen demineralization was measured and then make the diagnosis of</w:t>
      </w:r>
      <w:r>
        <w:rPr>
          <w:spacing w:val="-11"/>
        </w:rPr>
        <w:t> </w:t>
      </w:r>
      <w:r>
        <w:rPr/>
        <w:t>caries.</w:t>
      </w:r>
    </w:p>
    <w:p>
      <w:pPr>
        <w:pStyle w:val="BodyText"/>
      </w:pPr>
    </w:p>
    <w:p>
      <w:pPr>
        <w:pStyle w:val="Heading2"/>
        <w:spacing w:before="142"/>
      </w:pPr>
      <w:r>
        <w:rPr/>
        <w:t>Extraction of DNA</w:t>
      </w:r>
    </w:p>
    <w:p>
      <w:pPr>
        <w:pStyle w:val="BodyText"/>
        <w:spacing w:line="360" w:lineRule="auto" w:before="137"/>
        <w:ind w:left="162" w:right="176"/>
        <w:jc w:val="both"/>
      </w:pPr>
      <w:r>
        <w:rPr/>
        <w:t>First, the 160 individuals who participated in the study (two groups) were sampled from peripheral blood (5mL), which was placed in heparinized vacutainer tubes for subsequently performing genotyping.</w:t>
      </w:r>
    </w:p>
    <w:p>
      <w:pPr>
        <w:pStyle w:val="BodyText"/>
        <w:spacing w:before="10"/>
      </w:pPr>
    </w:p>
    <w:p>
      <w:pPr>
        <w:pStyle w:val="BodyText"/>
        <w:spacing w:line="360" w:lineRule="auto"/>
        <w:ind w:left="162" w:right="185"/>
        <w:jc w:val="both"/>
      </w:pPr>
      <w:r>
        <w:rPr/>
        <w:t>The samples were transported in a container with ice to the Laboratory of  Genetics, Faculty of Chemistry, Autonomous University of the State of Mexico, and keep refrigerated at a temperature of 4-6 °C until</w:t>
      </w:r>
      <w:r>
        <w:rPr>
          <w:spacing w:val="-18"/>
        </w:rPr>
        <w:t> </w:t>
      </w:r>
      <w:r>
        <w:rPr/>
        <w:t>processing.</w:t>
      </w:r>
    </w:p>
    <w:p>
      <w:pPr>
        <w:pStyle w:val="BodyText"/>
        <w:spacing w:before="7"/>
      </w:pPr>
    </w:p>
    <w:p>
      <w:pPr>
        <w:pStyle w:val="BodyText"/>
        <w:spacing w:line="360" w:lineRule="auto"/>
        <w:ind w:left="162" w:right="179"/>
        <w:jc w:val="both"/>
      </w:pPr>
      <w:r>
        <w:rPr/>
        <w:t>Extraction was performed by taking 100μL of DNA from blood using the kit for purification of genomic DNA (Wizard, Promega). The procedure was performed according to the manufacturer's instructions by the column method.</w:t>
      </w:r>
    </w:p>
    <w:p>
      <w:pPr>
        <w:pStyle w:val="BodyText"/>
        <w:spacing w:before="10"/>
      </w:pPr>
    </w:p>
    <w:p>
      <w:pPr>
        <w:pStyle w:val="BodyText"/>
        <w:spacing w:line="360" w:lineRule="auto"/>
        <w:ind w:left="162" w:right="176"/>
        <w:jc w:val="both"/>
      </w:pPr>
      <w:r>
        <w:rPr/>
        <w:t>The effectiveness of the extraction of DNA was verified, by gel electrophoresis (1% agarose), 8μL of the sample were mixed with 1mL of loading buffer Orange (Promega), letting it run for 30 minutes at 100V/35A.</w:t>
      </w:r>
    </w:p>
    <w:p>
      <w:pPr>
        <w:spacing w:after="0" w:line="360" w:lineRule="auto"/>
        <w:jc w:val="both"/>
        <w:sectPr>
          <w:pgSz w:w="12240" w:h="15840"/>
          <w:pgMar w:header="733" w:footer="1039" w:top="1020" w:bottom="1220" w:left="1540" w:right="1520"/>
        </w:sectPr>
      </w:pPr>
    </w:p>
    <w:p>
      <w:pPr>
        <w:pStyle w:val="BodyText"/>
        <w:rPr>
          <w:sz w:val="18"/>
        </w:rPr>
      </w:pPr>
    </w:p>
    <w:p>
      <w:pPr>
        <w:pStyle w:val="Heading2"/>
        <w:spacing w:before="69"/>
      </w:pPr>
      <w:r>
        <w:rPr/>
        <w:t>GENOTYPING</w:t>
      </w:r>
    </w:p>
    <w:p>
      <w:pPr>
        <w:spacing w:before="139"/>
        <w:ind w:left="162" w:right="0" w:firstLine="0"/>
        <w:jc w:val="both"/>
        <w:rPr>
          <w:b/>
          <w:sz w:val="24"/>
        </w:rPr>
      </w:pPr>
      <w:r>
        <w:rPr>
          <w:b/>
          <w:sz w:val="24"/>
        </w:rPr>
        <w:t>Genotyping of GSTM1 and GSTT1</w:t>
      </w:r>
    </w:p>
    <w:p>
      <w:pPr>
        <w:pStyle w:val="BodyText"/>
        <w:tabs>
          <w:tab w:pos="5742" w:val="left" w:leader="none"/>
          <w:tab w:pos="7242" w:val="left" w:leader="none"/>
          <w:tab w:pos="8919" w:val="left" w:leader="none"/>
        </w:tabs>
        <w:spacing w:line="360" w:lineRule="auto" w:before="137"/>
        <w:ind w:left="162" w:right="175"/>
        <w:jc w:val="both"/>
      </w:pPr>
      <w:r>
        <w:rPr/>
        <w:t>Was performed Chain Reaction (PCR) for multiple total volume of 25μL, to detect and GSTM1 polymorphism CYP1A1 gene and used as a positive control in another multiplex PCR GSTT1 with CYP1A1 was detected for both Reactions were conducted using the same conditions. The reaction contained 11.9μL deionized H2O, 5.0μL of Buffer Green, 1.5μL of magnesium chloride MgCl</w:t>
      </w:r>
      <w:r>
        <w:rPr>
          <w:position w:val="-2"/>
          <w:sz w:val="16"/>
        </w:rPr>
        <w:t>2</w:t>
      </w:r>
      <w:r>
        <w:rPr/>
        <w:t>, 1.5μL deoxyribonucleotide triphosphates (dNTPs), 1.0μL CYPA1f control gene (5'TCCTTCAACCCAGACCGTTTCCTCA3'),</w:t>
        <w:tab/>
        <w:t>1.0μL</w:t>
        <w:tab/>
        <w:t>CYPA1</w:t>
        <w:tab/>
        <w:t>r (5'CCGCTTTCCCAAGCCAAAAACCATC3'), 1.0μL GSTM1 f(5'GAA CCT CTC GAA AAG CTA AAG C 3'), 1.0μL GSTM1 r(5'GTT GGG CTC AAA TAT ACG GTG G 3‟), 1.0μL GSTT1  f(5'CCT TTC CAC CTT GGT ACT ATC TC3'), 1.0 μL GSTT1</w:t>
      </w:r>
      <w:r>
        <w:rPr>
          <w:spacing w:val="-17"/>
        </w:rPr>
        <w:t> </w:t>
      </w:r>
      <w:r>
        <w:rPr/>
        <w:t>r</w:t>
      </w:r>
    </w:p>
    <w:p>
      <w:pPr>
        <w:pStyle w:val="BodyText"/>
        <w:spacing w:line="360" w:lineRule="auto" w:before="2"/>
        <w:ind w:left="162" w:right="180"/>
        <w:jc w:val="both"/>
      </w:pPr>
      <w:r>
        <w:rPr/>
        <w:t>(5'TCA CAG GGC CAT GAT CCG CA-3'), 0.1μL Taq polymerase (Promega), and 2.0μL of DNA tempered. Subsequently, a endpoint thermal  cycler  was programmed (Techne TC-512) for 35 cycles: desnaturation for 2 min at 94 ° C, alignment for 2 min at 62 ° C for 1 min and elongation at 72 ° C, and an extension 10 minutes at 72 ° C to terminate the process.</w:t>
      </w:r>
    </w:p>
    <w:p>
      <w:pPr>
        <w:pStyle w:val="BodyText"/>
        <w:spacing w:before="10"/>
      </w:pPr>
    </w:p>
    <w:p>
      <w:pPr>
        <w:pStyle w:val="BodyText"/>
        <w:spacing w:line="360" w:lineRule="auto"/>
        <w:ind w:left="162" w:right="174"/>
        <w:jc w:val="both"/>
      </w:pPr>
      <w:r>
        <w:rPr/>
        <w:t>Then the samples were electrophoresed in 2% agarose gel, with a molecular weight marker of 100 base pairs (bp) for the identification of polymorphisms. The gel was stained with ethidium bromide solution at 1% for 15 minutes. Control was taken as the presence of the CYP1A1 gene with a 312 bp band, the presence of GSTM1 and GSTT1 polymorphisms corresponding to a band of 215 bp and 315 bp respectively (Fig.</w:t>
      </w:r>
      <w:r>
        <w:rPr>
          <w:spacing w:val="-8"/>
        </w:rPr>
        <w:t> </w:t>
      </w:r>
      <w:r>
        <w:rPr/>
        <w:t>1).</w:t>
      </w:r>
    </w:p>
    <w:p>
      <w:pPr>
        <w:pStyle w:val="BodyText"/>
        <w:spacing w:before="7"/>
      </w:pPr>
    </w:p>
    <w:p>
      <w:pPr>
        <w:pStyle w:val="Heading2"/>
      </w:pPr>
      <w:r>
        <w:rPr/>
        <w:t>Genotyping of GSTP1</w:t>
      </w:r>
    </w:p>
    <w:p>
      <w:pPr>
        <w:pStyle w:val="BodyText"/>
        <w:rPr>
          <w:b/>
        </w:rPr>
      </w:pPr>
    </w:p>
    <w:p>
      <w:pPr>
        <w:pStyle w:val="BodyText"/>
        <w:spacing w:line="360" w:lineRule="auto" w:before="142"/>
        <w:ind w:left="162" w:right="176"/>
        <w:jc w:val="both"/>
      </w:pPr>
      <w:r>
        <w:rPr/>
        <w:t>The GSTP1b and GSTP1c polymorphisms are located in exon 5 and exon 6 respectively, which is performed by amplification of the two regions separately, to the end point PCR, and using two pairs of primers, for each gene itself. Amplification was performed using the same conditions and separately amplifying each gene but in the same run.</w:t>
      </w:r>
    </w:p>
    <w:p>
      <w:pPr>
        <w:spacing w:after="0" w:line="360" w:lineRule="auto"/>
        <w:jc w:val="both"/>
        <w:sectPr>
          <w:pgSz w:w="12240" w:h="15840"/>
          <w:pgMar w:header="733" w:footer="1039" w:top="1020" w:bottom="1220" w:left="1540" w:right="1520"/>
        </w:sectPr>
      </w:pPr>
    </w:p>
    <w:p>
      <w:pPr>
        <w:pStyle w:val="BodyText"/>
        <w:rPr>
          <w:sz w:val="18"/>
        </w:rPr>
      </w:pPr>
    </w:p>
    <w:p>
      <w:pPr>
        <w:pStyle w:val="BodyText"/>
        <w:tabs>
          <w:tab w:pos="4998" w:val="left" w:leader="none"/>
          <w:tab w:pos="5031" w:val="left" w:leader="none"/>
          <w:tab w:pos="5362" w:val="left" w:leader="none"/>
          <w:tab w:pos="6633" w:val="left" w:leader="none"/>
          <w:tab w:pos="6685" w:val="left" w:leader="none"/>
          <w:tab w:pos="6822" w:val="left" w:leader="none"/>
          <w:tab w:pos="8581" w:val="left" w:leader="none"/>
          <w:tab w:pos="8641" w:val="left" w:leader="none"/>
        </w:tabs>
        <w:spacing w:line="360" w:lineRule="auto" w:before="69"/>
        <w:ind w:left="162" w:right="172"/>
        <w:jc w:val="both"/>
      </w:pPr>
      <w:r>
        <w:rPr/>
        <w:t>For amplification of exon five is waited an amplicon of 176 bp, while for exon six an amplicon of 332 bp. The reaction mixture for PCR amplification contained a final volume of 25μL. The reaction mixture contained 13.9μL deionized H2O, 1μL  Buffer, 1.5μL of MgCl2, 0.5μL dNTPs, 1.0μL GSTP1b f(5'- ACCCCAGGGCTCTATGGGAA-3'),</w:t>
        <w:tab/>
        <w:t>1.0μL</w:t>
        <w:tab/>
        <w:t>GSTP1b</w:t>
        <w:tab/>
        <w:t>r(5'- TGAGGGCACAAGAAGCCCCT-3'),</w:t>
        <w:tab/>
        <w:tab/>
        <w:t>1.0μL</w:t>
        <w:tab/>
        <w:tab/>
        <w:t>GSTP1c</w:t>
        <w:tab/>
        <w:tab/>
        <w:t>f(5- 'TGGCAGCTGAAGTGGACAGGATT-3'),</w:t>
        <w:tab/>
        <w:tab/>
        <w:tab/>
        <w:t>1.0μL</w:t>
        <w:tab/>
        <w:tab/>
        <w:tab/>
        <w:t>GSTP1c</w:t>
        <w:tab/>
        <w:t>r(5'-</w:t>
      </w:r>
    </w:p>
    <w:p>
      <w:pPr>
        <w:pStyle w:val="BodyText"/>
        <w:spacing w:line="360" w:lineRule="auto" w:before="5"/>
        <w:ind w:left="162" w:right="180"/>
        <w:jc w:val="both"/>
      </w:pPr>
      <w:r>
        <w:rPr/>
        <w:t>ATGGCTCACACCTGTGTCCATCT-3'), 0.1 μL Taq polymerase (Promega) and 2.0 μL of DNA. The endpoint thermocycler (Techne TC-512) was programmed for 35 cycles: denaturation for 2 min at 94 ° C, alignment for 2 min at 62 ° C for 1 min and elongation at 72 ° C, and an extension of 10 minutes at 72 ° C to terminate the process.</w:t>
      </w:r>
    </w:p>
    <w:p>
      <w:pPr>
        <w:pStyle w:val="BodyText"/>
        <w:spacing w:before="7"/>
      </w:pPr>
    </w:p>
    <w:p>
      <w:pPr>
        <w:pStyle w:val="BodyText"/>
        <w:spacing w:line="360" w:lineRule="auto"/>
        <w:ind w:left="162" w:right="183"/>
        <w:jc w:val="both"/>
      </w:pPr>
      <w:r>
        <w:rPr/>
        <w:t>The PCR products were checked by electrophoresis on 2% agarose gel for 60 minutes at 100V/35A, with a molecular weight marker 100 bp for the identification of genes. The gel was stained with ethidium bromide solution at 1% for 15 minutes. Gels were then visualized on a transiluminator under UV light and photographed. A 176 bp band corresponded to GSTP1b gene and a 332 bp gene corresponded to GSTP1c.</w:t>
      </w:r>
    </w:p>
    <w:p>
      <w:pPr>
        <w:pStyle w:val="BodyText"/>
        <w:spacing w:before="7"/>
      </w:pPr>
    </w:p>
    <w:p>
      <w:pPr>
        <w:pStyle w:val="BodyText"/>
        <w:spacing w:line="360" w:lineRule="auto"/>
        <w:ind w:left="162" w:right="184"/>
        <w:jc w:val="both"/>
      </w:pPr>
      <w:r>
        <w:rPr/>
        <w:t>For the detection of GSTP1c and GSTP1b polymorphisms, respective digestions were performed, where the total of the reactive mixture of the enzymatic digestions was placed in a sterile tube placed on ice, using 10.0 μL of the PCR products.</w:t>
      </w:r>
    </w:p>
    <w:p>
      <w:pPr>
        <w:pStyle w:val="BodyText"/>
        <w:spacing w:before="10"/>
      </w:pPr>
    </w:p>
    <w:p>
      <w:pPr>
        <w:pStyle w:val="BodyText"/>
        <w:ind w:left="162"/>
        <w:jc w:val="both"/>
      </w:pPr>
      <w:r>
        <w:rPr/>
        <w:t>Description of the restriction enzymes:</w:t>
      </w:r>
    </w:p>
    <w:p>
      <w:pPr>
        <w:pStyle w:val="BodyText"/>
      </w:pPr>
    </w:p>
    <w:p>
      <w:pPr>
        <w:pStyle w:val="ListParagraph"/>
        <w:numPr>
          <w:ilvl w:val="3"/>
          <w:numId w:val="28"/>
        </w:numPr>
        <w:tabs>
          <w:tab w:pos="881" w:val="left" w:leader="none"/>
          <w:tab w:pos="882" w:val="left" w:leader="none"/>
        </w:tabs>
        <w:spacing w:line="350" w:lineRule="auto" w:before="143" w:after="0"/>
        <w:ind w:left="870" w:right="2855" w:hanging="348"/>
        <w:jc w:val="left"/>
        <w:rPr>
          <w:sz w:val="24"/>
        </w:rPr>
      </w:pPr>
      <w:r>
        <w:rPr>
          <w:sz w:val="24"/>
        </w:rPr>
        <w:t>BsmAI enzyme polymorphisms to identify</w:t>
      </w:r>
      <w:r>
        <w:rPr>
          <w:spacing w:val="-19"/>
          <w:sz w:val="24"/>
        </w:rPr>
        <w:t> </w:t>
      </w:r>
      <w:r>
        <w:rPr>
          <w:sz w:val="24"/>
        </w:rPr>
        <w:t>GSTP1b: Recognition</w:t>
      </w:r>
      <w:r>
        <w:rPr>
          <w:spacing w:val="-2"/>
          <w:sz w:val="24"/>
        </w:rPr>
        <w:t> </w:t>
      </w:r>
      <w:r>
        <w:rPr>
          <w:sz w:val="24"/>
        </w:rPr>
        <w:t>site:</w:t>
      </w:r>
    </w:p>
    <w:p>
      <w:pPr>
        <w:pStyle w:val="BodyText"/>
        <w:spacing w:before="13"/>
        <w:ind w:left="870" w:right="126"/>
      </w:pPr>
      <w:r>
        <w:rPr/>
        <w:t>5 '... G T C T C (N) 1 ^ ... 3'</w:t>
      </w:r>
    </w:p>
    <w:p>
      <w:pPr>
        <w:pStyle w:val="BodyText"/>
        <w:spacing w:before="139"/>
        <w:ind w:left="870" w:right="126"/>
      </w:pPr>
      <w:r>
        <w:rPr/>
        <w:t>3 '... C A G A G (N) 5 ^ ... 5'</w:t>
      </w:r>
    </w:p>
    <w:p>
      <w:pPr>
        <w:pStyle w:val="BodyText"/>
        <w:spacing w:before="137"/>
        <w:ind w:left="870" w:right="126"/>
      </w:pPr>
      <w:r>
        <w:rPr/>
        <w:t>Reaction temperature: 55 ° C.</w:t>
      </w:r>
    </w:p>
    <w:p>
      <w:pPr>
        <w:pStyle w:val="ListParagraph"/>
        <w:numPr>
          <w:ilvl w:val="3"/>
          <w:numId w:val="28"/>
        </w:numPr>
        <w:tabs>
          <w:tab w:pos="881" w:val="left" w:leader="none"/>
          <w:tab w:pos="882" w:val="left" w:leader="none"/>
        </w:tabs>
        <w:spacing w:line="350" w:lineRule="auto" w:before="139" w:after="0"/>
        <w:ind w:left="870" w:right="3119" w:hanging="348"/>
        <w:jc w:val="left"/>
        <w:rPr>
          <w:sz w:val="24"/>
        </w:rPr>
      </w:pPr>
      <w:r>
        <w:rPr>
          <w:sz w:val="24"/>
        </w:rPr>
        <w:t>AciI enzyme polymorphisms to identify GSTP1C: Recognition</w:t>
      </w:r>
      <w:r>
        <w:rPr>
          <w:spacing w:val="-2"/>
          <w:sz w:val="24"/>
        </w:rPr>
        <w:t> </w:t>
      </w:r>
      <w:r>
        <w:rPr>
          <w:sz w:val="24"/>
        </w:rPr>
        <w:t>site:</w:t>
      </w:r>
    </w:p>
    <w:p>
      <w:pPr>
        <w:spacing w:after="0" w:line="350" w:lineRule="auto"/>
        <w:jc w:val="left"/>
        <w:rPr>
          <w:sz w:val="24"/>
        </w:rPr>
        <w:sectPr>
          <w:pgSz w:w="12240" w:h="15840"/>
          <w:pgMar w:header="733" w:footer="1039" w:top="1020" w:bottom="1220" w:left="1540" w:right="1520"/>
        </w:sectPr>
      </w:pPr>
    </w:p>
    <w:p>
      <w:pPr>
        <w:pStyle w:val="BodyText"/>
        <w:rPr>
          <w:sz w:val="18"/>
        </w:rPr>
      </w:pPr>
    </w:p>
    <w:p>
      <w:pPr>
        <w:pStyle w:val="BodyText"/>
        <w:spacing w:before="69"/>
        <w:ind w:left="870" w:right="126"/>
      </w:pPr>
      <w:r>
        <w:rPr/>
        <w:t>5 '... C ^ CGC ... 3'</w:t>
      </w:r>
    </w:p>
    <w:p>
      <w:pPr>
        <w:pStyle w:val="BodyText"/>
        <w:spacing w:before="139"/>
        <w:ind w:left="870" w:right="126"/>
      </w:pPr>
      <w:r>
        <w:rPr/>
        <w:t>3 '... G ^ GCG 5'</w:t>
      </w:r>
    </w:p>
    <w:p>
      <w:pPr>
        <w:pStyle w:val="BodyText"/>
        <w:spacing w:before="137"/>
        <w:ind w:left="870" w:right="126"/>
      </w:pPr>
      <w:r>
        <w:rPr/>
        <w:t>Reaction temperature: 37 ° C.</w:t>
      </w:r>
    </w:p>
    <w:p>
      <w:pPr>
        <w:pStyle w:val="BodyText"/>
      </w:pPr>
    </w:p>
    <w:p>
      <w:pPr>
        <w:pStyle w:val="BodyText"/>
        <w:spacing w:line="357" w:lineRule="auto" w:before="144"/>
        <w:ind w:left="162" w:right="175"/>
        <w:jc w:val="both"/>
      </w:pPr>
      <w:r>
        <w:rPr/>
        <w:t>The conditions for the enzymatic digestions were according to the manufacturer indicating (Thermo Scientific, Fermentas). The reaction components were combined at room temperature in the following order: 17μL deionized H</w:t>
      </w:r>
      <w:r>
        <w:rPr>
          <w:position w:val="-2"/>
          <w:sz w:val="16"/>
        </w:rPr>
        <w:t>2</w:t>
      </w:r>
      <w:r>
        <w:rPr/>
        <w:t>O, 2.0uL 10X Buffer Green FastDigest, 10.0μL PCR product, FastDigest Enzyme 1.0μL,  with a total volume of</w:t>
      </w:r>
      <w:r>
        <w:rPr>
          <w:spacing w:val="-5"/>
        </w:rPr>
        <w:t> </w:t>
      </w:r>
      <w:r>
        <w:rPr/>
        <w:t>30μL.</w:t>
      </w:r>
    </w:p>
    <w:p>
      <w:pPr>
        <w:pStyle w:val="BodyText"/>
        <w:spacing w:before="1"/>
        <w:rPr>
          <w:sz w:val="25"/>
        </w:rPr>
      </w:pPr>
    </w:p>
    <w:p>
      <w:pPr>
        <w:pStyle w:val="BodyText"/>
        <w:spacing w:line="360" w:lineRule="auto"/>
        <w:ind w:left="162" w:right="180"/>
        <w:jc w:val="both"/>
      </w:pPr>
      <w:r>
        <w:rPr/>
        <w:t>The products of the digestions were checked by electrophoresis on 3% agarose gel, for 90 minutes at 100 V/35 A, using a molecular weight marker of 25 bp for the products and a marker enzyme BsmAI of 100 bp for AciI digestions. Subsequently the gel was stained with ethidium bromide solution at 1% for 15 minutes.</w:t>
      </w:r>
    </w:p>
    <w:p>
      <w:pPr>
        <w:pStyle w:val="BodyText"/>
        <w:spacing w:before="7"/>
      </w:pPr>
    </w:p>
    <w:p>
      <w:pPr>
        <w:pStyle w:val="BodyText"/>
        <w:ind w:left="162"/>
        <w:jc w:val="both"/>
      </w:pPr>
      <w:r>
        <w:rPr/>
        <w:t>Polymorphisms were detected according to the fragments found.</w:t>
      </w:r>
    </w:p>
    <w:p>
      <w:pPr>
        <w:pStyle w:val="BodyText"/>
      </w:pPr>
    </w:p>
    <w:p>
      <w:pPr>
        <w:pStyle w:val="ListParagraph"/>
        <w:numPr>
          <w:ilvl w:val="0"/>
          <w:numId w:val="29"/>
        </w:numPr>
        <w:tabs>
          <w:tab w:pos="431" w:val="left" w:leader="none"/>
        </w:tabs>
        <w:spacing w:line="362" w:lineRule="auto" w:before="141" w:after="0"/>
        <w:ind w:left="445" w:right="5596" w:hanging="283"/>
        <w:jc w:val="left"/>
        <w:rPr>
          <w:sz w:val="24"/>
        </w:rPr>
      </w:pPr>
      <w:r>
        <w:rPr>
          <w:sz w:val="24"/>
        </w:rPr>
        <w:t>Digestion with BsmAI: GSTP1a: fragment of 176</w:t>
      </w:r>
      <w:r>
        <w:rPr>
          <w:spacing w:val="-11"/>
          <w:sz w:val="24"/>
        </w:rPr>
        <w:t> </w:t>
      </w:r>
      <w:r>
        <w:rPr>
          <w:sz w:val="24"/>
        </w:rPr>
        <w:t>bp.</w:t>
      </w:r>
    </w:p>
    <w:p>
      <w:pPr>
        <w:pStyle w:val="BodyText"/>
        <w:spacing w:line="360" w:lineRule="auto"/>
        <w:ind w:left="445" w:right="186"/>
        <w:jc w:val="both"/>
      </w:pPr>
      <w:r>
        <w:rPr/>
        <w:t>GSTP1b: fragments of 176 bp, 91 bp. and 85 bp. GSTP1b heterozygous and correspond to fragments of 91 bp. and 85 bp. correspond to GSTP1b homozygote.</w:t>
      </w:r>
    </w:p>
    <w:p>
      <w:pPr>
        <w:pStyle w:val="BodyText"/>
      </w:pPr>
    </w:p>
    <w:p>
      <w:pPr>
        <w:pStyle w:val="ListParagraph"/>
        <w:numPr>
          <w:ilvl w:val="0"/>
          <w:numId w:val="29"/>
        </w:numPr>
        <w:tabs>
          <w:tab w:pos="431" w:val="left" w:leader="none"/>
        </w:tabs>
        <w:spacing w:line="240" w:lineRule="auto" w:before="142" w:after="0"/>
        <w:ind w:left="430" w:right="0" w:hanging="268"/>
        <w:jc w:val="both"/>
        <w:rPr>
          <w:sz w:val="24"/>
        </w:rPr>
      </w:pPr>
      <w:r>
        <w:rPr>
          <w:sz w:val="24"/>
        </w:rPr>
        <w:t>AciI</w:t>
      </w:r>
      <w:r>
        <w:rPr>
          <w:spacing w:val="-5"/>
          <w:sz w:val="24"/>
        </w:rPr>
        <w:t> </w:t>
      </w:r>
      <w:r>
        <w:rPr>
          <w:sz w:val="24"/>
        </w:rPr>
        <w:t>digestion:</w:t>
      </w:r>
    </w:p>
    <w:p>
      <w:pPr>
        <w:pStyle w:val="BodyText"/>
        <w:spacing w:line="360" w:lineRule="auto" w:before="139"/>
        <w:ind w:left="445" w:right="179"/>
        <w:jc w:val="both"/>
      </w:pPr>
      <w:r>
        <w:rPr/>
        <w:t>GSTP1c: fragment of 332 bp. GSTP1c corresponds to homozygous and fragments of 332 bp, 174 bp. and 158 bp. correspond to GSTP1c heterozygote, a band of 158 bp and 174 bp corresponding to wild GSTP1c.</w:t>
      </w:r>
    </w:p>
    <w:p>
      <w:pPr>
        <w:pStyle w:val="BodyText"/>
        <w:spacing w:before="5"/>
      </w:pPr>
    </w:p>
    <w:p>
      <w:pPr>
        <w:pStyle w:val="Heading2"/>
      </w:pPr>
      <w:r>
        <w:rPr/>
        <w:t>RESULTS</w:t>
      </w:r>
    </w:p>
    <w:p>
      <w:pPr>
        <w:pStyle w:val="BodyText"/>
        <w:rPr>
          <w:b/>
        </w:rPr>
      </w:pPr>
    </w:p>
    <w:p>
      <w:pPr>
        <w:spacing w:before="144"/>
        <w:ind w:left="162" w:right="0" w:firstLine="0"/>
        <w:jc w:val="both"/>
        <w:rPr>
          <w:b/>
          <w:sz w:val="24"/>
        </w:rPr>
      </w:pPr>
      <w:r>
        <w:rPr>
          <w:b/>
          <w:sz w:val="24"/>
        </w:rPr>
        <w:t>Sociodemographic characteristics of individuals</w:t>
      </w:r>
    </w:p>
    <w:p>
      <w:pPr>
        <w:pStyle w:val="BodyText"/>
        <w:spacing w:before="137"/>
        <w:ind w:left="162"/>
        <w:jc w:val="both"/>
      </w:pPr>
      <w:r>
        <w:rPr/>
        <w:t>The average age of the exposed group was 33.42 ± 12.3 and the unexposed   was</w:t>
      </w:r>
    </w:p>
    <w:p>
      <w:pPr>
        <w:pStyle w:val="BodyText"/>
        <w:spacing w:before="139"/>
        <w:ind w:left="162"/>
        <w:jc w:val="both"/>
      </w:pPr>
      <w:r>
        <w:rPr/>
        <w:t>32.80 ± 9.7 years old. The predominant sex in the exposed group were males</w:t>
      </w:r>
    </w:p>
    <w:p>
      <w:pPr>
        <w:spacing w:after="0"/>
        <w:jc w:val="both"/>
        <w:sectPr>
          <w:pgSz w:w="12240" w:h="15840"/>
          <w:pgMar w:header="733" w:footer="1039" w:top="1020" w:bottom="1220" w:left="1540" w:right="1520"/>
        </w:sectPr>
      </w:pPr>
    </w:p>
    <w:p>
      <w:pPr>
        <w:pStyle w:val="BodyText"/>
        <w:rPr>
          <w:sz w:val="18"/>
        </w:rPr>
      </w:pPr>
    </w:p>
    <w:p>
      <w:pPr>
        <w:pStyle w:val="BodyText"/>
        <w:spacing w:line="362" w:lineRule="auto" w:before="69"/>
        <w:ind w:left="162" w:right="187"/>
        <w:jc w:val="both"/>
      </w:pPr>
      <w:r>
        <w:rPr/>
        <w:t>57.5%, and in the case similar case of the unexposed group males predominated  in 70% (Table</w:t>
      </w:r>
      <w:r>
        <w:rPr>
          <w:spacing w:val="-8"/>
        </w:rPr>
        <w:t> </w:t>
      </w:r>
      <w:r>
        <w:rPr/>
        <w:t>1).</w:t>
      </w:r>
    </w:p>
    <w:p>
      <w:pPr>
        <w:pStyle w:val="BodyText"/>
        <w:spacing w:before="4"/>
      </w:pPr>
    </w:p>
    <w:p>
      <w:pPr>
        <w:pStyle w:val="BodyText"/>
        <w:spacing w:line="360" w:lineRule="auto" w:before="1"/>
        <w:ind w:left="162" w:right="175"/>
        <w:jc w:val="both"/>
      </w:pPr>
      <w:r>
        <w:rPr/>
        <w:t>Regarding the occupation, in the exposed group, all </w:t>
      </w:r>
      <w:r>
        <w:rPr>
          <w:spacing w:val="2"/>
        </w:rPr>
        <w:t>of </w:t>
      </w:r>
      <w:r>
        <w:rPr/>
        <w:t>them were floriculturists,  and occupation in the unexposed group was as follows: employee 27.5%, housewives 22.5%, construction worker 12.5% and other 37.5% (Table</w:t>
      </w:r>
      <w:r>
        <w:rPr>
          <w:spacing w:val="-25"/>
        </w:rPr>
        <w:t> </w:t>
      </w:r>
      <w:r>
        <w:rPr/>
        <w:t>1).</w:t>
      </w:r>
    </w:p>
    <w:p>
      <w:pPr>
        <w:pStyle w:val="BodyText"/>
        <w:spacing w:before="7"/>
      </w:pPr>
    </w:p>
    <w:p>
      <w:pPr>
        <w:pStyle w:val="BodyText"/>
        <w:spacing w:line="360" w:lineRule="auto"/>
        <w:ind w:left="162" w:right="186"/>
        <w:jc w:val="both"/>
      </w:pPr>
      <w:r>
        <w:rPr/>
        <w:t>In relation to schooling within the groups was differentiated in the exposed group: had none 2.5%, primary 55%, secondary 25%, high school 12.5%, degree 5 %,  and in the unexposed group: no education 2.5%, primary 27%, secondary 32.5%, high school 22.5% and degree 15% (Table</w:t>
      </w:r>
      <w:r>
        <w:rPr>
          <w:spacing w:val="-17"/>
        </w:rPr>
        <w:t> </w:t>
      </w:r>
      <w:r>
        <w:rPr/>
        <w:t>1).</w:t>
      </w:r>
    </w:p>
    <w:p>
      <w:pPr>
        <w:pStyle w:val="BodyText"/>
        <w:spacing w:before="7"/>
      </w:pPr>
    </w:p>
    <w:p>
      <w:pPr>
        <w:pStyle w:val="Heading2"/>
      </w:pPr>
      <w:r>
        <w:rPr/>
        <w:t>Oral Hygienic Habits</w:t>
      </w:r>
    </w:p>
    <w:p>
      <w:pPr>
        <w:pStyle w:val="BodyText"/>
        <w:spacing w:line="360" w:lineRule="auto" w:before="137"/>
        <w:ind w:left="162" w:right="181"/>
        <w:jc w:val="both"/>
      </w:pPr>
      <w:r>
        <w:rPr/>
        <w:t>Oral hygiene in the exposed group 27.5% was regular and 72 .5% deficient and in the unexposed group 15% was regular and 85% of cases was deficient. It is worth mentioning that any group had good oral hygiene (Table 1).</w:t>
      </w:r>
    </w:p>
    <w:p>
      <w:pPr>
        <w:pStyle w:val="BodyText"/>
      </w:pPr>
    </w:p>
    <w:p>
      <w:pPr>
        <w:pStyle w:val="Heading2"/>
        <w:spacing w:before="142"/>
      </w:pPr>
      <w:r>
        <w:rPr/>
        <w:t>Dietary Habits</w:t>
      </w:r>
    </w:p>
    <w:p>
      <w:pPr>
        <w:pStyle w:val="BodyText"/>
        <w:spacing w:line="360" w:lineRule="auto" w:before="139"/>
        <w:ind w:left="162" w:right="177"/>
        <w:jc w:val="both"/>
      </w:pPr>
      <w:r>
        <w:rPr/>
        <w:t>Regarding the consumption of a cariogenic diet, in the exposed group consumption rate was low at 17.5%, an average consumption rate of 60%, and a high intake frequency in 22.5% of cases. Deferring to the unexposed group, where the frequency of consumption of a low cariogenic diet was 2.5%, average 30%, and high in 67.5% of cases (Table 1).</w:t>
      </w:r>
    </w:p>
    <w:p>
      <w:pPr>
        <w:pStyle w:val="BodyText"/>
      </w:pPr>
    </w:p>
    <w:p>
      <w:pPr>
        <w:pStyle w:val="Heading2"/>
        <w:spacing w:before="142"/>
      </w:pPr>
      <w:r>
        <w:rPr/>
        <w:t>Determination of caries</w:t>
      </w:r>
    </w:p>
    <w:p>
      <w:pPr>
        <w:pStyle w:val="BodyText"/>
        <w:spacing w:line="360" w:lineRule="auto" w:before="137"/>
        <w:ind w:left="162" w:right="180"/>
        <w:jc w:val="both"/>
      </w:pPr>
      <w:r>
        <w:rPr/>
        <w:t>The frequency of caries was determined by the number of cavities in each person according to the data obtained with the DIAGNOdent pen. In the exposed group  the average of cavities was 7.4 teeth and in the unexposed group was 10.8 teeth with</w:t>
      </w:r>
      <w:r>
        <w:rPr>
          <w:spacing w:val="-6"/>
        </w:rPr>
        <w:t> </w:t>
      </w:r>
      <w:r>
        <w:rPr/>
        <w:t>cavities.</w:t>
      </w:r>
    </w:p>
    <w:p>
      <w:pPr>
        <w:pStyle w:val="BodyText"/>
      </w:pPr>
    </w:p>
    <w:p>
      <w:pPr>
        <w:pStyle w:val="Heading2"/>
        <w:spacing w:before="142"/>
      </w:pPr>
      <w:r>
        <w:rPr/>
        <w:t>Presence of Polymorphisms</w:t>
      </w:r>
    </w:p>
    <w:p>
      <w:pPr>
        <w:pStyle w:val="BodyText"/>
        <w:spacing w:line="360" w:lineRule="auto" w:before="139"/>
        <w:ind w:left="162" w:right="180"/>
        <w:jc w:val="both"/>
      </w:pPr>
      <w:r>
        <w:rPr/>
        <w:t>The GSTM1 (+/+) polymorphism was presented in 70% of individuals in the exposed group, and in 30% of them were null (-/-), differing of unexposed group,</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62" w:lineRule="auto" w:before="69"/>
        <w:ind w:left="162" w:right="180"/>
        <w:jc w:val="both"/>
      </w:pPr>
      <w:r>
        <w:rPr/>
        <w:t>which was present (+/+) in 42.5% and null (-/-) in 57.5% of individuals in this group (Table 2).</w:t>
      </w:r>
    </w:p>
    <w:p>
      <w:pPr>
        <w:pStyle w:val="BodyText"/>
        <w:spacing w:before="4"/>
      </w:pPr>
    </w:p>
    <w:p>
      <w:pPr>
        <w:pStyle w:val="BodyText"/>
        <w:spacing w:line="360" w:lineRule="auto" w:before="1"/>
        <w:ind w:left="162" w:right="175"/>
        <w:jc w:val="both"/>
      </w:pPr>
      <w:r>
        <w:rPr/>
        <w:t>The GSTT1 gene was present (+/+) in 27.5% of the exposed group and null (-/-) in 72.5%, differing of unexposed group which was present (+/+) in 30% and null (-/-) in 70% of the individuals in this group (Table</w:t>
      </w:r>
      <w:r>
        <w:rPr>
          <w:spacing w:val="-17"/>
        </w:rPr>
        <w:t> </w:t>
      </w:r>
      <w:r>
        <w:rPr/>
        <w:t>2).</w:t>
      </w:r>
    </w:p>
    <w:p>
      <w:pPr>
        <w:pStyle w:val="BodyText"/>
        <w:spacing w:before="7"/>
      </w:pPr>
    </w:p>
    <w:p>
      <w:pPr>
        <w:pStyle w:val="BodyText"/>
        <w:spacing w:line="360" w:lineRule="auto"/>
        <w:ind w:left="162" w:right="175"/>
        <w:jc w:val="both"/>
      </w:pPr>
      <w:r>
        <w:rPr/>
        <w:t>Regarding GSTP1b gene in the exposed group 2.5% had the wild allele (Ile-Ile), 65% were heterozygous (Ile-Val), and 32.5% were homozygous (Val-Val), and in the non-exposed group 30% were wild type, 35% heterozygous and 35% homozygous (Table 2).</w:t>
      </w:r>
    </w:p>
    <w:p>
      <w:pPr>
        <w:pStyle w:val="BodyText"/>
        <w:spacing w:before="7"/>
      </w:pPr>
    </w:p>
    <w:p>
      <w:pPr>
        <w:pStyle w:val="BodyText"/>
        <w:spacing w:line="360" w:lineRule="auto"/>
        <w:ind w:left="162" w:right="175"/>
        <w:jc w:val="both"/>
      </w:pPr>
      <w:r>
        <w:rPr/>
        <w:t>Likewise, the GSTP1c gene in the unexposed group the wild allele (Ile-Ile) was present in 60%, 40% were heterozygous (Ile-Val) and none homozygous (Val-Val). In the unexposed group, wild allele was present in 72.5%, 27.5% were heterozygous and none homozygous (Table 2).</w:t>
      </w:r>
    </w:p>
    <w:p>
      <w:pPr>
        <w:pStyle w:val="BodyText"/>
        <w:spacing w:before="7"/>
      </w:pPr>
    </w:p>
    <w:p>
      <w:pPr>
        <w:pStyle w:val="Heading2"/>
      </w:pPr>
      <w:r>
        <w:rPr/>
        <w:t>Statistical analysis</w:t>
      </w:r>
    </w:p>
    <w:p>
      <w:pPr>
        <w:pStyle w:val="BodyText"/>
        <w:spacing w:line="360" w:lineRule="auto" w:before="139"/>
        <w:ind w:left="162" w:right="174"/>
        <w:jc w:val="both"/>
      </w:pPr>
      <w:r>
        <w:rPr/>
        <w:t>A bivariate correlation was used to evaluate the sociodemographic characteristics, the presence of the disease and care for it (caries) is shown table 3 where people with cavities had a positive relationship with age (0.077), a negative correlation  with schooling (- 0.088), a clearly positive correlation with exposure time (0.217) and a negative correlation with disease care (how many times been to the dentist) (-0.102). Correlation to the unexposed group shown in the table 4, people with caries had a positive correlation with age (0.099), a negative correlation with schooling individuals (-0.022), and a negative correlation with disease care </w:t>
      </w:r>
      <w:r>
        <w:rPr>
          <w:spacing w:val="3"/>
        </w:rPr>
        <w:t>(- </w:t>
      </w:r>
      <w:r>
        <w:rPr/>
        <w:t>0.391).</w:t>
      </w:r>
    </w:p>
    <w:p>
      <w:pPr>
        <w:pStyle w:val="BodyText"/>
        <w:spacing w:before="8"/>
      </w:pPr>
    </w:p>
    <w:p>
      <w:pPr>
        <w:pStyle w:val="BodyText"/>
        <w:spacing w:line="360" w:lineRule="auto"/>
        <w:ind w:left="162" w:right="175"/>
        <w:jc w:val="both"/>
      </w:pPr>
      <w:r>
        <w:rPr/>
        <w:t>A multiple regression model for the polymorphisms, hygiene habits and cariogenic diet habits is shown in table 5. The presence of GSTM1 (+/+) polymorphism was associated with less often caries 49% (p = 0.01) in the exposed group, as well as  in the unexposed group, with 38% (p = 0.02). The presence of GSTT1 (+/+) polymorphism</w:t>
      </w:r>
      <w:r>
        <w:rPr>
          <w:spacing w:val="18"/>
        </w:rPr>
        <w:t> </w:t>
      </w:r>
      <w:r>
        <w:rPr/>
        <w:t>was</w:t>
      </w:r>
      <w:r>
        <w:rPr>
          <w:spacing w:val="17"/>
        </w:rPr>
        <w:t> </w:t>
      </w:r>
      <w:r>
        <w:rPr/>
        <w:t>associated</w:t>
      </w:r>
      <w:r>
        <w:rPr>
          <w:spacing w:val="18"/>
        </w:rPr>
        <w:t> </w:t>
      </w:r>
      <w:r>
        <w:rPr/>
        <w:t>with</w:t>
      </w:r>
      <w:r>
        <w:rPr>
          <w:spacing w:val="18"/>
        </w:rPr>
        <w:t> </w:t>
      </w:r>
      <w:r>
        <w:rPr/>
        <w:t>the</w:t>
      </w:r>
      <w:r>
        <w:rPr>
          <w:spacing w:val="18"/>
        </w:rPr>
        <w:t> </w:t>
      </w:r>
      <w:r>
        <w:rPr/>
        <w:t>less</w:t>
      </w:r>
      <w:r>
        <w:rPr>
          <w:spacing w:val="15"/>
        </w:rPr>
        <w:t> </w:t>
      </w:r>
      <w:r>
        <w:rPr/>
        <w:t>frequency</w:t>
      </w:r>
      <w:r>
        <w:rPr>
          <w:spacing w:val="15"/>
        </w:rPr>
        <w:t> </w:t>
      </w:r>
      <w:r>
        <w:rPr/>
        <w:t>of</w:t>
      </w:r>
      <w:r>
        <w:rPr>
          <w:spacing w:val="17"/>
        </w:rPr>
        <w:t> </w:t>
      </w:r>
      <w:r>
        <w:rPr/>
        <w:t>caries</w:t>
      </w:r>
      <w:r>
        <w:rPr>
          <w:spacing w:val="17"/>
        </w:rPr>
        <w:t> </w:t>
      </w:r>
      <w:r>
        <w:rPr/>
        <w:t>38%</w:t>
      </w:r>
      <w:r>
        <w:rPr>
          <w:spacing w:val="17"/>
        </w:rPr>
        <w:t> </w:t>
      </w:r>
      <w:r>
        <w:rPr/>
        <w:t>(p</w:t>
      </w:r>
      <w:r>
        <w:rPr>
          <w:spacing w:val="17"/>
        </w:rPr>
        <w:t> </w:t>
      </w:r>
      <w:r>
        <w:rPr/>
        <w:t>=</w:t>
      </w:r>
      <w:r>
        <w:rPr>
          <w:spacing w:val="16"/>
        </w:rPr>
        <w:t> </w:t>
      </w:r>
      <w:r>
        <w:rPr/>
        <w:t>0.05)</w:t>
      </w:r>
      <w:r>
        <w:rPr>
          <w:spacing w:val="16"/>
        </w:rPr>
        <w:t> </w:t>
      </w:r>
      <w:r>
        <w:rPr/>
        <w:t>in</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60" w:lineRule="auto" w:before="69"/>
        <w:ind w:left="162" w:right="180"/>
        <w:jc w:val="both"/>
      </w:pPr>
      <w:r>
        <w:rPr/>
        <w:t>the unexposed group. The GSTP1b polymorphism had no association whatsoever in both groups (exposed and unexposed to pesticides) with cavities. </w:t>
      </w:r>
      <w:r>
        <w:rPr>
          <w:spacing w:val="4"/>
        </w:rPr>
        <w:t>We </w:t>
      </w:r>
      <w:r>
        <w:rPr/>
        <w:t>found in the exposed group an association between the presence of GSTP1c wild allele (a/a) and less frequency of caries (p = 0.05) and in the unexposed group the association was 41% (p = 0.04). The exposed group had an association between oral hygiene habits and cavities of 9% (p=0.17), meanwhile the cariogenic diet was associated to caries in 18% (p=0.11). The presence of cavities in the unexposed group had an association with the oral hygiene habits of 20% (p= 0.83) and with  the cariogenic diet was 16% (p=</w:t>
      </w:r>
      <w:r>
        <w:rPr>
          <w:spacing w:val="-14"/>
        </w:rPr>
        <w:t> </w:t>
      </w:r>
      <w:r>
        <w:rPr/>
        <w:t>0.83).</w:t>
      </w:r>
    </w:p>
    <w:p>
      <w:pPr>
        <w:pStyle w:val="BodyText"/>
      </w:pPr>
    </w:p>
    <w:p>
      <w:pPr>
        <w:pStyle w:val="BodyText"/>
      </w:pPr>
    </w:p>
    <w:p>
      <w:pPr>
        <w:pStyle w:val="Heading2"/>
        <w:spacing w:before="147"/>
      </w:pPr>
      <w:r>
        <w:rPr/>
        <w:t>DISCUSSION</w:t>
      </w:r>
    </w:p>
    <w:p>
      <w:pPr>
        <w:pStyle w:val="BodyText"/>
        <w:rPr>
          <w:b/>
        </w:rPr>
      </w:pPr>
    </w:p>
    <w:p>
      <w:pPr>
        <w:pStyle w:val="BodyText"/>
        <w:rPr>
          <w:b/>
        </w:rPr>
      </w:pPr>
    </w:p>
    <w:p>
      <w:pPr>
        <w:pStyle w:val="BodyText"/>
        <w:spacing w:line="360" w:lineRule="auto"/>
        <w:ind w:left="162" w:right="180"/>
        <w:jc w:val="both"/>
      </w:pPr>
      <w:r>
        <w:rPr/>
        <w:t>Considering the results obtained in the present study shows that  sugar consumption and caries risk are not associated, consistent with the  literature review by Burt et al. (2001) which found no association between sugar  consumption and caries risk, the review of thirty-six articles that met their inclusion criteria, items of which two of them report a strong relationship between sugar consumption and caries development, sixteen found a moderate relationship, and eighteen a weak relationship. Hence it is concluded that the relationship between cavities and sugar consumption is weak and is not the most important in the prevention of cavities</w:t>
      </w:r>
      <w:r>
        <w:rPr>
          <w:spacing w:val="-8"/>
        </w:rPr>
        <w:t> </w:t>
      </w:r>
      <w:r>
        <w:rPr/>
        <w:t>(21).</w:t>
      </w:r>
    </w:p>
    <w:p>
      <w:pPr>
        <w:pStyle w:val="BodyText"/>
        <w:spacing w:before="7"/>
      </w:pPr>
    </w:p>
    <w:p>
      <w:pPr>
        <w:pStyle w:val="BodyText"/>
        <w:spacing w:line="360" w:lineRule="auto"/>
        <w:ind w:left="162" w:right="181"/>
        <w:jc w:val="both"/>
      </w:pPr>
      <w:r>
        <w:rPr/>
        <w:t>With respect to caries and oral hygiene, Irigoyen et al. (2001) report on a Mexican school population that 39.5% reported to brush teeth twice a day and 11% did not use toothpaste. These data are similar to those found in this study, although the population is different in terms of age and exposure; however both studies are in the Mexican population (22).</w:t>
      </w:r>
    </w:p>
    <w:p>
      <w:pPr>
        <w:pStyle w:val="BodyText"/>
        <w:spacing w:before="7"/>
      </w:pPr>
    </w:p>
    <w:p>
      <w:pPr>
        <w:pStyle w:val="BodyText"/>
        <w:spacing w:line="360" w:lineRule="auto"/>
        <w:ind w:left="162" w:right="182"/>
        <w:jc w:val="both"/>
      </w:pPr>
      <w:r>
        <w:rPr/>
        <w:t>Regarding the role of genes in susceptibility to caries Deshpande et al. (2012) conducted a study with monozygotic twins 5 years old who were reared apart and similar characteristics of dental caries. A comprehensive care preventive and therapeutic oral was providing. Through the study of dental disease in twins reared</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60" w:lineRule="auto" w:before="69"/>
        <w:ind w:left="162" w:right="176"/>
        <w:jc w:val="both"/>
      </w:pPr>
      <w:r>
        <w:rPr/>
        <w:t>apart, the element of environmental influence is removed without losing the advantage of similar genotype in monozygotic twins. Conry et al. (1993) investigated in twin genetic susceptibility to caries, concluding that the genetic contribution to the decay is about 40% (23, 24).</w:t>
      </w:r>
    </w:p>
    <w:p>
      <w:pPr>
        <w:pStyle w:val="BodyText"/>
        <w:spacing w:before="7"/>
      </w:pPr>
    </w:p>
    <w:p>
      <w:pPr>
        <w:pStyle w:val="BodyText"/>
        <w:spacing w:line="360" w:lineRule="auto"/>
        <w:ind w:left="162" w:right="177"/>
        <w:jc w:val="both"/>
      </w:pPr>
      <w:r>
        <w:rPr/>
        <w:t>Have also been associated the GST polymorphisms with pesticide metabolism, such as the study by Singh et al. (2011), who examined 115 workers exposed to organophosphate pesticides, assessed the damage to DNA polymorphisms associated with GSTT1, GSTM1, GSTP1. The results showed that there was an increased DNA damage in those workers with the GSTM1 null genotype compared to those same polymorphism positive. Also observed a significant increase in damage when the genotype showed GSTP1 (Ile-Ile) in comparison with the variants heterozygous (Ile-Val) and wild (Val-Val)</w:t>
      </w:r>
      <w:r>
        <w:rPr>
          <w:spacing w:val="-16"/>
        </w:rPr>
        <w:t> </w:t>
      </w:r>
      <w:r>
        <w:rPr/>
        <w:t>(25).</w:t>
      </w:r>
    </w:p>
    <w:p>
      <w:pPr>
        <w:pStyle w:val="BodyText"/>
        <w:spacing w:before="7"/>
      </w:pPr>
    </w:p>
    <w:p>
      <w:pPr>
        <w:pStyle w:val="BodyText"/>
        <w:spacing w:line="360" w:lineRule="auto"/>
        <w:ind w:left="162" w:right="178"/>
        <w:jc w:val="both"/>
      </w:pPr>
      <w:r>
        <w:rPr/>
        <w:t>Meanwhile, Liu et al. (2006) reports that pesticide exposure causes there is an increased DNA damage compared with unexposed individuals, finding a significant association (P = 0.02) GSTP1b wild (Ile-Ile) with a increased DNA damage. Information that could partially compared with the results of this study, as the study subjects had no caries, from such that the results are not entirely comparable (26).</w:t>
      </w:r>
    </w:p>
    <w:p>
      <w:pPr>
        <w:pStyle w:val="BodyText"/>
        <w:spacing w:before="10"/>
      </w:pPr>
    </w:p>
    <w:p>
      <w:pPr>
        <w:pStyle w:val="BodyText"/>
        <w:spacing w:line="360" w:lineRule="auto"/>
        <w:ind w:left="162" w:right="178"/>
        <w:jc w:val="both"/>
      </w:pPr>
      <w:r>
        <w:rPr/>
        <w:t>In this study, 52.5% showed polymorphism of GSTM1 null (- /-), which is consistent with data reported in Korean population (53.8%), Caucasian (53.5%) and Japan (51.3%), compared to null polymorphism GSTT1 (-/-) occurred in 71.2% of individuals, this data differs from the data in Caucasian populations (14.7%), Korean (54.3%) and Japanese (54%). Regarding the GSTP1 polymorphism, in the present study was identified GSTP1b (exon 5): 12.5% had the wild allele, 57.7% were heterozygous (Ile / Val) and 33.7% homozygous, these data are similar to those obtained in Colombian population: 13.3% had the wild allele (Ile / Ile), 54.2% heterozygous (Ile / Val), 32.5% homozygous (Val / Val). It is important to consider that the Mexican population is the product of a great mixture, so the distribution of these polymorphic genes, is different and unique compared to other parts of the world (27, 28, 29)</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60" w:lineRule="auto" w:before="69"/>
        <w:ind w:left="162" w:right="182"/>
        <w:jc w:val="both"/>
      </w:pPr>
      <w:r>
        <w:rPr/>
        <w:t>In conclusion, although the polymorphisms studied in this research have been addressed for other purposes by other authors, at the time of this study there was no news of any effort to know the association of GSTM1, GSTT1, and GSTP1c GSTP1b in cavities patients exposed and not exposed to pesticides. So that the data obtained here open a different path in the dentistry to those discussed so far, and invite the pursuit of knowledge of the link between specific genetic load from the moment of conception of each individual with susceptibility eventually have to certain conditions.</w:t>
      </w:r>
    </w:p>
    <w:p>
      <w:pPr>
        <w:spacing w:after="0" w:line="360" w:lineRule="auto"/>
        <w:jc w:val="both"/>
        <w:sectPr>
          <w:pgSz w:w="12240" w:h="15840"/>
          <w:pgMar w:header="733" w:footer="1039" w:top="1020" w:bottom="1220" w:left="1540" w:right="1520"/>
        </w:sectPr>
      </w:pPr>
    </w:p>
    <w:p>
      <w:pPr>
        <w:pStyle w:val="BodyText"/>
        <w:spacing w:before="5"/>
        <w:rPr>
          <w:sz w:val="17"/>
        </w:rPr>
      </w:pPr>
    </w:p>
    <w:p>
      <w:pPr>
        <w:spacing w:before="73"/>
        <w:ind w:left="162" w:right="126" w:firstLine="0"/>
        <w:jc w:val="left"/>
        <w:rPr>
          <w:b/>
          <w:sz w:val="22"/>
        </w:rPr>
      </w:pPr>
      <w:r>
        <w:rPr>
          <w:b/>
          <w:sz w:val="22"/>
        </w:rPr>
        <w:t>REFERENCES</w:t>
      </w:r>
    </w:p>
    <w:p>
      <w:pPr>
        <w:pStyle w:val="BodyText"/>
        <w:spacing w:before="3"/>
        <w:rPr>
          <w:b/>
          <w:sz w:val="22"/>
        </w:rPr>
      </w:pPr>
    </w:p>
    <w:p>
      <w:pPr>
        <w:pStyle w:val="ListParagraph"/>
        <w:numPr>
          <w:ilvl w:val="0"/>
          <w:numId w:val="30"/>
        </w:numPr>
        <w:tabs>
          <w:tab w:pos="446" w:val="left" w:leader="none"/>
        </w:tabs>
        <w:spacing w:line="360" w:lineRule="auto" w:before="0" w:after="0"/>
        <w:ind w:left="445" w:right="178" w:hanging="283"/>
        <w:jc w:val="both"/>
        <w:rPr>
          <w:sz w:val="22"/>
        </w:rPr>
      </w:pPr>
      <w:r>
        <w:rPr>
          <w:sz w:val="22"/>
        </w:rPr>
        <w:t>Organización Mundial de la Salud. Informe sobre el problema mundial de las enfermedades bucodentales. Actualidad. Gaceta Dental. 2004. Available in: </w:t>
      </w:r>
      <w:hyperlink r:id="rId20">
        <w:r>
          <w:rPr>
            <w:sz w:val="22"/>
          </w:rPr>
          <w:t>http://www.who.int/mediacentre/news/releases/2004/pr15/es/</w:t>
        </w:r>
      </w:hyperlink>
      <w:r>
        <w:rPr>
          <w:sz w:val="22"/>
        </w:rPr>
        <w:t>  [citado 7 mayo</w:t>
      </w:r>
      <w:r>
        <w:rPr>
          <w:spacing w:val="-26"/>
          <w:sz w:val="22"/>
        </w:rPr>
        <w:t> </w:t>
      </w:r>
      <w:r>
        <w:rPr>
          <w:sz w:val="22"/>
        </w:rPr>
        <w:t>2012].</w:t>
      </w:r>
    </w:p>
    <w:p>
      <w:pPr>
        <w:pStyle w:val="ListParagraph"/>
        <w:numPr>
          <w:ilvl w:val="0"/>
          <w:numId w:val="30"/>
        </w:numPr>
        <w:tabs>
          <w:tab w:pos="446" w:val="left" w:leader="none"/>
        </w:tabs>
        <w:spacing w:line="360" w:lineRule="auto" w:before="3" w:after="0"/>
        <w:ind w:left="445" w:right="178" w:hanging="283"/>
        <w:jc w:val="both"/>
        <w:rPr>
          <w:sz w:val="22"/>
        </w:rPr>
      </w:pPr>
      <w:r>
        <w:rPr>
          <w:sz w:val="22"/>
        </w:rPr>
        <w:t>Köhler </w:t>
      </w:r>
      <w:r>
        <w:rPr>
          <w:spacing w:val="3"/>
          <w:sz w:val="22"/>
        </w:rPr>
        <w:t>W, </w:t>
      </w:r>
      <w:r>
        <w:rPr>
          <w:sz w:val="22"/>
        </w:rPr>
        <w:t>Miller DW. The Micro-Organisms of the Human Mouth (Unaltered Reprint of the Original Work Published in 1890 in Philadelphia). J. Basic Microbiol. 1974; 14 (1): 84.</w:t>
      </w:r>
    </w:p>
    <w:p>
      <w:pPr>
        <w:pStyle w:val="ListParagraph"/>
        <w:numPr>
          <w:ilvl w:val="0"/>
          <w:numId w:val="30"/>
        </w:numPr>
        <w:tabs>
          <w:tab w:pos="446" w:val="left" w:leader="none"/>
        </w:tabs>
        <w:spacing w:line="240" w:lineRule="auto" w:before="3" w:after="0"/>
        <w:ind w:left="445" w:right="0" w:hanging="283"/>
        <w:jc w:val="left"/>
        <w:rPr>
          <w:sz w:val="22"/>
        </w:rPr>
      </w:pPr>
      <w:r>
        <w:rPr>
          <w:sz w:val="22"/>
        </w:rPr>
        <w:t>Newburn E. Cariology.3°ed. San Francisco, USA. </w:t>
      </w:r>
      <w:r>
        <w:rPr>
          <w:color w:val="440000"/>
          <w:sz w:val="22"/>
          <w:shd w:fill="F9F9F9" w:color="auto" w:val="clear"/>
        </w:rPr>
        <w:t>Quintessence Publishing</w:t>
      </w:r>
      <w:r>
        <w:rPr>
          <w:sz w:val="22"/>
        </w:rPr>
        <w:t>;</w:t>
      </w:r>
      <w:r>
        <w:rPr>
          <w:spacing w:val="-13"/>
          <w:sz w:val="22"/>
        </w:rPr>
        <w:t> </w:t>
      </w:r>
      <w:r>
        <w:rPr>
          <w:sz w:val="22"/>
        </w:rPr>
        <w:t>1989.</w:t>
      </w:r>
    </w:p>
    <w:p>
      <w:pPr>
        <w:pStyle w:val="ListParagraph"/>
        <w:numPr>
          <w:ilvl w:val="0"/>
          <w:numId w:val="30"/>
        </w:numPr>
        <w:tabs>
          <w:tab w:pos="446" w:val="left" w:leader="none"/>
        </w:tabs>
        <w:spacing w:line="360" w:lineRule="auto" w:before="126" w:after="0"/>
        <w:ind w:left="445" w:right="180" w:hanging="283"/>
        <w:jc w:val="both"/>
        <w:rPr>
          <w:sz w:val="22"/>
        </w:rPr>
      </w:pPr>
      <w:r>
        <w:rPr>
          <w:sz w:val="22"/>
        </w:rPr>
        <w:t>Keyes PH. The infectious and transmissible nature of experimental dental caries. Findings and implications. Arch Oral Biol. 1960;</w:t>
      </w:r>
      <w:r>
        <w:rPr>
          <w:spacing w:val="-16"/>
          <w:sz w:val="22"/>
        </w:rPr>
        <w:t> </w:t>
      </w:r>
      <w:r>
        <w:rPr>
          <w:sz w:val="22"/>
        </w:rPr>
        <w:t>304-20.</w:t>
      </w:r>
    </w:p>
    <w:p>
      <w:pPr>
        <w:pStyle w:val="ListParagraph"/>
        <w:numPr>
          <w:ilvl w:val="0"/>
          <w:numId w:val="30"/>
        </w:numPr>
        <w:tabs>
          <w:tab w:pos="446" w:val="left" w:leader="none"/>
        </w:tabs>
        <w:spacing w:line="360" w:lineRule="auto" w:before="3" w:after="0"/>
        <w:ind w:left="445" w:right="179" w:hanging="283"/>
        <w:jc w:val="both"/>
        <w:rPr>
          <w:sz w:val="22"/>
        </w:rPr>
      </w:pPr>
      <w:r>
        <w:rPr>
          <w:sz w:val="22"/>
        </w:rPr>
        <w:t>Conry JP, Messer LB, Boraas JC, Aeppli DP, BouchardTJ Jr. Dental caries and treatment characteristics in human twins reares apart. Arch Oral Biol. 1993; 83:</w:t>
      </w:r>
      <w:r>
        <w:rPr>
          <w:spacing w:val="-24"/>
          <w:sz w:val="22"/>
        </w:rPr>
        <w:t> </w:t>
      </w:r>
      <w:r>
        <w:rPr>
          <w:sz w:val="22"/>
        </w:rPr>
        <w:t>937-43.</w:t>
      </w:r>
    </w:p>
    <w:p>
      <w:pPr>
        <w:pStyle w:val="ListParagraph"/>
        <w:numPr>
          <w:ilvl w:val="0"/>
          <w:numId w:val="30"/>
        </w:numPr>
        <w:tabs>
          <w:tab w:pos="446" w:val="left" w:leader="none"/>
        </w:tabs>
        <w:spacing w:line="360" w:lineRule="auto" w:before="3" w:after="0"/>
        <w:ind w:left="445" w:right="186" w:hanging="283"/>
        <w:jc w:val="both"/>
        <w:rPr>
          <w:sz w:val="22"/>
        </w:rPr>
      </w:pPr>
      <w:r>
        <w:rPr>
          <w:sz w:val="22"/>
        </w:rPr>
        <w:t>Boraas JC, Messer LB, Till M] (1988). A genetic contribution to dental caries, occlusion, and morphology as demonstrated by twins reared apart. J </w:t>
      </w:r>
      <w:r>
        <w:rPr>
          <w:i/>
          <w:sz w:val="22"/>
        </w:rPr>
        <w:t>Dent Res</w:t>
      </w:r>
      <w:r>
        <w:rPr>
          <w:i/>
          <w:spacing w:val="-21"/>
          <w:sz w:val="22"/>
        </w:rPr>
        <w:t> </w:t>
      </w:r>
      <w:r>
        <w:rPr>
          <w:sz w:val="22"/>
        </w:rPr>
        <w:t>67:1150-1155.</w:t>
      </w:r>
    </w:p>
    <w:p>
      <w:pPr>
        <w:pStyle w:val="ListParagraph"/>
        <w:numPr>
          <w:ilvl w:val="0"/>
          <w:numId w:val="30"/>
        </w:numPr>
        <w:tabs>
          <w:tab w:pos="446" w:val="left" w:leader="none"/>
        </w:tabs>
        <w:spacing w:line="360" w:lineRule="auto" w:before="5" w:after="0"/>
        <w:ind w:left="445" w:right="174" w:hanging="283"/>
        <w:jc w:val="both"/>
        <w:rPr>
          <w:sz w:val="22"/>
        </w:rPr>
      </w:pPr>
      <w:r>
        <w:rPr>
          <w:sz w:val="22"/>
        </w:rPr>
        <w:t>Bretz WA, Corby PM, Schork NJ, Robinson MT, Coelho M, Costa S</w:t>
      </w:r>
      <w:r>
        <w:rPr>
          <w:i/>
          <w:sz w:val="22"/>
        </w:rPr>
        <w:t>, et al</w:t>
      </w:r>
      <w:r>
        <w:rPr>
          <w:sz w:val="22"/>
        </w:rPr>
        <w:t>. Longitudinal analysis of heritability for dental caries traits. </w:t>
      </w:r>
      <w:r>
        <w:rPr>
          <w:i/>
          <w:sz w:val="22"/>
        </w:rPr>
        <w:t>J Dent Res. 2005;</w:t>
      </w:r>
      <w:r>
        <w:rPr>
          <w:i/>
          <w:spacing w:val="-22"/>
          <w:sz w:val="22"/>
        </w:rPr>
        <w:t> </w:t>
      </w:r>
      <w:r>
        <w:rPr>
          <w:sz w:val="22"/>
        </w:rPr>
        <w:t>84:1047-1051.</w:t>
      </w:r>
    </w:p>
    <w:p>
      <w:pPr>
        <w:pStyle w:val="ListParagraph"/>
        <w:numPr>
          <w:ilvl w:val="0"/>
          <w:numId w:val="30"/>
        </w:numPr>
        <w:tabs>
          <w:tab w:pos="446" w:val="left" w:leader="none"/>
        </w:tabs>
        <w:spacing w:line="360" w:lineRule="auto" w:before="3" w:after="0"/>
        <w:ind w:left="445" w:right="177" w:hanging="283"/>
        <w:jc w:val="both"/>
        <w:rPr>
          <w:sz w:val="22"/>
        </w:rPr>
      </w:pPr>
      <w:r>
        <w:rPr>
          <w:sz w:val="22"/>
        </w:rPr>
        <w:t>Bretz WA, Corby PM, Melo </w:t>
      </w:r>
      <w:r>
        <w:rPr>
          <w:spacing w:val="-2"/>
          <w:sz w:val="22"/>
        </w:rPr>
        <w:t>MR, </w:t>
      </w:r>
      <w:r>
        <w:rPr>
          <w:sz w:val="22"/>
        </w:rPr>
        <w:t>Coelho MQ, Costa SM, Robinson M</w:t>
      </w:r>
      <w:r>
        <w:rPr>
          <w:i/>
          <w:sz w:val="22"/>
        </w:rPr>
        <w:t>, et al</w:t>
      </w:r>
      <w:r>
        <w:rPr>
          <w:sz w:val="22"/>
        </w:rPr>
        <w:t>. Heritability estimates for dental caries and sucrose sweetness preference. </w:t>
      </w:r>
      <w:r>
        <w:rPr>
          <w:i/>
          <w:sz w:val="22"/>
        </w:rPr>
        <w:t>Arch Oral Biol. 2006; </w:t>
      </w:r>
      <w:r>
        <w:rPr>
          <w:sz w:val="22"/>
        </w:rPr>
        <w:t>51:1156-1160.</w:t>
      </w:r>
    </w:p>
    <w:p>
      <w:pPr>
        <w:pStyle w:val="ListParagraph"/>
        <w:numPr>
          <w:ilvl w:val="0"/>
          <w:numId w:val="30"/>
        </w:numPr>
        <w:tabs>
          <w:tab w:pos="446" w:val="left" w:leader="none"/>
        </w:tabs>
        <w:spacing w:line="360" w:lineRule="auto" w:before="3" w:after="0"/>
        <w:ind w:left="445" w:right="175" w:hanging="283"/>
        <w:jc w:val="both"/>
        <w:rPr>
          <w:sz w:val="22"/>
        </w:rPr>
      </w:pPr>
      <w:r>
        <w:rPr>
          <w:sz w:val="22"/>
        </w:rPr>
        <w:t>Wang X, Shaffer JR, Weyant RJ, Cuenco KT, DeSensi RS, Crout </w:t>
      </w:r>
      <w:r>
        <w:rPr>
          <w:spacing w:val="2"/>
          <w:sz w:val="22"/>
        </w:rPr>
        <w:t>R</w:t>
      </w:r>
      <w:r>
        <w:rPr>
          <w:i/>
          <w:spacing w:val="2"/>
          <w:sz w:val="22"/>
        </w:rPr>
        <w:t>, </w:t>
      </w:r>
      <w:r>
        <w:rPr>
          <w:i/>
          <w:sz w:val="22"/>
        </w:rPr>
        <w:t>et al</w:t>
      </w:r>
      <w:r>
        <w:rPr>
          <w:sz w:val="22"/>
        </w:rPr>
        <w:t>. Genes and their effects on dental caries (tooth decay) may differ between primary and permanent dentitions. </w:t>
      </w:r>
      <w:r>
        <w:rPr>
          <w:i/>
          <w:sz w:val="22"/>
        </w:rPr>
        <w:t>Caries Res.</w:t>
      </w:r>
      <w:r>
        <w:rPr>
          <w:i/>
          <w:spacing w:val="-6"/>
          <w:sz w:val="22"/>
        </w:rPr>
        <w:t> </w:t>
      </w:r>
      <w:r>
        <w:rPr>
          <w:i/>
          <w:sz w:val="22"/>
        </w:rPr>
        <w:t>2010;</w:t>
      </w:r>
      <w:r>
        <w:rPr>
          <w:sz w:val="22"/>
        </w:rPr>
        <w:t>44:277-284.</w:t>
      </w:r>
    </w:p>
    <w:p>
      <w:pPr>
        <w:pStyle w:val="ListParagraph"/>
        <w:numPr>
          <w:ilvl w:val="0"/>
          <w:numId w:val="30"/>
        </w:numPr>
        <w:tabs>
          <w:tab w:pos="590" w:val="left" w:leader="none"/>
        </w:tabs>
        <w:spacing w:line="362" w:lineRule="auto" w:before="3" w:after="0"/>
        <w:ind w:left="303" w:right="178" w:hanging="141"/>
        <w:jc w:val="left"/>
        <w:rPr>
          <w:sz w:val="22"/>
        </w:rPr>
      </w:pPr>
      <w:r>
        <w:rPr>
          <w:sz w:val="22"/>
        </w:rPr>
        <w:t>Organización Mundial de la Salud (OMS) Consecuencias Sanitaria del Empleo de Plaguicidas en la Agricultura. Ginebra, Suiza, 1992;</w:t>
      </w:r>
      <w:r>
        <w:rPr>
          <w:spacing w:val="-17"/>
          <w:sz w:val="22"/>
        </w:rPr>
        <w:t> </w:t>
      </w:r>
      <w:r>
        <w:rPr>
          <w:sz w:val="22"/>
        </w:rPr>
        <w:t>128.</w:t>
      </w:r>
    </w:p>
    <w:p>
      <w:pPr>
        <w:pStyle w:val="ListParagraph"/>
        <w:numPr>
          <w:ilvl w:val="0"/>
          <w:numId w:val="30"/>
        </w:numPr>
        <w:tabs>
          <w:tab w:pos="590" w:val="left" w:leader="none"/>
        </w:tabs>
        <w:spacing w:line="360" w:lineRule="auto" w:before="1" w:after="0"/>
        <w:ind w:left="303" w:right="182" w:hanging="141"/>
        <w:jc w:val="left"/>
        <w:rPr>
          <w:sz w:val="22"/>
        </w:rPr>
      </w:pPr>
      <w:r>
        <w:rPr>
          <w:sz w:val="22"/>
        </w:rPr>
        <w:t>Coles B, Ketterer B. The role of human glutathione and glutathione transferases in chemical carcinogenesis: Crit Rev Biochem Mol Biol. 1990; 25:</w:t>
      </w:r>
      <w:r>
        <w:rPr>
          <w:spacing w:val="-15"/>
          <w:sz w:val="22"/>
        </w:rPr>
        <w:t> </w:t>
      </w:r>
      <w:r>
        <w:rPr>
          <w:sz w:val="22"/>
        </w:rPr>
        <w:t>47.</w:t>
      </w:r>
    </w:p>
    <w:p>
      <w:pPr>
        <w:pStyle w:val="ListParagraph"/>
        <w:numPr>
          <w:ilvl w:val="0"/>
          <w:numId w:val="30"/>
        </w:numPr>
        <w:tabs>
          <w:tab w:pos="590" w:val="left" w:leader="none"/>
        </w:tabs>
        <w:spacing w:line="360" w:lineRule="auto" w:before="3" w:after="0"/>
        <w:ind w:left="303" w:right="178" w:hanging="141"/>
        <w:jc w:val="left"/>
        <w:rPr>
          <w:sz w:val="22"/>
        </w:rPr>
      </w:pPr>
      <w:r>
        <w:rPr>
          <w:sz w:val="22"/>
        </w:rPr>
        <w:t>Eaton LD, Bammler T. Concise review of the glutathione S-transferases and their significance to toxicology. Tox Sc. 1999; 49:</w:t>
      </w:r>
      <w:r>
        <w:rPr>
          <w:spacing w:val="-16"/>
          <w:sz w:val="22"/>
        </w:rPr>
        <w:t> </w:t>
      </w:r>
      <w:r>
        <w:rPr>
          <w:sz w:val="22"/>
        </w:rPr>
        <w:t>156-64.</w:t>
      </w:r>
    </w:p>
    <w:p>
      <w:pPr>
        <w:pStyle w:val="ListParagraph"/>
        <w:numPr>
          <w:ilvl w:val="0"/>
          <w:numId w:val="30"/>
        </w:numPr>
        <w:tabs>
          <w:tab w:pos="590" w:val="left" w:leader="none"/>
        </w:tabs>
        <w:spacing w:line="360" w:lineRule="auto" w:before="3" w:after="0"/>
        <w:ind w:left="303" w:right="181" w:hanging="141"/>
        <w:jc w:val="left"/>
        <w:rPr>
          <w:sz w:val="22"/>
        </w:rPr>
      </w:pPr>
      <w:r>
        <w:rPr>
          <w:sz w:val="22"/>
        </w:rPr>
        <w:t>Hayes JD, Fanagan JU, Jowsey IR. Glutathione transferases. Ann Rev Pharmacol Toxicol</w:t>
      </w:r>
      <w:r>
        <w:rPr>
          <w:i/>
          <w:sz w:val="22"/>
        </w:rPr>
        <w:t>. </w:t>
      </w:r>
      <w:r>
        <w:rPr>
          <w:sz w:val="22"/>
        </w:rPr>
        <w:t>2005</w:t>
      </w:r>
      <w:r>
        <w:rPr>
          <w:i/>
          <w:sz w:val="22"/>
        </w:rPr>
        <w:t>; </w:t>
      </w:r>
      <w:r>
        <w:rPr>
          <w:sz w:val="22"/>
        </w:rPr>
        <w:t>45:</w:t>
      </w:r>
      <w:r>
        <w:rPr>
          <w:spacing w:val="-8"/>
          <w:sz w:val="22"/>
        </w:rPr>
        <w:t> </w:t>
      </w:r>
      <w:r>
        <w:rPr>
          <w:sz w:val="22"/>
        </w:rPr>
        <w:t>51-88.</w:t>
      </w:r>
    </w:p>
    <w:p>
      <w:pPr>
        <w:pStyle w:val="ListParagraph"/>
        <w:numPr>
          <w:ilvl w:val="0"/>
          <w:numId w:val="30"/>
        </w:numPr>
        <w:tabs>
          <w:tab w:pos="590" w:val="left" w:leader="none"/>
        </w:tabs>
        <w:spacing w:line="360" w:lineRule="auto" w:before="3" w:after="0"/>
        <w:ind w:left="303" w:right="176" w:hanging="141"/>
        <w:jc w:val="left"/>
        <w:rPr>
          <w:sz w:val="22"/>
        </w:rPr>
      </w:pPr>
      <w:r>
        <w:rPr>
          <w:sz w:val="22"/>
        </w:rPr>
        <w:t>Wilce MC and Parker MW. Structure and function of glutathione S-transferases. Biochim Biophys. 1994;</w:t>
      </w:r>
      <w:r>
        <w:rPr>
          <w:spacing w:val="-6"/>
          <w:sz w:val="22"/>
        </w:rPr>
        <w:t> </w:t>
      </w:r>
      <w:r>
        <w:rPr>
          <w:sz w:val="22"/>
        </w:rPr>
        <w:t>1:18.</w:t>
      </w:r>
    </w:p>
    <w:p>
      <w:pPr>
        <w:spacing w:after="0" w:line="360" w:lineRule="auto"/>
        <w:jc w:val="left"/>
        <w:rPr>
          <w:sz w:val="22"/>
        </w:rPr>
        <w:sectPr>
          <w:pgSz w:w="12240" w:h="15840"/>
          <w:pgMar w:header="733" w:footer="1039" w:top="1020" w:bottom="1220" w:left="1540" w:right="1520"/>
        </w:sectPr>
      </w:pPr>
    </w:p>
    <w:p>
      <w:pPr>
        <w:pStyle w:val="BodyText"/>
        <w:spacing w:before="8"/>
        <w:rPr>
          <w:sz w:val="17"/>
        </w:rPr>
      </w:pPr>
    </w:p>
    <w:p>
      <w:pPr>
        <w:pStyle w:val="ListParagraph"/>
        <w:numPr>
          <w:ilvl w:val="0"/>
          <w:numId w:val="30"/>
        </w:numPr>
        <w:tabs>
          <w:tab w:pos="590" w:val="left" w:leader="none"/>
        </w:tabs>
        <w:spacing w:line="360" w:lineRule="auto" w:before="72" w:after="0"/>
        <w:ind w:left="303" w:right="175" w:hanging="141"/>
        <w:jc w:val="both"/>
        <w:rPr>
          <w:sz w:val="22"/>
        </w:rPr>
      </w:pPr>
      <w:r>
        <w:rPr>
          <w:sz w:val="22"/>
        </w:rPr>
        <w:t>Ikeda H, Serria MS, Kakisaki I, Hatayama I, Satoh K, Tsuchida S, Muramatsu M, Nishin S, Sakai M. Activation of mouse Pi-class glutathione S-transferase gene by Nrf2 (NF-E2-related factor 2) and androgen. Biochem J. 2002; 364: 563-</w:t>
      </w:r>
      <w:r>
        <w:rPr>
          <w:spacing w:val="-19"/>
          <w:sz w:val="22"/>
        </w:rPr>
        <w:t> </w:t>
      </w:r>
      <w:r>
        <w:rPr>
          <w:sz w:val="22"/>
        </w:rPr>
        <w:t>570.</w:t>
      </w:r>
    </w:p>
    <w:p>
      <w:pPr>
        <w:pStyle w:val="ListParagraph"/>
        <w:numPr>
          <w:ilvl w:val="0"/>
          <w:numId w:val="30"/>
        </w:numPr>
        <w:tabs>
          <w:tab w:pos="590" w:val="left" w:leader="none"/>
        </w:tabs>
        <w:spacing w:line="360" w:lineRule="auto" w:before="3" w:after="0"/>
        <w:ind w:left="303" w:right="181" w:hanging="141"/>
        <w:jc w:val="both"/>
        <w:rPr>
          <w:sz w:val="22"/>
        </w:rPr>
      </w:pPr>
      <w:r>
        <w:rPr>
          <w:sz w:val="22"/>
        </w:rPr>
        <w:t>Hayes JD, Fanagan JU, Jowsey IR. Glutathione transferases. Ann Rev Pharmacol Toxicol</w:t>
      </w:r>
      <w:r>
        <w:rPr>
          <w:i/>
          <w:sz w:val="22"/>
        </w:rPr>
        <w:t>. </w:t>
      </w:r>
      <w:r>
        <w:rPr>
          <w:sz w:val="22"/>
        </w:rPr>
        <w:t>2005</w:t>
      </w:r>
      <w:r>
        <w:rPr>
          <w:i/>
          <w:sz w:val="22"/>
        </w:rPr>
        <w:t>; </w:t>
      </w:r>
      <w:r>
        <w:rPr>
          <w:sz w:val="22"/>
        </w:rPr>
        <w:t>45:</w:t>
      </w:r>
      <w:r>
        <w:rPr>
          <w:spacing w:val="-8"/>
          <w:sz w:val="22"/>
        </w:rPr>
        <w:t> </w:t>
      </w:r>
      <w:r>
        <w:rPr>
          <w:sz w:val="22"/>
        </w:rPr>
        <w:t>51-88.</w:t>
      </w:r>
    </w:p>
    <w:p>
      <w:pPr>
        <w:pStyle w:val="ListParagraph"/>
        <w:numPr>
          <w:ilvl w:val="0"/>
          <w:numId w:val="30"/>
        </w:numPr>
        <w:tabs>
          <w:tab w:pos="590" w:val="left" w:leader="none"/>
        </w:tabs>
        <w:spacing w:line="360" w:lineRule="auto" w:before="3" w:after="0"/>
        <w:ind w:left="303" w:right="176" w:hanging="141"/>
        <w:jc w:val="both"/>
        <w:rPr>
          <w:sz w:val="22"/>
        </w:rPr>
      </w:pPr>
      <w:r>
        <w:rPr>
          <w:sz w:val="22"/>
        </w:rPr>
        <w:t>Oliveira AL, Rodríguez FO, Santos RE, Aoki T, Rocha </w:t>
      </w:r>
      <w:r>
        <w:rPr>
          <w:spacing w:val="-2"/>
          <w:sz w:val="22"/>
        </w:rPr>
        <w:t>MN, </w:t>
      </w:r>
      <w:r>
        <w:rPr>
          <w:sz w:val="22"/>
        </w:rPr>
        <w:t>Longui CA and Melo MB. GSTT1, GSTM1, and GSTP1 polymorphisms and chemotherapy response in locally advanced breast cancer. Genetics and Molecular Research. 2010; 9(2):</w:t>
      </w:r>
      <w:r>
        <w:rPr>
          <w:spacing w:val="-18"/>
          <w:sz w:val="22"/>
        </w:rPr>
        <w:t> </w:t>
      </w:r>
      <w:r>
        <w:rPr>
          <w:sz w:val="22"/>
        </w:rPr>
        <w:t>1045-1053.</w:t>
      </w:r>
    </w:p>
    <w:p>
      <w:pPr>
        <w:pStyle w:val="ListParagraph"/>
        <w:numPr>
          <w:ilvl w:val="0"/>
          <w:numId w:val="30"/>
        </w:numPr>
        <w:tabs>
          <w:tab w:pos="590" w:val="left" w:leader="none"/>
        </w:tabs>
        <w:spacing w:line="360" w:lineRule="auto" w:before="3" w:after="0"/>
        <w:ind w:left="303" w:right="178" w:hanging="141"/>
        <w:jc w:val="both"/>
        <w:rPr>
          <w:sz w:val="22"/>
        </w:rPr>
      </w:pPr>
      <w:r>
        <w:rPr>
          <w:sz w:val="22"/>
        </w:rPr>
        <w:t>Eaton LD, Bammler T. Concise review of the glutathione S-transferases and their significance to toxicology. Tox Sc. 1999; 49:</w:t>
      </w:r>
      <w:r>
        <w:rPr>
          <w:spacing w:val="-16"/>
          <w:sz w:val="22"/>
        </w:rPr>
        <w:t> </w:t>
      </w:r>
      <w:r>
        <w:rPr>
          <w:sz w:val="22"/>
        </w:rPr>
        <w:t>156-64.</w:t>
      </w:r>
    </w:p>
    <w:p>
      <w:pPr>
        <w:pStyle w:val="ListParagraph"/>
        <w:numPr>
          <w:ilvl w:val="0"/>
          <w:numId w:val="30"/>
        </w:numPr>
        <w:tabs>
          <w:tab w:pos="590" w:val="left" w:leader="none"/>
        </w:tabs>
        <w:spacing w:line="360" w:lineRule="auto" w:before="4" w:after="0"/>
        <w:ind w:left="303" w:right="181" w:hanging="141"/>
        <w:jc w:val="both"/>
        <w:rPr>
          <w:sz w:val="22"/>
        </w:rPr>
      </w:pPr>
      <w:r>
        <w:rPr>
          <w:sz w:val="22"/>
        </w:rPr>
        <w:t>Castillo CJ, Contreras SC, Poblano RB, Posada RP y García JR. Actividad en la enzima Glutation S-transferasa T1 en floricultores expuestos a plaguicidas. Bioquímica. 2007; 32:</w:t>
      </w:r>
      <w:r>
        <w:rPr>
          <w:spacing w:val="-2"/>
          <w:sz w:val="22"/>
        </w:rPr>
        <w:t> </w:t>
      </w:r>
      <w:r>
        <w:rPr>
          <w:sz w:val="22"/>
        </w:rPr>
        <w:t>138.</w:t>
      </w:r>
    </w:p>
    <w:p>
      <w:pPr>
        <w:pStyle w:val="ListParagraph"/>
        <w:numPr>
          <w:ilvl w:val="0"/>
          <w:numId w:val="30"/>
        </w:numPr>
        <w:tabs>
          <w:tab w:pos="590" w:val="left" w:leader="none"/>
        </w:tabs>
        <w:spacing w:line="360" w:lineRule="auto" w:before="3" w:after="0"/>
        <w:ind w:left="303" w:right="177" w:hanging="141"/>
        <w:jc w:val="both"/>
        <w:rPr>
          <w:sz w:val="22"/>
        </w:rPr>
      </w:pPr>
      <w:r>
        <w:rPr>
          <w:sz w:val="22"/>
        </w:rPr>
        <w:t>Ali-Osman F, Akande O, Antoun G, Mao JX and Buolamwini J. Molecular cloning, characterization, and expression in </w:t>
      </w:r>
      <w:r>
        <w:rPr>
          <w:i/>
          <w:sz w:val="22"/>
        </w:rPr>
        <w:t>Escherichia coli </w:t>
      </w:r>
      <w:r>
        <w:rPr>
          <w:sz w:val="22"/>
        </w:rPr>
        <w:t>of full-length cDNAs of three human Glutathione </w:t>
      </w:r>
      <w:r>
        <w:rPr>
          <w:i/>
          <w:sz w:val="22"/>
        </w:rPr>
        <w:t>S</w:t>
      </w:r>
      <w:r>
        <w:rPr>
          <w:sz w:val="22"/>
        </w:rPr>
        <w:t>-Transferase Pi gene variants. The Journal of Biological Chemistry. 1997; 272(15):</w:t>
      </w:r>
      <w:r>
        <w:rPr>
          <w:spacing w:val="-3"/>
          <w:sz w:val="22"/>
        </w:rPr>
        <w:t> </w:t>
      </w:r>
      <w:r>
        <w:rPr>
          <w:sz w:val="22"/>
        </w:rPr>
        <w:t>10004–10012.</w:t>
      </w:r>
    </w:p>
    <w:p>
      <w:pPr>
        <w:pStyle w:val="ListParagraph"/>
        <w:numPr>
          <w:ilvl w:val="0"/>
          <w:numId w:val="30"/>
        </w:numPr>
        <w:tabs>
          <w:tab w:pos="590" w:val="left" w:leader="none"/>
        </w:tabs>
        <w:spacing w:line="360" w:lineRule="auto" w:before="3" w:after="0"/>
        <w:ind w:left="303" w:right="179" w:hanging="141"/>
        <w:jc w:val="both"/>
        <w:rPr>
          <w:sz w:val="22"/>
        </w:rPr>
      </w:pPr>
      <w:r>
        <w:rPr>
          <w:sz w:val="22"/>
        </w:rPr>
        <w:t>Burt, B. A. and S. Pai (2001). “Sugar Consumption and Caries Risk: A Systematic Review.” </w:t>
      </w:r>
      <w:r>
        <w:rPr>
          <w:i/>
          <w:sz w:val="22"/>
        </w:rPr>
        <w:t>Journal of Dental Education </w:t>
      </w:r>
      <w:r>
        <w:rPr>
          <w:sz w:val="22"/>
        </w:rPr>
        <w:t>65(10):</w:t>
      </w:r>
      <w:r>
        <w:rPr>
          <w:spacing w:val="-16"/>
          <w:sz w:val="22"/>
        </w:rPr>
        <w:t> </w:t>
      </w:r>
      <w:r>
        <w:rPr>
          <w:sz w:val="22"/>
        </w:rPr>
        <w:t>1017-1023.</w:t>
      </w:r>
    </w:p>
    <w:p>
      <w:pPr>
        <w:pStyle w:val="ListParagraph"/>
        <w:numPr>
          <w:ilvl w:val="0"/>
          <w:numId w:val="30"/>
        </w:numPr>
        <w:tabs>
          <w:tab w:pos="590" w:val="left" w:leader="none"/>
        </w:tabs>
        <w:spacing w:line="360" w:lineRule="auto" w:before="3" w:after="0"/>
        <w:ind w:left="303" w:right="176" w:hanging="141"/>
        <w:jc w:val="both"/>
        <w:rPr>
          <w:sz w:val="22"/>
        </w:rPr>
      </w:pPr>
      <w:r>
        <w:rPr>
          <w:sz w:val="22"/>
        </w:rPr>
        <w:t>Irigoyen ME, Zepeda MA, Sánchez L, Molina N. Prevalencia e incidencia de caries dental y hábitos de higiene bucal en un grupo de escolares del sur de la Ciudad de México: estudio de seguimiento longitudinal. Rev ADM, 2001; </w:t>
      </w:r>
      <w:r>
        <w:rPr>
          <w:i/>
          <w:sz w:val="22"/>
        </w:rPr>
        <w:t>53</w:t>
      </w:r>
      <w:r>
        <w:rPr>
          <w:sz w:val="22"/>
        </w:rPr>
        <w:t>(3):</w:t>
      </w:r>
      <w:r>
        <w:rPr>
          <w:spacing w:val="41"/>
          <w:sz w:val="22"/>
        </w:rPr>
        <w:t> </w:t>
      </w:r>
      <w:r>
        <w:rPr>
          <w:sz w:val="22"/>
        </w:rPr>
        <w:t>98-104.</w:t>
      </w:r>
    </w:p>
    <w:p>
      <w:pPr>
        <w:pStyle w:val="ListParagraph"/>
        <w:numPr>
          <w:ilvl w:val="0"/>
          <w:numId w:val="30"/>
        </w:numPr>
        <w:tabs>
          <w:tab w:pos="590" w:val="left" w:leader="none"/>
        </w:tabs>
        <w:spacing w:line="360" w:lineRule="auto" w:before="3" w:after="0"/>
        <w:ind w:left="303" w:right="183" w:hanging="141"/>
        <w:jc w:val="both"/>
        <w:rPr>
          <w:sz w:val="22"/>
        </w:rPr>
      </w:pPr>
      <w:r>
        <w:rPr>
          <w:sz w:val="22"/>
        </w:rPr>
        <w:t>Deshpande A, Deshpande N. Similar caries pattern in monozygotic twins: Role of nature and/or nurture. Euro Gen Dent. 2012; 1:</w:t>
      </w:r>
      <w:r>
        <w:rPr>
          <w:spacing w:val="-19"/>
          <w:sz w:val="22"/>
        </w:rPr>
        <w:t> </w:t>
      </w:r>
      <w:r>
        <w:rPr>
          <w:sz w:val="22"/>
        </w:rPr>
        <w:t>104-108.</w:t>
      </w:r>
    </w:p>
    <w:p>
      <w:pPr>
        <w:pStyle w:val="ListParagraph"/>
        <w:numPr>
          <w:ilvl w:val="0"/>
          <w:numId w:val="30"/>
        </w:numPr>
        <w:tabs>
          <w:tab w:pos="590" w:val="left" w:leader="none"/>
        </w:tabs>
        <w:spacing w:line="360" w:lineRule="auto" w:before="3" w:after="0"/>
        <w:ind w:left="303" w:right="179" w:hanging="141"/>
        <w:jc w:val="both"/>
        <w:rPr>
          <w:sz w:val="22"/>
        </w:rPr>
      </w:pPr>
      <w:r>
        <w:rPr>
          <w:sz w:val="22"/>
        </w:rPr>
        <w:t>Conry JP, Messer LB, Boraas JC, Aeppli DP, BouchardTJ Jr. Dental caries and treatment characteristics in human twins reares apart. Arch Oral Biol. 1993; 83:</w:t>
      </w:r>
      <w:r>
        <w:rPr>
          <w:spacing w:val="-25"/>
          <w:sz w:val="22"/>
        </w:rPr>
        <w:t> </w:t>
      </w:r>
      <w:r>
        <w:rPr>
          <w:sz w:val="22"/>
        </w:rPr>
        <w:t>937-43.</w:t>
      </w:r>
    </w:p>
    <w:p>
      <w:pPr>
        <w:pStyle w:val="ListParagraph"/>
        <w:numPr>
          <w:ilvl w:val="0"/>
          <w:numId w:val="30"/>
        </w:numPr>
        <w:tabs>
          <w:tab w:pos="590" w:val="left" w:leader="none"/>
        </w:tabs>
        <w:spacing w:line="360" w:lineRule="auto" w:before="3" w:after="0"/>
        <w:ind w:left="303" w:right="179" w:hanging="141"/>
        <w:jc w:val="both"/>
        <w:rPr>
          <w:sz w:val="22"/>
        </w:rPr>
      </w:pPr>
      <w:r>
        <w:rPr>
          <w:sz w:val="22"/>
        </w:rPr>
        <w:t>Singh S, Kumar V, Sing P, Thakur S, Dev Banerjee B, Singh RR, et al. Genetic polymorphisms of GSTM1, GSTT1, GSTP1 and susceptibility to DNA damage in workers occupationally exposed to organophosphate pesticides. J Mr Gen Tox. 2011;</w:t>
      </w:r>
      <w:r>
        <w:rPr>
          <w:spacing w:val="-22"/>
          <w:sz w:val="22"/>
        </w:rPr>
        <w:t> </w:t>
      </w:r>
      <w:r>
        <w:rPr>
          <w:sz w:val="22"/>
        </w:rPr>
        <w:t>725:36-42.</w:t>
      </w:r>
    </w:p>
    <w:p>
      <w:pPr>
        <w:pStyle w:val="ListParagraph"/>
        <w:numPr>
          <w:ilvl w:val="0"/>
          <w:numId w:val="30"/>
        </w:numPr>
        <w:tabs>
          <w:tab w:pos="590" w:val="left" w:leader="none"/>
        </w:tabs>
        <w:spacing w:line="360" w:lineRule="auto" w:before="5" w:after="0"/>
        <w:ind w:left="303" w:right="176" w:hanging="141"/>
        <w:jc w:val="both"/>
        <w:rPr>
          <w:sz w:val="22"/>
        </w:rPr>
      </w:pPr>
      <w:r>
        <w:rPr>
          <w:sz w:val="22"/>
        </w:rPr>
        <w:t>Liu JY, Huang LP, Chang FY, Chen HY, Chiou HY, Xu LZ, et al. GSTP1 Genetic Polymorphism Is Associated with a Higher Risk of DNA Damage in Pesticide-Exposed Fruit Growers. Cancer Epidemiol Biomarkers Prev. 2006;</w:t>
      </w:r>
      <w:r>
        <w:rPr>
          <w:spacing w:val="-16"/>
          <w:sz w:val="22"/>
        </w:rPr>
        <w:t> </w:t>
      </w:r>
      <w:r>
        <w:rPr>
          <w:sz w:val="22"/>
        </w:rPr>
        <w:t>15(4):659-666.</w:t>
      </w:r>
    </w:p>
    <w:p>
      <w:pPr>
        <w:pStyle w:val="ListParagraph"/>
        <w:numPr>
          <w:ilvl w:val="0"/>
          <w:numId w:val="30"/>
        </w:numPr>
        <w:tabs>
          <w:tab w:pos="590" w:val="left" w:leader="none"/>
        </w:tabs>
        <w:spacing w:line="360" w:lineRule="auto" w:before="3" w:after="0"/>
        <w:ind w:left="303" w:right="178" w:hanging="141"/>
        <w:jc w:val="both"/>
        <w:rPr>
          <w:sz w:val="22"/>
        </w:rPr>
      </w:pPr>
      <w:r>
        <w:rPr>
          <w:sz w:val="22"/>
        </w:rPr>
        <w:t>Cho HJ, Lee SY, Ki CS, Kim JW. GSTM1, GSTT1 and GSTP1 Polymorphisms in the Korean Population.   J Korean Med Sci. 2005; 20(6):</w:t>
      </w:r>
      <w:r>
        <w:rPr>
          <w:spacing w:val="-11"/>
          <w:sz w:val="22"/>
        </w:rPr>
        <w:t> </w:t>
      </w:r>
      <w:r>
        <w:rPr>
          <w:sz w:val="22"/>
        </w:rPr>
        <w:t>1089-1092.</w:t>
      </w:r>
    </w:p>
    <w:p>
      <w:pPr>
        <w:spacing w:after="0" w:line="360" w:lineRule="auto"/>
        <w:jc w:val="both"/>
        <w:rPr>
          <w:sz w:val="22"/>
        </w:rPr>
        <w:sectPr>
          <w:pgSz w:w="12240" w:h="15840"/>
          <w:pgMar w:header="733" w:footer="1039" w:top="1020" w:bottom="1220" w:left="1540" w:right="1520"/>
        </w:sectPr>
      </w:pPr>
    </w:p>
    <w:p>
      <w:pPr>
        <w:pStyle w:val="BodyText"/>
        <w:spacing w:before="8"/>
        <w:rPr>
          <w:sz w:val="17"/>
        </w:rPr>
      </w:pPr>
    </w:p>
    <w:p>
      <w:pPr>
        <w:pStyle w:val="ListParagraph"/>
        <w:numPr>
          <w:ilvl w:val="0"/>
          <w:numId w:val="30"/>
        </w:numPr>
        <w:tabs>
          <w:tab w:pos="590" w:val="left" w:leader="none"/>
        </w:tabs>
        <w:spacing w:line="360" w:lineRule="auto" w:before="72" w:after="0"/>
        <w:ind w:left="303" w:right="173" w:hanging="141"/>
        <w:jc w:val="both"/>
        <w:rPr>
          <w:sz w:val="22"/>
        </w:rPr>
      </w:pPr>
      <w:r>
        <w:rPr>
          <w:sz w:val="22"/>
        </w:rPr>
        <w:t>Chen CL, Liu Q, Relling MV. Simultaneous characterization of glutathione S- transferase M1 and T1 polymorphisms by polymerase chain reaction in American whites and blacks. Pharmacogenetics 1996; 6:</w:t>
      </w:r>
      <w:r>
        <w:rPr>
          <w:spacing w:val="-10"/>
          <w:sz w:val="22"/>
        </w:rPr>
        <w:t> </w:t>
      </w:r>
      <w:r>
        <w:rPr>
          <w:sz w:val="22"/>
        </w:rPr>
        <w:t>187–191.</w:t>
      </w:r>
    </w:p>
    <w:p>
      <w:pPr>
        <w:pStyle w:val="ListParagraph"/>
        <w:numPr>
          <w:ilvl w:val="0"/>
          <w:numId w:val="30"/>
        </w:numPr>
        <w:tabs>
          <w:tab w:pos="590" w:val="left" w:leader="none"/>
        </w:tabs>
        <w:spacing w:line="360" w:lineRule="auto" w:before="3" w:after="0"/>
        <w:ind w:left="303" w:right="179" w:hanging="141"/>
        <w:jc w:val="both"/>
        <w:rPr>
          <w:sz w:val="22"/>
        </w:rPr>
      </w:pPr>
      <w:r>
        <w:rPr>
          <w:sz w:val="22"/>
        </w:rPr>
        <w:t>Naoe T, Takeyama K, Yokozawa T, Kiyoi H, Seto M, Uike N, Ino </w:t>
      </w:r>
      <w:r>
        <w:rPr>
          <w:spacing w:val="4"/>
          <w:sz w:val="22"/>
        </w:rPr>
        <w:t>T, </w:t>
      </w:r>
      <w:r>
        <w:rPr>
          <w:sz w:val="22"/>
        </w:rPr>
        <w:t>et al. Analysis of genetic polymorphism in NQ01, GSTM1, GSTT1, and CYP3A4 in 469 Japanese patients with therapy-related leukemic/myelodysplastic syndrome and de novo acute myeloid leukemia. Clin Cancer Res 2000; 6:</w:t>
      </w:r>
      <w:r>
        <w:rPr>
          <w:spacing w:val="-12"/>
          <w:sz w:val="22"/>
        </w:rPr>
        <w:t> </w:t>
      </w:r>
      <w:r>
        <w:rPr>
          <w:sz w:val="22"/>
        </w:rPr>
        <w:t>4091–4095.</w:t>
      </w:r>
    </w:p>
    <w:p>
      <w:pPr>
        <w:spacing w:after="0" w:line="360" w:lineRule="auto"/>
        <w:jc w:val="both"/>
        <w:rPr>
          <w:sz w:val="22"/>
        </w:rPr>
        <w:sectPr>
          <w:pgSz w:w="12240" w:h="15840"/>
          <w:pgMar w:header="733" w:footer="1039" w:top="1020" w:bottom="1220" w:left="1540" w:right="1520"/>
        </w:sectPr>
      </w:pPr>
    </w:p>
    <w:p>
      <w:pPr>
        <w:pStyle w:val="BodyText"/>
        <w:rPr>
          <w:sz w:val="18"/>
        </w:rPr>
      </w:pPr>
    </w:p>
    <w:p>
      <w:pPr>
        <w:pStyle w:val="Heading2"/>
        <w:spacing w:before="69"/>
      </w:pPr>
      <w:r>
        <w:rPr/>
        <w:t>FIGURES AND TABLES</w:t>
      </w:r>
    </w:p>
    <w:p>
      <w:pPr>
        <w:pStyle w:val="BodyText"/>
        <w:spacing w:before="1"/>
        <w:rPr>
          <w:b/>
          <w:sz w:val="21"/>
        </w:rPr>
      </w:pPr>
    </w:p>
    <w:p>
      <w:pPr>
        <w:pStyle w:val="BodyText"/>
        <w:spacing w:line="360" w:lineRule="auto"/>
        <w:ind w:left="162" w:right="175"/>
        <w:jc w:val="both"/>
      </w:pPr>
      <w:r>
        <w:rPr>
          <w:sz w:val="22"/>
        </w:rPr>
        <w:t>Fig.1. </w:t>
      </w:r>
      <w:r>
        <w:rPr/>
        <w:t>Photograph of multiplex PCR analysis of Glutathione S-tranferase (GST) polymorphisms. Cytochrome P450 (CYP1A1; 312 bp), glutathione S-tranferase M1 (GSTM1; 215 bp) genes PCR products resolved by agarose gel electrophoresis. Line marker is 100 bp DNA ladder. Lines 2, 4, 5 and 10 are GSTM1 present (+/+) genotype, line 1, 3, 6, 7, 8 and 9 were GSTM1 null (-/-) genotype.</w:t>
      </w:r>
    </w:p>
    <w:p>
      <w:pPr>
        <w:pStyle w:val="BodyText"/>
        <w:rPr>
          <w:sz w:val="20"/>
        </w:rPr>
      </w:pPr>
    </w:p>
    <w:p>
      <w:pPr>
        <w:pStyle w:val="BodyText"/>
        <w:spacing w:before="3"/>
        <w:rPr>
          <w:sz w:val="20"/>
        </w:rPr>
      </w:pPr>
      <w:r>
        <w:rPr/>
        <w:drawing>
          <wp:anchor distT="0" distB="0" distL="0" distR="0" allowOverlap="1" layoutInCell="1" locked="0" behindDoc="0" simplePos="0" relativeHeight="1240">
            <wp:simplePos x="0" y="0"/>
            <wp:positionH relativeFrom="page">
              <wp:posOffset>1099185</wp:posOffset>
            </wp:positionH>
            <wp:positionV relativeFrom="paragraph">
              <wp:posOffset>172909</wp:posOffset>
            </wp:positionV>
            <wp:extent cx="5543652" cy="2838164"/>
            <wp:effectExtent l="0" t="0" r="0" b="0"/>
            <wp:wrapTopAndBottom/>
            <wp:docPr id="7" name="image9.png" descr=""/>
            <wp:cNvGraphicFramePr>
              <a:graphicFrameLocks noChangeAspect="1"/>
            </wp:cNvGraphicFramePr>
            <a:graphic>
              <a:graphicData uri="http://schemas.openxmlformats.org/drawingml/2006/picture">
                <pic:pic>
                  <pic:nvPicPr>
                    <pic:cNvPr id="8" name="image9.png"/>
                    <pic:cNvPicPr/>
                  </pic:nvPicPr>
                  <pic:blipFill>
                    <a:blip r:embed="rId21" cstate="print"/>
                    <a:stretch>
                      <a:fillRect/>
                    </a:stretch>
                  </pic:blipFill>
                  <pic:spPr>
                    <a:xfrm>
                      <a:off x="0" y="0"/>
                      <a:ext cx="5543652" cy="2838164"/>
                    </a:xfrm>
                    <a:prstGeom prst="rect">
                      <a:avLst/>
                    </a:prstGeom>
                  </pic:spPr>
                </pic:pic>
              </a:graphicData>
            </a:graphic>
          </wp:anchor>
        </w:drawing>
      </w:r>
    </w:p>
    <w:p>
      <w:pPr>
        <w:spacing w:after="0"/>
        <w:rPr>
          <w:sz w:val="20"/>
        </w:rPr>
        <w:sectPr>
          <w:pgSz w:w="12240" w:h="15840"/>
          <w:pgMar w:header="733" w:footer="1039" w:top="1020" w:bottom="1220" w:left="1540" w:right="1520"/>
        </w:sectPr>
      </w:pPr>
    </w:p>
    <w:p>
      <w:pPr>
        <w:pStyle w:val="BodyText"/>
        <w:rPr>
          <w:sz w:val="18"/>
        </w:rPr>
      </w:pPr>
    </w:p>
    <w:p>
      <w:pPr>
        <w:pStyle w:val="BodyText"/>
        <w:spacing w:before="69"/>
        <w:ind w:left="242"/>
      </w:pPr>
      <w:r>
        <w:rPr/>
        <w:t>Table 1.  Categories Studied. Sociodemographic, Dietary and Hygienic Habits.</w:t>
      </w:r>
    </w:p>
    <w:p>
      <w:pPr>
        <w:pStyle w:val="BodyText"/>
        <w:rPr>
          <w:sz w:val="20"/>
        </w:rPr>
      </w:pPr>
    </w:p>
    <w:p>
      <w:pPr>
        <w:pStyle w:val="BodyText"/>
        <w:rPr>
          <w:sz w:val="20"/>
        </w:rPr>
      </w:pPr>
    </w:p>
    <w:p>
      <w:pPr>
        <w:pStyle w:val="BodyText"/>
        <w:rPr>
          <w:sz w:val="17"/>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76"/>
        <w:gridCol w:w="1630"/>
        <w:gridCol w:w="701"/>
        <w:gridCol w:w="874"/>
        <w:gridCol w:w="616"/>
        <w:gridCol w:w="1116"/>
      </w:tblGrid>
      <w:tr>
        <w:trPr>
          <w:trHeight w:val="501" w:hRule="exact"/>
        </w:trPr>
        <w:tc>
          <w:tcPr>
            <w:tcW w:w="3976" w:type="dxa"/>
            <w:tcBorders>
              <w:bottom w:val="single" w:sz="8" w:space="0" w:color="000000"/>
            </w:tcBorders>
          </w:tcPr>
          <w:p>
            <w:pPr/>
          </w:p>
        </w:tc>
        <w:tc>
          <w:tcPr>
            <w:tcW w:w="1630" w:type="dxa"/>
            <w:tcBorders>
              <w:bottom w:val="single" w:sz="8" w:space="0" w:color="000000"/>
            </w:tcBorders>
          </w:tcPr>
          <w:p>
            <w:pPr>
              <w:pStyle w:val="TableParagraph"/>
              <w:spacing w:line="226" w:lineRule="exact"/>
              <w:ind w:left="221" w:right="362"/>
              <w:rPr>
                <w:sz w:val="22"/>
              </w:rPr>
            </w:pPr>
            <w:r>
              <w:rPr>
                <w:sz w:val="22"/>
              </w:rPr>
              <w:t>Category</w:t>
            </w:r>
          </w:p>
        </w:tc>
        <w:tc>
          <w:tcPr>
            <w:tcW w:w="1574" w:type="dxa"/>
            <w:gridSpan w:val="2"/>
            <w:tcBorders>
              <w:bottom w:val="single" w:sz="8" w:space="0" w:color="000000"/>
            </w:tcBorders>
          </w:tcPr>
          <w:p>
            <w:pPr>
              <w:pStyle w:val="TableParagraph"/>
              <w:spacing w:line="226" w:lineRule="exact"/>
              <w:ind w:left="293"/>
              <w:rPr>
                <w:sz w:val="22"/>
              </w:rPr>
            </w:pPr>
            <w:r>
              <w:rPr>
                <w:sz w:val="22"/>
              </w:rPr>
              <w:t>Exposed</w:t>
            </w:r>
          </w:p>
          <w:p>
            <w:pPr>
              <w:pStyle w:val="TableParagraph"/>
              <w:spacing w:before="1"/>
              <w:ind w:left="293"/>
              <w:rPr>
                <w:sz w:val="22"/>
              </w:rPr>
            </w:pPr>
            <w:r>
              <w:rPr>
                <w:sz w:val="22"/>
              </w:rPr>
              <w:t>Group</w:t>
            </w:r>
          </w:p>
        </w:tc>
        <w:tc>
          <w:tcPr>
            <w:tcW w:w="1732" w:type="dxa"/>
            <w:gridSpan w:val="2"/>
            <w:tcBorders>
              <w:bottom w:val="single" w:sz="8" w:space="0" w:color="000000"/>
            </w:tcBorders>
          </w:tcPr>
          <w:p>
            <w:pPr>
              <w:pStyle w:val="TableParagraph"/>
              <w:spacing w:line="226" w:lineRule="exact"/>
              <w:ind w:left="137"/>
              <w:rPr>
                <w:sz w:val="22"/>
              </w:rPr>
            </w:pPr>
            <w:r>
              <w:rPr>
                <w:sz w:val="22"/>
              </w:rPr>
              <w:t>Unexposed</w:t>
            </w:r>
          </w:p>
          <w:p>
            <w:pPr>
              <w:pStyle w:val="TableParagraph"/>
              <w:spacing w:before="1"/>
              <w:ind w:left="137"/>
              <w:rPr>
                <w:sz w:val="22"/>
              </w:rPr>
            </w:pPr>
            <w:r>
              <w:rPr>
                <w:sz w:val="22"/>
              </w:rPr>
              <w:t>Group</w:t>
            </w:r>
          </w:p>
        </w:tc>
      </w:tr>
      <w:tr>
        <w:trPr>
          <w:trHeight w:val="291" w:hRule="exact"/>
        </w:trPr>
        <w:tc>
          <w:tcPr>
            <w:tcW w:w="3976" w:type="dxa"/>
            <w:tcBorders>
              <w:top w:val="single" w:sz="8" w:space="0" w:color="000000"/>
              <w:bottom w:val="single" w:sz="6" w:space="0" w:color="000000"/>
            </w:tcBorders>
          </w:tcPr>
          <w:p>
            <w:pPr/>
          </w:p>
        </w:tc>
        <w:tc>
          <w:tcPr>
            <w:tcW w:w="1630" w:type="dxa"/>
            <w:tcBorders>
              <w:top w:val="single" w:sz="8" w:space="0" w:color="000000"/>
              <w:bottom w:val="single" w:sz="6" w:space="0" w:color="000000"/>
            </w:tcBorders>
          </w:tcPr>
          <w:p>
            <w:pPr/>
          </w:p>
        </w:tc>
        <w:tc>
          <w:tcPr>
            <w:tcW w:w="1574" w:type="dxa"/>
            <w:gridSpan w:val="2"/>
            <w:tcBorders>
              <w:top w:val="single" w:sz="8" w:space="0" w:color="000000"/>
              <w:bottom w:val="single" w:sz="6" w:space="0" w:color="000000"/>
            </w:tcBorders>
          </w:tcPr>
          <w:p>
            <w:pPr>
              <w:pStyle w:val="TableParagraph"/>
              <w:tabs>
                <w:tab w:pos="967" w:val="left" w:leader="none"/>
              </w:tabs>
              <w:spacing w:line="251" w:lineRule="exact"/>
              <w:ind w:left="293"/>
              <w:rPr>
                <w:sz w:val="22"/>
              </w:rPr>
            </w:pPr>
            <w:r>
              <w:rPr>
                <w:sz w:val="22"/>
              </w:rPr>
              <w:t>n</w:t>
              <w:tab/>
              <w:t>(%)</w:t>
            </w:r>
          </w:p>
        </w:tc>
        <w:tc>
          <w:tcPr>
            <w:tcW w:w="1732" w:type="dxa"/>
            <w:gridSpan w:val="2"/>
            <w:tcBorders>
              <w:top w:val="single" w:sz="8" w:space="0" w:color="000000"/>
              <w:bottom w:val="single" w:sz="6" w:space="0" w:color="000000"/>
            </w:tcBorders>
          </w:tcPr>
          <w:p>
            <w:pPr>
              <w:pStyle w:val="TableParagraph"/>
              <w:tabs>
                <w:tab w:pos="872" w:val="left" w:leader="none"/>
              </w:tabs>
              <w:spacing w:line="251" w:lineRule="exact"/>
              <w:ind w:left="137"/>
              <w:rPr>
                <w:sz w:val="22"/>
              </w:rPr>
            </w:pPr>
            <w:r>
              <w:rPr>
                <w:sz w:val="22"/>
              </w:rPr>
              <w:t>n</w:t>
              <w:tab/>
              <w:t>(%)</w:t>
            </w:r>
          </w:p>
        </w:tc>
      </w:tr>
      <w:tr>
        <w:trPr>
          <w:trHeight w:val="296" w:hRule="exact"/>
        </w:trPr>
        <w:tc>
          <w:tcPr>
            <w:tcW w:w="3976" w:type="dxa"/>
            <w:tcBorders>
              <w:top w:val="single" w:sz="6" w:space="0" w:color="000000"/>
            </w:tcBorders>
          </w:tcPr>
          <w:p>
            <w:pPr>
              <w:pStyle w:val="TableParagraph"/>
              <w:spacing w:before="23"/>
              <w:ind w:left="2640"/>
              <w:rPr>
                <w:sz w:val="22"/>
              </w:rPr>
            </w:pPr>
            <w:r>
              <w:rPr>
                <w:sz w:val="22"/>
              </w:rPr>
              <w:t>Sex</w:t>
            </w:r>
          </w:p>
        </w:tc>
        <w:tc>
          <w:tcPr>
            <w:tcW w:w="1630" w:type="dxa"/>
            <w:vMerge w:val="restart"/>
            <w:tcBorders>
              <w:top w:val="single" w:sz="6" w:space="0" w:color="000000"/>
            </w:tcBorders>
          </w:tcPr>
          <w:p>
            <w:pPr>
              <w:pStyle w:val="TableParagraph"/>
              <w:spacing w:before="23"/>
              <w:ind w:left="221" w:right="655"/>
              <w:rPr>
                <w:sz w:val="22"/>
              </w:rPr>
            </w:pPr>
            <w:r>
              <w:rPr>
                <w:sz w:val="22"/>
              </w:rPr>
              <w:t>Male Female</w:t>
            </w:r>
          </w:p>
        </w:tc>
        <w:tc>
          <w:tcPr>
            <w:tcW w:w="701" w:type="dxa"/>
            <w:vMerge w:val="restart"/>
            <w:tcBorders>
              <w:top w:val="single" w:sz="6" w:space="0" w:color="000000"/>
            </w:tcBorders>
          </w:tcPr>
          <w:p>
            <w:pPr>
              <w:pStyle w:val="TableParagraph"/>
              <w:spacing w:before="23"/>
              <w:ind w:left="293"/>
              <w:rPr>
                <w:sz w:val="22"/>
              </w:rPr>
            </w:pPr>
            <w:r>
              <w:rPr>
                <w:sz w:val="22"/>
              </w:rPr>
              <w:t>17</w:t>
            </w:r>
          </w:p>
          <w:p>
            <w:pPr>
              <w:pStyle w:val="TableParagraph"/>
              <w:spacing w:before="1"/>
              <w:ind w:left="293"/>
              <w:rPr>
                <w:sz w:val="22"/>
              </w:rPr>
            </w:pPr>
            <w:r>
              <w:rPr>
                <w:sz w:val="22"/>
              </w:rPr>
              <w:t>23</w:t>
            </w:r>
          </w:p>
        </w:tc>
        <w:tc>
          <w:tcPr>
            <w:tcW w:w="874" w:type="dxa"/>
            <w:vMerge w:val="restart"/>
            <w:tcBorders>
              <w:top w:val="single" w:sz="6" w:space="0" w:color="000000"/>
            </w:tcBorders>
          </w:tcPr>
          <w:p>
            <w:pPr>
              <w:pStyle w:val="TableParagraph"/>
              <w:spacing w:before="23"/>
              <w:ind w:left="161"/>
              <w:rPr>
                <w:sz w:val="22"/>
              </w:rPr>
            </w:pPr>
            <w:r>
              <w:rPr>
                <w:sz w:val="22"/>
              </w:rPr>
              <w:t>(57.5)</w:t>
            </w:r>
          </w:p>
          <w:p>
            <w:pPr>
              <w:pStyle w:val="TableParagraph"/>
              <w:spacing w:before="1"/>
              <w:ind w:left="161"/>
              <w:rPr>
                <w:sz w:val="22"/>
              </w:rPr>
            </w:pPr>
            <w:r>
              <w:rPr>
                <w:sz w:val="22"/>
              </w:rPr>
              <w:t>(42.5)</w:t>
            </w:r>
          </w:p>
        </w:tc>
        <w:tc>
          <w:tcPr>
            <w:tcW w:w="616" w:type="dxa"/>
            <w:vMerge w:val="restart"/>
            <w:tcBorders>
              <w:top w:val="single" w:sz="6" w:space="0" w:color="000000"/>
            </w:tcBorders>
          </w:tcPr>
          <w:p>
            <w:pPr>
              <w:pStyle w:val="TableParagraph"/>
              <w:spacing w:before="23"/>
              <w:ind w:left="137"/>
              <w:rPr>
                <w:sz w:val="22"/>
              </w:rPr>
            </w:pPr>
            <w:r>
              <w:rPr>
                <w:sz w:val="22"/>
              </w:rPr>
              <w:t>28</w:t>
            </w:r>
          </w:p>
          <w:p>
            <w:pPr>
              <w:pStyle w:val="TableParagraph"/>
              <w:spacing w:before="1"/>
              <w:ind w:left="137"/>
              <w:rPr>
                <w:sz w:val="22"/>
              </w:rPr>
            </w:pPr>
            <w:r>
              <w:rPr>
                <w:sz w:val="22"/>
              </w:rPr>
              <w:t>12</w:t>
            </w:r>
          </w:p>
        </w:tc>
        <w:tc>
          <w:tcPr>
            <w:tcW w:w="1116" w:type="dxa"/>
            <w:vMerge w:val="restart"/>
            <w:tcBorders>
              <w:top w:val="single" w:sz="6" w:space="0" w:color="000000"/>
            </w:tcBorders>
          </w:tcPr>
          <w:p>
            <w:pPr>
              <w:pStyle w:val="TableParagraph"/>
              <w:spacing w:before="23"/>
              <w:ind w:left="232"/>
              <w:rPr>
                <w:sz w:val="22"/>
              </w:rPr>
            </w:pPr>
            <w:r>
              <w:rPr>
                <w:sz w:val="22"/>
              </w:rPr>
              <w:t>(70)</w:t>
            </w:r>
          </w:p>
          <w:p>
            <w:pPr>
              <w:pStyle w:val="TableParagraph"/>
              <w:spacing w:before="1"/>
              <w:ind w:left="232"/>
              <w:rPr>
                <w:sz w:val="22"/>
              </w:rPr>
            </w:pPr>
            <w:r>
              <w:rPr>
                <w:sz w:val="22"/>
              </w:rPr>
              <w:t>(30)</w:t>
            </w:r>
          </w:p>
        </w:tc>
      </w:tr>
      <w:tr>
        <w:trPr>
          <w:trHeight w:val="506" w:hRule="exact"/>
        </w:trPr>
        <w:tc>
          <w:tcPr>
            <w:tcW w:w="3976" w:type="dxa"/>
          </w:tcPr>
          <w:p>
            <w:pPr>
              <w:pStyle w:val="TableParagraph"/>
              <w:ind w:left="122" w:right="2012"/>
              <w:rPr>
                <w:sz w:val="22"/>
              </w:rPr>
            </w:pPr>
            <w:r>
              <w:rPr>
                <w:sz w:val="22"/>
              </w:rPr>
              <w:t>Sociodemographic Characteristics</w:t>
            </w:r>
          </w:p>
        </w:tc>
        <w:tc>
          <w:tcPr>
            <w:tcW w:w="1630" w:type="dxa"/>
            <w:vMerge/>
          </w:tcPr>
          <w:p>
            <w:pPr/>
          </w:p>
        </w:tc>
        <w:tc>
          <w:tcPr>
            <w:tcW w:w="701" w:type="dxa"/>
            <w:vMerge/>
          </w:tcPr>
          <w:p>
            <w:pPr/>
          </w:p>
        </w:tc>
        <w:tc>
          <w:tcPr>
            <w:tcW w:w="874" w:type="dxa"/>
            <w:vMerge/>
          </w:tcPr>
          <w:p>
            <w:pPr/>
          </w:p>
        </w:tc>
        <w:tc>
          <w:tcPr>
            <w:tcW w:w="616" w:type="dxa"/>
            <w:vMerge/>
          </w:tcPr>
          <w:p>
            <w:pPr/>
          </w:p>
        </w:tc>
        <w:tc>
          <w:tcPr>
            <w:tcW w:w="1116" w:type="dxa"/>
            <w:vMerge/>
          </w:tcPr>
          <w:p>
            <w:pPr/>
          </w:p>
        </w:tc>
      </w:tr>
      <w:tr>
        <w:trPr>
          <w:trHeight w:val="253" w:hRule="exact"/>
        </w:trPr>
        <w:tc>
          <w:tcPr>
            <w:tcW w:w="3976" w:type="dxa"/>
          </w:tcPr>
          <w:p>
            <w:pPr>
              <w:pStyle w:val="TableParagraph"/>
              <w:spacing w:line="242" w:lineRule="exact"/>
              <w:ind w:left="2640"/>
              <w:rPr>
                <w:sz w:val="22"/>
              </w:rPr>
            </w:pPr>
            <w:r>
              <w:rPr>
                <w:sz w:val="22"/>
              </w:rPr>
              <w:t>Occupation</w:t>
            </w:r>
          </w:p>
        </w:tc>
        <w:tc>
          <w:tcPr>
            <w:tcW w:w="1630" w:type="dxa"/>
            <w:vMerge w:val="restart"/>
          </w:tcPr>
          <w:p>
            <w:pPr>
              <w:pStyle w:val="TableParagraph"/>
              <w:ind w:left="221" w:right="362"/>
              <w:rPr>
                <w:sz w:val="22"/>
              </w:rPr>
            </w:pPr>
            <w:r>
              <w:rPr>
                <w:sz w:val="22"/>
              </w:rPr>
              <w:t>Grower Employee Housewife Bricklayer Other</w:t>
            </w:r>
          </w:p>
        </w:tc>
        <w:tc>
          <w:tcPr>
            <w:tcW w:w="701" w:type="dxa"/>
          </w:tcPr>
          <w:p>
            <w:pPr>
              <w:pStyle w:val="TableParagraph"/>
              <w:spacing w:line="242" w:lineRule="exact"/>
              <w:ind w:left="293"/>
              <w:rPr>
                <w:sz w:val="22"/>
              </w:rPr>
            </w:pPr>
            <w:r>
              <w:rPr>
                <w:sz w:val="22"/>
              </w:rPr>
              <w:t>40</w:t>
            </w:r>
          </w:p>
        </w:tc>
        <w:tc>
          <w:tcPr>
            <w:tcW w:w="874" w:type="dxa"/>
          </w:tcPr>
          <w:p>
            <w:pPr>
              <w:pStyle w:val="TableParagraph"/>
              <w:spacing w:line="242" w:lineRule="exact"/>
              <w:ind w:left="161"/>
              <w:rPr>
                <w:sz w:val="22"/>
              </w:rPr>
            </w:pPr>
            <w:r>
              <w:rPr>
                <w:sz w:val="22"/>
              </w:rPr>
              <w:t>(100)</w:t>
            </w:r>
          </w:p>
        </w:tc>
        <w:tc>
          <w:tcPr>
            <w:tcW w:w="616" w:type="dxa"/>
          </w:tcPr>
          <w:p>
            <w:pPr/>
          </w:p>
        </w:tc>
        <w:tc>
          <w:tcPr>
            <w:tcW w:w="1116" w:type="dxa"/>
          </w:tcPr>
          <w:p>
            <w:pPr/>
          </w:p>
        </w:tc>
      </w:tr>
      <w:tr>
        <w:trPr>
          <w:trHeight w:val="1138" w:hRule="exact"/>
        </w:trPr>
        <w:tc>
          <w:tcPr>
            <w:tcW w:w="3976" w:type="dxa"/>
          </w:tcPr>
          <w:p>
            <w:pPr/>
          </w:p>
        </w:tc>
        <w:tc>
          <w:tcPr>
            <w:tcW w:w="1630" w:type="dxa"/>
            <w:vMerge/>
          </w:tcPr>
          <w:p>
            <w:pPr/>
          </w:p>
        </w:tc>
        <w:tc>
          <w:tcPr>
            <w:tcW w:w="701" w:type="dxa"/>
          </w:tcPr>
          <w:p>
            <w:pPr/>
          </w:p>
        </w:tc>
        <w:tc>
          <w:tcPr>
            <w:tcW w:w="874" w:type="dxa"/>
          </w:tcPr>
          <w:p>
            <w:pPr/>
          </w:p>
        </w:tc>
        <w:tc>
          <w:tcPr>
            <w:tcW w:w="616" w:type="dxa"/>
          </w:tcPr>
          <w:p>
            <w:pPr>
              <w:pStyle w:val="TableParagraph"/>
              <w:spacing w:line="241" w:lineRule="exact"/>
              <w:ind w:left="137"/>
              <w:rPr>
                <w:sz w:val="22"/>
              </w:rPr>
            </w:pPr>
            <w:r>
              <w:rPr>
                <w:sz w:val="22"/>
              </w:rPr>
              <w:t>11</w:t>
            </w:r>
          </w:p>
          <w:p>
            <w:pPr>
              <w:pStyle w:val="TableParagraph"/>
              <w:spacing w:line="252" w:lineRule="exact"/>
              <w:ind w:left="137"/>
              <w:rPr>
                <w:sz w:val="22"/>
              </w:rPr>
            </w:pPr>
            <w:r>
              <w:rPr>
                <w:w w:val="100"/>
                <w:sz w:val="22"/>
              </w:rPr>
              <w:t>9</w:t>
            </w:r>
          </w:p>
          <w:p>
            <w:pPr>
              <w:pStyle w:val="TableParagraph"/>
              <w:spacing w:line="252" w:lineRule="exact" w:before="1"/>
              <w:ind w:left="137"/>
              <w:rPr>
                <w:sz w:val="22"/>
              </w:rPr>
            </w:pPr>
            <w:r>
              <w:rPr>
                <w:w w:val="100"/>
                <w:sz w:val="22"/>
              </w:rPr>
              <w:t>5</w:t>
            </w:r>
          </w:p>
          <w:p>
            <w:pPr>
              <w:pStyle w:val="TableParagraph"/>
              <w:spacing w:line="252" w:lineRule="exact"/>
              <w:ind w:left="137"/>
              <w:rPr>
                <w:sz w:val="22"/>
              </w:rPr>
            </w:pPr>
            <w:r>
              <w:rPr>
                <w:sz w:val="22"/>
              </w:rPr>
              <w:t>15</w:t>
            </w:r>
          </w:p>
        </w:tc>
        <w:tc>
          <w:tcPr>
            <w:tcW w:w="1116" w:type="dxa"/>
          </w:tcPr>
          <w:p>
            <w:pPr>
              <w:pStyle w:val="TableParagraph"/>
              <w:spacing w:line="241" w:lineRule="exact"/>
              <w:ind w:left="232"/>
              <w:rPr>
                <w:sz w:val="22"/>
              </w:rPr>
            </w:pPr>
            <w:r>
              <w:rPr>
                <w:sz w:val="22"/>
              </w:rPr>
              <w:t>(27.5)</w:t>
            </w:r>
          </w:p>
          <w:p>
            <w:pPr>
              <w:pStyle w:val="TableParagraph"/>
              <w:spacing w:line="252" w:lineRule="exact"/>
              <w:ind w:left="232"/>
              <w:rPr>
                <w:sz w:val="22"/>
              </w:rPr>
            </w:pPr>
            <w:r>
              <w:rPr>
                <w:sz w:val="22"/>
              </w:rPr>
              <w:t>(22.5)</w:t>
            </w:r>
          </w:p>
          <w:p>
            <w:pPr>
              <w:pStyle w:val="TableParagraph"/>
              <w:spacing w:line="252" w:lineRule="exact" w:before="1"/>
              <w:ind w:left="232"/>
              <w:rPr>
                <w:sz w:val="22"/>
              </w:rPr>
            </w:pPr>
            <w:r>
              <w:rPr>
                <w:sz w:val="22"/>
              </w:rPr>
              <w:t>(12.5)</w:t>
            </w:r>
          </w:p>
          <w:p>
            <w:pPr>
              <w:pStyle w:val="TableParagraph"/>
              <w:spacing w:line="252" w:lineRule="exact"/>
              <w:ind w:left="232"/>
              <w:rPr>
                <w:sz w:val="22"/>
              </w:rPr>
            </w:pPr>
            <w:r>
              <w:rPr>
                <w:sz w:val="22"/>
              </w:rPr>
              <w:t>(37.5)</w:t>
            </w:r>
          </w:p>
        </w:tc>
      </w:tr>
      <w:tr>
        <w:trPr>
          <w:trHeight w:val="1518" w:hRule="exact"/>
        </w:trPr>
        <w:tc>
          <w:tcPr>
            <w:tcW w:w="3976" w:type="dxa"/>
          </w:tcPr>
          <w:p>
            <w:pPr>
              <w:pStyle w:val="TableParagraph"/>
              <w:spacing w:before="115"/>
              <w:ind w:left="2640"/>
              <w:rPr>
                <w:sz w:val="22"/>
              </w:rPr>
            </w:pPr>
            <w:r>
              <w:rPr>
                <w:sz w:val="22"/>
              </w:rPr>
              <w:t>Schooling</w:t>
            </w:r>
          </w:p>
        </w:tc>
        <w:tc>
          <w:tcPr>
            <w:tcW w:w="1630" w:type="dxa"/>
          </w:tcPr>
          <w:p>
            <w:pPr>
              <w:pStyle w:val="TableParagraph"/>
              <w:spacing w:before="115"/>
              <w:ind w:left="221" w:right="291"/>
              <w:rPr>
                <w:sz w:val="22"/>
              </w:rPr>
            </w:pPr>
            <w:r>
              <w:rPr>
                <w:sz w:val="22"/>
              </w:rPr>
              <w:t>None Elementary Middle High Degree</w:t>
            </w:r>
          </w:p>
        </w:tc>
        <w:tc>
          <w:tcPr>
            <w:tcW w:w="701" w:type="dxa"/>
          </w:tcPr>
          <w:p>
            <w:pPr>
              <w:pStyle w:val="TableParagraph"/>
              <w:spacing w:line="252" w:lineRule="exact" w:before="115"/>
              <w:ind w:left="8"/>
              <w:jc w:val="center"/>
              <w:rPr>
                <w:sz w:val="22"/>
              </w:rPr>
            </w:pPr>
            <w:r>
              <w:rPr>
                <w:w w:val="100"/>
                <w:sz w:val="22"/>
              </w:rPr>
              <w:t>1</w:t>
            </w:r>
          </w:p>
          <w:p>
            <w:pPr>
              <w:pStyle w:val="TableParagraph"/>
              <w:spacing w:line="252" w:lineRule="exact"/>
              <w:ind w:left="273" w:right="142"/>
              <w:jc w:val="center"/>
              <w:rPr>
                <w:sz w:val="22"/>
              </w:rPr>
            </w:pPr>
            <w:r>
              <w:rPr>
                <w:sz w:val="22"/>
              </w:rPr>
              <w:t>22</w:t>
            </w:r>
          </w:p>
          <w:p>
            <w:pPr>
              <w:pStyle w:val="TableParagraph"/>
              <w:spacing w:line="252" w:lineRule="exact" w:before="1"/>
              <w:ind w:left="273" w:right="142"/>
              <w:jc w:val="center"/>
              <w:rPr>
                <w:sz w:val="22"/>
              </w:rPr>
            </w:pPr>
            <w:r>
              <w:rPr>
                <w:sz w:val="22"/>
              </w:rPr>
              <w:t>10</w:t>
            </w:r>
          </w:p>
          <w:p>
            <w:pPr>
              <w:pStyle w:val="TableParagraph"/>
              <w:spacing w:line="252" w:lineRule="exact"/>
              <w:ind w:left="8"/>
              <w:jc w:val="center"/>
              <w:rPr>
                <w:sz w:val="22"/>
              </w:rPr>
            </w:pPr>
            <w:r>
              <w:rPr>
                <w:w w:val="100"/>
                <w:sz w:val="22"/>
              </w:rPr>
              <w:t>5</w:t>
            </w:r>
          </w:p>
          <w:p>
            <w:pPr>
              <w:pStyle w:val="TableParagraph"/>
              <w:spacing w:before="1"/>
              <w:ind w:left="8"/>
              <w:jc w:val="center"/>
              <w:rPr>
                <w:sz w:val="22"/>
              </w:rPr>
            </w:pPr>
            <w:r>
              <w:rPr>
                <w:w w:val="100"/>
                <w:sz w:val="22"/>
              </w:rPr>
              <w:t>2</w:t>
            </w:r>
          </w:p>
        </w:tc>
        <w:tc>
          <w:tcPr>
            <w:tcW w:w="874" w:type="dxa"/>
          </w:tcPr>
          <w:p>
            <w:pPr>
              <w:pStyle w:val="TableParagraph"/>
              <w:spacing w:line="252" w:lineRule="exact" w:before="115"/>
              <w:ind w:left="161"/>
              <w:rPr>
                <w:sz w:val="22"/>
              </w:rPr>
            </w:pPr>
            <w:r>
              <w:rPr>
                <w:sz w:val="22"/>
              </w:rPr>
              <w:t>(2.5)</w:t>
            </w:r>
          </w:p>
          <w:p>
            <w:pPr>
              <w:pStyle w:val="TableParagraph"/>
              <w:spacing w:line="252" w:lineRule="exact"/>
              <w:ind w:left="161"/>
              <w:rPr>
                <w:sz w:val="22"/>
              </w:rPr>
            </w:pPr>
            <w:r>
              <w:rPr>
                <w:sz w:val="22"/>
              </w:rPr>
              <w:t>(55)</w:t>
            </w:r>
          </w:p>
          <w:p>
            <w:pPr>
              <w:pStyle w:val="TableParagraph"/>
              <w:spacing w:line="252" w:lineRule="exact" w:before="1"/>
              <w:ind w:left="161"/>
              <w:rPr>
                <w:sz w:val="22"/>
              </w:rPr>
            </w:pPr>
            <w:r>
              <w:rPr>
                <w:sz w:val="22"/>
              </w:rPr>
              <w:t>(25)</w:t>
            </w:r>
          </w:p>
          <w:p>
            <w:pPr>
              <w:pStyle w:val="TableParagraph"/>
              <w:spacing w:line="252" w:lineRule="exact"/>
              <w:ind w:left="161"/>
              <w:rPr>
                <w:sz w:val="22"/>
              </w:rPr>
            </w:pPr>
            <w:r>
              <w:rPr>
                <w:sz w:val="22"/>
              </w:rPr>
              <w:t>(12.5)</w:t>
            </w:r>
          </w:p>
          <w:p>
            <w:pPr>
              <w:pStyle w:val="TableParagraph"/>
              <w:spacing w:before="1"/>
              <w:ind w:left="161"/>
              <w:rPr>
                <w:sz w:val="22"/>
              </w:rPr>
            </w:pPr>
            <w:r>
              <w:rPr>
                <w:sz w:val="22"/>
              </w:rPr>
              <w:t>(5)</w:t>
            </w:r>
          </w:p>
        </w:tc>
        <w:tc>
          <w:tcPr>
            <w:tcW w:w="616" w:type="dxa"/>
          </w:tcPr>
          <w:p>
            <w:pPr>
              <w:pStyle w:val="TableParagraph"/>
              <w:spacing w:line="252" w:lineRule="exact" w:before="115"/>
              <w:ind w:left="137"/>
              <w:rPr>
                <w:sz w:val="22"/>
              </w:rPr>
            </w:pPr>
            <w:r>
              <w:rPr>
                <w:w w:val="100"/>
                <w:sz w:val="22"/>
              </w:rPr>
              <w:t>1</w:t>
            </w:r>
          </w:p>
          <w:p>
            <w:pPr>
              <w:pStyle w:val="TableParagraph"/>
              <w:spacing w:line="252" w:lineRule="exact"/>
              <w:ind w:left="137"/>
              <w:rPr>
                <w:sz w:val="22"/>
              </w:rPr>
            </w:pPr>
            <w:r>
              <w:rPr>
                <w:sz w:val="22"/>
              </w:rPr>
              <w:t>11</w:t>
            </w:r>
          </w:p>
          <w:p>
            <w:pPr>
              <w:pStyle w:val="TableParagraph"/>
              <w:spacing w:line="252" w:lineRule="exact" w:before="1"/>
              <w:ind w:left="137"/>
              <w:rPr>
                <w:sz w:val="22"/>
              </w:rPr>
            </w:pPr>
            <w:r>
              <w:rPr>
                <w:sz w:val="22"/>
              </w:rPr>
              <w:t>13</w:t>
            </w:r>
          </w:p>
          <w:p>
            <w:pPr>
              <w:pStyle w:val="TableParagraph"/>
              <w:spacing w:line="252" w:lineRule="exact"/>
              <w:ind w:left="137"/>
              <w:rPr>
                <w:sz w:val="22"/>
              </w:rPr>
            </w:pPr>
            <w:r>
              <w:rPr>
                <w:w w:val="100"/>
                <w:sz w:val="22"/>
              </w:rPr>
              <w:t>9</w:t>
            </w:r>
          </w:p>
          <w:p>
            <w:pPr>
              <w:pStyle w:val="TableParagraph"/>
              <w:spacing w:before="1"/>
              <w:ind w:left="137"/>
              <w:rPr>
                <w:sz w:val="22"/>
              </w:rPr>
            </w:pPr>
            <w:r>
              <w:rPr>
                <w:w w:val="100"/>
                <w:sz w:val="22"/>
              </w:rPr>
              <w:t>6</w:t>
            </w:r>
          </w:p>
        </w:tc>
        <w:tc>
          <w:tcPr>
            <w:tcW w:w="1116" w:type="dxa"/>
          </w:tcPr>
          <w:p>
            <w:pPr>
              <w:pStyle w:val="TableParagraph"/>
              <w:spacing w:line="252" w:lineRule="exact" w:before="115"/>
              <w:ind w:left="232"/>
              <w:rPr>
                <w:sz w:val="22"/>
              </w:rPr>
            </w:pPr>
            <w:r>
              <w:rPr>
                <w:sz w:val="22"/>
              </w:rPr>
              <w:t>(2.5)</w:t>
            </w:r>
          </w:p>
          <w:p>
            <w:pPr>
              <w:pStyle w:val="TableParagraph"/>
              <w:spacing w:line="252" w:lineRule="exact"/>
              <w:ind w:left="232"/>
              <w:rPr>
                <w:sz w:val="22"/>
              </w:rPr>
            </w:pPr>
            <w:r>
              <w:rPr>
                <w:sz w:val="22"/>
              </w:rPr>
              <w:t>(27.5)</w:t>
            </w:r>
          </w:p>
          <w:p>
            <w:pPr>
              <w:pStyle w:val="TableParagraph"/>
              <w:spacing w:line="252" w:lineRule="exact" w:before="1"/>
              <w:ind w:left="232"/>
              <w:rPr>
                <w:sz w:val="22"/>
              </w:rPr>
            </w:pPr>
            <w:r>
              <w:rPr>
                <w:sz w:val="22"/>
              </w:rPr>
              <w:t>(32.5)</w:t>
            </w:r>
          </w:p>
          <w:p>
            <w:pPr>
              <w:pStyle w:val="TableParagraph"/>
              <w:spacing w:line="252" w:lineRule="exact"/>
              <w:ind w:left="232"/>
              <w:rPr>
                <w:sz w:val="22"/>
              </w:rPr>
            </w:pPr>
            <w:r>
              <w:rPr>
                <w:sz w:val="22"/>
              </w:rPr>
              <w:t>(22.5)</w:t>
            </w:r>
          </w:p>
          <w:p>
            <w:pPr>
              <w:pStyle w:val="TableParagraph"/>
              <w:spacing w:before="1"/>
              <w:ind w:left="232"/>
              <w:rPr>
                <w:sz w:val="22"/>
              </w:rPr>
            </w:pPr>
            <w:r>
              <w:rPr>
                <w:sz w:val="22"/>
              </w:rPr>
              <w:t>(15)</w:t>
            </w:r>
          </w:p>
        </w:tc>
      </w:tr>
      <w:tr>
        <w:trPr>
          <w:trHeight w:val="1012" w:hRule="exact"/>
        </w:trPr>
        <w:tc>
          <w:tcPr>
            <w:tcW w:w="3976" w:type="dxa"/>
          </w:tcPr>
          <w:p>
            <w:pPr>
              <w:pStyle w:val="TableParagraph"/>
              <w:spacing w:before="114"/>
              <w:ind w:left="122"/>
              <w:rPr>
                <w:sz w:val="22"/>
              </w:rPr>
            </w:pPr>
            <w:r>
              <w:rPr>
                <w:sz w:val="22"/>
              </w:rPr>
              <w:t>Oral Hygienic Habits</w:t>
            </w:r>
          </w:p>
        </w:tc>
        <w:tc>
          <w:tcPr>
            <w:tcW w:w="1630" w:type="dxa"/>
          </w:tcPr>
          <w:p>
            <w:pPr>
              <w:pStyle w:val="TableParagraph"/>
              <w:spacing w:before="114"/>
              <w:ind w:left="221" w:right="533"/>
              <w:rPr>
                <w:sz w:val="22"/>
              </w:rPr>
            </w:pPr>
            <w:r>
              <w:rPr>
                <w:sz w:val="22"/>
              </w:rPr>
              <w:t>Buena Regular Deficient</w:t>
            </w:r>
          </w:p>
        </w:tc>
        <w:tc>
          <w:tcPr>
            <w:tcW w:w="701" w:type="dxa"/>
          </w:tcPr>
          <w:p>
            <w:pPr>
              <w:pStyle w:val="TableParagraph"/>
              <w:spacing w:before="114"/>
              <w:ind w:left="8"/>
              <w:jc w:val="center"/>
              <w:rPr>
                <w:sz w:val="22"/>
              </w:rPr>
            </w:pPr>
            <w:r>
              <w:rPr>
                <w:w w:val="100"/>
                <w:sz w:val="22"/>
              </w:rPr>
              <w:t>0</w:t>
            </w:r>
          </w:p>
          <w:p>
            <w:pPr>
              <w:pStyle w:val="TableParagraph"/>
              <w:spacing w:line="252" w:lineRule="exact" w:before="1"/>
              <w:ind w:left="273" w:right="142"/>
              <w:jc w:val="center"/>
              <w:rPr>
                <w:sz w:val="22"/>
              </w:rPr>
            </w:pPr>
            <w:r>
              <w:rPr>
                <w:sz w:val="22"/>
              </w:rPr>
              <w:t>11</w:t>
            </w:r>
          </w:p>
          <w:p>
            <w:pPr>
              <w:pStyle w:val="TableParagraph"/>
              <w:spacing w:line="252" w:lineRule="exact"/>
              <w:ind w:left="273" w:right="142"/>
              <w:jc w:val="center"/>
              <w:rPr>
                <w:sz w:val="22"/>
              </w:rPr>
            </w:pPr>
            <w:r>
              <w:rPr>
                <w:sz w:val="22"/>
              </w:rPr>
              <w:t>29</w:t>
            </w:r>
          </w:p>
        </w:tc>
        <w:tc>
          <w:tcPr>
            <w:tcW w:w="874" w:type="dxa"/>
          </w:tcPr>
          <w:p>
            <w:pPr>
              <w:pStyle w:val="TableParagraph"/>
              <w:spacing w:before="114"/>
              <w:ind w:left="161"/>
              <w:rPr>
                <w:sz w:val="22"/>
              </w:rPr>
            </w:pPr>
            <w:r>
              <w:rPr>
                <w:sz w:val="22"/>
              </w:rPr>
              <w:t>(0)</w:t>
            </w:r>
          </w:p>
          <w:p>
            <w:pPr>
              <w:pStyle w:val="TableParagraph"/>
              <w:spacing w:line="252" w:lineRule="exact" w:before="1"/>
              <w:ind w:left="161"/>
              <w:rPr>
                <w:sz w:val="22"/>
              </w:rPr>
            </w:pPr>
            <w:r>
              <w:rPr>
                <w:sz w:val="22"/>
              </w:rPr>
              <w:t>(27.5)</w:t>
            </w:r>
          </w:p>
          <w:p>
            <w:pPr>
              <w:pStyle w:val="TableParagraph"/>
              <w:spacing w:line="252" w:lineRule="exact"/>
              <w:ind w:left="161"/>
              <w:rPr>
                <w:sz w:val="22"/>
              </w:rPr>
            </w:pPr>
            <w:r>
              <w:rPr>
                <w:sz w:val="22"/>
              </w:rPr>
              <w:t>(72.5)</w:t>
            </w:r>
          </w:p>
        </w:tc>
        <w:tc>
          <w:tcPr>
            <w:tcW w:w="616" w:type="dxa"/>
          </w:tcPr>
          <w:p>
            <w:pPr>
              <w:pStyle w:val="TableParagraph"/>
              <w:spacing w:before="114"/>
              <w:ind w:left="137"/>
              <w:rPr>
                <w:sz w:val="22"/>
              </w:rPr>
            </w:pPr>
            <w:r>
              <w:rPr>
                <w:w w:val="100"/>
                <w:sz w:val="22"/>
              </w:rPr>
              <w:t>0</w:t>
            </w:r>
          </w:p>
          <w:p>
            <w:pPr>
              <w:pStyle w:val="TableParagraph"/>
              <w:spacing w:line="252" w:lineRule="exact" w:before="1"/>
              <w:ind w:left="137"/>
              <w:rPr>
                <w:sz w:val="22"/>
              </w:rPr>
            </w:pPr>
            <w:r>
              <w:rPr>
                <w:w w:val="100"/>
                <w:sz w:val="22"/>
              </w:rPr>
              <w:t>6</w:t>
            </w:r>
          </w:p>
          <w:p>
            <w:pPr>
              <w:pStyle w:val="TableParagraph"/>
              <w:spacing w:line="252" w:lineRule="exact"/>
              <w:ind w:left="137"/>
              <w:rPr>
                <w:sz w:val="22"/>
              </w:rPr>
            </w:pPr>
            <w:r>
              <w:rPr>
                <w:sz w:val="22"/>
              </w:rPr>
              <w:t>34</w:t>
            </w:r>
          </w:p>
        </w:tc>
        <w:tc>
          <w:tcPr>
            <w:tcW w:w="1116" w:type="dxa"/>
          </w:tcPr>
          <w:p>
            <w:pPr>
              <w:pStyle w:val="TableParagraph"/>
              <w:spacing w:before="114"/>
              <w:ind w:left="232"/>
              <w:rPr>
                <w:sz w:val="22"/>
              </w:rPr>
            </w:pPr>
            <w:r>
              <w:rPr>
                <w:sz w:val="22"/>
              </w:rPr>
              <w:t>(0)</w:t>
            </w:r>
          </w:p>
          <w:p>
            <w:pPr>
              <w:pStyle w:val="TableParagraph"/>
              <w:spacing w:line="252" w:lineRule="exact" w:before="1"/>
              <w:ind w:left="232"/>
              <w:rPr>
                <w:sz w:val="22"/>
              </w:rPr>
            </w:pPr>
            <w:r>
              <w:rPr>
                <w:sz w:val="22"/>
              </w:rPr>
              <w:t>(15)</w:t>
            </w:r>
          </w:p>
          <w:p>
            <w:pPr>
              <w:pStyle w:val="TableParagraph"/>
              <w:spacing w:line="252" w:lineRule="exact"/>
              <w:ind w:left="232"/>
              <w:rPr>
                <w:sz w:val="22"/>
              </w:rPr>
            </w:pPr>
            <w:r>
              <w:rPr>
                <w:sz w:val="22"/>
              </w:rPr>
              <w:t>(85)</w:t>
            </w:r>
          </w:p>
        </w:tc>
      </w:tr>
      <w:tr>
        <w:trPr>
          <w:trHeight w:val="889" w:hRule="exact"/>
        </w:trPr>
        <w:tc>
          <w:tcPr>
            <w:tcW w:w="3976" w:type="dxa"/>
            <w:tcBorders>
              <w:bottom w:val="single" w:sz="8" w:space="0" w:color="000000"/>
            </w:tcBorders>
          </w:tcPr>
          <w:p>
            <w:pPr>
              <w:pStyle w:val="TableParagraph"/>
              <w:spacing w:before="115"/>
              <w:ind w:left="122"/>
              <w:rPr>
                <w:sz w:val="22"/>
              </w:rPr>
            </w:pPr>
            <w:r>
              <w:rPr>
                <w:sz w:val="22"/>
              </w:rPr>
              <w:t>Cariogenic Diet</w:t>
            </w:r>
          </w:p>
        </w:tc>
        <w:tc>
          <w:tcPr>
            <w:tcW w:w="1630" w:type="dxa"/>
            <w:tcBorders>
              <w:bottom w:val="single" w:sz="8" w:space="0" w:color="000000"/>
            </w:tcBorders>
          </w:tcPr>
          <w:p>
            <w:pPr>
              <w:pStyle w:val="TableParagraph"/>
              <w:spacing w:before="115"/>
              <w:ind w:left="221" w:right="741"/>
              <w:rPr>
                <w:sz w:val="22"/>
              </w:rPr>
            </w:pPr>
            <w:r>
              <w:rPr>
                <w:sz w:val="22"/>
              </w:rPr>
              <w:t>Low Middle High</w:t>
            </w:r>
          </w:p>
        </w:tc>
        <w:tc>
          <w:tcPr>
            <w:tcW w:w="701" w:type="dxa"/>
            <w:tcBorders>
              <w:bottom w:val="single" w:sz="8" w:space="0" w:color="000000"/>
            </w:tcBorders>
          </w:tcPr>
          <w:p>
            <w:pPr>
              <w:pStyle w:val="TableParagraph"/>
              <w:spacing w:line="252" w:lineRule="exact" w:before="115"/>
              <w:ind w:left="8"/>
              <w:jc w:val="center"/>
              <w:rPr>
                <w:sz w:val="22"/>
              </w:rPr>
            </w:pPr>
            <w:r>
              <w:rPr>
                <w:w w:val="100"/>
                <w:sz w:val="22"/>
              </w:rPr>
              <w:t>7</w:t>
            </w:r>
          </w:p>
          <w:p>
            <w:pPr>
              <w:pStyle w:val="TableParagraph"/>
              <w:spacing w:line="252" w:lineRule="exact"/>
              <w:ind w:left="273" w:right="142"/>
              <w:jc w:val="center"/>
              <w:rPr>
                <w:sz w:val="22"/>
              </w:rPr>
            </w:pPr>
            <w:r>
              <w:rPr>
                <w:sz w:val="22"/>
              </w:rPr>
              <w:t>24</w:t>
            </w:r>
          </w:p>
          <w:p>
            <w:pPr>
              <w:pStyle w:val="TableParagraph"/>
              <w:spacing w:before="2"/>
              <w:ind w:left="8"/>
              <w:jc w:val="center"/>
              <w:rPr>
                <w:sz w:val="22"/>
              </w:rPr>
            </w:pPr>
            <w:r>
              <w:rPr>
                <w:w w:val="100"/>
                <w:sz w:val="22"/>
              </w:rPr>
              <w:t>9</w:t>
            </w:r>
          </w:p>
        </w:tc>
        <w:tc>
          <w:tcPr>
            <w:tcW w:w="874" w:type="dxa"/>
            <w:tcBorders>
              <w:bottom w:val="single" w:sz="8" w:space="0" w:color="000000"/>
            </w:tcBorders>
          </w:tcPr>
          <w:p>
            <w:pPr>
              <w:pStyle w:val="TableParagraph"/>
              <w:spacing w:line="252" w:lineRule="exact" w:before="115"/>
              <w:ind w:left="161"/>
              <w:rPr>
                <w:sz w:val="22"/>
              </w:rPr>
            </w:pPr>
            <w:r>
              <w:rPr>
                <w:sz w:val="22"/>
              </w:rPr>
              <w:t>(17.5)</w:t>
            </w:r>
          </w:p>
          <w:p>
            <w:pPr>
              <w:pStyle w:val="TableParagraph"/>
              <w:spacing w:line="252" w:lineRule="exact"/>
              <w:ind w:left="161"/>
              <w:rPr>
                <w:sz w:val="22"/>
              </w:rPr>
            </w:pPr>
            <w:r>
              <w:rPr>
                <w:sz w:val="22"/>
              </w:rPr>
              <w:t>(60)</w:t>
            </w:r>
          </w:p>
          <w:p>
            <w:pPr>
              <w:pStyle w:val="TableParagraph"/>
              <w:spacing w:before="2"/>
              <w:ind w:left="161"/>
              <w:rPr>
                <w:sz w:val="22"/>
              </w:rPr>
            </w:pPr>
            <w:r>
              <w:rPr>
                <w:sz w:val="22"/>
              </w:rPr>
              <w:t>(22.5)</w:t>
            </w:r>
          </w:p>
        </w:tc>
        <w:tc>
          <w:tcPr>
            <w:tcW w:w="616" w:type="dxa"/>
            <w:tcBorders>
              <w:bottom w:val="single" w:sz="8" w:space="0" w:color="000000"/>
            </w:tcBorders>
          </w:tcPr>
          <w:p>
            <w:pPr>
              <w:pStyle w:val="TableParagraph"/>
              <w:spacing w:line="252" w:lineRule="exact" w:before="115"/>
              <w:ind w:left="137"/>
              <w:rPr>
                <w:sz w:val="22"/>
              </w:rPr>
            </w:pPr>
            <w:r>
              <w:rPr>
                <w:w w:val="100"/>
                <w:sz w:val="22"/>
              </w:rPr>
              <w:t>1</w:t>
            </w:r>
          </w:p>
          <w:p>
            <w:pPr>
              <w:pStyle w:val="TableParagraph"/>
              <w:spacing w:line="252" w:lineRule="exact"/>
              <w:ind w:left="137"/>
              <w:rPr>
                <w:sz w:val="22"/>
              </w:rPr>
            </w:pPr>
            <w:r>
              <w:rPr>
                <w:sz w:val="22"/>
              </w:rPr>
              <w:t>12</w:t>
            </w:r>
          </w:p>
          <w:p>
            <w:pPr>
              <w:pStyle w:val="TableParagraph"/>
              <w:spacing w:before="2"/>
              <w:ind w:left="137"/>
              <w:rPr>
                <w:sz w:val="22"/>
              </w:rPr>
            </w:pPr>
            <w:r>
              <w:rPr>
                <w:sz w:val="22"/>
              </w:rPr>
              <w:t>27</w:t>
            </w:r>
          </w:p>
        </w:tc>
        <w:tc>
          <w:tcPr>
            <w:tcW w:w="1116" w:type="dxa"/>
            <w:tcBorders>
              <w:bottom w:val="single" w:sz="8" w:space="0" w:color="000000"/>
            </w:tcBorders>
          </w:tcPr>
          <w:p>
            <w:pPr>
              <w:pStyle w:val="TableParagraph"/>
              <w:spacing w:line="252" w:lineRule="exact" w:before="115"/>
              <w:ind w:left="232"/>
              <w:rPr>
                <w:sz w:val="22"/>
              </w:rPr>
            </w:pPr>
            <w:r>
              <w:rPr>
                <w:sz w:val="22"/>
              </w:rPr>
              <w:t>(2.5)</w:t>
            </w:r>
          </w:p>
          <w:p>
            <w:pPr>
              <w:pStyle w:val="TableParagraph"/>
              <w:spacing w:line="252" w:lineRule="exact"/>
              <w:ind w:left="232"/>
              <w:rPr>
                <w:sz w:val="22"/>
              </w:rPr>
            </w:pPr>
            <w:r>
              <w:rPr>
                <w:sz w:val="22"/>
              </w:rPr>
              <w:t>(30)</w:t>
            </w:r>
          </w:p>
          <w:p>
            <w:pPr>
              <w:pStyle w:val="TableParagraph"/>
              <w:spacing w:before="2"/>
              <w:ind w:left="232"/>
              <w:rPr>
                <w:sz w:val="22"/>
              </w:rPr>
            </w:pPr>
            <w:r>
              <w:rPr>
                <w:sz w:val="22"/>
              </w:rPr>
              <w:t>(67.5)</w:t>
            </w:r>
          </w:p>
        </w:tc>
      </w:tr>
    </w:tbl>
    <w:p>
      <w:pPr>
        <w:spacing w:after="0"/>
        <w:rPr>
          <w:sz w:val="22"/>
        </w:rPr>
        <w:sectPr>
          <w:pgSz w:w="12240" w:h="15840"/>
          <w:pgMar w:header="733" w:footer="1039" w:top="1020" w:bottom="1220" w:left="1460" w:right="1520"/>
        </w:sectPr>
      </w:pPr>
    </w:p>
    <w:p>
      <w:pPr>
        <w:pStyle w:val="BodyText"/>
        <w:rPr>
          <w:sz w:val="20"/>
        </w:rPr>
      </w:pPr>
    </w:p>
    <w:p>
      <w:pPr>
        <w:pStyle w:val="BodyText"/>
        <w:rPr>
          <w:sz w:val="20"/>
        </w:rPr>
      </w:pPr>
    </w:p>
    <w:p>
      <w:pPr>
        <w:pStyle w:val="BodyText"/>
        <w:spacing w:before="2"/>
        <w:rPr>
          <w:sz w:val="20"/>
        </w:rPr>
      </w:pPr>
    </w:p>
    <w:p>
      <w:pPr>
        <w:pStyle w:val="BodyText"/>
        <w:ind w:left="162" w:right="126"/>
      </w:pPr>
      <w:r>
        <w:rPr/>
        <w:pict>
          <v:line style="position:absolute;mso-position-horizontal-relative:page;mso-position-vertical-relative:paragraph;z-index:-152488" from="315.75pt,58.955883pt" to="482.5pt,58.955883pt" stroked="true" strokeweight=".75pt" strokecolor="#000000">
            <w10:wrap type="none"/>
          </v:line>
        </w:pict>
      </w:r>
      <w:r>
        <w:rPr/>
        <w:t>Table 2. Distribution of Polymorphisms in the Studied Groups</w:t>
      </w:r>
    </w:p>
    <w:p>
      <w:pPr>
        <w:pStyle w:val="BodyText"/>
        <w:spacing w:before="8"/>
        <w:rPr>
          <w:sz w:val="22"/>
        </w:rPr>
      </w:pPr>
    </w:p>
    <w:tbl>
      <w:tblPr>
        <w:tblW w:w="0" w:type="auto"/>
        <w:jc w:val="left"/>
        <w:tblInd w:w="86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56"/>
        <w:gridCol w:w="1496"/>
        <w:gridCol w:w="1868"/>
        <w:gridCol w:w="2007"/>
      </w:tblGrid>
      <w:tr>
        <w:trPr>
          <w:trHeight w:val="1260" w:hRule="exact"/>
        </w:trPr>
        <w:tc>
          <w:tcPr>
            <w:tcW w:w="2056" w:type="dxa"/>
            <w:tcBorders>
              <w:bottom w:val="single" w:sz="8" w:space="0" w:color="000000"/>
            </w:tcBorders>
          </w:tcPr>
          <w:p>
            <w:pPr>
              <w:pStyle w:val="TableParagraph"/>
              <w:spacing w:before="1"/>
              <w:rPr>
                <w:sz w:val="21"/>
              </w:rPr>
            </w:pPr>
          </w:p>
          <w:p>
            <w:pPr>
              <w:pStyle w:val="TableParagraph"/>
              <w:ind w:left="195" w:right="300"/>
              <w:jc w:val="center"/>
              <w:rPr>
                <w:sz w:val="24"/>
              </w:rPr>
            </w:pPr>
            <w:r>
              <w:rPr>
                <w:sz w:val="24"/>
              </w:rPr>
              <w:t>Polymorphism</w:t>
            </w:r>
          </w:p>
        </w:tc>
        <w:tc>
          <w:tcPr>
            <w:tcW w:w="1496" w:type="dxa"/>
            <w:tcBorders>
              <w:bottom w:val="single" w:sz="8" w:space="0" w:color="000000"/>
            </w:tcBorders>
          </w:tcPr>
          <w:p>
            <w:pPr>
              <w:pStyle w:val="TableParagraph"/>
              <w:spacing w:before="1"/>
              <w:rPr>
                <w:sz w:val="21"/>
              </w:rPr>
            </w:pPr>
          </w:p>
          <w:p>
            <w:pPr>
              <w:pStyle w:val="TableParagraph"/>
              <w:ind w:left="320"/>
              <w:rPr>
                <w:sz w:val="24"/>
              </w:rPr>
            </w:pPr>
            <w:r>
              <w:rPr>
                <w:sz w:val="24"/>
              </w:rPr>
              <w:t>Alleles</w:t>
            </w:r>
          </w:p>
        </w:tc>
        <w:tc>
          <w:tcPr>
            <w:tcW w:w="1868" w:type="dxa"/>
            <w:tcBorders>
              <w:bottom w:val="single" w:sz="8" w:space="0" w:color="000000"/>
            </w:tcBorders>
          </w:tcPr>
          <w:p>
            <w:pPr>
              <w:pStyle w:val="TableParagraph"/>
              <w:spacing w:line="244" w:lineRule="exact"/>
              <w:ind w:left="449" w:right="417"/>
              <w:jc w:val="center"/>
              <w:rPr>
                <w:sz w:val="24"/>
              </w:rPr>
            </w:pPr>
            <w:r>
              <w:rPr>
                <w:sz w:val="24"/>
              </w:rPr>
              <w:t>Exposed</w:t>
            </w:r>
          </w:p>
          <w:p>
            <w:pPr>
              <w:pStyle w:val="TableParagraph"/>
              <w:spacing w:line="275" w:lineRule="exact"/>
              <w:ind w:left="448" w:right="417"/>
              <w:jc w:val="center"/>
              <w:rPr>
                <w:sz w:val="24"/>
              </w:rPr>
            </w:pPr>
            <w:r>
              <w:rPr>
                <w:sz w:val="24"/>
              </w:rPr>
              <w:t>Group</w:t>
            </w:r>
          </w:p>
          <w:p>
            <w:pPr>
              <w:pStyle w:val="TableParagraph"/>
              <w:rPr>
                <w:sz w:val="24"/>
              </w:rPr>
            </w:pPr>
          </w:p>
          <w:p>
            <w:pPr>
              <w:pStyle w:val="TableParagraph"/>
              <w:ind w:left="449" w:right="417"/>
              <w:jc w:val="center"/>
              <w:rPr>
                <w:sz w:val="24"/>
              </w:rPr>
            </w:pPr>
            <w:r>
              <w:rPr>
                <w:sz w:val="24"/>
              </w:rPr>
              <w:t>n (%)</w:t>
            </w:r>
          </w:p>
        </w:tc>
        <w:tc>
          <w:tcPr>
            <w:tcW w:w="2007" w:type="dxa"/>
            <w:tcBorders>
              <w:bottom w:val="single" w:sz="8" w:space="0" w:color="000000"/>
            </w:tcBorders>
          </w:tcPr>
          <w:p>
            <w:pPr>
              <w:pStyle w:val="TableParagraph"/>
              <w:spacing w:line="244" w:lineRule="exact"/>
              <w:ind w:left="415" w:right="338"/>
              <w:jc w:val="center"/>
              <w:rPr>
                <w:sz w:val="24"/>
              </w:rPr>
            </w:pPr>
            <w:r>
              <w:rPr>
                <w:sz w:val="24"/>
              </w:rPr>
              <w:t>Unexposed</w:t>
            </w:r>
          </w:p>
          <w:p>
            <w:pPr>
              <w:pStyle w:val="TableParagraph"/>
              <w:spacing w:line="275" w:lineRule="exact"/>
              <w:ind w:left="415" w:right="338"/>
              <w:jc w:val="center"/>
              <w:rPr>
                <w:sz w:val="24"/>
              </w:rPr>
            </w:pPr>
            <w:r>
              <w:rPr>
                <w:sz w:val="24"/>
              </w:rPr>
              <w:t>Group</w:t>
            </w:r>
          </w:p>
          <w:p>
            <w:pPr>
              <w:pStyle w:val="TableParagraph"/>
              <w:rPr>
                <w:sz w:val="24"/>
              </w:rPr>
            </w:pPr>
          </w:p>
          <w:p>
            <w:pPr>
              <w:pStyle w:val="TableParagraph"/>
              <w:ind w:left="415" w:right="336"/>
              <w:jc w:val="center"/>
              <w:rPr>
                <w:sz w:val="24"/>
              </w:rPr>
            </w:pPr>
            <w:r>
              <w:rPr>
                <w:sz w:val="24"/>
              </w:rPr>
              <w:t>n (%)</w:t>
            </w:r>
          </w:p>
        </w:tc>
      </w:tr>
      <w:tr>
        <w:trPr>
          <w:trHeight w:val="785" w:hRule="exact"/>
        </w:trPr>
        <w:tc>
          <w:tcPr>
            <w:tcW w:w="2056" w:type="dxa"/>
            <w:tcBorders>
              <w:top w:val="single" w:sz="8" w:space="0" w:color="000000"/>
            </w:tcBorders>
          </w:tcPr>
          <w:p>
            <w:pPr>
              <w:pStyle w:val="TableParagraph"/>
              <w:spacing w:line="272" w:lineRule="exact"/>
              <w:ind w:left="195" w:right="296"/>
              <w:jc w:val="center"/>
              <w:rPr>
                <w:sz w:val="24"/>
              </w:rPr>
            </w:pPr>
            <w:r>
              <w:rPr>
                <w:sz w:val="24"/>
              </w:rPr>
              <w:t>GSTM1</w:t>
            </w:r>
          </w:p>
        </w:tc>
        <w:tc>
          <w:tcPr>
            <w:tcW w:w="1496" w:type="dxa"/>
            <w:tcBorders>
              <w:top w:val="single" w:sz="8" w:space="0" w:color="000000"/>
            </w:tcBorders>
          </w:tcPr>
          <w:p>
            <w:pPr>
              <w:pStyle w:val="TableParagraph"/>
              <w:spacing w:line="272" w:lineRule="exact"/>
              <w:ind w:left="435"/>
              <w:rPr>
                <w:sz w:val="24"/>
              </w:rPr>
            </w:pPr>
            <w:r>
              <w:rPr>
                <w:sz w:val="24"/>
              </w:rPr>
              <w:t>+ / +</w:t>
            </w:r>
          </w:p>
          <w:p>
            <w:pPr>
              <w:pStyle w:val="TableParagraph"/>
              <w:ind w:left="495"/>
              <w:rPr>
                <w:sz w:val="24"/>
              </w:rPr>
            </w:pPr>
            <w:r>
              <w:rPr>
                <w:sz w:val="24"/>
              </w:rPr>
              <w:t>- / -</w:t>
            </w:r>
          </w:p>
        </w:tc>
        <w:tc>
          <w:tcPr>
            <w:tcW w:w="1868" w:type="dxa"/>
            <w:tcBorders>
              <w:top w:val="single" w:sz="8" w:space="0" w:color="000000"/>
            </w:tcBorders>
          </w:tcPr>
          <w:p>
            <w:pPr>
              <w:pStyle w:val="TableParagraph"/>
              <w:spacing w:line="272" w:lineRule="exact"/>
              <w:ind w:left="567"/>
              <w:rPr>
                <w:sz w:val="24"/>
              </w:rPr>
            </w:pPr>
            <w:r>
              <w:rPr>
                <w:sz w:val="24"/>
              </w:rPr>
              <w:t>26 (65)</w:t>
            </w:r>
          </w:p>
          <w:p>
            <w:pPr>
              <w:pStyle w:val="TableParagraph"/>
              <w:ind w:left="567"/>
              <w:rPr>
                <w:sz w:val="24"/>
              </w:rPr>
            </w:pPr>
            <w:r>
              <w:rPr>
                <w:sz w:val="24"/>
              </w:rPr>
              <w:t>14 (35)</w:t>
            </w:r>
          </w:p>
        </w:tc>
        <w:tc>
          <w:tcPr>
            <w:tcW w:w="2007" w:type="dxa"/>
            <w:tcBorders>
              <w:top w:val="single" w:sz="8" w:space="0" w:color="000000"/>
            </w:tcBorders>
          </w:tcPr>
          <w:p>
            <w:pPr>
              <w:pStyle w:val="TableParagraph"/>
              <w:spacing w:line="272" w:lineRule="exact"/>
              <w:ind w:left="662"/>
              <w:rPr>
                <w:sz w:val="24"/>
              </w:rPr>
            </w:pPr>
            <w:r>
              <w:rPr>
                <w:sz w:val="24"/>
              </w:rPr>
              <w:t>12 (30)</w:t>
            </w:r>
          </w:p>
          <w:p>
            <w:pPr>
              <w:pStyle w:val="TableParagraph"/>
              <w:ind w:left="662"/>
              <w:rPr>
                <w:sz w:val="24"/>
              </w:rPr>
            </w:pPr>
            <w:r>
              <w:rPr>
                <w:sz w:val="24"/>
              </w:rPr>
              <w:t>28 (70)</w:t>
            </w:r>
          </w:p>
        </w:tc>
      </w:tr>
      <w:tr>
        <w:trPr>
          <w:trHeight w:val="981" w:hRule="exact"/>
        </w:trPr>
        <w:tc>
          <w:tcPr>
            <w:tcW w:w="2056" w:type="dxa"/>
          </w:tcPr>
          <w:p>
            <w:pPr>
              <w:pStyle w:val="TableParagraph"/>
              <w:spacing w:before="202"/>
              <w:ind w:left="195" w:right="298"/>
              <w:jc w:val="center"/>
              <w:rPr>
                <w:sz w:val="24"/>
              </w:rPr>
            </w:pPr>
            <w:r>
              <w:rPr>
                <w:sz w:val="24"/>
              </w:rPr>
              <w:t>GSTT1</w:t>
            </w:r>
          </w:p>
        </w:tc>
        <w:tc>
          <w:tcPr>
            <w:tcW w:w="1496" w:type="dxa"/>
          </w:tcPr>
          <w:p>
            <w:pPr>
              <w:pStyle w:val="TableParagraph"/>
              <w:spacing w:before="202"/>
              <w:ind w:left="435"/>
              <w:rPr>
                <w:sz w:val="24"/>
              </w:rPr>
            </w:pPr>
            <w:r>
              <w:rPr>
                <w:sz w:val="24"/>
              </w:rPr>
              <w:t>+ / +</w:t>
            </w:r>
          </w:p>
          <w:p>
            <w:pPr>
              <w:pStyle w:val="TableParagraph"/>
              <w:ind w:left="495"/>
              <w:rPr>
                <w:sz w:val="24"/>
              </w:rPr>
            </w:pPr>
            <w:r>
              <w:rPr>
                <w:sz w:val="24"/>
              </w:rPr>
              <w:t>- / -</w:t>
            </w:r>
          </w:p>
        </w:tc>
        <w:tc>
          <w:tcPr>
            <w:tcW w:w="1868" w:type="dxa"/>
          </w:tcPr>
          <w:p>
            <w:pPr>
              <w:pStyle w:val="TableParagraph"/>
              <w:spacing w:before="202"/>
              <w:ind w:left="468"/>
              <w:rPr>
                <w:sz w:val="24"/>
              </w:rPr>
            </w:pPr>
            <w:r>
              <w:rPr>
                <w:sz w:val="24"/>
              </w:rPr>
              <w:t>11 (27.5)</w:t>
            </w:r>
          </w:p>
          <w:p>
            <w:pPr>
              <w:pStyle w:val="TableParagraph"/>
              <w:ind w:left="468"/>
              <w:rPr>
                <w:sz w:val="24"/>
              </w:rPr>
            </w:pPr>
            <w:r>
              <w:rPr>
                <w:sz w:val="24"/>
              </w:rPr>
              <w:t>29 (72.5)</w:t>
            </w:r>
          </w:p>
        </w:tc>
        <w:tc>
          <w:tcPr>
            <w:tcW w:w="2007" w:type="dxa"/>
          </w:tcPr>
          <w:p>
            <w:pPr>
              <w:pStyle w:val="TableParagraph"/>
              <w:spacing w:before="202"/>
              <w:ind w:left="662"/>
              <w:rPr>
                <w:sz w:val="24"/>
              </w:rPr>
            </w:pPr>
            <w:r>
              <w:rPr>
                <w:sz w:val="24"/>
              </w:rPr>
              <w:t>12 (30)</w:t>
            </w:r>
          </w:p>
          <w:p>
            <w:pPr>
              <w:pStyle w:val="TableParagraph"/>
              <w:ind w:left="662"/>
              <w:rPr>
                <w:sz w:val="24"/>
              </w:rPr>
            </w:pPr>
            <w:r>
              <w:rPr>
                <w:sz w:val="24"/>
              </w:rPr>
              <w:t>28 (70)</w:t>
            </w:r>
          </w:p>
        </w:tc>
      </w:tr>
      <w:tr>
        <w:trPr>
          <w:trHeight w:val="1331" w:hRule="exact"/>
        </w:trPr>
        <w:tc>
          <w:tcPr>
            <w:tcW w:w="2056" w:type="dxa"/>
          </w:tcPr>
          <w:p>
            <w:pPr>
              <w:pStyle w:val="TableParagraph"/>
              <w:spacing w:before="201"/>
              <w:ind w:left="195" w:right="299"/>
              <w:jc w:val="center"/>
              <w:rPr>
                <w:sz w:val="24"/>
              </w:rPr>
            </w:pPr>
            <w:r>
              <w:rPr>
                <w:sz w:val="24"/>
              </w:rPr>
              <w:t>GSTP1b</w:t>
            </w:r>
          </w:p>
        </w:tc>
        <w:tc>
          <w:tcPr>
            <w:tcW w:w="1496" w:type="dxa"/>
          </w:tcPr>
          <w:p>
            <w:pPr>
              <w:pStyle w:val="TableParagraph"/>
              <w:spacing w:before="201"/>
              <w:ind w:left="428"/>
              <w:rPr>
                <w:sz w:val="24"/>
              </w:rPr>
            </w:pPr>
            <w:r>
              <w:rPr>
                <w:sz w:val="24"/>
              </w:rPr>
              <w:t>(a/a)</w:t>
            </w:r>
          </w:p>
          <w:p>
            <w:pPr>
              <w:pStyle w:val="TableParagraph"/>
              <w:ind w:left="428"/>
              <w:rPr>
                <w:sz w:val="24"/>
              </w:rPr>
            </w:pPr>
            <w:r>
              <w:rPr>
                <w:sz w:val="24"/>
              </w:rPr>
              <w:t>(a/b)</w:t>
            </w:r>
          </w:p>
          <w:p>
            <w:pPr>
              <w:pStyle w:val="TableParagraph"/>
              <w:ind w:left="428"/>
              <w:rPr>
                <w:sz w:val="24"/>
              </w:rPr>
            </w:pPr>
            <w:r>
              <w:rPr>
                <w:sz w:val="24"/>
              </w:rPr>
              <w:t>(b/b)</w:t>
            </w:r>
          </w:p>
        </w:tc>
        <w:tc>
          <w:tcPr>
            <w:tcW w:w="1868" w:type="dxa"/>
          </w:tcPr>
          <w:p>
            <w:pPr>
              <w:pStyle w:val="TableParagraph"/>
              <w:spacing w:before="201"/>
              <w:ind w:left="449" w:right="415"/>
              <w:jc w:val="center"/>
              <w:rPr>
                <w:sz w:val="24"/>
              </w:rPr>
            </w:pPr>
            <w:r>
              <w:rPr>
                <w:sz w:val="24"/>
              </w:rPr>
              <w:t>1 (2.5)</w:t>
            </w:r>
          </w:p>
          <w:p>
            <w:pPr>
              <w:pStyle w:val="TableParagraph"/>
              <w:ind w:left="449" w:right="415"/>
              <w:jc w:val="center"/>
              <w:rPr>
                <w:sz w:val="24"/>
              </w:rPr>
            </w:pPr>
            <w:r>
              <w:rPr>
                <w:sz w:val="24"/>
              </w:rPr>
              <w:t>26 (65)</w:t>
            </w:r>
          </w:p>
          <w:p>
            <w:pPr>
              <w:pStyle w:val="TableParagraph"/>
              <w:ind w:left="449" w:right="416"/>
              <w:jc w:val="center"/>
              <w:rPr>
                <w:sz w:val="24"/>
              </w:rPr>
            </w:pPr>
            <w:r>
              <w:rPr>
                <w:sz w:val="24"/>
              </w:rPr>
              <w:t>13 (32.5)</w:t>
            </w:r>
          </w:p>
        </w:tc>
        <w:tc>
          <w:tcPr>
            <w:tcW w:w="2007" w:type="dxa"/>
          </w:tcPr>
          <w:p>
            <w:pPr>
              <w:pStyle w:val="TableParagraph"/>
              <w:spacing w:before="201"/>
              <w:ind w:left="629"/>
              <w:rPr>
                <w:sz w:val="24"/>
              </w:rPr>
            </w:pPr>
            <w:r>
              <w:rPr>
                <w:sz w:val="24"/>
              </w:rPr>
              <w:t>9 (22.5 )</w:t>
            </w:r>
          </w:p>
          <w:p>
            <w:pPr>
              <w:pStyle w:val="TableParagraph"/>
              <w:ind w:left="415" w:right="336"/>
              <w:jc w:val="center"/>
              <w:rPr>
                <w:sz w:val="24"/>
              </w:rPr>
            </w:pPr>
            <w:r>
              <w:rPr>
                <w:sz w:val="24"/>
              </w:rPr>
              <w:t>17 (42.5)</w:t>
            </w:r>
          </w:p>
          <w:p>
            <w:pPr>
              <w:pStyle w:val="TableParagraph"/>
              <w:ind w:left="415" w:right="334"/>
              <w:jc w:val="center"/>
              <w:rPr>
                <w:sz w:val="24"/>
              </w:rPr>
            </w:pPr>
            <w:r>
              <w:rPr>
                <w:sz w:val="24"/>
              </w:rPr>
              <w:t>14 (35)</w:t>
            </w:r>
          </w:p>
        </w:tc>
      </w:tr>
      <w:tr>
        <w:trPr>
          <w:trHeight w:val="1118" w:hRule="exact"/>
        </w:trPr>
        <w:tc>
          <w:tcPr>
            <w:tcW w:w="2056" w:type="dxa"/>
            <w:tcBorders>
              <w:bottom w:val="single" w:sz="8" w:space="0" w:color="000000"/>
            </w:tcBorders>
          </w:tcPr>
          <w:p>
            <w:pPr>
              <w:pStyle w:val="TableParagraph"/>
              <w:rPr>
                <w:sz w:val="24"/>
              </w:rPr>
            </w:pPr>
          </w:p>
          <w:p>
            <w:pPr>
              <w:pStyle w:val="TableParagraph"/>
              <w:ind w:left="195" w:right="298"/>
              <w:jc w:val="center"/>
              <w:rPr>
                <w:sz w:val="24"/>
              </w:rPr>
            </w:pPr>
            <w:r>
              <w:rPr>
                <w:sz w:val="24"/>
              </w:rPr>
              <w:t>GSTP1c</w:t>
            </w:r>
          </w:p>
        </w:tc>
        <w:tc>
          <w:tcPr>
            <w:tcW w:w="1496" w:type="dxa"/>
            <w:tcBorders>
              <w:bottom w:val="single" w:sz="8" w:space="0" w:color="000000"/>
            </w:tcBorders>
          </w:tcPr>
          <w:p>
            <w:pPr>
              <w:pStyle w:val="TableParagraph"/>
              <w:rPr>
                <w:sz w:val="24"/>
              </w:rPr>
            </w:pPr>
          </w:p>
          <w:p>
            <w:pPr>
              <w:pStyle w:val="TableParagraph"/>
              <w:ind w:left="428"/>
              <w:rPr>
                <w:sz w:val="24"/>
              </w:rPr>
            </w:pPr>
            <w:r>
              <w:rPr>
                <w:sz w:val="24"/>
              </w:rPr>
              <w:t>(a/a)</w:t>
            </w:r>
          </w:p>
          <w:p>
            <w:pPr>
              <w:pStyle w:val="TableParagraph"/>
              <w:ind w:left="435"/>
              <w:rPr>
                <w:sz w:val="24"/>
              </w:rPr>
            </w:pPr>
            <w:r>
              <w:rPr>
                <w:sz w:val="24"/>
              </w:rPr>
              <w:t>(a/c)</w:t>
            </w:r>
          </w:p>
          <w:p>
            <w:pPr>
              <w:pStyle w:val="TableParagraph"/>
              <w:ind w:left="443"/>
              <w:rPr>
                <w:sz w:val="24"/>
              </w:rPr>
            </w:pPr>
            <w:r>
              <w:rPr>
                <w:sz w:val="24"/>
              </w:rPr>
              <w:t>(c/c)</w:t>
            </w:r>
          </w:p>
        </w:tc>
        <w:tc>
          <w:tcPr>
            <w:tcW w:w="1868" w:type="dxa"/>
            <w:tcBorders>
              <w:bottom w:val="single" w:sz="8" w:space="0" w:color="000000"/>
            </w:tcBorders>
          </w:tcPr>
          <w:p>
            <w:pPr>
              <w:pStyle w:val="TableParagraph"/>
              <w:rPr>
                <w:sz w:val="24"/>
              </w:rPr>
            </w:pPr>
          </w:p>
          <w:p>
            <w:pPr>
              <w:pStyle w:val="TableParagraph"/>
              <w:ind w:left="448" w:right="417"/>
              <w:jc w:val="center"/>
              <w:rPr>
                <w:sz w:val="24"/>
              </w:rPr>
            </w:pPr>
            <w:r>
              <w:rPr>
                <w:sz w:val="24"/>
              </w:rPr>
              <w:t>25 (62.5)</w:t>
            </w:r>
          </w:p>
          <w:p>
            <w:pPr>
              <w:pStyle w:val="TableParagraph"/>
              <w:ind w:left="448" w:right="417"/>
              <w:jc w:val="center"/>
              <w:rPr>
                <w:sz w:val="24"/>
              </w:rPr>
            </w:pPr>
            <w:r>
              <w:rPr>
                <w:sz w:val="24"/>
              </w:rPr>
              <w:t>15 (37.5)</w:t>
            </w:r>
          </w:p>
          <w:p>
            <w:pPr>
              <w:pStyle w:val="TableParagraph"/>
              <w:ind w:left="29"/>
              <w:jc w:val="center"/>
              <w:rPr>
                <w:sz w:val="24"/>
              </w:rPr>
            </w:pPr>
            <w:r>
              <w:rPr>
                <w:w w:val="99"/>
                <w:sz w:val="24"/>
              </w:rPr>
              <w:t>0</w:t>
            </w:r>
          </w:p>
        </w:tc>
        <w:tc>
          <w:tcPr>
            <w:tcW w:w="2007" w:type="dxa"/>
            <w:tcBorders>
              <w:bottom w:val="single" w:sz="8" w:space="0" w:color="000000"/>
            </w:tcBorders>
          </w:tcPr>
          <w:p>
            <w:pPr>
              <w:pStyle w:val="TableParagraph"/>
              <w:rPr>
                <w:sz w:val="24"/>
              </w:rPr>
            </w:pPr>
          </w:p>
          <w:p>
            <w:pPr>
              <w:pStyle w:val="TableParagraph"/>
              <w:ind w:left="415" w:right="336"/>
              <w:jc w:val="center"/>
              <w:rPr>
                <w:sz w:val="24"/>
              </w:rPr>
            </w:pPr>
            <w:r>
              <w:rPr>
                <w:sz w:val="24"/>
              </w:rPr>
              <w:t>27 (67.5)</w:t>
            </w:r>
          </w:p>
          <w:p>
            <w:pPr>
              <w:pStyle w:val="TableParagraph"/>
              <w:ind w:left="415" w:right="336"/>
              <w:jc w:val="center"/>
              <w:rPr>
                <w:sz w:val="24"/>
              </w:rPr>
            </w:pPr>
            <w:r>
              <w:rPr>
                <w:sz w:val="24"/>
              </w:rPr>
              <w:t>13 (32.5)</w:t>
            </w:r>
          </w:p>
          <w:p>
            <w:pPr>
              <w:pStyle w:val="TableParagraph"/>
              <w:ind w:left="75"/>
              <w:jc w:val="center"/>
              <w:rPr>
                <w:sz w:val="24"/>
              </w:rPr>
            </w:pPr>
            <w:r>
              <w:rPr>
                <w:w w:val="99"/>
                <w:sz w:val="24"/>
              </w:rPr>
              <w:t>0</w:t>
            </w:r>
          </w:p>
        </w:tc>
      </w:tr>
    </w:tbl>
    <w:p>
      <w:pPr>
        <w:pStyle w:val="BodyText"/>
        <w:rPr>
          <w:sz w:val="20"/>
        </w:rPr>
      </w:pPr>
    </w:p>
    <w:p>
      <w:pPr>
        <w:spacing w:before="0"/>
        <w:ind w:left="567" w:right="126" w:firstLine="0"/>
        <w:jc w:val="left"/>
        <w:rPr>
          <w:sz w:val="20"/>
        </w:rPr>
      </w:pPr>
      <w:r>
        <w:rPr>
          <w:sz w:val="20"/>
        </w:rPr>
        <w:t>+/+ = present; - /- = null, a/a = wild; a/b and a/c = heterozygous; b/b and c/c = homozygous</w:t>
      </w:r>
    </w:p>
    <w:p>
      <w:pPr>
        <w:spacing w:after="0"/>
        <w:jc w:val="left"/>
        <w:rPr>
          <w:sz w:val="20"/>
        </w:rPr>
        <w:sectPr>
          <w:pgSz w:w="12240" w:h="15840"/>
          <w:pgMar w:header="733" w:footer="1039" w:top="1020" w:bottom="1220" w:left="1540" w:right="1520"/>
        </w:sectPr>
      </w:pPr>
    </w:p>
    <w:p>
      <w:pPr>
        <w:pStyle w:val="BodyText"/>
        <w:rPr>
          <w:sz w:val="18"/>
        </w:rPr>
      </w:pPr>
    </w:p>
    <w:p>
      <w:pPr>
        <w:pStyle w:val="BodyText"/>
        <w:spacing w:line="360" w:lineRule="auto" w:before="69"/>
        <w:ind w:left="222" w:right="182"/>
        <w:jc w:val="both"/>
      </w:pPr>
      <w:r>
        <w:rPr>
          <w:sz w:val="22"/>
        </w:rPr>
        <w:t>Table 3. </w:t>
      </w:r>
      <w:r>
        <w:rPr/>
        <w:t>Results of the correlation model of sociodemographic characteristics, pesticide exposure, presence of cavities and care of it (caries) in the exposed group.</w:t>
      </w:r>
    </w:p>
    <w:p>
      <w:pPr>
        <w:pStyle w:val="BodyText"/>
        <w:rPr>
          <w:sz w:val="20"/>
        </w:rPr>
      </w:pPr>
    </w:p>
    <w:p>
      <w:pPr>
        <w:pStyle w:val="BodyText"/>
        <w:spacing w:before="6"/>
        <w:rPr>
          <w:sz w:val="19"/>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72"/>
        <w:gridCol w:w="1355"/>
        <w:gridCol w:w="1631"/>
        <w:gridCol w:w="1415"/>
        <w:gridCol w:w="1568"/>
        <w:gridCol w:w="1501"/>
      </w:tblGrid>
      <w:tr>
        <w:trPr>
          <w:trHeight w:val="580" w:hRule="exact"/>
        </w:trPr>
        <w:tc>
          <w:tcPr>
            <w:tcW w:w="1372" w:type="dxa"/>
            <w:tcBorders>
              <w:bottom w:val="single" w:sz="8" w:space="0" w:color="000000"/>
            </w:tcBorders>
          </w:tcPr>
          <w:p>
            <w:pPr>
              <w:pStyle w:val="TableParagraph"/>
              <w:spacing w:line="226" w:lineRule="exact"/>
              <w:ind w:left="108"/>
              <w:rPr>
                <w:sz w:val="22"/>
              </w:rPr>
            </w:pPr>
            <w:r>
              <w:rPr>
                <w:sz w:val="22"/>
              </w:rPr>
              <w:t>Variables</w:t>
            </w:r>
          </w:p>
        </w:tc>
        <w:tc>
          <w:tcPr>
            <w:tcW w:w="1355" w:type="dxa"/>
            <w:tcBorders>
              <w:bottom w:val="single" w:sz="8" w:space="0" w:color="000000"/>
            </w:tcBorders>
          </w:tcPr>
          <w:p>
            <w:pPr>
              <w:pStyle w:val="TableParagraph"/>
              <w:spacing w:line="226" w:lineRule="exact"/>
              <w:ind w:left="298"/>
              <w:rPr>
                <w:sz w:val="22"/>
              </w:rPr>
            </w:pPr>
            <w:r>
              <w:rPr>
                <w:sz w:val="22"/>
              </w:rPr>
              <w:t>Age</w:t>
            </w:r>
          </w:p>
        </w:tc>
        <w:tc>
          <w:tcPr>
            <w:tcW w:w="1631" w:type="dxa"/>
            <w:tcBorders>
              <w:bottom w:val="single" w:sz="8" w:space="0" w:color="000000"/>
            </w:tcBorders>
          </w:tcPr>
          <w:p>
            <w:pPr>
              <w:pStyle w:val="TableParagraph"/>
              <w:spacing w:line="226" w:lineRule="exact"/>
              <w:ind w:left="359"/>
              <w:rPr>
                <w:sz w:val="22"/>
              </w:rPr>
            </w:pPr>
            <w:r>
              <w:rPr>
                <w:sz w:val="22"/>
              </w:rPr>
              <w:t>Schooling</w:t>
            </w:r>
          </w:p>
        </w:tc>
        <w:tc>
          <w:tcPr>
            <w:tcW w:w="1415" w:type="dxa"/>
            <w:tcBorders>
              <w:bottom w:val="single" w:sz="8" w:space="0" w:color="000000"/>
            </w:tcBorders>
          </w:tcPr>
          <w:p>
            <w:pPr>
              <w:pStyle w:val="TableParagraph"/>
              <w:spacing w:line="226" w:lineRule="exact"/>
              <w:ind w:left="305"/>
              <w:rPr>
                <w:sz w:val="22"/>
              </w:rPr>
            </w:pPr>
            <w:r>
              <w:rPr>
                <w:sz w:val="22"/>
              </w:rPr>
              <w:t>Caries</w:t>
            </w:r>
          </w:p>
        </w:tc>
        <w:tc>
          <w:tcPr>
            <w:tcW w:w="1568" w:type="dxa"/>
            <w:tcBorders>
              <w:bottom w:val="single" w:sz="8" w:space="0" w:color="000000"/>
            </w:tcBorders>
          </w:tcPr>
          <w:p>
            <w:pPr>
              <w:pStyle w:val="TableParagraph"/>
              <w:spacing w:line="225" w:lineRule="exact"/>
              <w:ind w:left="412"/>
              <w:rPr>
                <w:sz w:val="22"/>
              </w:rPr>
            </w:pPr>
            <w:r>
              <w:rPr>
                <w:sz w:val="22"/>
              </w:rPr>
              <w:t>Exposure</w:t>
            </w:r>
          </w:p>
          <w:p>
            <w:pPr>
              <w:pStyle w:val="TableParagraph"/>
              <w:spacing w:line="252" w:lineRule="exact"/>
              <w:ind w:left="412"/>
              <w:rPr>
                <w:sz w:val="22"/>
              </w:rPr>
            </w:pPr>
            <w:r>
              <w:rPr>
                <w:sz w:val="22"/>
              </w:rPr>
              <w:t>Time</w:t>
            </w:r>
          </w:p>
        </w:tc>
        <w:tc>
          <w:tcPr>
            <w:tcW w:w="1501" w:type="dxa"/>
            <w:tcBorders>
              <w:bottom w:val="single" w:sz="8" w:space="0" w:color="000000"/>
            </w:tcBorders>
          </w:tcPr>
          <w:p>
            <w:pPr>
              <w:pStyle w:val="TableParagraph"/>
              <w:spacing w:line="225" w:lineRule="exact"/>
              <w:ind w:left="227"/>
              <w:rPr>
                <w:sz w:val="22"/>
              </w:rPr>
            </w:pPr>
            <w:r>
              <w:rPr>
                <w:sz w:val="22"/>
              </w:rPr>
              <w:t>Dental</w:t>
            </w:r>
          </w:p>
          <w:p>
            <w:pPr>
              <w:pStyle w:val="TableParagraph"/>
              <w:spacing w:line="252" w:lineRule="exact"/>
              <w:ind w:left="227"/>
              <w:rPr>
                <w:sz w:val="22"/>
              </w:rPr>
            </w:pPr>
            <w:r>
              <w:rPr>
                <w:sz w:val="22"/>
              </w:rPr>
              <w:t>Care</w:t>
            </w:r>
          </w:p>
        </w:tc>
      </w:tr>
      <w:tr>
        <w:trPr>
          <w:trHeight w:val="639" w:hRule="exact"/>
        </w:trPr>
        <w:tc>
          <w:tcPr>
            <w:tcW w:w="1372" w:type="dxa"/>
            <w:tcBorders>
              <w:top w:val="single" w:sz="8" w:space="0" w:color="000000"/>
            </w:tcBorders>
          </w:tcPr>
          <w:p>
            <w:pPr>
              <w:pStyle w:val="TableParagraph"/>
              <w:spacing w:line="251" w:lineRule="exact"/>
              <w:ind w:left="108"/>
              <w:rPr>
                <w:sz w:val="22"/>
              </w:rPr>
            </w:pPr>
            <w:r>
              <w:rPr>
                <w:sz w:val="22"/>
              </w:rPr>
              <w:t>Age</w:t>
            </w:r>
          </w:p>
        </w:tc>
        <w:tc>
          <w:tcPr>
            <w:tcW w:w="1355" w:type="dxa"/>
            <w:tcBorders>
              <w:top w:val="single" w:sz="8" w:space="0" w:color="000000"/>
            </w:tcBorders>
          </w:tcPr>
          <w:p>
            <w:pPr>
              <w:pStyle w:val="TableParagraph"/>
              <w:spacing w:line="251" w:lineRule="exact"/>
              <w:ind w:left="298"/>
              <w:rPr>
                <w:sz w:val="22"/>
              </w:rPr>
            </w:pPr>
            <w:r>
              <w:rPr>
                <w:sz w:val="22"/>
              </w:rPr>
              <w:t>1.000</w:t>
            </w:r>
          </w:p>
        </w:tc>
        <w:tc>
          <w:tcPr>
            <w:tcW w:w="1631" w:type="dxa"/>
            <w:tcBorders>
              <w:top w:val="single" w:sz="8" w:space="0" w:color="000000"/>
            </w:tcBorders>
          </w:tcPr>
          <w:p>
            <w:pPr>
              <w:pStyle w:val="TableParagraph"/>
              <w:spacing w:line="250" w:lineRule="exact"/>
              <w:ind w:left="359"/>
              <w:rPr>
                <w:sz w:val="22"/>
              </w:rPr>
            </w:pPr>
            <w:r>
              <w:rPr>
                <w:sz w:val="22"/>
              </w:rPr>
              <w:t>-0.281</w:t>
            </w:r>
          </w:p>
          <w:p>
            <w:pPr>
              <w:pStyle w:val="TableParagraph"/>
              <w:spacing w:line="252" w:lineRule="exact"/>
              <w:ind w:left="359"/>
              <w:rPr>
                <w:sz w:val="22"/>
              </w:rPr>
            </w:pPr>
            <w:r>
              <w:rPr>
                <w:sz w:val="22"/>
              </w:rPr>
              <w:t>(0.083)</w:t>
            </w:r>
          </w:p>
        </w:tc>
        <w:tc>
          <w:tcPr>
            <w:tcW w:w="1415" w:type="dxa"/>
            <w:tcBorders>
              <w:top w:val="single" w:sz="8" w:space="0" w:color="000000"/>
            </w:tcBorders>
          </w:tcPr>
          <w:p>
            <w:pPr>
              <w:pStyle w:val="TableParagraph"/>
              <w:spacing w:line="250" w:lineRule="exact"/>
              <w:ind w:left="305"/>
              <w:rPr>
                <w:sz w:val="22"/>
              </w:rPr>
            </w:pPr>
            <w:r>
              <w:rPr>
                <w:sz w:val="22"/>
              </w:rPr>
              <w:t>0.077</w:t>
            </w:r>
          </w:p>
          <w:p>
            <w:pPr>
              <w:pStyle w:val="TableParagraph"/>
              <w:spacing w:line="252" w:lineRule="exact"/>
              <w:ind w:left="305"/>
              <w:rPr>
                <w:sz w:val="22"/>
              </w:rPr>
            </w:pPr>
            <w:r>
              <w:rPr>
                <w:sz w:val="22"/>
              </w:rPr>
              <w:t>(0.640)</w:t>
            </w:r>
          </w:p>
        </w:tc>
        <w:tc>
          <w:tcPr>
            <w:tcW w:w="1568" w:type="dxa"/>
            <w:tcBorders>
              <w:top w:val="single" w:sz="8" w:space="0" w:color="000000"/>
            </w:tcBorders>
          </w:tcPr>
          <w:p>
            <w:pPr>
              <w:pStyle w:val="TableParagraph"/>
              <w:spacing w:line="250" w:lineRule="exact"/>
              <w:ind w:left="412"/>
              <w:rPr>
                <w:sz w:val="22"/>
              </w:rPr>
            </w:pPr>
            <w:r>
              <w:rPr>
                <w:sz w:val="22"/>
              </w:rPr>
              <w:t>0.666</w:t>
            </w:r>
          </w:p>
          <w:p>
            <w:pPr>
              <w:pStyle w:val="TableParagraph"/>
              <w:spacing w:line="252" w:lineRule="exact"/>
              <w:ind w:left="412"/>
              <w:rPr>
                <w:sz w:val="22"/>
              </w:rPr>
            </w:pPr>
            <w:r>
              <w:rPr>
                <w:sz w:val="22"/>
              </w:rPr>
              <w:t>(0.000)</w:t>
            </w:r>
          </w:p>
        </w:tc>
        <w:tc>
          <w:tcPr>
            <w:tcW w:w="1501" w:type="dxa"/>
            <w:tcBorders>
              <w:top w:val="single" w:sz="8" w:space="0" w:color="000000"/>
            </w:tcBorders>
          </w:tcPr>
          <w:p>
            <w:pPr>
              <w:pStyle w:val="TableParagraph"/>
              <w:spacing w:line="250" w:lineRule="exact"/>
              <w:ind w:left="227"/>
              <w:rPr>
                <w:sz w:val="22"/>
              </w:rPr>
            </w:pPr>
            <w:r>
              <w:rPr>
                <w:sz w:val="22"/>
              </w:rPr>
              <w:t>-0.219</w:t>
            </w:r>
          </w:p>
          <w:p>
            <w:pPr>
              <w:pStyle w:val="TableParagraph"/>
              <w:spacing w:line="252" w:lineRule="exact"/>
              <w:ind w:left="227"/>
              <w:rPr>
                <w:sz w:val="22"/>
              </w:rPr>
            </w:pPr>
            <w:r>
              <w:rPr>
                <w:sz w:val="22"/>
              </w:rPr>
              <w:t>(0.181)</w:t>
            </w:r>
          </w:p>
        </w:tc>
      </w:tr>
      <w:tr>
        <w:trPr>
          <w:trHeight w:val="717" w:hRule="exact"/>
        </w:trPr>
        <w:tc>
          <w:tcPr>
            <w:tcW w:w="1372" w:type="dxa"/>
          </w:tcPr>
          <w:p>
            <w:pPr>
              <w:pStyle w:val="TableParagraph"/>
              <w:spacing w:before="104"/>
              <w:ind w:left="108"/>
              <w:rPr>
                <w:sz w:val="22"/>
              </w:rPr>
            </w:pPr>
            <w:r>
              <w:rPr>
                <w:sz w:val="22"/>
              </w:rPr>
              <w:t>Schooling</w:t>
            </w:r>
          </w:p>
        </w:tc>
        <w:tc>
          <w:tcPr>
            <w:tcW w:w="1355" w:type="dxa"/>
          </w:tcPr>
          <w:p>
            <w:pPr>
              <w:pStyle w:val="TableParagraph"/>
              <w:spacing w:line="252" w:lineRule="exact" w:before="104"/>
              <w:ind w:left="298"/>
              <w:rPr>
                <w:sz w:val="22"/>
              </w:rPr>
            </w:pPr>
            <w:r>
              <w:rPr>
                <w:sz w:val="22"/>
              </w:rPr>
              <w:t>-0.281</w:t>
            </w:r>
          </w:p>
          <w:p>
            <w:pPr>
              <w:pStyle w:val="TableParagraph"/>
              <w:spacing w:line="252" w:lineRule="exact"/>
              <w:ind w:left="298"/>
              <w:rPr>
                <w:sz w:val="22"/>
              </w:rPr>
            </w:pPr>
            <w:r>
              <w:rPr>
                <w:sz w:val="22"/>
              </w:rPr>
              <w:t>(0.083)</w:t>
            </w:r>
          </w:p>
        </w:tc>
        <w:tc>
          <w:tcPr>
            <w:tcW w:w="1631" w:type="dxa"/>
          </w:tcPr>
          <w:p>
            <w:pPr>
              <w:pStyle w:val="TableParagraph"/>
              <w:spacing w:before="104"/>
              <w:ind w:left="359"/>
              <w:rPr>
                <w:sz w:val="22"/>
              </w:rPr>
            </w:pPr>
            <w:r>
              <w:rPr>
                <w:sz w:val="22"/>
              </w:rPr>
              <w:t>1.000</w:t>
            </w:r>
          </w:p>
        </w:tc>
        <w:tc>
          <w:tcPr>
            <w:tcW w:w="1415" w:type="dxa"/>
          </w:tcPr>
          <w:p>
            <w:pPr>
              <w:pStyle w:val="TableParagraph"/>
              <w:spacing w:line="252" w:lineRule="exact" w:before="104"/>
              <w:ind w:left="305"/>
              <w:rPr>
                <w:sz w:val="22"/>
              </w:rPr>
            </w:pPr>
            <w:r>
              <w:rPr>
                <w:sz w:val="22"/>
              </w:rPr>
              <w:t>-0.088</w:t>
            </w:r>
          </w:p>
          <w:p>
            <w:pPr>
              <w:pStyle w:val="TableParagraph"/>
              <w:spacing w:line="252" w:lineRule="exact"/>
              <w:ind w:left="305"/>
              <w:rPr>
                <w:sz w:val="22"/>
              </w:rPr>
            </w:pPr>
            <w:r>
              <w:rPr>
                <w:sz w:val="22"/>
              </w:rPr>
              <w:t>(0.593)</w:t>
            </w:r>
          </w:p>
        </w:tc>
        <w:tc>
          <w:tcPr>
            <w:tcW w:w="1568" w:type="dxa"/>
          </w:tcPr>
          <w:p>
            <w:pPr>
              <w:pStyle w:val="TableParagraph"/>
              <w:spacing w:line="252" w:lineRule="exact" w:before="104"/>
              <w:ind w:left="412"/>
              <w:rPr>
                <w:sz w:val="22"/>
              </w:rPr>
            </w:pPr>
            <w:r>
              <w:rPr>
                <w:sz w:val="22"/>
              </w:rPr>
              <w:t>-0.336</w:t>
            </w:r>
          </w:p>
          <w:p>
            <w:pPr>
              <w:pStyle w:val="TableParagraph"/>
              <w:spacing w:line="252" w:lineRule="exact"/>
              <w:ind w:left="412"/>
              <w:rPr>
                <w:sz w:val="22"/>
              </w:rPr>
            </w:pPr>
            <w:r>
              <w:rPr>
                <w:sz w:val="22"/>
              </w:rPr>
              <w:t>(0.036)</w:t>
            </w:r>
          </w:p>
        </w:tc>
        <w:tc>
          <w:tcPr>
            <w:tcW w:w="1501" w:type="dxa"/>
          </w:tcPr>
          <w:p>
            <w:pPr>
              <w:pStyle w:val="TableParagraph"/>
              <w:spacing w:line="252" w:lineRule="exact" w:before="104"/>
              <w:ind w:left="227"/>
              <w:rPr>
                <w:sz w:val="22"/>
              </w:rPr>
            </w:pPr>
            <w:r>
              <w:rPr>
                <w:sz w:val="22"/>
              </w:rPr>
              <w:t>-0.030</w:t>
            </w:r>
          </w:p>
          <w:p>
            <w:pPr>
              <w:pStyle w:val="TableParagraph"/>
              <w:spacing w:line="252" w:lineRule="exact"/>
              <w:ind w:left="227"/>
              <w:rPr>
                <w:sz w:val="22"/>
              </w:rPr>
            </w:pPr>
            <w:r>
              <w:rPr>
                <w:sz w:val="22"/>
              </w:rPr>
              <w:t>(0.858)</w:t>
            </w:r>
          </w:p>
        </w:tc>
      </w:tr>
      <w:tr>
        <w:trPr>
          <w:trHeight w:val="704" w:hRule="exact"/>
        </w:trPr>
        <w:tc>
          <w:tcPr>
            <w:tcW w:w="1372" w:type="dxa"/>
          </w:tcPr>
          <w:p>
            <w:pPr>
              <w:pStyle w:val="TableParagraph"/>
              <w:spacing w:before="84"/>
              <w:ind w:left="108"/>
              <w:rPr>
                <w:sz w:val="22"/>
              </w:rPr>
            </w:pPr>
            <w:r>
              <w:rPr>
                <w:sz w:val="22"/>
              </w:rPr>
              <w:t>Caries</w:t>
            </w:r>
          </w:p>
        </w:tc>
        <w:tc>
          <w:tcPr>
            <w:tcW w:w="1355" w:type="dxa"/>
          </w:tcPr>
          <w:p>
            <w:pPr>
              <w:pStyle w:val="TableParagraph"/>
              <w:spacing w:before="84"/>
              <w:ind w:left="298"/>
              <w:rPr>
                <w:sz w:val="22"/>
              </w:rPr>
            </w:pPr>
            <w:r>
              <w:rPr>
                <w:sz w:val="22"/>
              </w:rPr>
              <w:t>0.077</w:t>
            </w:r>
          </w:p>
          <w:p>
            <w:pPr>
              <w:pStyle w:val="TableParagraph"/>
              <w:spacing w:before="1"/>
              <w:ind w:left="298"/>
              <w:rPr>
                <w:sz w:val="22"/>
              </w:rPr>
            </w:pPr>
            <w:r>
              <w:rPr>
                <w:sz w:val="22"/>
              </w:rPr>
              <w:t>(0.640)</w:t>
            </w:r>
          </w:p>
        </w:tc>
        <w:tc>
          <w:tcPr>
            <w:tcW w:w="1631" w:type="dxa"/>
          </w:tcPr>
          <w:p>
            <w:pPr>
              <w:pStyle w:val="TableParagraph"/>
              <w:spacing w:before="84"/>
              <w:ind w:left="359"/>
              <w:rPr>
                <w:sz w:val="22"/>
              </w:rPr>
            </w:pPr>
            <w:r>
              <w:rPr>
                <w:sz w:val="22"/>
              </w:rPr>
              <w:t>-0.088</w:t>
            </w:r>
          </w:p>
          <w:p>
            <w:pPr>
              <w:pStyle w:val="TableParagraph"/>
              <w:spacing w:before="1"/>
              <w:ind w:left="359"/>
              <w:rPr>
                <w:sz w:val="22"/>
              </w:rPr>
            </w:pPr>
            <w:r>
              <w:rPr>
                <w:sz w:val="22"/>
              </w:rPr>
              <w:t>(0.593)</w:t>
            </w:r>
          </w:p>
        </w:tc>
        <w:tc>
          <w:tcPr>
            <w:tcW w:w="1415" w:type="dxa"/>
          </w:tcPr>
          <w:p>
            <w:pPr>
              <w:pStyle w:val="TableParagraph"/>
              <w:spacing w:before="84"/>
              <w:ind w:left="305"/>
              <w:rPr>
                <w:sz w:val="22"/>
              </w:rPr>
            </w:pPr>
            <w:r>
              <w:rPr>
                <w:sz w:val="22"/>
              </w:rPr>
              <w:t>1.000</w:t>
            </w:r>
          </w:p>
        </w:tc>
        <w:tc>
          <w:tcPr>
            <w:tcW w:w="1568" w:type="dxa"/>
          </w:tcPr>
          <w:p>
            <w:pPr>
              <w:pStyle w:val="TableParagraph"/>
              <w:spacing w:before="84"/>
              <w:ind w:left="412"/>
              <w:rPr>
                <w:sz w:val="22"/>
              </w:rPr>
            </w:pPr>
            <w:r>
              <w:rPr>
                <w:sz w:val="22"/>
              </w:rPr>
              <w:t>0.217</w:t>
            </w:r>
          </w:p>
          <w:p>
            <w:pPr>
              <w:pStyle w:val="TableParagraph"/>
              <w:spacing w:before="1"/>
              <w:ind w:left="412"/>
              <w:rPr>
                <w:sz w:val="22"/>
              </w:rPr>
            </w:pPr>
            <w:r>
              <w:rPr>
                <w:sz w:val="22"/>
              </w:rPr>
              <w:t>(0.184)</w:t>
            </w:r>
          </w:p>
        </w:tc>
        <w:tc>
          <w:tcPr>
            <w:tcW w:w="1501" w:type="dxa"/>
          </w:tcPr>
          <w:p>
            <w:pPr>
              <w:pStyle w:val="TableParagraph"/>
              <w:spacing w:before="84"/>
              <w:ind w:left="227"/>
              <w:rPr>
                <w:sz w:val="22"/>
              </w:rPr>
            </w:pPr>
            <w:r>
              <w:rPr>
                <w:sz w:val="22"/>
              </w:rPr>
              <w:t>-0.102</w:t>
            </w:r>
          </w:p>
          <w:p>
            <w:pPr>
              <w:pStyle w:val="TableParagraph"/>
              <w:spacing w:before="1"/>
              <w:ind w:left="227"/>
              <w:rPr>
                <w:sz w:val="22"/>
              </w:rPr>
            </w:pPr>
            <w:r>
              <w:rPr>
                <w:sz w:val="22"/>
              </w:rPr>
              <w:t>(0.537)</w:t>
            </w:r>
          </w:p>
        </w:tc>
      </w:tr>
      <w:tr>
        <w:trPr>
          <w:trHeight w:val="704" w:hRule="exact"/>
        </w:trPr>
        <w:tc>
          <w:tcPr>
            <w:tcW w:w="1372" w:type="dxa"/>
          </w:tcPr>
          <w:p>
            <w:pPr>
              <w:pStyle w:val="TableParagraph"/>
              <w:spacing w:before="89"/>
              <w:ind w:left="108" w:right="314"/>
              <w:rPr>
                <w:sz w:val="22"/>
              </w:rPr>
            </w:pPr>
            <w:r>
              <w:rPr>
                <w:sz w:val="22"/>
              </w:rPr>
              <w:t>Exposure Time</w:t>
            </w:r>
          </w:p>
        </w:tc>
        <w:tc>
          <w:tcPr>
            <w:tcW w:w="1355" w:type="dxa"/>
          </w:tcPr>
          <w:p>
            <w:pPr>
              <w:pStyle w:val="TableParagraph"/>
              <w:spacing w:line="252" w:lineRule="exact" w:before="89"/>
              <w:ind w:left="298"/>
              <w:rPr>
                <w:sz w:val="22"/>
              </w:rPr>
            </w:pPr>
            <w:r>
              <w:rPr>
                <w:sz w:val="22"/>
              </w:rPr>
              <w:t>0.743</w:t>
            </w:r>
          </w:p>
          <w:p>
            <w:pPr>
              <w:pStyle w:val="TableParagraph"/>
              <w:spacing w:line="252" w:lineRule="exact"/>
              <w:ind w:left="298"/>
              <w:rPr>
                <w:sz w:val="22"/>
              </w:rPr>
            </w:pPr>
            <w:r>
              <w:rPr>
                <w:sz w:val="22"/>
              </w:rPr>
              <w:t>(0.000)</w:t>
            </w:r>
          </w:p>
        </w:tc>
        <w:tc>
          <w:tcPr>
            <w:tcW w:w="1631" w:type="dxa"/>
          </w:tcPr>
          <w:p>
            <w:pPr>
              <w:pStyle w:val="TableParagraph"/>
              <w:spacing w:line="252" w:lineRule="exact" w:before="89"/>
              <w:ind w:left="359"/>
              <w:rPr>
                <w:sz w:val="22"/>
              </w:rPr>
            </w:pPr>
            <w:r>
              <w:rPr>
                <w:sz w:val="22"/>
              </w:rPr>
              <w:t>-0.336</w:t>
            </w:r>
          </w:p>
          <w:p>
            <w:pPr>
              <w:pStyle w:val="TableParagraph"/>
              <w:spacing w:line="252" w:lineRule="exact"/>
              <w:ind w:left="359"/>
              <w:rPr>
                <w:sz w:val="22"/>
              </w:rPr>
            </w:pPr>
            <w:r>
              <w:rPr>
                <w:sz w:val="22"/>
              </w:rPr>
              <w:t>(0.036)</w:t>
            </w:r>
          </w:p>
        </w:tc>
        <w:tc>
          <w:tcPr>
            <w:tcW w:w="1415" w:type="dxa"/>
          </w:tcPr>
          <w:p>
            <w:pPr>
              <w:pStyle w:val="TableParagraph"/>
              <w:spacing w:line="252" w:lineRule="exact" w:before="89"/>
              <w:ind w:left="305"/>
              <w:rPr>
                <w:sz w:val="22"/>
              </w:rPr>
            </w:pPr>
            <w:r>
              <w:rPr>
                <w:sz w:val="22"/>
              </w:rPr>
              <w:t>0.217</w:t>
            </w:r>
          </w:p>
          <w:p>
            <w:pPr>
              <w:pStyle w:val="TableParagraph"/>
              <w:spacing w:line="252" w:lineRule="exact"/>
              <w:ind w:left="305"/>
              <w:rPr>
                <w:sz w:val="22"/>
              </w:rPr>
            </w:pPr>
            <w:r>
              <w:rPr>
                <w:sz w:val="22"/>
              </w:rPr>
              <w:t>(0.184)</w:t>
            </w:r>
          </w:p>
        </w:tc>
        <w:tc>
          <w:tcPr>
            <w:tcW w:w="1568" w:type="dxa"/>
          </w:tcPr>
          <w:p>
            <w:pPr>
              <w:pStyle w:val="TableParagraph"/>
              <w:spacing w:before="89"/>
              <w:ind w:left="412"/>
              <w:rPr>
                <w:sz w:val="22"/>
              </w:rPr>
            </w:pPr>
            <w:r>
              <w:rPr>
                <w:sz w:val="22"/>
              </w:rPr>
              <w:t>1.000</w:t>
            </w:r>
          </w:p>
        </w:tc>
        <w:tc>
          <w:tcPr>
            <w:tcW w:w="1501" w:type="dxa"/>
          </w:tcPr>
          <w:p>
            <w:pPr>
              <w:pStyle w:val="TableParagraph"/>
              <w:spacing w:line="252" w:lineRule="exact" w:before="89"/>
              <w:ind w:left="227"/>
              <w:rPr>
                <w:sz w:val="22"/>
              </w:rPr>
            </w:pPr>
            <w:r>
              <w:rPr>
                <w:sz w:val="22"/>
              </w:rPr>
              <w:t>0.368</w:t>
            </w:r>
          </w:p>
          <w:p>
            <w:pPr>
              <w:pStyle w:val="TableParagraph"/>
              <w:spacing w:line="252" w:lineRule="exact"/>
              <w:ind w:left="227"/>
              <w:rPr>
                <w:sz w:val="22"/>
              </w:rPr>
            </w:pPr>
            <w:r>
              <w:rPr>
                <w:sz w:val="22"/>
              </w:rPr>
              <w:t>(0.021)</w:t>
            </w:r>
          </w:p>
        </w:tc>
      </w:tr>
      <w:tr>
        <w:trPr>
          <w:trHeight w:val="606" w:hRule="exact"/>
        </w:trPr>
        <w:tc>
          <w:tcPr>
            <w:tcW w:w="1372" w:type="dxa"/>
            <w:tcBorders>
              <w:bottom w:val="single" w:sz="8" w:space="0" w:color="000000"/>
            </w:tcBorders>
          </w:tcPr>
          <w:p>
            <w:pPr>
              <w:pStyle w:val="TableParagraph"/>
              <w:spacing w:before="87"/>
              <w:ind w:left="108" w:right="608"/>
              <w:rPr>
                <w:sz w:val="22"/>
              </w:rPr>
            </w:pPr>
            <w:r>
              <w:rPr>
                <w:sz w:val="22"/>
              </w:rPr>
              <w:t>Dental Care</w:t>
            </w:r>
          </w:p>
        </w:tc>
        <w:tc>
          <w:tcPr>
            <w:tcW w:w="1355" w:type="dxa"/>
            <w:tcBorders>
              <w:bottom w:val="single" w:sz="8" w:space="0" w:color="000000"/>
            </w:tcBorders>
          </w:tcPr>
          <w:p>
            <w:pPr>
              <w:pStyle w:val="TableParagraph"/>
              <w:spacing w:before="87"/>
              <w:ind w:left="298"/>
              <w:rPr>
                <w:sz w:val="22"/>
              </w:rPr>
            </w:pPr>
            <w:r>
              <w:rPr>
                <w:sz w:val="22"/>
              </w:rPr>
              <w:t>-0.299</w:t>
            </w:r>
          </w:p>
          <w:p>
            <w:pPr>
              <w:pStyle w:val="TableParagraph"/>
              <w:spacing w:before="1"/>
              <w:ind w:left="298"/>
              <w:rPr>
                <w:sz w:val="22"/>
              </w:rPr>
            </w:pPr>
            <w:r>
              <w:rPr>
                <w:sz w:val="22"/>
              </w:rPr>
              <w:t>(0.065)</w:t>
            </w:r>
          </w:p>
        </w:tc>
        <w:tc>
          <w:tcPr>
            <w:tcW w:w="1631" w:type="dxa"/>
            <w:tcBorders>
              <w:bottom w:val="single" w:sz="8" w:space="0" w:color="000000"/>
            </w:tcBorders>
          </w:tcPr>
          <w:p>
            <w:pPr>
              <w:pStyle w:val="TableParagraph"/>
              <w:spacing w:before="87"/>
              <w:ind w:left="359"/>
              <w:rPr>
                <w:sz w:val="22"/>
              </w:rPr>
            </w:pPr>
            <w:r>
              <w:rPr>
                <w:sz w:val="22"/>
              </w:rPr>
              <w:t>-0.030</w:t>
            </w:r>
          </w:p>
          <w:p>
            <w:pPr>
              <w:pStyle w:val="TableParagraph"/>
              <w:spacing w:before="1"/>
              <w:ind w:left="359"/>
              <w:rPr>
                <w:sz w:val="22"/>
              </w:rPr>
            </w:pPr>
            <w:r>
              <w:rPr>
                <w:sz w:val="22"/>
              </w:rPr>
              <w:t>(0.858)</w:t>
            </w:r>
          </w:p>
        </w:tc>
        <w:tc>
          <w:tcPr>
            <w:tcW w:w="1415" w:type="dxa"/>
            <w:tcBorders>
              <w:bottom w:val="single" w:sz="8" w:space="0" w:color="000000"/>
            </w:tcBorders>
          </w:tcPr>
          <w:p>
            <w:pPr>
              <w:pStyle w:val="TableParagraph"/>
              <w:spacing w:before="87"/>
              <w:ind w:left="305"/>
              <w:rPr>
                <w:sz w:val="22"/>
              </w:rPr>
            </w:pPr>
            <w:r>
              <w:rPr>
                <w:sz w:val="22"/>
              </w:rPr>
              <w:t>-0.102</w:t>
            </w:r>
          </w:p>
          <w:p>
            <w:pPr>
              <w:pStyle w:val="TableParagraph"/>
              <w:spacing w:before="1"/>
              <w:ind w:left="305"/>
              <w:rPr>
                <w:sz w:val="22"/>
              </w:rPr>
            </w:pPr>
            <w:r>
              <w:rPr>
                <w:sz w:val="22"/>
              </w:rPr>
              <w:t>(0.537)</w:t>
            </w:r>
          </w:p>
        </w:tc>
        <w:tc>
          <w:tcPr>
            <w:tcW w:w="1568" w:type="dxa"/>
            <w:tcBorders>
              <w:bottom w:val="single" w:sz="8" w:space="0" w:color="000000"/>
            </w:tcBorders>
          </w:tcPr>
          <w:p>
            <w:pPr>
              <w:pStyle w:val="TableParagraph"/>
              <w:spacing w:before="87"/>
              <w:ind w:left="412"/>
              <w:rPr>
                <w:sz w:val="22"/>
              </w:rPr>
            </w:pPr>
            <w:r>
              <w:rPr>
                <w:sz w:val="22"/>
              </w:rPr>
              <w:t>0.368</w:t>
            </w:r>
          </w:p>
          <w:p>
            <w:pPr>
              <w:pStyle w:val="TableParagraph"/>
              <w:spacing w:before="1"/>
              <w:ind w:left="412"/>
              <w:rPr>
                <w:sz w:val="22"/>
              </w:rPr>
            </w:pPr>
            <w:r>
              <w:rPr>
                <w:sz w:val="22"/>
              </w:rPr>
              <w:t>(0.021)</w:t>
            </w:r>
          </w:p>
        </w:tc>
        <w:tc>
          <w:tcPr>
            <w:tcW w:w="1501" w:type="dxa"/>
            <w:tcBorders>
              <w:bottom w:val="single" w:sz="8" w:space="0" w:color="000000"/>
            </w:tcBorders>
          </w:tcPr>
          <w:p>
            <w:pPr>
              <w:pStyle w:val="TableParagraph"/>
              <w:spacing w:before="87"/>
              <w:ind w:left="227"/>
              <w:rPr>
                <w:sz w:val="22"/>
              </w:rPr>
            </w:pPr>
            <w:r>
              <w:rPr>
                <w:sz w:val="22"/>
              </w:rPr>
              <w:t>1.000</w:t>
            </w:r>
          </w:p>
        </w:tc>
      </w:tr>
    </w:tbl>
    <w:p>
      <w:pPr>
        <w:pStyle w:val="BodyText"/>
      </w:pPr>
    </w:p>
    <w:p>
      <w:pPr>
        <w:pStyle w:val="BodyText"/>
      </w:pPr>
    </w:p>
    <w:p>
      <w:pPr>
        <w:pStyle w:val="BodyText"/>
      </w:pPr>
    </w:p>
    <w:p>
      <w:pPr>
        <w:pStyle w:val="BodyText"/>
      </w:pPr>
    </w:p>
    <w:p>
      <w:pPr>
        <w:pStyle w:val="BodyText"/>
        <w:rPr>
          <w:sz w:val="32"/>
        </w:rPr>
      </w:pPr>
    </w:p>
    <w:p>
      <w:pPr>
        <w:pStyle w:val="BodyText"/>
        <w:spacing w:line="360" w:lineRule="auto"/>
        <w:ind w:left="222" w:right="184"/>
        <w:jc w:val="both"/>
      </w:pPr>
      <w:r>
        <w:rPr>
          <w:sz w:val="22"/>
        </w:rPr>
        <w:t>Table 4. </w:t>
      </w:r>
      <w:r>
        <w:rPr/>
        <w:t>Results of the correlation model of sociodemographic characteristics, presence of cavities and care of it (caries) in the unexposed group.</w:t>
      </w:r>
    </w:p>
    <w:p>
      <w:pPr>
        <w:pStyle w:val="BodyText"/>
        <w:rPr>
          <w:sz w:val="20"/>
        </w:rPr>
      </w:pPr>
    </w:p>
    <w:p>
      <w:pPr>
        <w:pStyle w:val="BodyText"/>
        <w:rPr>
          <w:sz w:val="20"/>
        </w:rPr>
      </w:pPr>
    </w:p>
    <w:p>
      <w:pPr>
        <w:pStyle w:val="BodyText"/>
        <w:spacing w:before="3"/>
        <w:rPr>
          <w:sz w:val="27"/>
        </w:rPr>
      </w:pPr>
    </w:p>
    <w:tbl>
      <w:tblPr>
        <w:tblW w:w="0" w:type="auto"/>
        <w:jc w:val="left"/>
        <w:tblInd w:w="97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88"/>
        <w:gridCol w:w="1184"/>
        <w:gridCol w:w="1727"/>
        <w:gridCol w:w="1309"/>
        <w:gridCol w:w="1635"/>
      </w:tblGrid>
      <w:tr>
        <w:trPr>
          <w:trHeight w:val="237" w:hRule="exact"/>
        </w:trPr>
        <w:tc>
          <w:tcPr>
            <w:tcW w:w="1488" w:type="dxa"/>
            <w:tcBorders>
              <w:bottom w:val="single" w:sz="8" w:space="0" w:color="000000"/>
            </w:tcBorders>
          </w:tcPr>
          <w:p>
            <w:pPr>
              <w:pStyle w:val="TableParagraph"/>
              <w:spacing w:line="226" w:lineRule="exact"/>
              <w:ind w:left="105"/>
              <w:rPr>
                <w:sz w:val="22"/>
              </w:rPr>
            </w:pPr>
            <w:r>
              <w:rPr>
                <w:sz w:val="22"/>
              </w:rPr>
              <w:t>Variables</w:t>
            </w:r>
          </w:p>
        </w:tc>
        <w:tc>
          <w:tcPr>
            <w:tcW w:w="1184" w:type="dxa"/>
            <w:tcBorders>
              <w:bottom w:val="single" w:sz="8" w:space="0" w:color="000000"/>
            </w:tcBorders>
          </w:tcPr>
          <w:p>
            <w:pPr>
              <w:pStyle w:val="TableParagraph"/>
              <w:spacing w:line="226" w:lineRule="exact"/>
              <w:ind w:left="206"/>
              <w:rPr>
                <w:sz w:val="22"/>
              </w:rPr>
            </w:pPr>
            <w:r>
              <w:rPr>
                <w:sz w:val="22"/>
              </w:rPr>
              <w:t>Age</w:t>
            </w:r>
          </w:p>
        </w:tc>
        <w:tc>
          <w:tcPr>
            <w:tcW w:w="1727" w:type="dxa"/>
            <w:tcBorders>
              <w:bottom w:val="single" w:sz="8" w:space="0" w:color="000000"/>
            </w:tcBorders>
          </w:tcPr>
          <w:p>
            <w:pPr>
              <w:pStyle w:val="TableParagraph"/>
              <w:spacing w:line="226" w:lineRule="exact"/>
              <w:ind w:left="402"/>
              <w:rPr>
                <w:sz w:val="22"/>
              </w:rPr>
            </w:pPr>
            <w:r>
              <w:rPr>
                <w:sz w:val="22"/>
              </w:rPr>
              <w:t>Schooling</w:t>
            </w:r>
          </w:p>
        </w:tc>
        <w:tc>
          <w:tcPr>
            <w:tcW w:w="1309" w:type="dxa"/>
            <w:tcBorders>
              <w:bottom w:val="single" w:sz="8" w:space="0" w:color="000000"/>
            </w:tcBorders>
          </w:tcPr>
          <w:p>
            <w:pPr>
              <w:pStyle w:val="TableParagraph"/>
              <w:spacing w:line="226" w:lineRule="exact"/>
              <w:ind w:left="338" w:right="294"/>
              <w:jc w:val="center"/>
              <w:rPr>
                <w:sz w:val="22"/>
              </w:rPr>
            </w:pPr>
            <w:r>
              <w:rPr>
                <w:sz w:val="22"/>
              </w:rPr>
              <w:t>Caries</w:t>
            </w:r>
          </w:p>
        </w:tc>
        <w:tc>
          <w:tcPr>
            <w:tcW w:w="1635" w:type="dxa"/>
            <w:tcBorders>
              <w:bottom w:val="single" w:sz="8" w:space="0" w:color="000000"/>
            </w:tcBorders>
          </w:tcPr>
          <w:p>
            <w:pPr>
              <w:pStyle w:val="TableParagraph"/>
              <w:spacing w:line="226" w:lineRule="exact"/>
              <w:ind w:left="314"/>
              <w:rPr>
                <w:sz w:val="22"/>
              </w:rPr>
            </w:pPr>
            <w:r>
              <w:rPr>
                <w:sz w:val="22"/>
              </w:rPr>
              <w:t>Dental Care</w:t>
            </w:r>
          </w:p>
        </w:tc>
      </w:tr>
      <w:tr>
        <w:trPr>
          <w:trHeight w:val="653" w:hRule="exact"/>
        </w:trPr>
        <w:tc>
          <w:tcPr>
            <w:tcW w:w="1488" w:type="dxa"/>
            <w:tcBorders>
              <w:top w:val="single" w:sz="8" w:space="0" w:color="000000"/>
            </w:tcBorders>
          </w:tcPr>
          <w:p>
            <w:pPr>
              <w:pStyle w:val="TableParagraph"/>
              <w:ind w:left="105"/>
              <w:rPr>
                <w:sz w:val="22"/>
              </w:rPr>
            </w:pPr>
            <w:r>
              <w:rPr>
                <w:sz w:val="22"/>
              </w:rPr>
              <w:t>Age</w:t>
            </w:r>
          </w:p>
        </w:tc>
        <w:tc>
          <w:tcPr>
            <w:tcW w:w="1184" w:type="dxa"/>
            <w:tcBorders>
              <w:top w:val="single" w:sz="8" w:space="0" w:color="000000"/>
            </w:tcBorders>
          </w:tcPr>
          <w:p>
            <w:pPr>
              <w:pStyle w:val="TableParagraph"/>
              <w:ind w:left="206"/>
              <w:rPr>
                <w:sz w:val="22"/>
              </w:rPr>
            </w:pPr>
            <w:r>
              <w:rPr>
                <w:sz w:val="22"/>
              </w:rPr>
              <w:t>1.000</w:t>
            </w:r>
          </w:p>
        </w:tc>
        <w:tc>
          <w:tcPr>
            <w:tcW w:w="1727" w:type="dxa"/>
            <w:tcBorders>
              <w:top w:val="single" w:sz="8" w:space="0" w:color="000000"/>
            </w:tcBorders>
          </w:tcPr>
          <w:p>
            <w:pPr>
              <w:pStyle w:val="TableParagraph"/>
              <w:spacing w:line="252" w:lineRule="exact"/>
              <w:ind w:left="402"/>
              <w:rPr>
                <w:sz w:val="22"/>
              </w:rPr>
            </w:pPr>
            <w:r>
              <w:rPr>
                <w:sz w:val="22"/>
              </w:rPr>
              <w:t>-.250</w:t>
            </w:r>
          </w:p>
          <w:p>
            <w:pPr>
              <w:pStyle w:val="TableParagraph"/>
              <w:spacing w:line="252" w:lineRule="exact"/>
              <w:ind w:left="402"/>
              <w:rPr>
                <w:sz w:val="22"/>
              </w:rPr>
            </w:pPr>
            <w:r>
              <w:rPr>
                <w:sz w:val="22"/>
              </w:rPr>
              <w:t>(.125)</w:t>
            </w:r>
          </w:p>
        </w:tc>
        <w:tc>
          <w:tcPr>
            <w:tcW w:w="1309" w:type="dxa"/>
            <w:tcBorders>
              <w:top w:val="single" w:sz="8" w:space="0" w:color="000000"/>
            </w:tcBorders>
          </w:tcPr>
          <w:p>
            <w:pPr>
              <w:pStyle w:val="TableParagraph"/>
              <w:spacing w:line="252" w:lineRule="exact"/>
              <w:ind w:left="358"/>
              <w:rPr>
                <w:sz w:val="22"/>
              </w:rPr>
            </w:pPr>
            <w:r>
              <w:rPr>
                <w:sz w:val="22"/>
              </w:rPr>
              <w:t>.099</w:t>
            </w:r>
          </w:p>
          <w:p>
            <w:pPr>
              <w:pStyle w:val="TableParagraph"/>
              <w:spacing w:line="252" w:lineRule="exact"/>
              <w:ind w:left="358"/>
              <w:rPr>
                <w:sz w:val="22"/>
              </w:rPr>
            </w:pPr>
            <w:r>
              <w:rPr>
                <w:sz w:val="22"/>
              </w:rPr>
              <w:t>(.547)</w:t>
            </w:r>
          </w:p>
        </w:tc>
        <w:tc>
          <w:tcPr>
            <w:tcW w:w="1635" w:type="dxa"/>
            <w:tcBorders>
              <w:top w:val="single" w:sz="8" w:space="0" w:color="000000"/>
            </w:tcBorders>
          </w:tcPr>
          <w:p>
            <w:pPr>
              <w:pStyle w:val="TableParagraph"/>
              <w:spacing w:line="252" w:lineRule="exact"/>
              <w:ind w:left="314"/>
              <w:rPr>
                <w:sz w:val="22"/>
              </w:rPr>
            </w:pPr>
            <w:r>
              <w:rPr>
                <w:sz w:val="22"/>
              </w:rPr>
              <w:t>.054</w:t>
            </w:r>
          </w:p>
          <w:p>
            <w:pPr>
              <w:pStyle w:val="TableParagraph"/>
              <w:spacing w:line="252" w:lineRule="exact"/>
              <w:ind w:left="314"/>
              <w:rPr>
                <w:sz w:val="22"/>
              </w:rPr>
            </w:pPr>
            <w:r>
              <w:rPr>
                <w:sz w:val="22"/>
              </w:rPr>
              <w:t>(.745)</w:t>
            </w:r>
          </w:p>
        </w:tc>
      </w:tr>
      <w:tr>
        <w:trPr>
          <w:trHeight w:val="746" w:hRule="exact"/>
        </w:trPr>
        <w:tc>
          <w:tcPr>
            <w:tcW w:w="1488" w:type="dxa"/>
          </w:tcPr>
          <w:p>
            <w:pPr>
              <w:pStyle w:val="TableParagraph"/>
              <w:spacing w:before="115"/>
              <w:ind w:left="105"/>
              <w:rPr>
                <w:sz w:val="22"/>
              </w:rPr>
            </w:pPr>
            <w:r>
              <w:rPr>
                <w:sz w:val="22"/>
              </w:rPr>
              <w:t>Schooling</w:t>
            </w:r>
          </w:p>
        </w:tc>
        <w:tc>
          <w:tcPr>
            <w:tcW w:w="1184" w:type="dxa"/>
          </w:tcPr>
          <w:p>
            <w:pPr>
              <w:pStyle w:val="TableParagraph"/>
              <w:spacing w:line="252" w:lineRule="exact" w:before="115"/>
              <w:ind w:left="206"/>
              <w:rPr>
                <w:sz w:val="22"/>
              </w:rPr>
            </w:pPr>
            <w:r>
              <w:rPr>
                <w:sz w:val="22"/>
              </w:rPr>
              <w:t>-.250</w:t>
            </w:r>
          </w:p>
          <w:p>
            <w:pPr>
              <w:pStyle w:val="TableParagraph"/>
              <w:spacing w:line="252" w:lineRule="exact"/>
              <w:ind w:left="206"/>
              <w:rPr>
                <w:sz w:val="22"/>
              </w:rPr>
            </w:pPr>
            <w:r>
              <w:rPr>
                <w:sz w:val="22"/>
              </w:rPr>
              <w:t>(.125)</w:t>
            </w:r>
          </w:p>
        </w:tc>
        <w:tc>
          <w:tcPr>
            <w:tcW w:w="1727" w:type="dxa"/>
          </w:tcPr>
          <w:p>
            <w:pPr>
              <w:pStyle w:val="TableParagraph"/>
              <w:spacing w:before="115"/>
              <w:ind w:left="402"/>
              <w:rPr>
                <w:sz w:val="22"/>
              </w:rPr>
            </w:pPr>
            <w:r>
              <w:rPr>
                <w:sz w:val="22"/>
              </w:rPr>
              <w:t>1.000</w:t>
            </w:r>
          </w:p>
        </w:tc>
        <w:tc>
          <w:tcPr>
            <w:tcW w:w="1309" w:type="dxa"/>
          </w:tcPr>
          <w:p>
            <w:pPr>
              <w:pStyle w:val="TableParagraph"/>
              <w:spacing w:line="252" w:lineRule="exact" w:before="115"/>
              <w:ind w:left="358"/>
              <w:rPr>
                <w:sz w:val="22"/>
              </w:rPr>
            </w:pPr>
            <w:r>
              <w:rPr>
                <w:sz w:val="22"/>
              </w:rPr>
              <w:t>-.022</w:t>
            </w:r>
          </w:p>
          <w:p>
            <w:pPr>
              <w:pStyle w:val="TableParagraph"/>
              <w:spacing w:line="252" w:lineRule="exact"/>
              <w:ind w:left="358"/>
              <w:rPr>
                <w:sz w:val="22"/>
              </w:rPr>
            </w:pPr>
            <w:r>
              <w:rPr>
                <w:sz w:val="22"/>
              </w:rPr>
              <w:t>(.896)</w:t>
            </w:r>
          </w:p>
        </w:tc>
        <w:tc>
          <w:tcPr>
            <w:tcW w:w="1635" w:type="dxa"/>
          </w:tcPr>
          <w:p>
            <w:pPr>
              <w:pStyle w:val="TableParagraph"/>
              <w:spacing w:line="252" w:lineRule="exact" w:before="115"/>
              <w:ind w:left="314"/>
              <w:rPr>
                <w:sz w:val="22"/>
              </w:rPr>
            </w:pPr>
            <w:r>
              <w:rPr>
                <w:sz w:val="22"/>
              </w:rPr>
              <w:t>.185</w:t>
            </w:r>
          </w:p>
          <w:p>
            <w:pPr>
              <w:pStyle w:val="TableParagraph"/>
              <w:spacing w:line="252" w:lineRule="exact"/>
              <w:ind w:left="314"/>
              <w:rPr>
                <w:sz w:val="22"/>
              </w:rPr>
            </w:pPr>
            <w:r>
              <w:rPr>
                <w:sz w:val="22"/>
              </w:rPr>
              <w:t>(.261)</w:t>
            </w:r>
          </w:p>
        </w:tc>
      </w:tr>
      <w:tr>
        <w:trPr>
          <w:trHeight w:val="723" w:hRule="exact"/>
        </w:trPr>
        <w:tc>
          <w:tcPr>
            <w:tcW w:w="1488" w:type="dxa"/>
          </w:tcPr>
          <w:p>
            <w:pPr>
              <w:pStyle w:val="TableParagraph"/>
              <w:spacing w:before="102"/>
              <w:ind w:left="105"/>
              <w:rPr>
                <w:sz w:val="22"/>
              </w:rPr>
            </w:pPr>
            <w:r>
              <w:rPr>
                <w:sz w:val="22"/>
              </w:rPr>
              <w:t>Caries</w:t>
            </w:r>
          </w:p>
        </w:tc>
        <w:tc>
          <w:tcPr>
            <w:tcW w:w="1184" w:type="dxa"/>
          </w:tcPr>
          <w:p>
            <w:pPr>
              <w:pStyle w:val="TableParagraph"/>
              <w:spacing w:line="252" w:lineRule="exact" w:before="102"/>
              <w:ind w:left="206"/>
              <w:rPr>
                <w:sz w:val="22"/>
              </w:rPr>
            </w:pPr>
            <w:r>
              <w:rPr>
                <w:sz w:val="22"/>
              </w:rPr>
              <w:t>.099</w:t>
            </w:r>
          </w:p>
          <w:p>
            <w:pPr>
              <w:pStyle w:val="TableParagraph"/>
              <w:spacing w:line="252" w:lineRule="exact"/>
              <w:ind w:left="206"/>
              <w:rPr>
                <w:sz w:val="22"/>
              </w:rPr>
            </w:pPr>
            <w:r>
              <w:rPr>
                <w:sz w:val="22"/>
              </w:rPr>
              <w:t>(.547)</w:t>
            </w:r>
          </w:p>
        </w:tc>
        <w:tc>
          <w:tcPr>
            <w:tcW w:w="1727" w:type="dxa"/>
          </w:tcPr>
          <w:p>
            <w:pPr>
              <w:pStyle w:val="TableParagraph"/>
              <w:spacing w:line="252" w:lineRule="exact" w:before="102"/>
              <w:ind w:left="402"/>
              <w:rPr>
                <w:sz w:val="22"/>
              </w:rPr>
            </w:pPr>
            <w:r>
              <w:rPr>
                <w:sz w:val="22"/>
              </w:rPr>
              <w:t>-.022</w:t>
            </w:r>
          </w:p>
          <w:p>
            <w:pPr>
              <w:pStyle w:val="TableParagraph"/>
              <w:spacing w:line="252" w:lineRule="exact"/>
              <w:ind w:left="402"/>
              <w:rPr>
                <w:sz w:val="22"/>
              </w:rPr>
            </w:pPr>
            <w:r>
              <w:rPr>
                <w:sz w:val="22"/>
              </w:rPr>
              <w:t>(.896)</w:t>
            </w:r>
          </w:p>
        </w:tc>
        <w:tc>
          <w:tcPr>
            <w:tcW w:w="1309" w:type="dxa"/>
          </w:tcPr>
          <w:p>
            <w:pPr>
              <w:pStyle w:val="TableParagraph"/>
              <w:spacing w:before="102"/>
              <w:ind w:left="257" w:right="294"/>
              <w:jc w:val="center"/>
              <w:rPr>
                <w:sz w:val="22"/>
              </w:rPr>
            </w:pPr>
            <w:r>
              <w:rPr>
                <w:sz w:val="22"/>
              </w:rPr>
              <w:t>1.000</w:t>
            </w:r>
          </w:p>
        </w:tc>
        <w:tc>
          <w:tcPr>
            <w:tcW w:w="1635" w:type="dxa"/>
          </w:tcPr>
          <w:p>
            <w:pPr>
              <w:pStyle w:val="TableParagraph"/>
              <w:spacing w:line="252" w:lineRule="exact" w:before="102"/>
              <w:ind w:left="314"/>
              <w:rPr>
                <w:sz w:val="22"/>
              </w:rPr>
            </w:pPr>
            <w:r>
              <w:rPr>
                <w:sz w:val="22"/>
              </w:rPr>
              <w:t>-.391</w:t>
            </w:r>
          </w:p>
          <w:p>
            <w:pPr>
              <w:pStyle w:val="TableParagraph"/>
              <w:spacing w:line="252" w:lineRule="exact"/>
              <w:ind w:left="314"/>
              <w:rPr>
                <w:sz w:val="22"/>
              </w:rPr>
            </w:pPr>
            <w:r>
              <w:rPr>
                <w:sz w:val="22"/>
              </w:rPr>
              <w:t>(.014)</w:t>
            </w:r>
          </w:p>
        </w:tc>
      </w:tr>
      <w:tr>
        <w:trPr>
          <w:trHeight w:val="645" w:hRule="exact"/>
        </w:trPr>
        <w:tc>
          <w:tcPr>
            <w:tcW w:w="1488" w:type="dxa"/>
            <w:tcBorders>
              <w:bottom w:val="single" w:sz="8" w:space="0" w:color="000000"/>
            </w:tcBorders>
          </w:tcPr>
          <w:p>
            <w:pPr>
              <w:pStyle w:val="TableParagraph"/>
              <w:spacing w:before="92"/>
              <w:ind w:left="105"/>
              <w:rPr>
                <w:sz w:val="22"/>
              </w:rPr>
            </w:pPr>
            <w:r>
              <w:rPr>
                <w:sz w:val="22"/>
              </w:rPr>
              <w:t>Dental Care</w:t>
            </w:r>
          </w:p>
        </w:tc>
        <w:tc>
          <w:tcPr>
            <w:tcW w:w="1184" w:type="dxa"/>
            <w:tcBorders>
              <w:bottom w:val="single" w:sz="8" w:space="0" w:color="000000"/>
            </w:tcBorders>
          </w:tcPr>
          <w:p>
            <w:pPr>
              <w:pStyle w:val="TableParagraph"/>
              <w:spacing w:line="252" w:lineRule="exact" w:before="92"/>
              <w:ind w:left="206"/>
              <w:rPr>
                <w:sz w:val="22"/>
              </w:rPr>
            </w:pPr>
            <w:r>
              <w:rPr>
                <w:sz w:val="22"/>
              </w:rPr>
              <w:t>.054</w:t>
            </w:r>
          </w:p>
          <w:p>
            <w:pPr>
              <w:pStyle w:val="TableParagraph"/>
              <w:spacing w:line="252" w:lineRule="exact"/>
              <w:ind w:left="206"/>
              <w:rPr>
                <w:sz w:val="22"/>
              </w:rPr>
            </w:pPr>
            <w:r>
              <w:rPr>
                <w:sz w:val="22"/>
              </w:rPr>
              <w:t>(.745)</w:t>
            </w:r>
          </w:p>
        </w:tc>
        <w:tc>
          <w:tcPr>
            <w:tcW w:w="1727" w:type="dxa"/>
            <w:tcBorders>
              <w:bottom w:val="single" w:sz="8" w:space="0" w:color="000000"/>
            </w:tcBorders>
          </w:tcPr>
          <w:p>
            <w:pPr>
              <w:pStyle w:val="TableParagraph"/>
              <w:spacing w:line="252" w:lineRule="exact" w:before="92"/>
              <w:ind w:left="402"/>
              <w:rPr>
                <w:sz w:val="22"/>
              </w:rPr>
            </w:pPr>
            <w:r>
              <w:rPr>
                <w:sz w:val="22"/>
              </w:rPr>
              <w:t>.185</w:t>
            </w:r>
          </w:p>
          <w:p>
            <w:pPr>
              <w:pStyle w:val="TableParagraph"/>
              <w:spacing w:line="252" w:lineRule="exact"/>
              <w:ind w:left="402"/>
              <w:rPr>
                <w:sz w:val="22"/>
              </w:rPr>
            </w:pPr>
            <w:r>
              <w:rPr>
                <w:sz w:val="22"/>
              </w:rPr>
              <w:t>(.261)</w:t>
            </w:r>
          </w:p>
        </w:tc>
        <w:tc>
          <w:tcPr>
            <w:tcW w:w="1309" w:type="dxa"/>
            <w:tcBorders>
              <w:bottom w:val="single" w:sz="8" w:space="0" w:color="000000"/>
            </w:tcBorders>
          </w:tcPr>
          <w:p>
            <w:pPr>
              <w:pStyle w:val="TableParagraph"/>
              <w:spacing w:line="252" w:lineRule="exact" w:before="92"/>
              <w:ind w:left="358"/>
              <w:rPr>
                <w:sz w:val="22"/>
              </w:rPr>
            </w:pPr>
            <w:r>
              <w:rPr>
                <w:sz w:val="22"/>
              </w:rPr>
              <w:t>-.391</w:t>
            </w:r>
          </w:p>
          <w:p>
            <w:pPr>
              <w:pStyle w:val="TableParagraph"/>
              <w:spacing w:line="252" w:lineRule="exact"/>
              <w:ind w:left="358"/>
              <w:rPr>
                <w:sz w:val="22"/>
              </w:rPr>
            </w:pPr>
            <w:r>
              <w:rPr>
                <w:sz w:val="22"/>
              </w:rPr>
              <w:t>(.014)</w:t>
            </w:r>
          </w:p>
        </w:tc>
        <w:tc>
          <w:tcPr>
            <w:tcW w:w="1635" w:type="dxa"/>
            <w:tcBorders>
              <w:bottom w:val="single" w:sz="8" w:space="0" w:color="000000"/>
            </w:tcBorders>
          </w:tcPr>
          <w:p>
            <w:pPr>
              <w:pStyle w:val="TableParagraph"/>
              <w:spacing w:before="92"/>
              <w:ind w:left="314"/>
              <w:rPr>
                <w:sz w:val="22"/>
              </w:rPr>
            </w:pPr>
            <w:r>
              <w:rPr>
                <w:sz w:val="22"/>
              </w:rPr>
              <w:t>1.000</w:t>
            </w:r>
          </w:p>
        </w:tc>
      </w:tr>
    </w:tbl>
    <w:p>
      <w:pPr>
        <w:spacing w:after="0"/>
        <w:rPr>
          <w:sz w:val="22"/>
        </w:rPr>
        <w:sectPr>
          <w:pgSz w:w="12240" w:h="15840"/>
          <w:pgMar w:header="733" w:footer="1039" w:top="1020" w:bottom="1220" w:left="1480" w:right="1520"/>
        </w:sectPr>
      </w:pPr>
    </w:p>
    <w:p>
      <w:pPr>
        <w:pStyle w:val="BodyText"/>
        <w:rPr>
          <w:sz w:val="20"/>
        </w:rPr>
      </w:pPr>
    </w:p>
    <w:p>
      <w:pPr>
        <w:pStyle w:val="BodyText"/>
        <w:rPr>
          <w:sz w:val="20"/>
        </w:rPr>
      </w:pPr>
    </w:p>
    <w:p>
      <w:pPr>
        <w:pStyle w:val="BodyText"/>
        <w:spacing w:before="5"/>
        <w:rPr>
          <w:sz w:val="20"/>
        </w:rPr>
      </w:pPr>
    </w:p>
    <w:p>
      <w:pPr>
        <w:spacing w:line="276" w:lineRule="auto" w:before="73"/>
        <w:ind w:left="162" w:right="877" w:firstLine="0"/>
        <w:jc w:val="left"/>
        <w:rPr>
          <w:sz w:val="22"/>
        </w:rPr>
      </w:pPr>
      <w:r>
        <w:rPr>
          <w:sz w:val="22"/>
        </w:rPr>
        <w:t>Tabla 5. Linear Regression Model, of the polymorphism present in the exposed and unexposed to pesticides, oral hygiene habits and cariogenic diet vs. decay.</w:t>
      </w:r>
    </w:p>
    <w:p>
      <w:pPr>
        <w:pStyle w:val="BodyText"/>
        <w:rPr>
          <w:sz w:val="20"/>
        </w:rPr>
      </w:pPr>
    </w:p>
    <w:p>
      <w:pPr>
        <w:pStyle w:val="BodyText"/>
        <w:rPr>
          <w:sz w:val="20"/>
        </w:rPr>
      </w:pPr>
    </w:p>
    <w:p>
      <w:pPr>
        <w:pStyle w:val="BodyText"/>
        <w:spacing w:before="4"/>
        <w:rPr>
          <w:sz w:val="20"/>
        </w:rPr>
      </w:pPr>
    </w:p>
    <w:tbl>
      <w:tblPr>
        <w:tblW w:w="0" w:type="auto"/>
        <w:jc w:val="left"/>
        <w:tblInd w:w="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848"/>
        <w:gridCol w:w="879"/>
        <w:gridCol w:w="914"/>
        <w:gridCol w:w="1140"/>
        <w:gridCol w:w="1283"/>
        <w:gridCol w:w="1173"/>
        <w:gridCol w:w="1510"/>
      </w:tblGrid>
      <w:tr>
        <w:trPr>
          <w:trHeight w:val="694" w:hRule="exact"/>
        </w:trPr>
        <w:tc>
          <w:tcPr>
            <w:tcW w:w="4782" w:type="dxa"/>
            <w:gridSpan w:val="4"/>
            <w:tcBorders>
              <w:left w:val="nil"/>
              <w:right w:val="nil"/>
            </w:tcBorders>
          </w:tcPr>
          <w:p>
            <w:pPr>
              <w:pStyle w:val="TableParagraph"/>
              <w:ind w:left="3211" w:right="751" w:hanging="135"/>
              <w:rPr>
                <w:sz w:val="24"/>
              </w:rPr>
            </w:pPr>
            <w:r>
              <w:rPr>
                <w:sz w:val="24"/>
              </w:rPr>
              <w:t>Exposed Group</w:t>
            </w:r>
          </w:p>
        </w:tc>
        <w:tc>
          <w:tcPr>
            <w:tcW w:w="1283" w:type="dxa"/>
            <w:tcBorders>
              <w:left w:val="nil"/>
              <w:right w:val="nil"/>
            </w:tcBorders>
          </w:tcPr>
          <w:p>
            <w:pPr/>
          </w:p>
        </w:tc>
        <w:tc>
          <w:tcPr>
            <w:tcW w:w="2683" w:type="dxa"/>
            <w:gridSpan w:val="2"/>
            <w:tcBorders>
              <w:left w:val="nil"/>
              <w:right w:val="nil"/>
            </w:tcBorders>
          </w:tcPr>
          <w:p>
            <w:pPr>
              <w:pStyle w:val="TableParagraph"/>
              <w:ind w:left="538" w:right="1184" w:hanging="274"/>
              <w:rPr>
                <w:sz w:val="24"/>
              </w:rPr>
            </w:pPr>
            <w:r>
              <w:rPr>
                <w:sz w:val="24"/>
              </w:rPr>
              <w:t>Unexposed Group</w:t>
            </w:r>
          </w:p>
        </w:tc>
      </w:tr>
      <w:tr>
        <w:trPr>
          <w:trHeight w:val="361" w:hRule="exact"/>
        </w:trPr>
        <w:tc>
          <w:tcPr>
            <w:tcW w:w="1848" w:type="dxa"/>
            <w:tcBorders>
              <w:left w:val="nil"/>
              <w:bottom w:val="nil"/>
              <w:right w:val="nil"/>
            </w:tcBorders>
          </w:tcPr>
          <w:p>
            <w:pPr/>
          </w:p>
        </w:tc>
        <w:tc>
          <w:tcPr>
            <w:tcW w:w="879" w:type="dxa"/>
            <w:tcBorders>
              <w:left w:val="nil"/>
              <w:bottom w:val="nil"/>
              <w:right w:val="nil"/>
            </w:tcBorders>
          </w:tcPr>
          <w:p>
            <w:pPr>
              <w:pStyle w:val="TableParagraph"/>
              <w:ind w:left="222"/>
              <w:rPr>
                <w:sz w:val="22"/>
              </w:rPr>
            </w:pPr>
            <w:r>
              <w:rPr>
                <w:w w:val="100"/>
                <w:sz w:val="22"/>
              </w:rPr>
              <w:t>B</w:t>
            </w:r>
          </w:p>
        </w:tc>
        <w:tc>
          <w:tcPr>
            <w:tcW w:w="914" w:type="dxa"/>
            <w:tcBorders>
              <w:left w:val="nil"/>
              <w:bottom w:val="nil"/>
              <w:right w:val="nil"/>
            </w:tcBorders>
          </w:tcPr>
          <w:p>
            <w:pPr>
              <w:pStyle w:val="TableParagraph"/>
              <w:ind w:left="196" w:right="236"/>
              <w:jc w:val="center"/>
              <w:rPr>
                <w:sz w:val="22"/>
              </w:rPr>
            </w:pPr>
            <w:r>
              <w:rPr>
                <w:sz w:val="22"/>
              </w:rPr>
              <w:t>E.E.</w:t>
            </w:r>
          </w:p>
        </w:tc>
        <w:tc>
          <w:tcPr>
            <w:tcW w:w="1140" w:type="dxa"/>
            <w:tcBorders>
              <w:left w:val="nil"/>
              <w:bottom w:val="nil"/>
              <w:right w:val="nil"/>
            </w:tcBorders>
          </w:tcPr>
          <w:p>
            <w:pPr>
              <w:pStyle w:val="TableParagraph"/>
              <w:ind w:left="256"/>
              <w:rPr>
                <w:sz w:val="22"/>
              </w:rPr>
            </w:pPr>
            <w:r>
              <w:rPr>
                <w:w w:val="100"/>
                <w:sz w:val="22"/>
              </w:rPr>
              <w:t>P</w:t>
            </w:r>
          </w:p>
        </w:tc>
        <w:tc>
          <w:tcPr>
            <w:tcW w:w="1283" w:type="dxa"/>
            <w:tcBorders>
              <w:left w:val="nil"/>
              <w:bottom w:val="nil"/>
              <w:right w:val="nil"/>
            </w:tcBorders>
          </w:tcPr>
          <w:p>
            <w:pPr>
              <w:pStyle w:val="TableParagraph"/>
              <w:ind w:left="453"/>
              <w:rPr>
                <w:sz w:val="22"/>
              </w:rPr>
            </w:pPr>
            <w:r>
              <w:rPr>
                <w:w w:val="100"/>
                <w:sz w:val="22"/>
              </w:rPr>
              <w:t>B</w:t>
            </w:r>
          </w:p>
        </w:tc>
        <w:tc>
          <w:tcPr>
            <w:tcW w:w="1173" w:type="dxa"/>
            <w:tcBorders>
              <w:left w:val="nil"/>
              <w:bottom w:val="nil"/>
              <w:right w:val="nil"/>
            </w:tcBorders>
          </w:tcPr>
          <w:p>
            <w:pPr>
              <w:pStyle w:val="TableParagraph"/>
              <w:ind w:right="354"/>
              <w:jc w:val="right"/>
              <w:rPr>
                <w:sz w:val="22"/>
              </w:rPr>
            </w:pPr>
            <w:r>
              <w:rPr>
                <w:sz w:val="22"/>
              </w:rPr>
              <w:t>E.E.</w:t>
            </w:r>
          </w:p>
        </w:tc>
        <w:tc>
          <w:tcPr>
            <w:tcW w:w="1510" w:type="dxa"/>
            <w:tcBorders>
              <w:left w:val="nil"/>
              <w:bottom w:val="nil"/>
              <w:right w:val="nil"/>
            </w:tcBorders>
          </w:tcPr>
          <w:p>
            <w:pPr>
              <w:pStyle w:val="TableParagraph"/>
              <w:ind w:left="343"/>
              <w:rPr>
                <w:sz w:val="22"/>
              </w:rPr>
            </w:pPr>
            <w:r>
              <w:rPr>
                <w:w w:val="100"/>
                <w:sz w:val="22"/>
              </w:rPr>
              <w:t>P</w:t>
            </w:r>
          </w:p>
        </w:tc>
      </w:tr>
      <w:tr>
        <w:trPr>
          <w:trHeight w:val="425" w:hRule="exact"/>
        </w:trPr>
        <w:tc>
          <w:tcPr>
            <w:tcW w:w="1848" w:type="dxa"/>
            <w:tcBorders>
              <w:top w:val="nil"/>
              <w:left w:val="nil"/>
              <w:bottom w:val="nil"/>
              <w:right w:val="nil"/>
            </w:tcBorders>
          </w:tcPr>
          <w:p>
            <w:pPr>
              <w:pStyle w:val="TableParagraph"/>
              <w:spacing w:before="75"/>
              <w:ind w:left="120" w:right="268"/>
              <w:rPr>
                <w:sz w:val="22"/>
              </w:rPr>
            </w:pPr>
            <w:r>
              <w:rPr>
                <w:sz w:val="22"/>
              </w:rPr>
              <w:t>GSTM1 (+/+)</w:t>
            </w:r>
          </w:p>
        </w:tc>
        <w:tc>
          <w:tcPr>
            <w:tcW w:w="879" w:type="dxa"/>
            <w:tcBorders>
              <w:top w:val="nil"/>
              <w:left w:val="nil"/>
              <w:bottom w:val="nil"/>
              <w:right w:val="nil"/>
            </w:tcBorders>
          </w:tcPr>
          <w:p>
            <w:pPr>
              <w:pStyle w:val="TableParagraph"/>
              <w:spacing w:before="75"/>
              <w:ind w:left="222"/>
              <w:rPr>
                <w:sz w:val="22"/>
              </w:rPr>
            </w:pPr>
            <w:r>
              <w:rPr>
                <w:sz w:val="22"/>
              </w:rPr>
              <w:t>0.49</w:t>
            </w:r>
          </w:p>
        </w:tc>
        <w:tc>
          <w:tcPr>
            <w:tcW w:w="914" w:type="dxa"/>
            <w:tcBorders>
              <w:top w:val="nil"/>
              <w:left w:val="nil"/>
              <w:bottom w:val="nil"/>
              <w:right w:val="nil"/>
            </w:tcBorders>
          </w:tcPr>
          <w:p>
            <w:pPr>
              <w:pStyle w:val="TableParagraph"/>
              <w:spacing w:before="75"/>
              <w:ind w:left="208" w:right="235"/>
              <w:jc w:val="center"/>
              <w:rPr>
                <w:sz w:val="22"/>
              </w:rPr>
            </w:pPr>
            <w:r>
              <w:rPr>
                <w:sz w:val="22"/>
              </w:rPr>
              <w:t>0.41</w:t>
            </w:r>
          </w:p>
        </w:tc>
        <w:tc>
          <w:tcPr>
            <w:tcW w:w="1140" w:type="dxa"/>
            <w:tcBorders>
              <w:top w:val="nil"/>
              <w:left w:val="nil"/>
              <w:bottom w:val="nil"/>
              <w:right w:val="nil"/>
            </w:tcBorders>
          </w:tcPr>
          <w:p>
            <w:pPr>
              <w:pStyle w:val="TableParagraph"/>
              <w:spacing w:before="75"/>
              <w:ind w:left="256"/>
              <w:rPr>
                <w:sz w:val="22"/>
              </w:rPr>
            </w:pPr>
            <w:r>
              <w:rPr>
                <w:sz w:val="22"/>
              </w:rPr>
              <w:t>0.01</w:t>
            </w:r>
          </w:p>
        </w:tc>
        <w:tc>
          <w:tcPr>
            <w:tcW w:w="1283" w:type="dxa"/>
            <w:tcBorders>
              <w:top w:val="nil"/>
              <w:left w:val="nil"/>
              <w:bottom w:val="nil"/>
              <w:right w:val="nil"/>
            </w:tcBorders>
          </w:tcPr>
          <w:p>
            <w:pPr>
              <w:pStyle w:val="TableParagraph"/>
              <w:spacing w:before="75"/>
              <w:ind w:left="453"/>
              <w:rPr>
                <w:sz w:val="22"/>
              </w:rPr>
            </w:pPr>
            <w:r>
              <w:rPr>
                <w:sz w:val="22"/>
              </w:rPr>
              <w:t>0.38</w:t>
            </w:r>
          </w:p>
        </w:tc>
        <w:tc>
          <w:tcPr>
            <w:tcW w:w="1173" w:type="dxa"/>
            <w:tcBorders>
              <w:top w:val="nil"/>
              <w:left w:val="nil"/>
              <w:bottom w:val="nil"/>
              <w:right w:val="nil"/>
            </w:tcBorders>
          </w:tcPr>
          <w:p>
            <w:pPr>
              <w:pStyle w:val="TableParagraph"/>
              <w:spacing w:before="75"/>
              <w:ind w:right="341"/>
              <w:jc w:val="right"/>
              <w:rPr>
                <w:sz w:val="22"/>
              </w:rPr>
            </w:pPr>
            <w:r>
              <w:rPr>
                <w:sz w:val="22"/>
              </w:rPr>
              <w:t>1.03</w:t>
            </w:r>
          </w:p>
        </w:tc>
        <w:tc>
          <w:tcPr>
            <w:tcW w:w="1510" w:type="dxa"/>
            <w:tcBorders>
              <w:top w:val="nil"/>
              <w:left w:val="nil"/>
              <w:bottom w:val="nil"/>
              <w:right w:val="nil"/>
            </w:tcBorders>
          </w:tcPr>
          <w:p>
            <w:pPr>
              <w:pStyle w:val="TableParagraph"/>
              <w:spacing w:before="75"/>
              <w:ind w:left="343"/>
              <w:rPr>
                <w:sz w:val="22"/>
              </w:rPr>
            </w:pPr>
            <w:r>
              <w:rPr>
                <w:sz w:val="22"/>
              </w:rPr>
              <w:t>0.02</w:t>
            </w:r>
          </w:p>
        </w:tc>
      </w:tr>
      <w:tr>
        <w:trPr>
          <w:trHeight w:val="636" w:hRule="exact"/>
        </w:trPr>
        <w:tc>
          <w:tcPr>
            <w:tcW w:w="1848" w:type="dxa"/>
            <w:tcBorders>
              <w:top w:val="nil"/>
              <w:left w:val="nil"/>
              <w:bottom w:val="nil"/>
              <w:right w:val="nil"/>
            </w:tcBorders>
          </w:tcPr>
          <w:p>
            <w:pPr>
              <w:pStyle w:val="TableParagraph"/>
              <w:spacing w:before="71"/>
              <w:ind w:left="120" w:right="268"/>
              <w:rPr>
                <w:sz w:val="24"/>
              </w:rPr>
            </w:pPr>
            <w:r>
              <w:rPr>
                <w:sz w:val="24"/>
              </w:rPr>
              <w:t>Oral Hygienic Habits</w:t>
            </w:r>
          </w:p>
        </w:tc>
        <w:tc>
          <w:tcPr>
            <w:tcW w:w="879" w:type="dxa"/>
            <w:tcBorders>
              <w:top w:val="nil"/>
              <w:left w:val="nil"/>
              <w:bottom w:val="nil"/>
              <w:right w:val="nil"/>
            </w:tcBorders>
          </w:tcPr>
          <w:p>
            <w:pPr>
              <w:pStyle w:val="TableParagraph"/>
              <w:spacing w:before="73"/>
              <w:ind w:left="222"/>
              <w:rPr>
                <w:sz w:val="22"/>
              </w:rPr>
            </w:pPr>
            <w:r>
              <w:rPr>
                <w:sz w:val="22"/>
              </w:rPr>
              <w:t>0.09</w:t>
            </w:r>
          </w:p>
        </w:tc>
        <w:tc>
          <w:tcPr>
            <w:tcW w:w="914" w:type="dxa"/>
            <w:tcBorders>
              <w:top w:val="nil"/>
              <w:left w:val="nil"/>
              <w:bottom w:val="nil"/>
              <w:right w:val="nil"/>
            </w:tcBorders>
          </w:tcPr>
          <w:p>
            <w:pPr>
              <w:pStyle w:val="TableParagraph"/>
              <w:spacing w:before="73"/>
              <w:ind w:left="208" w:right="235"/>
              <w:jc w:val="center"/>
              <w:rPr>
                <w:sz w:val="22"/>
              </w:rPr>
            </w:pPr>
            <w:r>
              <w:rPr>
                <w:sz w:val="22"/>
              </w:rPr>
              <w:t>0.67</w:t>
            </w:r>
          </w:p>
        </w:tc>
        <w:tc>
          <w:tcPr>
            <w:tcW w:w="1140" w:type="dxa"/>
            <w:tcBorders>
              <w:top w:val="nil"/>
              <w:left w:val="nil"/>
              <w:bottom w:val="nil"/>
              <w:right w:val="nil"/>
            </w:tcBorders>
          </w:tcPr>
          <w:p>
            <w:pPr>
              <w:pStyle w:val="TableParagraph"/>
              <w:spacing w:before="73"/>
              <w:ind w:left="256"/>
              <w:rPr>
                <w:sz w:val="22"/>
              </w:rPr>
            </w:pPr>
            <w:r>
              <w:rPr>
                <w:sz w:val="22"/>
              </w:rPr>
              <w:t>0.17</w:t>
            </w:r>
          </w:p>
        </w:tc>
        <w:tc>
          <w:tcPr>
            <w:tcW w:w="1283" w:type="dxa"/>
            <w:tcBorders>
              <w:top w:val="nil"/>
              <w:left w:val="nil"/>
              <w:bottom w:val="nil"/>
              <w:right w:val="nil"/>
            </w:tcBorders>
          </w:tcPr>
          <w:p>
            <w:pPr>
              <w:pStyle w:val="TableParagraph"/>
              <w:spacing w:before="73"/>
              <w:ind w:left="453"/>
              <w:rPr>
                <w:sz w:val="22"/>
              </w:rPr>
            </w:pPr>
            <w:r>
              <w:rPr>
                <w:sz w:val="22"/>
              </w:rPr>
              <w:t>0.20</w:t>
            </w:r>
          </w:p>
        </w:tc>
        <w:tc>
          <w:tcPr>
            <w:tcW w:w="1173" w:type="dxa"/>
            <w:tcBorders>
              <w:top w:val="nil"/>
              <w:left w:val="nil"/>
              <w:bottom w:val="nil"/>
              <w:right w:val="nil"/>
            </w:tcBorders>
          </w:tcPr>
          <w:p>
            <w:pPr>
              <w:pStyle w:val="TableParagraph"/>
              <w:spacing w:before="73"/>
              <w:ind w:right="341"/>
              <w:jc w:val="right"/>
              <w:rPr>
                <w:sz w:val="22"/>
              </w:rPr>
            </w:pPr>
            <w:r>
              <w:rPr>
                <w:sz w:val="22"/>
              </w:rPr>
              <w:t>0.53</w:t>
            </w:r>
          </w:p>
        </w:tc>
        <w:tc>
          <w:tcPr>
            <w:tcW w:w="1510" w:type="dxa"/>
            <w:tcBorders>
              <w:top w:val="nil"/>
              <w:left w:val="nil"/>
              <w:bottom w:val="nil"/>
              <w:right w:val="nil"/>
            </w:tcBorders>
          </w:tcPr>
          <w:p>
            <w:pPr>
              <w:pStyle w:val="TableParagraph"/>
              <w:spacing w:before="73"/>
              <w:ind w:left="343"/>
              <w:rPr>
                <w:sz w:val="22"/>
              </w:rPr>
            </w:pPr>
            <w:r>
              <w:rPr>
                <w:sz w:val="22"/>
              </w:rPr>
              <w:t>0.83</w:t>
            </w:r>
          </w:p>
        </w:tc>
      </w:tr>
      <w:tr>
        <w:trPr>
          <w:trHeight w:val="339" w:hRule="exact"/>
        </w:trPr>
        <w:tc>
          <w:tcPr>
            <w:tcW w:w="1848" w:type="dxa"/>
            <w:tcBorders>
              <w:top w:val="nil"/>
              <w:left w:val="nil"/>
              <w:bottom w:val="nil"/>
              <w:right w:val="nil"/>
            </w:tcBorders>
          </w:tcPr>
          <w:p>
            <w:pPr>
              <w:pStyle w:val="TableParagraph"/>
              <w:spacing w:line="243" w:lineRule="exact"/>
              <w:ind w:left="120"/>
              <w:rPr>
                <w:sz w:val="22"/>
              </w:rPr>
            </w:pPr>
            <w:r>
              <w:rPr>
                <w:sz w:val="22"/>
              </w:rPr>
              <w:t>Cariogenic Diet</w:t>
            </w:r>
          </w:p>
        </w:tc>
        <w:tc>
          <w:tcPr>
            <w:tcW w:w="879" w:type="dxa"/>
            <w:tcBorders>
              <w:top w:val="nil"/>
              <w:left w:val="nil"/>
              <w:bottom w:val="nil"/>
              <w:right w:val="nil"/>
            </w:tcBorders>
          </w:tcPr>
          <w:p>
            <w:pPr>
              <w:pStyle w:val="TableParagraph"/>
              <w:spacing w:line="243" w:lineRule="exact"/>
              <w:ind w:left="222"/>
              <w:rPr>
                <w:sz w:val="22"/>
              </w:rPr>
            </w:pPr>
            <w:r>
              <w:rPr>
                <w:sz w:val="22"/>
              </w:rPr>
              <w:t>0.18</w:t>
            </w:r>
          </w:p>
        </w:tc>
        <w:tc>
          <w:tcPr>
            <w:tcW w:w="914" w:type="dxa"/>
            <w:tcBorders>
              <w:top w:val="nil"/>
              <w:left w:val="nil"/>
              <w:bottom w:val="nil"/>
              <w:right w:val="nil"/>
            </w:tcBorders>
          </w:tcPr>
          <w:p>
            <w:pPr>
              <w:pStyle w:val="TableParagraph"/>
              <w:spacing w:line="243" w:lineRule="exact"/>
              <w:ind w:left="208" w:right="235"/>
              <w:jc w:val="center"/>
              <w:rPr>
                <w:sz w:val="22"/>
              </w:rPr>
            </w:pPr>
            <w:r>
              <w:rPr>
                <w:sz w:val="22"/>
              </w:rPr>
              <w:t>0.76</w:t>
            </w:r>
          </w:p>
        </w:tc>
        <w:tc>
          <w:tcPr>
            <w:tcW w:w="1140" w:type="dxa"/>
            <w:tcBorders>
              <w:top w:val="nil"/>
              <w:left w:val="nil"/>
              <w:bottom w:val="nil"/>
              <w:right w:val="nil"/>
            </w:tcBorders>
          </w:tcPr>
          <w:p>
            <w:pPr>
              <w:pStyle w:val="TableParagraph"/>
              <w:spacing w:line="243" w:lineRule="exact"/>
              <w:ind w:left="256"/>
              <w:rPr>
                <w:sz w:val="22"/>
              </w:rPr>
            </w:pPr>
            <w:r>
              <w:rPr>
                <w:sz w:val="22"/>
              </w:rPr>
              <w:t>0.11</w:t>
            </w:r>
          </w:p>
        </w:tc>
        <w:tc>
          <w:tcPr>
            <w:tcW w:w="1283" w:type="dxa"/>
            <w:tcBorders>
              <w:top w:val="nil"/>
              <w:left w:val="nil"/>
              <w:bottom w:val="nil"/>
              <w:right w:val="nil"/>
            </w:tcBorders>
          </w:tcPr>
          <w:p>
            <w:pPr>
              <w:pStyle w:val="TableParagraph"/>
              <w:spacing w:line="243" w:lineRule="exact"/>
              <w:ind w:left="453"/>
              <w:rPr>
                <w:sz w:val="22"/>
              </w:rPr>
            </w:pPr>
            <w:r>
              <w:rPr>
                <w:sz w:val="22"/>
              </w:rPr>
              <w:t>0.16</w:t>
            </w:r>
          </w:p>
        </w:tc>
        <w:tc>
          <w:tcPr>
            <w:tcW w:w="1173" w:type="dxa"/>
            <w:tcBorders>
              <w:top w:val="nil"/>
              <w:left w:val="nil"/>
              <w:bottom w:val="nil"/>
              <w:right w:val="nil"/>
            </w:tcBorders>
          </w:tcPr>
          <w:p>
            <w:pPr>
              <w:pStyle w:val="TableParagraph"/>
              <w:spacing w:line="243" w:lineRule="exact"/>
              <w:ind w:right="341"/>
              <w:jc w:val="right"/>
              <w:rPr>
                <w:sz w:val="22"/>
              </w:rPr>
            </w:pPr>
            <w:r>
              <w:rPr>
                <w:sz w:val="22"/>
              </w:rPr>
              <w:t>0.54</w:t>
            </w:r>
          </w:p>
        </w:tc>
        <w:tc>
          <w:tcPr>
            <w:tcW w:w="1510" w:type="dxa"/>
            <w:tcBorders>
              <w:top w:val="nil"/>
              <w:left w:val="nil"/>
              <w:bottom w:val="nil"/>
              <w:right w:val="nil"/>
            </w:tcBorders>
          </w:tcPr>
          <w:p>
            <w:pPr>
              <w:pStyle w:val="TableParagraph"/>
              <w:spacing w:line="243" w:lineRule="exact"/>
              <w:ind w:left="343"/>
              <w:rPr>
                <w:sz w:val="22"/>
              </w:rPr>
            </w:pPr>
            <w:r>
              <w:rPr>
                <w:sz w:val="22"/>
              </w:rPr>
              <w:t>0.83</w:t>
            </w:r>
          </w:p>
        </w:tc>
      </w:tr>
      <w:tr>
        <w:trPr>
          <w:trHeight w:val="464" w:hRule="exact"/>
        </w:trPr>
        <w:tc>
          <w:tcPr>
            <w:tcW w:w="1848" w:type="dxa"/>
            <w:tcBorders>
              <w:top w:val="nil"/>
              <w:left w:val="nil"/>
              <w:bottom w:val="nil"/>
              <w:right w:val="nil"/>
            </w:tcBorders>
          </w:tcPr>
          <w:p>
            <w:pPr/>
          </w:p>
        </w:tc>
        <w:tc>
          <w:tcPr>
            <w:tcW w:w="879" w:type="dxa"/>
            <w:tcBorders>
              <w:top w:val="nil"/>
              <w:left w:val="nil"/>
              <w:bottom w:val="nil"/>
              <w:right w:val="nil"/>
            </w:tcBorders>
          </w:tcPr>
          <w:p>
            <w:pPr/>
          </w:p>
        </w:tc>
        <w:tc>
          <w:tcPr>
            <w:tcW w:w="2054" w:type="dxa"/>
            <w:gridSpan w:val="2"/>
            <w:tcBorders>
              <w:top w:val="nil"/>
              <w:left w:val="nil"/>
              <w:bottom w:val="nil"/>
              <w:right w:val="nil"/>
            </w:tcBorders>
          </w:tcPr>
          <w:p>
            <w:pPr>
              <w:pStyle w:val="TableParagraph"/>
              <w:spacing w:before="73"/>
              <w:ind w:left="409"/>
              <w:rPr>
                <w:sz w:val="22"/>
              </w:rPr>
            </w:pPr>
            <w:r>
              <w:rPr>
                <w:sz w:val="22"/>
              </w:rPr>
              <w:t>r2= 0.49</w:t>
            </w:r>
          </w:p>
        </w:tc>
        <w:tc>
          <w:tcPr>
            <w:tcW w:w="1283" w:type="dxa"/>
            <w:tcBorders>
              <w:top w:val="nil"/>
              <w:left w:val="nil"/>
              <w:bottom w:val="nil"/>
              <w:right w:val="nil"/>
            </w:tcBorders>
          </w:tcPr>
          <w:p>
            <w:pPr/>
          </w:p>
        </w:tc>
        <w:tc>
          <w:tcPr>
            <w:tcW w:w="2683" w:type="dxa"/>
            <w:gridSpan w:val="2"/>
            <w:tcBorders>
              <w:top w:val="nil"/>
              <w:left w:val="nil"/>
              <w:bottom w:val="nil"/>
              <w:right w:val="nil"/>
            </w:tcBorders>
          </w:tcPr>
          <w:p>
            <w:pPr>
              <w:pStyle w:val="TableParagraph"/>
              <w:spacing w:before="73"/>
              <w:ind w:left="495" w:right="1184"/>
              <w:rPr>
                <w:sz w:val="22"/>
              </w:rPr>
            </w:pPr>
            <w:r>
              <w:rPr>
                <w:sz w:val="22"/>
              </w:rPr>
              <w:t>r2=0.32</w:t>
            </w:r>
          </w:p>
        </w:tc>
      </w:tr>
      <w:tr>
        <w:trPr>
          <w:trHeight w:val="473" w:hRule="exact"/>
        </w:trPr>
        <w:tc>
          <w:tcPr>
            <w:tcW w:w="1848" w:type="dxa"/>
            <w:tcBorders>
              <w:top w:val="nil"/>
              <w:left w:val="nil"/>
              <w:bottom w:val="nil"/>
              <w:right w:val="nil"/>
            </w:tcBorders>
          </w:tcPr>
          <w:p>
            <w:pPr>
              <w:pStyle w:val="TableParagraph"/>
              <w:spacing w:before="115"/>
              <w:ind w:left="120" w:right="268"/>
              <w:rPr>
                <w:sz w:val="22"/>
              </w:rPr>
            </w:pPr>
            <w:r>
              <w:rPr>
                <w:sz w:val="22"/>
              </w:rPr>
              <w:t>GSTT1 (+/+)</w:t>
            </w:r>
          </w:p>
        </w:tc>
        <w:tc>
          <w:tcPr>
            <w:tcW w:w="879" w:type="dxa"/>
            <w:tcBorders>
              <w:top w:val="nil"/>
              <w:left w:val="nil"/>
              <w:bottom w:val="nil"/>
              <w:right w:val="nil"/>
            </w:tcBorders>
          </w:tcPr>
          <w:p>
            <w:pPr>
              <w:pStyle w:val="TableParagraph"/>
              <w:spacing w:before="115"/>
              <w:ind w:left="222"/>
              <w:rPr>
                <w:sz w:val="22"/>
              </w:rPr>
            </w:pPr>
            <w:r>
              <w:rPr>
                <w:sz w:val="22"/>
              </w:rPr>
              <w:t>0.28</w:t>
            </w:r>
          </w:p>
        </w:tc>
        <w:tc>
          <w:tcPr>
            <w:tcW w:w="914" w:type="dxa"/>
            <w:tcBorders>
              <w:top w:val="nil"/>
              <w:left w:val="nil"/>
              <w:bottom w:val="nil"/>
              <w:right w:val="nil"/>
            </w:tcBorders>
          </w:tcPr>
          <w:p>
            <w:pPr>
              <w:pStyle w:val="TableParagraph"/>
              <w:spacing w:before="115"/>
              <w:ind w:left="208" w:right="235"/>
              <w:jc w:val="center"/>
              <w:rPr>
                <w:sz w:val="22"/>
              </w:rPr>
            </w:pPr>
            <w:r>
              <w:rPr>
                <w:sz w:val="22"/>
              </w:rPr>
              <w:t>0.62</w:t>
            </w:r>
          </w:p>
        </w:tc>
        <w:tc>
          <w:tcPr>
            <w:tcW w:w="1140" w:type="dxa"/>
            <w:tcBorders>
              <w:top w:val="nil"/>
              <w:left w:val="nil"/>
              <w:bottom w:val="nil"/>
              <w:right w:val="nil"/>
            </w:tcBorders>
          </w:tcPr>
          <w:p>
            <w:pPr>
              <w:pStyle w:val="TableParagraph"/>
              <w:spacing w:before="115"/>
              <w:ind w:left="256"/>
              <w:rPr>
                <w:sz w:val="22"/>
              </w:rPr>
            </w:pPr>
            <w:r>
              <w:rPr>
                <w:sz w:val="22"/>
              </w:rPr>
              <w:t>0.31</w:t>
            </w:r>
          </w:p>
        </w:tc>
        <w:tc>
          <w:tcPr>
            <w:tcW w:w="1283" w:type="dxa"/>
            <w:tcBorders>
              <w:top w:val="nil"/>
              <w:left w:val="nil"/>
              <w:bottom w:val="nil"/>
              <w:right w:val="nil"/>
            </w:tcBorders>
          </w:tcPr>
          <w:p>
            <w:pPr>
              <w:pStyle w:val="TableParagraph"/>
              <w:spacing w:before="115"/>
              <w:ind w:left="453"/>
              <w:rPr>
                <w:sz w:val="22"/>
              </w:rPr>
            </w:pPr>
            <w:r>
              <w:rPr>
                <w:sz w:val="22"/>
              </w:rPr>
              <w:t>0.38</w:t>
            </w:r>
          </w:p>
        </w:tc>
        <w:tc>
          <w:tcPr>
            <w:tcW w:w="1173" w:type="dxa"/>
            <w:tcBorders>
              <w:top w:val="nil"/>
              <w:left w:val="nil"/>
              <w:bottom w:val="nil"/>
              <w:right w:val="nil"/>
            </w:tcBorders>
          </w:tcPr>
          <w:p>
            <w:pPr>
              <w:pStyle w:val="TableParagraph"/>
              <w:spacing w:before="115"/>
              <w:ind w:right="341"/>
              <w:jc w:val="right"/>
              <w:rPr>
                <w:sz w:val="22"/>
              </w:rPr>
            </w:pPr>
            <w:r>
              <w:rPr>
                <w:sz w:val="22"/>
              </w:rPr>
              <w:t>0.54</w:t>
            </w:r>
          </w:p>
        </w:tc>
        <w:tc>
          <w:tcPr>
            <w:tcW w:w="1510" w:type="dxa"/>
            <w:tcBorders>
              <w:top w:val="nil"/>
              <w:left w:val="nil"/>
              <w:bottom w:val="nil"/>
              <w:right w:val="nil"/>
            </w:tcBorders>
          </w:tcPr>
          <w:p>
            <w:pPr>
              <w:pStyle w:val="TableParagraph"/>
              <w:spacing w:before="115"/>
              <w:ind w:left="343"/>
              <w:rPr>
                <w:sz w:val="22"/>
              </w:rPr>
            </w:pPr>
            <w:r>
              <w:rPr>
                <w:sz w:val="22"/>
              </w:rPr>
              <w:t>0.05</w:t>
            </w:r>
          </w:p>
        </w:tc>
      </w:tr>
      <w:tr>
        <w:trPr>
          <w:trHeight w:val="644" w:hRule="exact"/>
        </w:trPr>
        <w:tc>
          <w:tcPr>
            <w:tcW w:w="1848" w:type="dxa"/>
            <w:tcBorders>
              <w:top w:val="nil"/>
              <w:left w:val="nil"/>
              <w:bottom w:val="nil"/>
              <w:right w:val="nil"/>
            </w:tcBorders>
          </w:tcPr>
          <w:p>
            <w:pPr>
              <w:pStyle w:val="TableParagraph"/>
              <w:spacing w:before="80"/>
              <w:ind w:left="120" w:right="268"/>
              <w:rPr>
                <w:sz w:val="24"/>
              </w:rPr>
            </w:pPr>
            <w:r>
              <w:rPr>
                <w:sz w:val="24"/>
              </w:rPr>
              <w:t>Oral Hygienic Habits</w:t>
            </w:r>
          </w:p>
        </w:tc>
        <w:tc>
          <w:tcPr>
            <w:tcW w:w="879" w:type="dxa"/>
            <w:tcBorders>
              <w:top w:val="nil"/>
              <w:left w:val="nil"/>
              <w:bottom w:val="nil"/>
              <w:right w:val="nil"/>
            </w:tcBorders>
          </w:tcPr>
          <w:p>
            <w:pPr>
              <w:pStyle w:val="TableParagraph"/>
              <w:spacing w:before="81"/>
              <w:ind w:left="222"/>
              <w:rPr>
                <w:sz w:val="22"/>
              </w:rPr>
            </w:pPr>
            <w:r>
              <w:rPr>
                <w:sz w:val="22"/>
              </w:rPr>
              <w:t>0.09</w:t>
            </w:r>
          </w:p>
        </w:tc>
        <w:tc>
          <w:tcPr>
            <w:tcW w:w="914" w:type="dxa"/>
            <w:tcBorders>
              <w:top w:val="nil"/>
              <w:left w:val="nil"/>
              <w:bottom w:val="nil"/>
              <w:right w:val="nil"/>
            </w:tcBorders>
          </w:tcPr>
          <w:p>
            <w:pPr>
              <w:pStyle w:val="TableParagraph"/>
              <w:spacing w:before="81"/>
              <w:ind w:left="208" w:right="235"/>
              <w:jc w:val="center"/>
              <w:rPr>
                <w:sz w:val="22"/>
              </w:rPr>
            </w:pPr>
            <w:r>
              <w:rPr>
                <w:sz w:val="22"/>
              </w:rPr>
              <w:t>0.67</w:t>
            </w:r>
          </w:p>
        </w:tc>
        <w:tc>
          <w:tcPr>
            <w:tcW w:w="1140" w:type="dxa"/>
            <w:tcBorders>
              <w:top w:val="nil"/>
              <w:left w:val="nil"/>
              <w:bottom w:val="nil"/>
              <w:right w:val="nil"/>
            </w:tcBorders>
          </w:tcPr>
          <w:p>
            <w:pPr>
              <w:pStyle w:val="TableParagraph"/>
              <w:spacing w:before="81"/>
              <w:ind w:left="256"/>
              <w:rPr>
                <w:sz w:val="22"/>
              </w:rPr>
            </w:pPr>
            <w:r>
              <w:rPr>
                <w:sz w:val="22"/>
              </w:rPr>
              <w:t>0.17</w:t>
            </w:r>
          </w:p>
        </w:tc>
        <w:tc>
          <w:tcPr>
            <w:tcW w:w="1283" w:type="dxa"/>
            <w:tcBorders>
              <w:top w:val="nil"/>
              <w:left w:val="nil"/>
              <w:bottom w:val="nil"/>
              <w:right w:val="nil"/>
            </w:tcBorders>
          </w:tcPr>
          <w:p>
            <w:pPr>
              <w:pStyle w:val="TableParagraph"/>
              <w:spacing w:before="81"/>
              <w:ind w:left="453"/>
              <w:rPr>
                <w:sz w:val="22"/>
              </w:rPr>
            </w:pPr>
            <w:r>
              <w:rPr>
                <w:sz w:val="22"/>
              </w:rPr>
              <w:t>0.20</w:t>
            </w:r>
          </w:p>
        </w:tc>
        <w:tc>
          <w:tcPr>
            <w:tcW w:w="1173" w:type="dxa"/>
            <w:tcBorders>
              <w:top w:val="nil"/>
              <w:left w:val="nil"/>
              <w:bottom w:val="nil"/>
              <w:right w:val="nil"/>
            </w:tcBorders>
          </w:tcPr>
          <w:p>
            <w:pPr>
              <w:pStyle w:val="TableParagraph"/>
              <w:spacing w:before="81"/>
              <w:ind w:right="341"/>
              <w:jc w:val="right"/>
              <w:rPr>
                <w:sz w:val="22"/>
              </w:rPr>
            </w:pPr>
            <w:r>
              <w:rPr>
                <w:sz w:val="22"/>
              </w:rPr>
              <w:t>0.53</w:t>
            </w:r>
          </w:p>
        </w:tc>
        <w:tc>
          <w:tcPr>
            <w:tcW w:w="1510" w:type="dxa"/>
            <w:tcBorders>
              <w:top w:val="nil"/>
              <w:left w:val="nil"/>
              <w:bottom w:val="nil"/>
              <w:right w:val="nil"/>
            </w:tcBorders>
          </w:tcPr>
          <w:p>
            <w:pPr>
              <w:pStyle w:val="TableParagraph"/>
              <w:spacing w:before="81"/>
              <w:ind w:left="343"/>
              <w:rPr>
                <w:sz w:val="22"/>
              </w:rPr>
            </w:pPr>
            <w:r>
              <w:rPr>
                <w:sz w:val="22"/>
              </w:rPr>
              <w:t>0.83</w:t>
            </w:r>
          </w:p>
        </w:tc>
      </w:tr>
      <w:tr>
        <w:trPr>
          <w:trHeight w:val="339" w:hRule="exact"/>
        </w:trPr>
        <w:tc>
          <w:tcPr>
            <w:tcW w:w="1848" w:type="dxa"/>
            <w:tcBorders>
              <w:top w:val="nil"/>
              <w:left w:val="nil"/>
              <w:bottom w:val="nil"/>
              <w:right w:val="nil"/>
            </w:tcBorders>
          </w:tcPr>
          <w:p>
            <w:pPr>
              <w:pStyle w:val="TableParagraph"/>
              <w:spacing w:line="243" w:lineRule="exact"/>
              <w:ind w:left="120"/>
              <w:rPr>
                <w:sz w:val="22"/>
              </w:rPr>
            </w:pPr>
            <w:r>
              <w:rPr>
                <w:sz w:val="22"/>
              </w:rPr>
              <w:t>Cariogenic Diet</w:t>
            </w:r>
          </w:p>
        </w:tc>
        <w:tc>
          <w:tcPr>
            <w:tcW w:w="879" w:type="dxa"/>
            <w:tcBorders>
              <w:top w:val="nil"/>
              <w:left w:val="nil"/>
              <w:bottom w:val="nil"/>
              <w:right w:val="nil"/>
            </w:tcBorders>
          </w:tcPr>
          <w:p>
            <w:pPr>
              <w:pStyle w:val="TableParagraph"/>
              <w:spacing w:line="243" w:lineRule="exact"/>
              <w:ind w:left="222"/>
              <w:rPr>
                <w:sz w:val="22"/>
              </w:rPr>
            </w:pPr>
            <w:r>
              <w:rPr>
                <w:sz w:val="22"/>
              </w:rPr>
              <w:t>0.18</w:t>
            </w:r>
          </w:p>
        </w:tc>
        <w:tc>
          <w:tcPr>
            <w:tcW w:w="914" w:type="dxa"/>
            <w:tcBorders>
              <w:top w:val="nil"/>
              <w:left w:val="nil"/>
              <w:bottom w:val="nil"/>
              <w:right w:val="nil"/>
            </w:tcBorders>
          </w:tcPr>
          <w:p>
            <w:pPr>
              <w:pStyle w:val="TableParagraph"/>
              <w:spacing w:line="243" w:lineRule="exact"/>
              <w:ind w:left="208" w:right="235"/>
              <w:jc w:val="center"/>
              <w:rPr>
                <w:sz w:val="22"/>
              </w:rPr>
            </w:pPr>
            <w:r>
              <w:rPr>
                <w:sz w:val="22"/>
              </w:rPr>
              <w:t>0.76</w:t>
            </w:r>
          </w:p>
        </w:tc>
        <w:tc>
          <w:tcPr>
            <w:tcW w:w="1140" w:type="dxa"/>
            <w:tcBorders>
              <w:top w:val="nil"/>
              <w:left w:val="nil"/>
              <w:bottom w:val="nil"/>
              <w:right w:val="nil"/>
            </w:tcBorders>
          </w:tcPr>
          <w:p>
            <w:pPr>
              <w:pStyle w:val="TableParagraph"/>
              <w:spacing w:line="243" w:lineRule="exact"/>
              <w:ind w:left="256"/>
              <w:rPr>
                <w:sz w:val="22"/>
              </w:rPr>
            </w:pPr>
            <w:r>
              <w:rPr>
                <w:sz w:val="22"/>
              </w:rPr>
              <w:t>0.11</w:t>
            </w:r>
          </w:p>
        </w:tc>
        <w:tc>
          <w:tcPr>
            <w:tcW w:w="1283" w:type="dxa"/>
            <w:tcBorders>
              <w:top w:val="nil"/>
              <w:left w:val="nil"/>
              <w:bottom w:val="nil"/>
              <w:right w:val="nil"/>
            </w:tcBorders>
          </w:tcPr>
          <w:p>
            <w:pPr>
              <w:pStyle w:val="TableParagraph"/>
              <w:spacing w:line="243" w:lineRule="exact"/>
              <w:ind w:left="453"/>
              <w:rPr>
                <w:sz w:val="22"/>
              </w:rPr>
            </w:pPr>
            <w:r>
              <w:rPr>
                <w:sz w:val="22"/>
              </w:rPr>
              <w:t>0.16</w:t>
            </w:r>
          </w:p>
        </w:tc>
        <w:tc>
          <w:tcPr>
            <w:tcW w:w="1173" w:type="dxa"/>
            <w:tcBorders>
              <w:top w:val="nil"/>
              <w:left w:val="nil"/>
              <w:bottom w:val="nil"/>
              <w:right w:val="nil"/>
            </w:tcBorders>
          </w:tcPr>
          <w:p>
            <w:pPr>
              <w:pStyle w:val="TableParagraph"/>
              <w:spacing w:line="243" w:lineRule="exact"/>
              <w:ind w:right="341"/>
              <w:jc w:val="right"/>
              <w:rPr>
                <w:sz w:val="22"/>
              </w:rPr>
            </w:pPr>
            <w:r>
              <w:rPr>
                <w:sz w:val="22"/>
              </w:rPr>
              <w:t>0.54</w:t>
            </w:r>
          </w:p>
        </w:tc>
        <w:tc>
          <w:tcPr>
            <w:tcW w:w="1510" w:type="dxa"/>
            <w:tcBorders>
              <w:top w:val="nil"/>
              <w:left w:val="nil"/>
              <w:bottom w:val="nil"/>
              <w:right w:val="nil"/>
            </w:tcBorders>
          </w:tcPr>
          <w:p>
            <w:pPr>
              <w:pStyle w:val="TableParagraph"/>
              <w:spacing w:line="243" w:lineRule="exact"/>
              <w:ind w:left="343"/>
              <w:rPr>
                <w:sz w:val="22"/>
              </w:rPr>
            </w:pPr>
            <w:r>
              <w:rPr>
                <w:sz w:val="22"/>
              </w:rPr>
              <w:t>0.83</w:t>
            </w:r>
          </w:p>
        </w:tc>
      </w:tr>
      <w:tr>
        <w:trPr>
          <w:trHeight w:val="464" w:hRule="exact"/>
        </w:trPr>
        <w:tc>
          <w:tcPr>
            <w:tcW w:w="1848" w:type="dxa"/>
            <w:tcBorders>
              <w:top w:val="nil"/>
              <w:left w:val="nil"/>
              <w:bottom w:val="nil"/>
              <w:right w:val="nil"/>
            </w:tcBorders>
          </w:tcPr>
          <w:p>
            <w:pPr/>
          </w:p>
        </w:tc>
        <w:tc>
          <w:tcPr>
            <w:tcW w:w="879" w:type="dxa"/>
            <w:tcBorders>
              <w:top w:val="nil"/>
              <w:left w:val="nil"/>
              <w:bottom w:val="nil"/>
              <w:right w:val="nil"/>
            </w:tcBorders>
          </w:tcPr>
          <w:p>
            <w:pPr/>
          </w:p>
        </w:tc>
        <w:tc>
          <w:tcPr>
            <w:tcW w:w="2054" w:type="dxa"/>
            <w:gridSpan w:val="2"/>
            <w:tcBorders>
              <w:top w:val="nil"/>
              <w:left w:val="nil"/>
              <w:bottom w:val="nil"/>
              <w:right w:val="nil"/>
            </w:tcBorders>
          </w:tcPr>
          <w:p>
            <w:pPr>
              <w:pStyle w:val="TableParagraph"/>
              <w:spacing w:before="73"/>
              <w:ind w:left="409"/>
              <w:rPr>
                <w:sz w:val="22"/>
              </w:rPr>
            </w:pPr>
            <w:r>
              <w:rPr>
                <w:sz w:val="22"/>
              </w:rPr>
              <w:t>r2= 0.49</w:t>
            </w:r>
          </w:p>
        </w:tc>
        <w:tc>
          <w:tcPr>
            <w:tcW w:w="1283" w:type="dxa"/>
            <w:tcBorders>
              <w:top w:val="nil"/>
              <w:left w:val="nil"/>
              <w:bottom w:val="nil"/>
              <w:right w:val="nil"/>
            </w:tcBorders>
          </w:tcPr>
          <w:p>
            <w:pPr/>
          </w:p>
        </w:tc>
        <w:tc>
          <w:tcPr>
            <w:tcW w:w="2683" w:type="dxa"/>
            <w:gridSpan w:val="2"/>
            <w:tcBorders>
              <w:top w:val="nil"/>
              <w:left w:val="nil"/>
              <w:bottom w:val="nil"/>
              <w:right w:val="nil"/>
            </w:tcBorders>
          </w:tcPr>
          <w:p>
            <w:pPr>
              <w:pStyle w:val="TableParagraph"/>
              <w:spacing w:before="73"/>
              <w:ind w:left="464" w:right="1184"/>
              <w:rPr>
                <w:sz w:val="22"/>
              </w:rPr>
            </w:pPr>
            <w:r>
              <w:rPr>
                <w:sz w:val="22"/>
              </w:rPr>
              <w:t>r2= 0.33</w:t>
            </w:r>
          </w:p>
        </w:tc>
      </w:tr>
      <w:tr>
        <w:trPr>
          <w:trHeight w:val="473" w:hRule="exact"/>
        </w:trPr>
        <w:tc>
          <w:tcPr>
            <w:tcW w:w="1848" w:type="dxa"/>
            <w:tcBorders>
              <w:top w:val="nil"/>
              <w:left w:val="nil"/>
              <w:bottom w:val="nil"/>
              <w:right w:val="nil"/>
            </w:tcBorders>
          </w:tcPr>
          <w:p>
            <w:pPr>
              <w:pStyle w:val="TableParagraph"/>
              <w:spacing w:before="115"/>
              <w:ind w:left="120" w:right="268"/>
              <w:rPr>
                <w:sz w:val="22"/>
              </w:rPr>
            </w:pPr>
            <w:r>
              <w:rPr>
                <w:sz w:val="22"/>
              </w:rPr>
              <w:t>GSTP1 (a/a)</w:t>
            </w:r>
          </w:p>
        </w:tc>
        <w:tc>
          <w:tcPr>
            <w:tcW w:w="879" w:type="dxa"/>
            <w:tcBorders>
              <w:top w:val="nil"/>
              <w:left w:val="nil"/>
              <w:bottom w:val="nil"/>
              <w:right w:val="nil"/>
            </w:tcBorders>
          </w:tcPr>
          <w:p>
            <w:pPr>
              <w:pStyle w:val="TableParagraph"/>
              <w:spacing w:before="115"/>
              <w:ind w:left="222"/>
              <w:rPr>
                <w:sz w:val="22"/>
              </w:rPr>
            </w:pPr>
            <w:r>
              <w:rPr>
                <w:sz w:val="22"/>
              </w:rPr>
              <w:t>0.12</w:t>
            </w:r>
          </w:p>
        </w:tc>
        <w:tc>
          <w:tcPr>
            <w:tcW w:w="914" w:type="dxa"/>
            <w:tcBorders>
              <w:top w:val="nil"/>
              <w:left w:val="nil"/>
              <w:bottom w:val="nil"/>
              <w:right w:val="nil"/>
            </w:tcBorders>
          </w:tcPr>
          <w:p>
            <w:pPr>
              <w:pStyle w:val="TableParagraph"/>
              <w:spacing w:before="115"/>
              <w:ind w:left="208" w:right="235"/>
              <w:jc w:val="center"/>
              <w:rPr>
                <w:sz w:val="22"/>
              </w:rPr>
            </w:pPr>
            <w:r>
              <w:rPr>
                <w:sz w:val="22"/>
              </w:rPr>
              <w:t>0.76</w:t>
            </w:r>
          </w:p>
        </w:tc>
        <w:tc>
          <w:tcPr>
            <w:tcW w:w="1140" w:type="dxa"/>
            <w:tcBorders>
              <w:top w:val="nil"/>
              <w:left w:val="nil"/>
              <w:bottom w:val="nil"/>
              <w:right w:val="nil"/>
            </w:tcBorders>
          </w:tcPr>
          <w:p>
            <w:pPr>
              <w:pStyle w:val="TableParagraph"/>
              <w:spacing w:before="115"/>
              <w:ind w:left="256"/>
              <w:rPr>
                <w:sz w:val="22"/>
              </w:rPr>
            </w:pPr>
            <w:r>
              <w:rPr>
                <w:sz w:val="22"/>
              </w:rPr>
              <w:t>0.17</w:t>
            </w:r>
          </w:p>
        </w:tc>
        <w:tc>
          <w:tcPr>
            <w:tcW w:w="1283" w:type="dxa"/>
            <w:tcBorders>
              <w:top w:val="nil"/>
              <w:left w:val="nil"/>
              <w:bottom w:val="nil"/>
              <w:right w:val="nil"/>
            </w:tcBorders>
          </w:tcPr>
          <w:p>
            <w:pPr>
              <w:pStyle w:val="TableParagraph"/>
              <w:spacing w:before="115"/>
              <w:ind w:left="453"/>
              <w:rPr>
                <w:sz w:val="22"/>
              </w:rPr>
            </w:pPr>
            <w:r>
              <w:rPr>
                <w:sz w:val="22"/>
              </w:rPr>
              <w:t>0.56</w:t>
            </w:r>
          </w:p>
        </w:tc>
        <w:tc>
          <w:tcPr>
            <w:tcW w:w="1173" w:type="dxa"/>
            <w:tcBorders>
              <w:top w:val="nil"/>
              <w:left w:val="nil"/>
              <w:bottom w:val="nil"/>
              <w:right w:val="nil"/>
            </w:tcBorders>
          </w:tcPr>
          <w:p>
            <w:pPr>
              <w:pStyle w:val="TableParagraph"/>
              <w:spacing w:before="115"/>
              <w:ind w:right="341"/>
              <w:jc w:val="right"/>
              <w:rPr>
                <w:sz w:val="22"/>
              </w:rPr>
            </w:pPr>
            <w:r>
              <w:rPr>
                <w:sz w:val="22"/>
              </w:rPr>
              <w:t>1.03</w:t>
            </w:r>
          </w:p>
        </w:tc>
        <w:tc>
          <w:tcPr>
            <w:tcW w:w="1510" w:type="dxa"/>
            <w:tcBorders>
              <w:top w:val="nil"/>
              <w:left w:val="nil"/>
              <w:bottom w:val="nil"/>
              <w:right w:val="nil"/>
            </w:tcBorders>
          </w:tcPr>
          <w:p>
            <w:pPr>
              <w:pStyle w:val="TableParagraph"/>
              <w:spacing w:before="115"/>
              <w:ind w:left="343"/>
              <w:rPr>
                <w:sz w:val="22"/>
              </w:rPr>
            </w:pPr>
            <w:r>
              <w:rPr>
                <w:sz w:val="22"/>
              </w:rPr>
              <w:t>0.21</w:t>
            </w:r>
          </w:p>
        </w:tc>
      </w:tr>
      <w:tr>
        <w:trPr>
          <w:trHeight w:val="644" w:hRule="exact"/>
        </w:trPr>
        <w:tc>
          <w:tcPr>
            <w:tcW w:w="1848" w:type="dxa"/>
            <w:tcBorders>
              <w:top w:val="nil"/>
              <w:left w:val="nil"/>
              <w:bottom w:val="nil"/>
              <w:right w:val="nil"/>
            </w:tcBorders>
          </w:tcPr>
          <w:p>
            <w:pPr>
              <w:pStyle w:val="TableParagraph"/>
              <w:spacing w:before="80"/>
              <w:ind w:left="120" w:right="268"/>
              <w:rPr>
                <w:sz w:val="24"/>
              </w:rPr>
            </w:pPr>
            <w:r>
              <w:rPr>
                <w:sz w:val="24"/>
              </w:rPr>
              <w:t>Oral Hygienic Habits</w:t>
            </w:r>
          </w:p>
        </w:tc>
        <w:tc>
          <w:tcPr>
            <w:tcW w:w="879" w:type="dxa"/>
            <w:tcBorders>
              <w:top w:val="nil"/>
              <w:left w:val="nil"/>
              <w:bottom w:val="nil"/>
              <w:right w:val="nil"/>
            </w:tcBorders>
          </w:tcPr>
          <w:p>
            <w:pPr>
              <w:pStyle w:val="TableParagraph"/>
              <w:spacing w:before="82"/>
              <w:ind w:left="222"/>
              <w:rPr>
                <w:sz w:val="22"/>
              </w:rPr>
            </w:pPr>
            <w:r>
              <w:rPr>
                <w:sz w:val="22"/>
              </w:rPr>
              <w:t>0.09</w:t>
            </w:r>
          </w:p>
        </w:tc>
        <w:tc>
          <w:tcPr>
            <w:tcW w:w="914" w:type="dxa"/>
            <w:tcBorders>
              <w:top w:val="nil"/>
              <w:left w:val="nil"/>
              <w:bottom w:val="nil"/>
              <w:right w:val="nil"/>
            </w:tcBorders>
          </w:tcPr>
          <w:p>
            <w:pPr>
              <w:pStyle w:val="TableParagraph"/>
              <w:spacing w:before="82"/>
              <w:ind w:left="208" w:right="235"/>
              <w:jc w:val="center"/>
              <w:rPr>
                <w:sz w:val="22"/>
              </w:rPr>
            </w:pPr>
            <w:r>
              <w:rPr>
                <w:sz w:val="22"/>
              </w:rPr>
              <w:t>0.67</w:t>
            </w:r>
          </w:p>
        </w:tc>
        <w:tc>
          <w:tcPr>
            <w:tcW w:w="1140" w:type="dxa"/>
            <w:tcBorders>
              <w:top w:val="nil"/>
              <w:left w:val="nil"/>
              <w:bottom w:val="nil"/>
              <w:right w:val="nil"/>
            </w:tcBorders>
          </w:tcPr>
          <w:p>
            <w:pPr>
              <w:pStyle w:val="TableParagraph"/>
              <w:spacing w:before="82"/>
              <w:ind w:left="256"/>
              <w:rPr>
                <w:sz w:val="22"/>
              </w:rPr>
            </w:pPr>
            <w:r>
              <w:rPr>
                <w:sz w:val="22"/>
              </w:rPr>
              <w:t>0.17</w:t>
            </w:r>
          </w:p>
        </w:tc>
        <w:tc>
          <w:tcPr>
            <w:tcW w:w="1283" w:type="dxa"/>
            <w:tcBorders>
              <w:top w:val="nil"/>
              <w:left w:val="nil"/>
              <w:bottom w:val="nil"/>
              <w:right w:val="nil"/>
            </w:tcBorders>
          </w:tcPr>
          <w:p>
            <w:pPr>
              <w:pStyle w:val="TableParagraph"/>
              <w:spacing w:before="82"/>
              <w:ind w:left="453"/>
              <w:rPr>
                <w:sz w:val="22"/>
              </w:rPr>
            </w:pPr>
            <w:r>
              <w:rPr>
                <w:sz w:val="22"/>
              </w:rPr>
              <w:t>0.20</w:t>
            </w:r>
          </w:p>
        </w:tc>
        <w:tc>
          <w:tcPr>
            <w:tcW w:w="1173" w:type="dxa"/>
            <w:tcBorders>
              <w:top w:val="nil"/>
              <w:left w:val="nil"/>
              <w:bottom w:val="nil"/>
              <w:right w:val="nil"/>
            </w:tcBorders>
          </w:tcPr>
          <w:p>
            <w:pPr>
              <w:pStyle w:val="TableParagraph"/>
              <w:spacing w:before="82"/>
              <w:ind w:right="341"/>
              <w:jc w:val="right"/>
              <w:rPr>
                <w:sz w:val="22"/>
              </w:rPr>
            </w:pPr>
            <w:r>
              <w:rPr>
                <w:sz w:val="22"/>
              </w:rPr>
              <w:t>0.53</w:t>
            </w:r>
          </w:p>
        </w:tc>
        <w:tc>
          <w:tcPr>
            <w:tcW w:w="1510" w:type="dxa"/>
            <w:tcBorders>
              <w:top w:val="nil"/>
              <w:left w:val="nil"/>
              <w:bottom w:val="nil"/>
              <w:right w:val="nil"/>
            </w:tcBorders>
          </w:tcPr>
          <w:p>
            <w:pPr>
              <w:pStyle w:val="TableParagraph"/>
              <w:spacing w:before="82"/>
              <w:ind w:left="343"/>
              <w:rPr>
                <w:sz w:val="22"/>
              </w:rPr>
            </w:pPr>
            <w:r>
              <w:rPr>
                <w:sz w:val="22"/>
              </w:rPr>
              <w:t>0.83</w:t>
            </w:r>
          </w:p>
        </w:tc>
      </w:tr>
      <w:tr>
        <w:trPr>
          <w:trHeight w:val="341" w:hRule="exact"/>
        </w:trPr>
        <w:tc>
          <w:tcPr>
            <w:tcW w:w="1848" w:type="dxa"/>
            <w:tcBorders>
              <w:top w:val="nil"/>
              <w:left w:val="nil"/>
              <w:bottom w:val="nil"/>
              <w:right w:val="nil"/>
            </w:tcBorders>
          </w:tcPr>
          <w:p>
            <w:pPr>
              <w:pStyle w:val="TableParagraph"/>
              <w:spacing w:line="243" w:lineRule="exact"/>
              <w:ind w:left="120"/>
              <w:rPr>
                <w:sz w:val="22"/>
              </w:rPr>
            </w:pPr>
            <w:r>
              <w:rPr>
                <w:sz w:val="22"/>
              </w:rPr>
              <w:t>Cariogenic Diet</w:t>
            </w:r>
          </w:p>
        </w:tc>
        <w:tc>
          <w:tcPr>
            <w:tcW w:w="879" w:type="dxa"/>
            <w:tcBorders>
              <w:top w:val="nil"/>
              <w:left w:val="nil"/>
              <w:bottom w:val="nil"/>
              <w:right w:val="nil"/>
            </w:tcBorders>
          </w:tcPr>
          <w:p>
            <w:pPr>
              <w:pStyle w:val="TableParagraph"/>
              <w:spacing w:line="243" w:lineRule="exact"/>
              <w:ind w:left="222"/>
              <w:rPr>
                <w:sz w:val="22"/>
              </w:rPr>
            </w:pPr>
            <w:r>
              <w:rPr>
                <w:sz w:val="22"/>
              </w:rPr>
              <w:t>0.18</w:t>
            </w:r>
          </w:p>
        </w:tc>
        <w:tc>
          <w:tcPr>
            <w:tcW w:w="914" w:type="dxa"/>
            <w:tcBorders>
              <w:top w:val="nil"/>
              <w:left w:val="nil"/>
              <w:bottom w:val="nil"/>
              <w:right w:val="nil"/>
            </w:tcBorders>
          </w:tcPr>
          <w:p>
            <w:pPr>
              <w:pStyle w:val="TableParagraph"/>
              <w:spacing w:line="243" w:lineRule="exact"/>
              <w:ind w:left="208" w:right="235"/>
              <w:jc w:val="center"/>
              <w:rPr>
                <w:sz w:val="22"/>
              </w:rPr>
            </w:pPr>
            <w:r>
              <w:rPr>
                <w:sz w:val="22"/>
              </w:rPr>
              <w:t>0.76</w:t>
            </w:r>
          </w:p>
        </w:tc>
        <w:tc>
          <w:tcPr>
            <w:tcW w:w="1140" w:type="dxa"/>
            <w:tcBorders>
              <w:top w:val="nil"/>
              <w:left w:val="nil"/>
              <w:bottom w:val="nil"/>
              <w:right w:val="nil"/>
            </w:tcBorders>
          </w:tcPr>
          <w:p>
            <w:pPr>
              <w:pStyle w:val="TableParagraph"/>
              <w:spacing w:line="243" w:lineRule="exact"/>
              <w:ind w:left="256"/>
              <w:rPr>
                <w:sz w:val="22"/>
              </w:rPr>
            </w:pPr>
            <w:r>
              <w:rPr>
                <w:sz w:val="22"/>
              </w:rPr>
              <w:t>0.11</w:t>
            </w:r>
          </w:p>
        </w:tc>
        <w:tc>
          <w:tcPr>
            <w:tcW w:w="1283" w:type="dxa"/>
            <w:tcBorders>
              <w:top w:val="nil"/>
              <w:left w:val="nil"/>
              <w:bottom w:val="nil"/>
              <w:right w:val="nil"/>
            </w:tcBorders>
          </w:tcPr>
          <w:p>
            <w:pPr>
              <w:pStyle w:val="TableParagraph"/>
              <w:spacing w:line="243" w:lineRule="exact"/>
              <w:ind w:left="453"/>
              <w:rPr>
                <w:sz w:val="22"/>
              </w:rPr>
            </w:pPr>
            <w:r>
              <w:rPr>
                <w:sz w:val="22"/>
              </w:rPr>
              <w:t>0.16</w:t>
            </w:r>
          </w:p>
        </w:tc>
        <w:tc>
          <w:tcPr>
            <w:tcW w:w="1173" w:type="dxa"/>
            <w:tcBorders>
              <w:top w:val="nil"/>
              <w:left w:val="nil"/>
              <w:bottom w:val="nil"/>
              <w:right w:val="nil"/>
            </w:tcBorders>
          </w:tcPr>
          <w:p>
            <w:pPr>
              <w:pStyle w:val="TableParagraph"/>
              <w:spacing w:line="243" w:lineRule="exact"/>
              <w:ind w:right="341"/>
              <w:jc w:val="right"/>
              <w:rPr>
                <w:sz w:val="22"/>
              </w:rPr>
            </w:pPr>
            <w:r>
              <w:rPr>
                <w:sz w:val="22"/>
              </w:rPr>
              <w:t>0.54</w:t>
            </w:r>
          </w:p>
        </w:tc>
        <w:tc>
          <w:tcPr>
            <w:tcW w:w="1510" w:type="dxa"/>
            <w:tcBorders>
              <w:top w:val="nil"/>
              <w:left w:val="nil"/>
              <w:bottom w:val="nil"/>
              <w:right w:val="nil"/>
            </w:tcBorders>
          </w:tcPr>
          <w:p>
            <w:pPr>
              <w:pStyle w:val="TableParagraph"/>
              <w:spacing w:line="243" w:lineRule="exact"/>
              <w:ind w:left="343"/>
              <w:rPr>
                <w:sz w:val="22"/>
              </w:rPr>
            </w:pPr>
            <w:r>
              <w:rPr>
                <w:sz w:val="22"/>
              </w:rPr>
              <w:t>0.83</w:t>
            </w:r>
          </w:p>
        </w:tc>
      </w:tr>
      <w:tr>
        <w:trPr>
          <w:trHeight w:val="467" w:hRule="exact"/>
        </w:trPr>
        <w:tc>
          <w:tcPr>
            <w:tcW w:w="1848" w:type="dxa"/>
            <w:tcBorders>
              <w:top w:val="nil"/>
              <w:left w:val="nil"/>
              <w:bottom w:val="nil"/>
              <w:right w:val="nil"/>
            </w:tcBorders>
          </w:tcPr>
          <w:p>
            <w:pPr/>
          </w:p>
        </w:tc>
        <w:tc>
          <w:tcPr>
            <w:tcW w:w="879" w:type="dxa"/>
            <w:tcBorders>
              <w:top w:val="nil"/>
              <w:left w:val="nil"/>
              <w:bottom w:val="nil"/>
              <w:right w:val="nil"/>
            </w:tcBorders>
          </w:tcPr>
          <w:p>
            <w:pPr/>
          </w:p>
        </w:tc>
        <w:tc>
          <w:tcPr>
            <w:tcW w:w="2054" w:type="dxa"/>
            <w:gridSpan w:val="2"/>
            <w:tcBorders>
              <w:top w:val="nil"/>
              <w:left w:val="nil"/>
              <w:bottom w:val="nil"/>
              <w:right w:val="nil"/>
            </w:tcBorders>
          </w:tcPr>
          <w:p>
            <w:pPr>
              <w:pStyle w:val="TableParagraph"/>
              <w:spacing w:before="75"/>
              <w:ind w:left="409"/>
              <w:rPr>
                <w:sz w:val="22"/>
              </w:rPr>
            </w:pPr>
            <w:r>
              <w:rPr>
                <w:sz w:val="22"/>
              </w:rPr>
              <w:t>r2= 0.36</w:t>
            </w:r>
          </w:p>
        </w:tc>
        <w:tc>
          <w:tcPr>
            <w:tcW w:w="1283" w:type="dxa"/>
            <w:tcBorders>
              <w:top w:val="nil"/>
              <w:left w:val="nil"/>
              <w:bottom w:val="nil"/>
              <w:right w:val="nil"/>
            </w:tcBorders>
          </w:tcPr>
          <w:p>
            <w:pPr/>
          </w:p>
        </w:tc>
        <w:tc>
          <w:tcPr>
            <w:tcW w:w="2683" w:type="dxa"/>
            <w:gridSpan w:val="2"/>
            <w:tcBorders>
              <w:top w:val="nil"/>
              <w:left w:val="nil"/>
              <w:bottom w:val="nil"/>
              <w:right w:val="nil"/>
            </w:tcBorders>
          </w:tcPr>
          <w:p>
            <w:pPr>
              <w:pStyle w:val="TableParagraph"/>
              <w:spacing w:before="75"/>
              <w:ind w:left="464" w:right="1184"/>
              <w:rPr>
                <w:sz w:val="22"/>
              </w:rPr>
            </w:pPr>
            <w:r>
              <w:rPr>
                <w:sz w:val="22"/>
              </w:rPr>
              <w:t>r2= 0.39</w:t>
            </w:r>
          </w:p>
        </w:tc>
      </w:tr>
      <w:tr>
        <w:trPr>
          <w:trHeight w:val="449" w:hRule="exact"/>
        </w:trPr>
        <w:tc>
          <w:tcPr>
            <w:tcW w:w="1848" w:type="dxa"/>
            <w:tcBorders>
              <w:top w:val="nil"/>
              <w:left w:val="nil"/>
              <w:bottom w:val="nil"/>
              <w:right w:val="nil"/>
            </w:tcBorders>
          </w:tcPr>
          <w:p>
            <w:pPr>
              <w:pStyle w:val="TableParagraph"/>
              <w:spacing w:before="115"/>
              <w:ind w:left="120" w:right="268"/>
              <w:rPr>
                <w:sz w:val="22"/>
              </w:rPr>
            </w:pPr>
            <w:r>
              <w:rPr>
                <w:sz w:val="22"/>
              </w:rPr>
              <w:t>GSTP1c (a/a)</w:t>
            </w:r>
          </w:p>
        </w:tc>
        <w:tc>
          <w:tcPr>
            <w:tcW w:w="879" w:type="dxa"/>
            <w:tcBorders>
              <w:top w:val="nil"/>
              <w:left w:val="nil"/>
              <w:bottom w:val="nil"/>
              <w:right w:val="nil"/>
            </w:tcBorders>
          </w:tcPr>
          <w:p>
            <w:pPr>
              <w:pStyle w:val="TableParagraph"/>
              <w:spacing w:before="115"/>
              <w:ind w:left="222"/>
              <w:rPr>
                <w:sz w:val="22"/>
              </w:rPr>
            </w:pPr>
            <w:r>
              <w:rPr>
                <w:sz w:val="22"/>
              </w:rPr>
              <w:t>0.39</w:t>
            </w:r>
          </w:p>
        </w:tc>
        <w:tc>
          <w:tcPr>
            <w:tcW w:w="914" w:type="dxa"/>
            <w:tcBorders>
              <w:top w:val="nil"/>
              <w:left w:val="nil"/>
              <w:bottom w:val="nil"/>
              <w:right w:val="nil"/>
            </w:tcBorders>
          </w:tcPr>
          <w:p>
            <w:pPr>
              <w:pStyle w:val="TableParagraph"/>
              <w:spacing w:before="115"/>
              <w:ind w:left="208" w:right="235"/>
              <w:jc w:val="center"/>
              <w:rPr>
                <w:sz w:val="22"/>
              </w:rPr>
            </w:pPr>
            <w:r>
              <w:rPr>
                <w:sz w:val="22"/>
              </w:rPr>
              <w:t>0.53</w:t>
            </w:r>
          </w:p>
        </w:tc>
        <w:tc>
          <w:tcPr>
            <w:tcW w:w="1140" w:type="dxa"/>
            <w:tcBorders>
              <w:top w:val="nil"/>
              <w:left w:val="nil"/>
              <w:bottom w:val="nil"/>
              <w:right w:val="nil"/>
            </w:tcBorders>
          </w:tcPr>
          <w:p>
            <w:pPr>
              <w:pStyle w:val="TableParagraph"/>
              <w:spacing w:before="115"/>
              <w:ind w:left="256"/>
              <w:rPr>
                <w:sz w:val="22"/>
              </w:rPr>
            </w:pPr>
            <w:r>
              <w:rPr>
                <w:sz w:val="22"/>
              </w:rPr>
              <w:t>0.05</w:t>
            </w:r>
          </w:p>
        </w:tc>
        <w:tc>
          <w:tcPr>
            <w:tcW w:w="1283" w:type="dxa"/>
            <w:tcBorders>
              <w:top w:val="nil"/>
              <w:left w:val="nil"/>
              <w:bottom w:val="nil"/>
              <w:right w:val="nil"/>
            </w:tcBorders>
          </w:tcPr>
          <w:p>
            <w:pPr>
              <w:pStyle w:val="TableParagraph"/>
              <w:spacing w:before="115"/>
              <w:ind w:left="453"/>
              <w:rPr>
                <w:sz w:val="22"/>
              </w:rPr>
            </w:pPr>
            <w:r>
              <w:rPr>
                <w:sz w:val="22"/>
              </w:rPr>
              <w:t>0.41</w:t>
            </w:r>
          </w:p>
        </w:tc>
        <w:tc>
          <w:tcPr>
            <w:tcW w:w="1173" w:type="dxa"/>
            <w:tcBorders>
              <w:top w:val="nil"/>
              <w:left w:val="nil"/>
              <w:bottom w:val="nil"/>
              <w:right w:val="nil"/>
            </w:tcBorders>
          </w:tcPr>
          <w:p>
            <w:pPr>
              <w:pStyle w:val="TableParagraph"/>
              <w:spacing w:before="115"/>
              <w:ind w:right="341"/>
              <w:jc w:val="right"/>
              <w:rPr>
                <w:sz w:val="22"/>
              </w:rPr>
            </w:pPr>
            <w:r>
              <w:rPr>
                <w:sz w:val="22"/>
              </w:rPr>
              <w:t>1.41</w:t>
            </w:r>
          </w:p>
        </w:tc>
        <w:tc>
          <w:tcPr>
            <w:tcW w:w="1510" w:type="dxa"/>
            <w:tcBorders>
              <w:top w:val="nil"/>
              <w:left w:val="nil"/>
              <w:bottom w:val="nil"/>
              <w:right w:val="nil"/>
            </w:tcBorders>
          </w:tcPr>
          <w:p>
            <w:pPr>
              <w:pStyle w:val="TableParagraph"/>
              <w:spacing w:before="115"/>
              <w:ind w:left="343"/>
              <w:rPr>
                <w:sz w:val="22"/>
              </w:rPr>
            </w:pPr>
            <w:r>
              <w:rPr>
                <w:sz w:val="22"/>
              </w:rPr>
              <w:t>0.04</w:t>
            </w:r>
          </w:p>
        </w:tc>
      </w:tr>
      <w:tr>
        <w:trPr>
          <w:trHeight w:val="620" w:hRule="exact"/>
        </w:trPr>
        <w:tc>
          <w:tcPr>
            <w:tcW w:w="1848" w:type="dxa"/>
            <w:tcBorders>
              <w:top w:val="nil"/>
              <w:left w:val="nil"/>
              <w:bottom w:val="nil"/>
              <w:right w:val="nil"/>
            </w:tcBorders>
          </w:tcPr>
          <w:p>
            <w:pPr>
              <w:pStyle w:val="TableParagraph"/>
              <w:spacing w:before="56"/>
              <w:ind w:left="120" w:right="268"/>
              <w:rPr>
                <w:sz w:val="24"/>
              </w:rPr>
            </w:pPr>
            <w:r>
              <w:rPr>
                <w:sz w:val="24"/>
              </w:rPr>
              <w:t>Oral Hygienic Habits</w:t>
            </w:r>
          </w:p>
        </w:tc>
        <w:tc>
          <w:tcPr>
            <w:tcW w:w="879" w:type="dxa"/>
            <w:tcBorders>
              <w:top w:val="nil"/>
              <w:left w:val="nil"/>
              <w:bottom w:val="nil"/>
              <w:right w:val="nil"/>
            </w:tcBorders>
          </w:tcPr>
          <w:p>
            <w:pPr>
              <w:pStyle w:val="TableParagraph"/>
              <w:spacing w:before="57"/>
              <w:ind w:left="222"/>
              <w:rPr>
                <w:sz w:val="22"/>
              </w:rPr>
            </w:pPr>
            <w:r>
              <w:rPr>
                <w:sz w:val="22"/>
              </w:rPr>
              <w:t>0.09</w:t>
            </w:r>
          </w:p>
        </w:tc>
        <w:tc>
          <w:tcPr>
            <w:tcW w:w="914" w:type="dxa"/>
            <w:tcBorders>
              <w:top w:val="nil"/>
              <w:left w:val="nil"/>
              <w:bottom w:val="nil"/>
              <w:right w:val="nil"/>
            </w:tcBorders>
          </w:tcPr>
          <w:p>
            <w:pPr>
              <w:pStyle w:val="TableParagraph"/>
              <w:spacing w:before="57"/>
              <w:ind w:left="208" w:right="235"/>
              <w:jc w:val="center"/>
              <w:rPr>
                <w:sz w:val="22"/>
              </w:rPr>
            </w:pPr>
            <w:r>
              <w:rPr>
                <w:sz w:val="22"/>
              </w:rPr>
              <w:t>0.67</w:t>
            </w:r>
          </w:p>
        </w:tc>
        <w:tc>
          <w:tcPr>
            <w:tcW w:w="1140" w:type="dxa"/>
            <w:tcBorders>
              <w:top w:val="nil"/>
              <w:left w:val="nil"/>
              <w:bottom w:val="nil"/>
              <w:right w:val="nil"/>
            </w:tcBorders>
          </w:tcPr>
          <w:p>
            <w:pPr>
              <w:pStyle w:val="TableParagraph"/>
              <w:spacing w:before="57"/>
              <w:ind w:left="256"/>
              <w:rPr>
                <w:sz w:val="22"/>
              </w:rPr>
            </w:pPr>
            <w:r>
              <w:rPr>
                <w:sz w:val="22"/>
              </w:rPr>
              <w:t>0.17</w:t>
            </w:r>
          </w:p>
        </w:tc>
        <w:tc>
          <w:tcPr>
            <w:tcW w:w="1283" w:type="dxa"/>
            <w:tcBorders>
              <w:top w:val="nil"/>
              <w:left w:val="nil"/>
              <w:bottom w:val="nil"/>
              <w:right w:val="nil"/>
            </w:tcBorders>
          </w:tcPr>
          <w:p>
            <w:pPr>
              <w:pStyle w:val="TableParagraph"/>
              <w:spacing w:before="57"/>
              <w:ind w:left="453"/>
              <w:rPr>
                <w:sz w:val="22"/>
              </w:rPr>
            </w:pPr>
            <w:r>
              <w:rPr>
                <w:sz w:val="22"/>
              </w:rPr>
              <w:t>0.20</w:t>
            </w:r>
          </w:p>
        </w:tc>
        <w:tc>
          <w:tcPr>
            <w:tcW w:w="1173" w:type="dxa"/>
            <w:tcBorders>
              <w:top w:val="nil"/>
              <w:left w:val="nil"/>
              <w:bottom w:val="nil"/>
              <w:right w:val="nil"/>
            </w:tcBorders>
          </w:tcPr>
          <w:p>
            <w:pPr>
              <w:pStyle w:val="TableParagraph"/>
              <w:spacing w:before="57"/>
              <w:ind w:right="341"/>
              <w:jc w:val="right"/>
              <w:rPr>
                <w:sz w:val="22"/>
              </w:rPr>
            </w:pPr>
            <w:r>
              <w:rPr>
                <w:sz w:val="22"/>
              </w:rPr>
              <w:t>0.53</w:t>
            </w:r>
          </w:p>
        </w:tc>
        <w:tc>
          <w:tcPr>
            <w:tcW w:w="1510" w:type="dxa"/>
            <w:tcBorders>
              <w:top w:val="nil"/>
              <w:left w:val="nil"/>
              <w:bottom w:val="nil"/>
              <w:right w:val="nil"/>
            </w:tcBorders>
          </w:tcPr>
          <w:p>
            <w:pPr>
              <w:pStyle w:val="TableParagraph"/>
              <w:spacing w:before="57"/>
              <w:ind w:left="343"/>
              <w:rPr>
                <w:sz w:val="22"/>
              </w:rPr>
            </w:pPr>
            <w:r>
              <w:rPr>
                <w:sz w:val="22"/>
              </w:rPr>
              <w:t>0.83</w:t>
            </w:r>
          </w:p>
        </w:tc>
      </w:tr>
      <w:tr>
        <w:trPr>
          <w:trHeight w:val="338" w:hRule="exact"/>
        </w:trPr>
        <w:tc>
          <w:tcPr>
            <w:tcW w:w="1848" w:type="dxa"/>
            <w:tcBorders>
              <w:top w:val="nil"/>
              <w:left w:val="nil"/>
              <w:bottom w:val="nil"/>
              <w:right w:val="nil"/>
            </w:tcBorders>
          </w:tcPr>
          <w:p>
            <w:pPr>
              <w:pStyle w:val="TableParagraph"/>
              <w:spacing w:line="243" w:lineRule="exact"/>
              <w:ind w:left="120"/>
              <w:rPr>
                <w:sz w:val="22"/>
              </w:rPr>
            </w:pPr>
            <w:r>
              <w:rPr>
                <w:sz w:val="22"/>
              </w:rPr>
              <w:t>Cariogenic Diet</w:t>
            </w:r>
          </w:p>
        </w:tc>
        <w:tc>
          <w:tcPr>
            <w:tcW w:w="879" w:type="dxa"/>
            <w:tcBorders>
              <w:top w:val="nil"/>
              <w:left w:val="nil"/>
              <w:bottom w:val="nil"/>
              <w:right w:val="nil"/>
            </w:tcBorders>
          </w:tcPr>
          <w:p>
            <w:pPr>
              <w:pStyle w:val="TableParagraph"/>
              <w:spacing w:line="243" w:lineRule="exact"/>
              <w:ind w:left="222"/>
              <w:rPr>
                <w:sz w:val="22"/>
              </w:rPr>
            </w:pPr>
            <w:r>
              <w:rPr>
                <w:sz w:val="22"/>
              </w:rPr>
              <w:t>0.18</w:t>
            </w:r>
          </w:p>
        </w:tc>
        <w:tc>
          <w:tcPr>
            <w:tcW w:w="914" w:type="dxa"/>
            <w:tcBorders>
              <w:top w:val="nil"/>
              <w:left w:val="nil"/>
              <w:bottom w:val="nil"/>
              <w:right w:val="nil"/>
            </w:tcBorders>
          </w:tcPr>
          <w:p>
            <w:pPr>
              <w:pStyle w:val="TableParagraph"/>
              <w:spacing w:line="243" w:lineRule="exact"/>
              <w:ind w:left="208" w:right="235"/>
              <w:jc w:val="center"/>
              <w:rPr>
                <w:sz w:val="22"/>
              </w:rPr>
            </w:pPr>
            <w:r>
              <w:rPr>
                <w:sz w:val="22"/>
              </w:rPr>
              <w:t>0.76</w:t>
            </w:r>
          </w:p>
        </w:tc>
        <w:tc>
          <w:tcPr>
            <w:tcW w:w="1140" w:type="dxa"/>
            <w:tcBorders>
              <w:top w:val="nil"/>
              <w:left w:val="nil"/>
              <w:bottom w:val="nil"/>
              <w:right w:val="nil"/>
            </w:tcBorders>
          </w:tcPr>
          <w:p>
            <w:pPr>
              <w:pStyle w:val="TableParagraph"/>
              <w:spacing w:line="243" w:lineRule="exact"/>
              <w:ind w:left="256"/>
              <w:rPr>
                <w:sz w:val="22"/>
              </w:rPr>
            </w:pPr>
            <w:r>
              <w:rPr>
                <w:sz w:val="22"/>
              </w:rPr>
              <w:t>0.11</w:t>
            </w:r>
          </w:p>
        </w:tc>
        <w:tc>
          <w:tcPr>
            <w:tcW w:w="1283" w:type="dxa"/>
            <w:tcBorders>
              <w:top w:val="nil"/>
              <w:left w:val="nil"/>
              <w:bottom w:val="nil"/>
              <w:right w:val="nil"/>
            </w:tcBorders>
          </w:tcPr>
          <w:p>
            <w:pPr>
              <w:pStyle w:val="TableParagraph"/>
              <w:spacing w:line="243" w:lineRule="exact"/>
              <w:ind w:left="453"/>
              <w:rPr>
                <w:sz w:val="22"/>
              </w:rPr>
            </w:pPr>
            <w:r>
              <w:rPr>
                <w:sz w:val="22"/>
              </w:rPr>
              <w:t>0.16</w:t>
            </w:r>
          </w:p>
        </w:tc>
        <w:tc>
          <w:tcPr>
            <w:tcW w:w="1173" w:type="dxa"/>
            <w:tcBorders>
              <w:top w:val="nil"/>
              <w:left w:val="nil"/>
              <w:bottom w:val="nil"/>
              <w:right w:val="nil"/>
            </w:tcBorders>
          </w:tcPr>
          <w:p>
            <w:pPr>
              <w:pStyle w:val="TableParagraph"/>
              <w:spacing w:line="243" w:lineRule="exact"/>
              <w:ind w:right="341"/>
              <w:jc w:val="right"/>
              <w:rPr>
                <w:sz w:val="22"/>
              </w:rPr>
            </w:pPr>
            <w:r>
              <w:rPr>
                <w:sz w:val="22"/>
              </w:rPr>
              <w:t>0.54</w:t>
            </w:r>
          </w:p>
        </w:tc>
        <w:tc>
          <w:tcPr>
            <w:tcW w:w="1510" w:type="dxa"/>
            <w:tcBorders>
              <w:top w:val="nil"/>
              <w:left w:val="nil"/>
              <w:bottom w:val="nil"/>
              <w:right w:val="nil"/>
            </w:tcBorders>
          </w:tcPr>
          <w:p>
            <w:pPr>
              <w:pStyle w:val="TableParagraph"/>
              <w:spacing w:line="243" w:lineRule="exact"/>
              <w:ind w:left="343"/>
              <w:rPr>
                <w:sz w:val="22"/>
              </w:rPr>
            </w:pPr>
            <w:r>
              <w:rPr>
                <w:sz w:val="22"/>
              </w:rPr>
              <w:t>0.83</w:t>
            </w:r>
          </w:p>
        </w:tc>
      </w:tr>
      <w:tr>
        <w:trPr>
          <w:trHeight w:val="511" w:hRule="exact"/>
        </w:trPr>
        <w:tc>
          <w:tcPr>
            <w:tcW w:w="1848" w:type="dxa"/>
            <w:tcBorders>
              <w:top w:val="nil"/>
              <w:left w:val="nil"/>
              <w:right w:val="nil"/>
            </w:tcBorders>
          </w:tcPr>
          <w:p>
            <w:pPr/>
          </w:p>
        </w:tc>
        <w:tc>
          <w:tcPr>
            <w:tcW w:w="879" w:type="dxa"/>
            <w:tcBorders>
              <w:top w:val="nil"/>
              <w:left w:val="nil"/>
              <w:right w:val="nil"/>
            </w:tcBorders>
          </w:tcPr>
          <w:p>
            <w:pPr/>
          </w:p>
        </w:tc>
        <w:tc>
          <w:tcPr>
            <w:tcW w:w="2054" w:type="dxa"/>
            <w:gridSpan w:val="2"/>
            <w:tcBorders>
              <w:top w:val="nil"/>
              <w:left w:val="nil"/>
              <w:right w:val="nil"/>
            </w:tcBorders>
          </w:tcPr>
          <w:p>
            <w:pPr>
              <w:pStyle w:val="TableParagraph"/>
              <w:spacing w:before="72"/>
              <w:ind w:left="409"/>
              <w:rPr>
                <w:sz w:val="22"/>
              </w:rPr>
            </w:pPr>
            <w:r>
              <w:rPr>
                <w:sz w:val="22"/>
              </w:rPr>
              <w:t>r2= 0.37</w:t>
            </w:r>
          </w:p>
        </w:tc>
        <w:tc>
          <w:tcPr>
            <w:tcW w:w="1283" w:type="dxa"/>
            <w:tcBorders>
              <w:top w:val="nil"/>
              <w:left w:val="nil"/>
              <w:right w:val="nil"/>
            </w:tcBorders>
          </w:tcPr>
          <w:p>
            <w:pPr/>
          </w:p>
        </w:tc>
        <w:tc>
          <w:tcPr>
            <w:tcW w:w="2683" w:type="dxa"/>
            <w:gridSpan w:val="2"/>
            <w:tcBorders>
              <w:top w:val="nil"/>
              <w:left w:val="nil"/>
              <w:right w:val="nil"/>
            </w:tcBorders>
          </w:tcPr>
          <w:p>
            <w:pPr>
              <w:pStyle w:val="TableParagraph"/>
              <w:spacing w:before="72"/>
              <w:ind w:left="464" w:right="1184"/>
              <w:rPr>
                <w:sz w:val="22"/>
              </w:rPr>
            </w:pPr>
            <w:r>
              <w:rPr>
                <w:sz w:val="22"/>
              </w:rPr>
              <w:t>r2= 0.34</w:t>
            </w:r>
          </w:p>
        </w:tc>
      </w:tr>
    </w:tbl>
    <w:p>
      <w:pPr>
        <w:spacing w:before="0"/>
        <w:ind w:left="224" w:right="126" w:firstLine="0"/>
        <w:jc w:val="left"/>
        <w:rPr>
          <w:sz w:val="22"/>
        </w:rPr>
      </w:pPr>
      <w:r>
        <w:rPr>
          <w:sz w:val="22"/>
        </w:rPr>
        <w:t>P </w:t>
      </w:r>
      <w:r>
        <w:rPr>
          <w:rFonts w:ascii="Calibri" w:hAnsi="Calibri"/>
          <w:sz w:val="22"/>
        </w:rPr>
        <w:t>˂ </w:t>
      </w:r>
      <w:r>
        <w:rPr>
          <w:sz w:val="22"/>
        </w:rPr>
        <w:t>0.05</w:t>
      </w:r>
    </w:p>
    <w:p>
      <w:pPr>
        <w:spacing w:after="0"/>
        <w:jc w:val="left"/>
        <w:rPr>
          <w:sz w:val="22"/>
        </w:rPr>
        <w:sectPr>
          <w:pgSz w:w="12240" w:h="15840"/>
          <w:pgMar w:header="733" w:footer="1039" w:top="1020" w:bottom="1220" w:left="1540" w:right="1520"/>
        </w:sectPr>
      </w:pPr>
    </w:p>
    <w:p>
      <w:pPr>
        <w:pStyle w:val="BodyText"/>
        <w:spacing w:before="9"/>
        <w:rPr>
          <w:sz w:val="17"/>
        </w:rPr>
      </w:pPr>
    </w:p>
    <w:p>
      <w:pPr>
        <w:pStyle w:val="Heading2"/>
        <w:numPr>
          <w:ilvl w:val="1"/>
          <w:numId w:val="31"/>
        </w:numPr>
        <w:tabs>
          <w:tab w:pos="565" w:val="left" w:leader="none"/>
        </w:tabs>
        <w:spacing w:line="240" w:lineRule="auto" w:before="69" w:after="0"/>
        <w:ind w:left="564" w:right="0" w:hanging="402"/>
        <w:jc w:val="both"/>
      </w:pPr>
      <w:bookmarkStart w:name="_TOC_250008" w:id="33"/>
      <w:r>
        <w:rPr/>
        <w:t>Resultados</w:t>
      </w:r>
      <w:r>
        <w:rPr>
          <w:spacing w:val="-5"/>
        </w:rPr>
        <w:t> </w:t>
      </w:r>
      <w:bookmarkEnd w:id="33"/>
      <w:r>
        <w:rPr/>
        <w:t>Generales</w:t>
      </w:r>
    </w:p>
    <w:p>
      <w:pPr>
        <w:pStyle w:val="BodyText"/>
        <w:rPr>
          <w:b/>
        </w:rPr>
      </w:pPr>
    </w:p>
    <w:p>
      <w:pPr>
        <w:pStyle w:val="BodyText"/>
        <w:spacing w:line="360" w:lineRule="auto" w:before="142"/>
        <w:ind w:left="162" w:right="176"/>
        <w:jc w:val="both"/>
      </w:pPr>
      <w:r>
        <w:rPr/>
        <w:t>Los resultados obtenidos se presentan primero los relativos a las características sociodemográficas, después los hábitos higiénicos y dietéticos y por último los concernientes a los genes de susceptibilidad.</w:t>
      </w:r>
    </w:p>
    <w:p>
      <w:pPr>
        <w:pStyle w:val="BodyText"/>
      </w:pPr>
    </w:p>
    <w:p>
      <w:pPr>
        <w:pStyle w:val="Heading2"/>
        <w:numPr>
          <w:ilvl w:val="2"/>
          <w:numId w:val="31"/>
        </w:numPr>
        <w:tabs>
          <w:tab w:pos="832" w:val="left" w:leader="none"/>
        </w:tabs>
        <w:spacing w:line="240" w:lineRule="auto" w:before="142" w:after="0"/>
        <w:ind w:left="831" w:right="0" w:hanging="669"/>
        <w:jc w:val="both"/>
      </w:pPr>
      <w:bookmarkStart w:name="_TOC_250007" w:id="34"/>
      <w:r>
        <w:rPr/>
        <w:t>Características</w:t>
      </w:r>
      <w:r>
        <w:rPr>
          <w:spacing w:val="-12"/>
        </w:rPr>
        <w:t> </w:t>
      </w:r>
      <w:bookmarkEnd w:id="34"/>
      <w:r>
        <w:rPr/>
        <w:t>sociodemográficas</w:t>
      </w:r>
    </w:p>
    <w:p>
      <w:pPr>
        <w:pStyle w:val="BodyText"/>
        <w:spacing w:line="360" w:lineRule="auto" w:before="137"/>
        <w:ind w:left="162" w:right="188"/>
        <w:jc w:val="both"/>
      </w:pPr>
      <w:r>
        <w:rPr/>
        <w:t>El promedio de la edad del grupo de los expuestos fue de 33.42 ± 12.3 años y de los no expuestos de 32.80 ± 9.7años de edad (Tabla 5).</w:t>
      </w:r>
    </w:p>
    <w:p>
      <w:pPr>
        <w:pStyle w:val="BodyText"/>
      </w:pPr>
    </w:p>
    <w:p>
      <w:pPr>
        <w:pStyle w:val="BodyText"/>
        <w:spacing w:line="360" w:lineRule="auto" w:before="142"/>
        <w:ind w:left="162" w:right="182"/>
        <w:jc w:val="both"/>
      </w:pPr>
      <w:r>
        <w:rPr/>
        <w:t>El sexo predominante en el grupo de los individuos expuestos fue el masculino  con el 57.5%, y para el caso de los no expuestos de igual forma predominó el sexo masculino con el 70% de los casos (Tabla</w:t>
      </w:r>
      <w:r>
        <w:rPr>
          <w:spacing w:val="-11"/>
        </w:rPr>
        <w:t> </w:t>
      </w:r>
      <w:r>
        <w:rPr/>
        <w:t>5).</w:t>
      </w:r>
    </w:p>
    <w:p>
      <w:pPr>
        <w:pStyle w:val="BodyText"/>
      </w:pPr>
    </w:p>
    <w:p>
      <w:pPr>
        <w:pStyle w:val="BodyText"/>
        <w:spacing w:line="360" w:lineRule="auto" w:before="142"/>
        <w:ind w:left="162" w:right="185"/>
        <w:jc w:val="both"/>
      </w:pPr>
      <w:r>
        <w:rPr/>
        <w:t>Respecto a la ocupación, en el grupo de los expuestos, todos ellos fueron floricultores, y la ocupación en el grupo de los no expuestos fue como sigue: empleado 27.5%, ama de casa 22.5%, albañil 12.5% y otros 37.5% (Tabla 5).</w:t>
      </w:r>
    </w:p>
    <w:p>
      <w:pPr>
        <w:pStyle w:val="BodyText"/>
      </w:pPr>
    </w:p>
    <w:p>
      <w:pPr>
        <w:pStyle w:val="BodyText"/>
        <w:spacing w:before="8"/>
        <w:rPr>
          <w:sz w:val="29"/>
        </w:rPr>
      </w:pPr>
    </w:p>
    <w:p>
      <w:pPr>
        <w:pStyle w:val="BodyText"/>
        <w:spacing w:line="360" w:lineRule="auto"/>
        <w:ind w:left="162" w:right="182"/>
        <w:jc w:val="both"/>
      </w:pPr>
      <w:r>
        <w:rPr/>
        <w:t>Con relación a la escolaridad al interior de los grupos fue diferenciada, en el grupo de los expuestos: sin escolaridad alguna 2.5%, primaria 55%, secundaria 25%, bachillerato 12.5%, licenciatura 5% En el grupo de los no expuestos: sin escolaridad   2.5%,   primaria   27%,   secundaria   32.5%,   bachillerato   22.5%   y</w:t>
      </w:r>
    </w:p>
    <w:p>
      <w:pPr>
        <w:pStyle w:val="BodyText"/>
        <w:spacing w:before="5"/>
        <w:ind w:left="162"/>
        <w:jc w:val="both"/>
      </w:pPr>
      <w:r>
        <w:rPr/>
        <w:t>licenciatura 15% (Tabla 5).</w:t>
      </w:r>
    </w:p>
    <w:p>
      <w:pPr>
        <w:pStyle w:val="BodyText"/>
      </w:pPr>
    </w:p>
    <w:p>
      <w:pPr>
        <w:pStyle w:val="BodyText"/>
        <w:spacing w:before="8"/>
        <w:rPr>
          <w:sz w:val="35"/>
        </w:rPr>
      </w:pPr>
    </w:p>
    <w:p>
      <w:pPr>
        <w:pStyle w:val="Heading2"/>
        <w:numPr>
          <w:ilvl w:val="2"/>
          <w:numId w:val="31"/>
        </w:numPr>
        <w:tabs>
          <w:tab w:pos="765" w:val="left" w:leader="none"/>
        </w:tabs>
        <w:spacing w:line="240" w:lineRule="auto" w:before="0" w:after="0"/>
        <w:ind w:left="764" w:right="0" w:hanging="602"/>
        <w:jc w:val="both"/>
      </w:pPr>
      <w:r>
        <w:rPr/>
        <w:t>Hábitos higiénicos y dietéticos</w:t>
      </w:r>
      <w:r>
        <w:rPr>
          <w:spacing w:val="-8"/>
        </w:rPr>
        <w:t> </w:t>
      </w:r>
      <w:r>
        <w:rPr/>
        <w:t>cariogénicos</w:t>
      </w:r>
    </w:p>
    <w:p>
      <w:pPr>
        <w:pStyle w:val="BodyText"/>
        <w:spacing w:before="3"/>
        <w:rPr>
          <w:b/>
        </w:rPr>
      </w:pPr>
    </w:p>
    <w:p>
      <w:pPr>
        <w:pStyle w:val="BodyText"/>
        <w:spacing w:line="360" w:lineRule="auto"/>
        <w:ind w:left="162" w:right="175"/>
        <w:jc w:val="both"/>
      </w:pPr>
      <w:r>
        <w:rPr/>
        <w:t>Acerca de los hábitos higiénicos bucales se categorizó como buena, regular o deficiente a partir de los datos obtenidos en el cuestionario tales como la frecuencia con la que se cepillan los dientes, uso de hilo dental y enjuague bucal, así como también las veces que a asistido al dentista en el último año. La higiene bucal  en  el  grupo  de  los  expuestos  fue  regular  en  el  27.5%  de  los  casos y</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62" w:lineRule="auto" w:before="69"/>
        <w:ind w:left="162" w:right="189"/>
        <w:jc w:val="both"/>
      </w:pPr>
      <w:r>
        <w:rPr/>
        <w:t>deficiente en el 72.5%; y para el caso de los no expuestos fue regular en el 15% y deficiente en el 85% de los casos (Tabla 5).</w:t>
      </w:r>
    </w:p>
    <w:p>
      <w:pPr>
        <w:pStyle w:val="BodyText"/>
      </w:pPr>
    </w:p>
    <w:p>
      <w:pPr>
        <w:pStyle w:val="BodyText"/>
        <w:spacing w:line="360" w:lineRule="auto" w:before="139"/>
        <w:ind w:left="162" w:right="178"/>
        <w:jc w:val="both"/>
      </w:pPr>
      <w:r>
        <w:rPr/>
        <w:t>Respecto a la dieta cariogénica, en el grupo de los expuestos la frecuencia de consumo fue baja en el 17.5%, media en el 60% y alta en el 22.5% de los casos. Difiriendo del grupo de los no expuestos, donde la frecuencia de consumo de una dieta cariogénica fue baja en el 2.5%, media en el 30%, y alta en el 67.5% de los casos (Tabla 5). Notando que los individuos no expuestos provenientes de la zona urbana tienen una mayor frecuencia de dieta cariogénica.</w:t>
      </w:r>
    </w:p>
    <w:p>
      <w:pPr>
        <w:pStyle w:val="BodyText"/>
      </w:pPr>
    </w:p>
    <w:p>
      <w:pPr>
        <w:spacing w:before="142"/>
        <w:ind w:left="162" w:right="178" w:firstLine="0"/>
        <w:jc w:val="both"/>
        <w:rPr>
          <w:sz w:val="22"/>
        </w:rPr>
      </w:pPr>
      <w:r>
        <w:rPr>
          <w:sz w:val="22"/>
        </w:rPr>
        <w:t>TABLA 5. Características sociodemográficas, hábitos higiénicos y dietéticos de los grupos en estudio</w:t>
      </w:r>
    </w:p>
    <w:p>
      <w:pPr>
        <w:pStyle w:val="BodyText"/>
        <w:rPr>
          <w:sz w:val="20"/>
        </w:rPr>
      </w:pPr>
    </w:p>
    <w:p>
      <w:pPr>
        <w:pStyle w:val="BodyText"/>
        <w:spacing w:before="10"/>
        <w:rPr>
          <w:sz w:val="22"/>
        </w:rPr>
      </w:pPr>
    </w:p>
    <w:tbl>
      <w:tblPr>
        <w:tblW w:w="0" w:type="auto"/>
        <w:jc w:val="left"/>
        <w:tblInd w:w="5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807"/>
        <w:gridCol w:w="1620"/>
        <w:gridCol w:w="1352"/>
        <w:gridCol w:w="1317"/>
      </w:tblGrid>
      <w:tr>
        <w:trPr>
          <w:trHeight w:val="780" w:hRule="exact"/>
        </w:trPr>
        <w:tc>
          <w:tcPr>
            <w:tcW w:w="3807" w:type="dxa"/>
            <w:tcBorders>
              <w:left w:val="nil"/>
              <w:right w:val="nil"/>
            </w:tcBorders>
          </w:tcPr>
          <w:p>
            <w:pPr/>
          </w:p>
        </w:tc>
        <w:tc>
          <w:tcPr>
            <w:tcW w:w="1620" w:type="dxa"/>
            <w:tcBorders>
              <w:left w:val="nil"/>
              <w:right w:val="nil"/>
            </w:tcBorders>
          </w:tcPr>
          <w:p>
            <w:pPr>
              <w:pStyle w:val="TableParagraph"/>
              <w:spacing w:line="251" w:lineRule="exact"/>
              <w:ind w:left="246" w:right="173"/>
              <w:rPr>
                <w:b/>
                <w:sz w:val="22"/>
              </w:rPr>
            </w:pPr>
            <w:r>
              <w:rPr>
                <w:b/>
                <w:sz w:val="22"/>
              </w:rPr>
              <w:t>Categorías</w:t>
            </w:r>
          </w:p>
        </w:tc>
        <w:tc>
          <w:tcPr>
            <w:tcW w:w="1352" w:type="dxa"/>
            <w:tcBorders>
              <w:left w:val="nil"/>
              <w:right w:val="nil"/>
            </w:tcBorders>
          </w:tcPr>
          <w:p>
            <w:pPr>
              <w:pStyle w:val="TableParagraph"/>
              <w:spacing w:line="242" w:lineRule="auto"/>
              <w:ind w:left="189" w:right="169" w:firstLine="3"/>
              <w:jc w:val="center"/>
              <w:rPr>
                <w:sz w:val="22"/>
              </w:rPr>
            </w:pPr>
            <w:r>
              <w:rPr>
                <w:b/>
                <w:sz w:val="22"/>
              </w:rPr>
              <w:t>Grupo Expuesto </w:t>
            </w:r>
            <w:r>
              <w:rPr>
                <w:sz w:val="22"/>
              </w:rPr>
              <w:t>n(%)</w:t>
            </w:r>
          </w:p>
        </w:tc>
        <w:tc>
          <w:tcPr>
            <w:tcW w:w="1317" w:type="dxa"/>
            <w:tcBorders>
              <w:left w:val="nil"/>
              <w:right w:val="nil"/>
            </w:tcBorders>
          </w:tcPr>
          <w:p>
            <w:pPr>
              <w:pStyle w:val="TableParagraph"/>
              <w:spacing w:line="242" w:lineRule="auto"/>
              <w:ind w:left="171" w:right="127"/>
              <w:jc w:val="center"/>
              <w:rPr>
                <w:sz w:val="22"/>
              </w:rPr>
            </w:pPr>
            <w:r>
              <w:rPr>
                <w:b/>
                <w:sz w:val="22"/>
              </w:rPr>
              <w:t>Grupo No Expuesto </w:t>
            </w:r>
            <w:r>
              <w:rPr>
                <w:sz w:val="22"/>
              </w:rPr>
              <w:t>n(%)</w:t>
            </w:r>
          </w:p>
        </w:tc>
      </w:tr>
      <w:tr>
        <w:trPr>
          <w:trHeight w:val="272" w:hRule="exact"/>
        </w:trPr>
        <w:tc>
          <w:tcPr>
            <w:tcW w:w="3807" w:type="dxa"/>
            <w:tcBorders>
              <w:left w:val="nil"/>
              <w:bottom w:val="nil"/>
              <w:right w:val="nil"/>
            </w:tcBorders>
          </w:tcPr>
          <w:p>
            <w:pPr>
              <w:pStyle w:val="TableParagraph"/>
              <w:spacing w:line="251" w:lineRule="exact"/>
              <w:ind w:left="2583" w:right="125"/>
              <w:jc w:val="center"/>
              <w:rPr>
                <w:sz w:val="22"/>
              </w:rPr>
            </w:pPr>
            <w:r>
              <w:rPr>
                <w:sz w:val="22"/>
              </w:rPr>
              <w:t>Sexo</w:t>
            </w:r>
          </w:p>
        </w:tc>
        <w:tc>
          <w:tcPr>
            <w:tcW w:w="1620" w:type="dxa"/>
            <w:vMerge w:val="restart"/>
            <w:tcBorders>
              <w:left w:val="nil"/>
              <w:right w:val="nil"/>
            </w:tcBorders>
          </w:tcPr>
          <w:p>
            <w:pPr>
              <w:pStyle w:val="TableParagraph"/>
              <w:spacing w:line="242" w:lineRule="auto"/>
              <w:ind w:left="143" w:right="466"/>
              <w:rPr>
                <w:sz w:val="22"/>
              </w:rPr>
            </w:pPr>
            <w:r>
              <w:rPr>
                <w:sz w:val="22"/>
              </w:rPr>
              <w:t>Masculino Femenino</w:t>
            </w:r>
          </w:p>
        </w:tc>
        <w:tc>
          <w:tcPr>
            <w:tcW w:w="1352" w:type="dxa"/>
            <w:vMerge w:val="restart"/>
            <w:tcBorders>
              <w:left w:val="nil"/>
              <w:right w:val="nil"/>
            </w:tcBorders>
          </w:tcPr>
          <w:p>
            <w:pPr>
              <w:pStyle w:val="TableParagraph"/>
              <w:spacing w:line="251" w:lineRule="exact"/>
              <w:ind w:left="244"/>
              <w:rPr>
                <w:sz w:val="22"/>
              </w:rPr>
            </w:pPr>
            <w:r>
              <w:rPr>
                <w:sz w:val="22"/>
              </w:rPr>
              <w:t>17 (57.5)</w:t>
            </w:r>
          </w:p>
          <w:p>
            <w:pPr>
              <w:pStyle w:val="TableParagraph"/>
              <w:spacing w:before="1"/>
              <w:ind w:left="244"/>
              <w:rPr>
                <w:sz w:val="22"/>
              </w:rPr>
            </w:pPr>
            <w:r>
              <w:rPr>
                <w:sz w:val="22"/>
              </w:rPr>
              <w:t>23 (42.5)</w:t>
            </w:r>
          </w:p>
        </w:tc>
        <w:tc>
          <w:tcPr>
            <w:tcW w:w="1317" w:type="dxa"/>
            <w:vMerge w:val="restart"/>
            <w:tcBorders>
              <w:left w:val="nil"/>
              <w:right w:val="nil"/>
            </w:tcBorders>
          </w:tcPr>
          <w:p>
            <w:pPr>
              <w:pStyle w:val="TableParagraph"/>
              <w:spacing w:line="251" w:lineRule="exact"/>
              <w:ind w:left="330"/>
              <w:rPr>
                <w:sz w:val="22"/>
              </w:rPr>
            </w:pPr>
            <w:r>
              <w:rPr>
                <w:sz w:val="22"/>
              </w:rPr>
              <w:t>28 (70)</w:t>
            </w:r>
          </w:p>
          <w:p>
            <w:pPr>
              <w:pStyle w:val="TableParagraph"/>
              <w:spacing w:before="1"/>
              <w:ind w:left="369"/>
              <w:rPr>
                <w:sz w:val="22"/>
              </w:rPr>
            </w:pPr>
            <w:r>
              <w:rPr>
                <w:sz w:val="22"/>
              </w:rPr>
              <w:t>12 (30</w:t>
            </w:r>
          </w:p>
        </w:tc>
      </w:tr>
      <w:tr>
        <w:trPr>
          <w:trHeight w:val="500" w:hRule="exact"/>
        </w:trPr>
        <w:tc>
          <w:tcPr>
            <w:tcW w:w="3807" w:type="dxa"/>
            <w:tcBorders>
              <w:top w:val="nil"/>
              <w:left w:val="nil"/>
              <w:bottom w:val="nil"/>
              <w:right w:val="nil"/>
            </w:tcBorders>
          </w:tcPr>
          <w:p>
            <w:pPr>
              <w:pStyle w:val="TableParagraph"/>
              <w:ind w:left="283" w:right="1633" w:firstLine="201"/>
              <w:rPr>
                <w:sz w:val="22"/>
              </w:rPr>
            </w:pPr>
            <w:r>
              <w:rPr>
                <w:sz w:val="22"/>
              </w:rPr>
              <w:t>Características Sociodemográficas</w:t>
            </w:r>
          </w:p>
        </w:tc>
        <w:tc>
          <w:tcPr>
            <w:tcW w:w="1620" w:type="dxa"/>
            <w:vMerge/>
            <w:tcBorders>
              <w:left w:val="nil"/>
              <w:bottom w:val="nil"/>
              <w:right w:val="nil"/>
            </w:tcBorders>
          </w:tcPr>
          <w:p>
            <w:pPr/>
          </w:p>
        </w:tc>
        <w:tc>
          <w:tcPr>
            <w:tcW w:w="1352" w:type="dxa"/>
            <w:vMerge/>
            <w:tcBorders>
              <w:left w:val="nil"/>
              <w:bottom w:val="nil"/>
              <w:right w:val="nil"/>
            </w:tcBorders>
          </w:tcPr>
          <w:p>
            <w:pPr/>
          </w:p>
        </w:tc>
        <w:tc>
          <w:tcPr>
            <w:tcW w:w="1317" w:type="dxa"/>
            <w:vMerge/>
            <w:tcBorders>
              <w:left w:val="nil"/>
              <w:bottom w:val="nil"/>
              <w:right w:val="nil"/>
            </w:tcBorders>
          </w:tcPr>
          <w:p>
            <w:pPr/>
          </w:p>
        </w:tc>
      </w:tr>
      <w:tr>
        <w:trPr>
          <w:trHeight w:val="249" w:hRule="exact"/>
        </w:trPr>
        <w:tc>
          <w:tcPr>
            <w:tcW w:w="3807" w:type="dxa"/>
            <w:tcBorders>
              <w:top w:val="nil"/>
              <w:left w:val="nil"/>
              <w:bottom w:val="nil"/>
              <w:right w:val="nil"/>
            </w:tcBorders>
          </w:tcPr>
          <w:p>
            <w:pPr>
              <w:pStyle w:val="TableParagraph"/>
              <w:spacing w:line="236" w:lineRule="exact"/>
              <w:ind w:left="2590" w:right="125"/>
              <w:jc w:val="center"/>
              <w:rPr>
                <w:sz w:val="22"/>
              </w:rPr>
            </w:pPr>
            <w:r>
              <w:rPr>
                <w:sz w:val="22"/>
              </w:rPr>
              <w:t>Ocupación</w:t>
            </w:r>
          </w:p>
        </w:tc>
        <w:tc>
          <w:tcPr>
            <w:tcW w:w="1620" w:type="dxa"/>
            <w:vMerge w:val="restart"/>
            <w:tcBorders>
              <w:top w:val="nil"/>
              <w:left w:val="nil"/>
              <w:right w:val="nil"/>
            </w:tcBorders>
          </w:tcPr>
          <w:p>
            <w:pPr>
              <w:pStyle w:val="TableParagraph"/>
              <w:spacing w:line="236" w:lineRule="exact"/>
              <w:ind w:left="143" w:right="173"/>
              <w:rPr>
                <w:sz w:val="22"/>
              </w:rPr>
            </w:pPr>
            <w:r>
              <w:rPr>
                <w:sz w:val="22"/>
              </w:rPr>
              <w:t>Floricultor</w:t>
            </w:r>
          </w:p>
          <w:p>
            <w:pPr>
              <w:pStyle w:val="TableParagraph"/>
              <w:spacing w:before="2"/>
              <w:ind w:left="143" w:right="173"/>
              <w:rPr>
                <w:sz w:val="22"/>
              </w:rPr>
            </w:pPr>
            <w:r>
              <w:rPr>
                <w:sz w:val="22"/>
              </w:rPr>
              <w:t>Empleado Ama de casa Albañil</w:t>
            </w:r>
          </w:p>
          <w:p>
            <w:pPr>
              <w:pStyle w:val="TableParagraph"/>
              <w:spacing w:line="252" w:lineRule="exact"/>
              <w:ind w:left="143" w:right="173"/>
              <w:rPr>
                <w:sz w:val="22"/>
              </w:rPr>
            </w:pPr>
            <w:r>
              <w:rPr>
                <w:sz w:val="22"/>
              </w:rPr>
              <w:t>Otro</w:t>
            </w:r>
          </w:p>
        </w:tc>
        <w:tc>
          <w:tcPr>
            <w:tcW w:w="1352" w:type="dxa"/>
            <w:tcBorders>
              <w:top w:val="nil"/>
              <w:left w:val="nil"/>
              <w:bottom w:val="nil"/>
              <w:right w:val="nil"/>
            </w:tcBorders>
          </w:tcPr>
          <w:p>
            <w:pPr>
              <w:pStyle w:val="TableParagraph"/>
              <w:spacing w:line="236" w:lineRule="exact"/>
              <w:ind w:left="275"/>
              <w:rPr>
                <w:sz w:val="22"/>
              </w:rPr>
            </w:pPr>
            <w:r>
              <w:rPr>
                <w:sz w:val="22"/>
              </w:rPr>
              <w:t>40 (100)</w:t>
            </w:r>
          </w:p>
        </w:tc>
        <w:tc>
          <w:tcPr>
            <w:tcW w:w="1317" w:type="dxa"/>
            <w:tcBorders>
              <w:top w:val="nil"/>
              <w:left w:val="nil"/>
              <w:bottom w:val="nil"/>
              <w:right w:val="nil"/>
            </w:tcBorders>
          </w:tcPr>
          <w:p>
            <w:pPr/>
          </w:p>
        </w:tc>
      </w:tr>
      <w:tr>
        <w:trPr>
          <w:trHeight w:val="1139" w:hRule="exact"/>
        </w:trPr>
        <w:tc>
          <w:tcPr>
            <w:tcW w:w="3807" w:type="dxa"/>
            <w:tcBorders>
              <w:top w:val="nil"/>
              <w:left w:val="nil"/>
              <w:bottom w:val="nil"/>
              <w:right w:val="nil"/>
            </w:tcBorders>
          </w:tcPr>
          <w:p>
            <w:pPr/>
          </w:p>
        </w:tc>
        <w:tc>
          <w:tcPr>
            <w:tcW w:w="1620" w:type="dxa"/>
            <w:vMerge/>
            <w:tcBorders>
              <w:left w:val="nil"/>
              <w:bottom w:val="nil"/>
              <w:right w:val="nil"/>
            </w:tcBorders>
          </w:tcPr>
          <w:p>
            <w:pPr/>
          </w:p>
        </w:tc>
        <w:tc>
          <w:tcPr>
            <w:tcW w:w="1352" w:type="dxa"/>
            <w:tcBorders>
              <w:top w:val="nil"/>
              <w:left w:val="nil"/>
              <w:bottom w:val="nil"/>
              <w:right w:val="nil"/>
            </w:tcBorders>
          </w:tcPr>
          <w:p>
            <w:pPr/>
          </w:p>
        </w:tc>
        <w:tc>
          <w:tcPr>
            <w:tcW w:w="1317" w:type="dxa"/>
            <w:tcBorders>
              <w:top w:val="nil"/>
              <w:left w:val="nil"/>
              <w:bottom w:val="nil"/>
              <w:right w:val="nil"/>
            </w:tcBorders>
          </w:tcPr>
          <w:p>
            <w:pPr>
              <w:pStyle w:val="TableParagraph"/>
              <w:spacing w:line="242" w:lineRule="exact"/>
              <w:ind w:left="238"/>
              <w:rPr>
                <w:sz w:val="22"/>
              </w:rPr>
            </w:pPr>
            <w:r>
              <w:rPr>
                <w:sz w:val="22"/>
              </w:rPr>
              <w:t>11 (27.5)</w:t>
            </w:r>
          </w:p>
          <w:p>
            <w:pPr>
              <w:pStyle w:val="TableParagraph"/>
              <w:spacing w:line="252" w:lineRule="exact"/>
              <w:ind w:left="301"/>
              <w:rPr>
                <w:sz w:val="22"/>
              </w:rPr>
            </w:pPr>
            <w:r>
              <w:rPr>
                <w:sz w:val="22"/>
              </w:rPr>
              <w:t>9 (22.5)</w:t>
            </w:r>
          </w:p>
          <w:p>
            <w:pPr>
              <w:pStyle w:val="TableParagraph"/>
              <w:spacing w:line="252" w:lineRule="exact" w:before="1"/>
              <w:ind w:left="301"/>
              <w:rPr>
                <w:sz w:val="22"/>
              </w:rPr>
            </w:pPr>
            <w:r>
              <w:rPr>
                <w:sz w:val="22"/>
              </w:rPr>
              <w:t>5 (12.5)</w:t>
            </w:r>
          </w:p>
          <w:p>
            <w:pPr>
              <w:pStyle w:val="TableParagraph"/>
              <w:spacing w:line="252" w:lineRule="exact"/>
              <w:ind w:left="238"/>
              <w:rPr>
                <w:sz w:val="22"/>
              </w:rPr>
            </w:pPr>
            <w:r>
              <w:rPr>
                <w:sz w:val="22"/>
              </w:rPr>
              <w:t>15 (37.5)</w:t>
            </w:r>
          </w:p>
        </w:tc>
      </w:tr>
      <w:tr>
        <w:trPr>
          <w:trHeight w:val="1489" w:hRule="exact"/>
        </w:trPr>
        <w:tc>
          <w:tcPr>
            <w:tcW w:w="3807" w:type="dxa"/>
            <w:tcBorders>
              <w:top w:val="nil"/>
              <w:left w:val="nil"/>
              <w:bottom w:val="nil"/>
              <w:right w:val="nil"/>
            </w:tcBorders>
          </w:tcPr>
          <w:p>
            <w:pPr>
              <w:pStyle w:val="TableParagraph"/>
              <w:spacing w:before="115"/>
              <w:ind w:left="2712" w:right="211" w:hanging="39"/>
              <w:jc w:val="right"/>
              <w:rPr>
                <w:sz w:val="22"/>
              </w:rPr>
            </w:pPr>
            <w:r>
              <w:rPr>
                <w:sz w:val="22"/>
              </w:rPr>
              <w:t>Grado de</w:t>
            </w:r>
            <w:r>
              <w:rPr>
                <w:w w:val="100"/>
                <w:sz w:val="22"/>
              </w:rPr>
              <w:t> </w:t>
            </w:r>
            <w:r>
              <w:rPr>
                <w:sz w:val="22"/>
              </w:rPr>
              <w:t>Estudios</w:t>
            </w:r>
          </w:p>
        </w:tc>
        <w:tc>
          <w:tcPr>
            <w:tcW w:w="1620" w:type="dxa"/>
            <w:tcBorders>
              <w:top w:val="nil"/>
              <w:left w:val="nil"/>
              <w:bottom w:val="nil"/>
              <w:right w:val="nil"/>
            </w:tcBorders>
          </w:tcPr>
          <w:p>
            <w:pPr>
              <w:pStyle w:val="TableParagraph"/>
              <w:spacing w:before="115"/>
              <w:ind w:left="143" w:right="270"/>
              <w:rPr>
                <w:sz w:val="22"/>
              </w:rPr>
            </w:pPr>
            <w:r>
              <w:rPr>
                <w:sz w:val="22"/>
              </w:rPr>
              <w:t>Ninguno Primaria Secundaria Bachillerato Licenciatura</w:t>
            </w:r>
          </w:p>
        </w:tc>
        <w:tc>
          <w:tcPr>
            <w:tcW w:w="1352" w:type="dxa"/>
            <w:tcBorders>
              <w:top w:val="nil"/>
              <w:left w:val="nil"/>
              <w:bottom w:val="nil"/>
              <w:right w:val="nil"/>
            </w:tcBorders>
          </w:tcPr>
          <w:p>
            <w:pPr>
              <w:pStyle w:val="TableParagraph"/>
              <w:spacing w:line="252" w:lineRule="exact" w:before="115"/>
              <w:ind w:left="367"/>
              <w:rPr>
                <w:sz w:val="22"/>
              </w:rPr>
            </w:pPr>
            <w:r>
              <w:rPr>
                <w:sz w:val="22"/>
              </w:rPr>
              <w:t>1 (2.5)</w:t>
            </w:r>
          </w:p>
          <w:p>
            <w:pPr>
              <w:pStyle w:val="TableParagraph"/>
              <w:spacing w:line="252" w:lineRule="exact"/>
              <w:ind w:left="222" w:right="206"/>
              <w:jc w:val="center"/>
              <w:rPr>
                <w:sz w:val="22"/>
              </w:rPr>
            </w:pPr>
            <w:r>
              <w:rPr>
                <w:sz w:val="22"/>
              </w:rPr>
              <w:t>22 (55)</w:t>
            </w:r>
          </w:p>
          <w:p>
            <w:pPr>
              <w:pStyle w:val="TableParagraph"/>
              <w:spacing w:line="252" w:lineRule="exact" w:before="1"/>
              <w:ind w:left="222" w:right="206"/>
              <w:jc w:val="center"/>
              <w:rPr>
                <w:sz w:val="22"/>
              </w:rPr>
            </w:pPr>
            <w:r>
              <w:rPr>
                <w:sz w:val="22"/>
              </w:rPr>
              <w:t>10 (25)</w:t>
            </w:r>
          </w:p>
          <w:p>
            <w:pPr>
              <w:pStyle w:val="TableParagraph"/>
              <w:spacing w:line="252" w:lineRule="exact"/>
              <w:ind w:left="223" w:right="206"/>
              <w:jc w:val="center"/>
              <w:rPr>
                <w:sz w:val="22"/>
              </w:rPr>
            </w:pPr>
            <w:r>
              <w:rPr>
                <w:sz w:val="22"/>
              </w:rPr>
              <w:t>5 (12.5)</w:t>
            </w:r>
          </w:p>
          <w:p>
            <w:pPr>
              <w:pStyle w:val="TableParagraph"/>
              <w:spacing w:line="252" w:lineRule="exact"/>
              <w:ind w:left="222" w:right="206"/>
              <w:jc w:val="center"/>
              <w:rPr>
                <w:sz w:val="22"/>
              </w:rPr>
            </w:pPr>
            <w:r>
              <w:rPr>
                <w:sz w:val="22"/>
              </w:rPr>
              <w:t>2 (5)</w:t>
            </w:r>
          </w:p>
        </w:tc>
        <w:tc>
          <w:tcPr>
            <w:tcW w:w="1317" w:type="dxa"/>
            <w:tcBorders>
              <w:top w:val="nil"/>
              <w:left w:val="nil"/>
              <w:bottom w:val="nil"/>
              <w:right w:val="nil"/>
            </w:tcBorders>
          </w:tcPr>
          <w:p>
            <w:pPr>
              <w:pStyle w:val="TableParagraph"/>
              <w:spacing w:line="252" w:lineRule="exact" w:before="115"/>
              <w:ind w:left="171" w:right="127"/>
              <w:jc w:val="center"/>
              <w:rPr>
                <w:sz w:val="22"/>
              </w:rPr>
            </w:pPr>
            <w:r>
              <w:rPr>
                <w:sz w:val="22"/>
              </w:rPr>
              <w:t>1 (2.5)</w:t>
            </w:r>
          </w:p>
          <w:p>
            <w:pPr>
              <w:pStyle w:val="TableParagraph"/>
              <w:spacing w:line="252" w:lineRule="exact"/>
              <w:ind w:left="170" w:right="127"/>
              <w:jc w:val="center"/>
              <w:rPr>
                <w:sz w:val="22"/>
              </w:rPr>
            </w:pPr>
            <w:r>
              <w:rPr>
                <w:sz w:val="22"/>
              </w:rPr>
              <w:t>11 (27.5)</w:t>
            </w:r>
          </w:p>
          <w:p>
            <w:pPr>
              <w:pStyle w:val="TableParagraph"/>
              <w:spacing w:line="252" w:lineRule="exact" w:before="1"/>
              <w:ind w:left="170" w:right="127"/>
              <w:jc w:val="center"/>
              <w:rPr>
                <w:sz w:val="22"/>
              </w:rPr>
            </w:pPr>
            <w:r>
              <w:rPr>
                <w:sz w:val="22"/>
              </w:rPr>
              <w:t>13 (32.5)</w:t>
            </w:r>
          </w:p>
          <w:p>
            <w:pPr>
              <w:pStyle w:val="TableParagraph"/>
              <w:spacing w:line="252" w:lineRule="exact"/>
              <w:ind w:left="301"/>
              <w:rPr>
                <w:sz w:val="22"/>
              </w:rPr>
            </w:pPr>
            <w:r>
              <w:rPr>
                <w:sz w:val="22"/>
              </w:rPr>
              <w:t>9 (22.5)</w:t>
            </w:r>
          </w:p>
          <w:p>
            <w:pPr>
              <w:pStyle w:val="TableParagraph"/>
              <w:spacing w:line="252" w:lineRule="exact"/>
              <w:ind w:left="171" w:right="127"/>
              <w:jc w:val="center"/>
              <w:rPr>
                <w:sz w:val="22"/>
              </w:rPr>
            </w:pPr>
            <w:r>
              <w:rPr>
                <w:sz w:val="22"/>
              </w:rPr>
              <w:t>6 (15)</w:t>
            </w:r>
          </w:p>
        </w:tc>
      </w:tr>
      <w:tr>
        <w:trPr>
          <w:trHeight w:val="983" w:hRule="exact"/>
        </w:trPr>
        <w:tc>
          <w:tcPr>
            <w:tcW w:w="3807" w:type="dxa"/>
            <w:tcBorders>
              <w:top w:val="nil"/>
              <w:left w:val="nil"/>
              <w:bottom w:val="nil"/>
              <w:right w:val="nil"/>
            </w:tcBorders>
          </w:tcPr>
          <w:p>
            <w:pPr>
              <w:pStyle w:val="TableParagraph"/>
              <w:spacing w:before="87"/>
              <w:ind w:left="828" w:right="1658" w:hanging="521"/>
              <w:rPr>
                <w:sz w:val="22"/>
              </w:rPr>
            </w:pPr>
            <w:r>
              <w:rPr>
                <w:sz w:val="22"/>
              </w:rPr>
              <w:t>Hábitos Higiénicos Bucales</w:t>
            </w:r>
          </w:p>
        </w:tc>
        <w:tc>
          <w:tcPr>
            <w:tcW w:w="1620" w:type="dxa"/>
            <w:tcBorders>
              <w:top w:val="nil"/>
              <w:left w:val="nil"/>
              <w:bottom w:val="nil"/>
              <w:right w:val="nil"/>
            </w:tcBorders>
          </w:tcPr>
          <w:p>
            <w:pPr>
              <w:pStyle w:val="TableParagraph"/>
              <w:spacing w:before="87"/>
              <w:ind w:left="143" w:right="478"/>
              <w:rPr>
                <w:sz w:val="22"/>
              </w:rPr>
            </w:pPr>
            <w:r>
              <w:rPr>
                <w:sz w:val="22"/>
              </w:rPr>
              <w:t>Buena Regular Deficiente</w:t>
            </w:r>
          </w:p>
        </w:tc>
        <w:tc>
          <w:tcPr>
            <w:tcW w:w="1352" w:type="dxa"/>
            <w:tcBorders>
              <w:top w:val="nil"/>
              <w:left w:val="nil"/>
              <w:bottom w:val="nil"/>
              <w:right w:val="nil"/>
            </w:tcBorders>
          </w:tcPr>
          <w:p>
            <w:pPr>
              <w:pStyle w:val="TableParagraph"/>
              <w:spacing w:line="252" w:lineRule="exact" w:before="87"/>
              <w:ind w:left="18"/>
              <w:jc w:val="center"/>
              <w:rPr>
                <w:sz w:val="22"/>
              </w:rPr>
            </w:pPr>
            <w:r>
              <w:rPr>
                <w:w w:val="100"/>
                <w:sz w:val="22"/>
              </w:rPr>
              <w:t>0</w:t>
            </w:r>
          </w:p>
          <w:p>
            <w:pPr>
              <w:pStyle w:val="TableParagraph"/>
              <w:spacing w:line="252" w:lineRule="exact"/>
              <w:ind w:left="225" w:right="206"/>
              <w:jc w:val="center"/>
              <w:rPr>
                <w:sz w:val="22"/>
              </w:rPr>
            </w:pPr>
            <w:r>
              <w:rPr>
                <w:sz w:val="22"/>
              </w:rPr>
              <w:t>11 (27.5)</w:t>
            </w:r>
          </w:p>
          <w:p>
            <w:pPr>
              <w:pStyle w:val="TableParagraph"/>
              <w:spacing w:line="252" w:lineRule="exact"/>
              <w:ind w:left="225" w:right="206"/>
              <w:jc w:val="center"/>
              <w:rPr>
                <w:sz w:val="22"/>
              </w:rPr>
            </w:pPr>
            <w:r>
              <w:rPr>
                <w:sz w:val="22"/>
              </w:rPr>
              <w:t>29 (72.5)</w:t>
            </w:r>
          </w:p>
        </w:tc>
        <w:tc>
          <w:tcPr>
            <w:tcW w:w="1317" w:type="dxa"/>
            <w:tcBorders>
              <w:top w:val="nil"/>
              <w:left w:val="nil"/>
              <w:bottom w:val="nil"/>
              <w:right w:val="nil"/>
            </w:tcBorders>
          </w:tcPr>
          <w:p>
            <w:pPr>
              <w:pStyle w:val="TableParagraph"/>
              <w:spacing w:line="252" w:lineRule="exact" w:before="87"/>
              <w:ind w:left="43"/>
              <w:jc w:val="center"/>
              <w:rPr>
                <w:sz w:val="22"/>
              </w:rPr>
            </w:pPr>
            <w:r>
              <w:rPr>
                <w:w w:val="100"/>
                <w:sz w:val="22"/>
              </w:rPr>
              <w:t>0</w:t>
            </w:r>
          </w:p>
          <w:p>
            <w:pPr>
              <w:pStyle w:val="TableParagraph"/>
              <w:spacing w:line="252" w:lineRule="exact"/>
              <w:ind w:left="171" w:right="127"/>
              <w:jc w:val="center"/>
              <w:rPr>
                <w:sz w:val="22"/>
              </w:rPr>
            </w:pPr>
            <w:r>
              <w:rPr>
                <w:sz w:val="22"/>
              </w:rPr>
              <w:t>6 (15)</w:t>
            </w:r>
          </w:p>
          <w:p>
            <w:pPr>
              <w:pStyle w:val="TableParagraph"/>
              <w:spacing w:line="252" w:lineRule="exact"/>
              <w:ind w:left="171" w:right="125"/>
              <w:jc w:val="center"/>
              <w:rPr>
                <w:sz w:val="22"/>
              </w:rPr>
            </w:pPr>
            <w:r>
              <w:rPr>
                <w:sz w:val="22"/>
              </w:rPr>
              <w:t>34 (85)</w:t>
            </w:r>
          </w:p>
        </w:tc>
      </w:tr>
      <w:tr>
        <w:trPr>
          <w:trHeight w:val="888" w:hRule="exact"/>
        </w:trPr>
        <w:tc>
          <w:tcPr>
            <w:tcW w:w="3807" w:type="dxa"/>
            <w:tcBorders>
              <w:top w:val="nil"/>
              <w:left w:val="nil"/>
              <w:right w:val="nil"/>
            </w:tcBorders>
          </w:tcPr>
          <w:p>
            <w:pPr>
              <w:pStyle w:val="TableParagraph"/>
              <w:spacing w:before="115"/>
              <w:ind w:left="633" w:right="1659" w:hanging="327"/>
              <w:rPr>
                <w:sz w:val="22"/>
              </w:rPr>
            </w:pPr>
            <w:r>
              <w:rPr>
                <w:sz w:val="22"/>
              </w:rPr>
              <w:t>Consumo de Dieta Cariogénica</w:t>
            </w:r>
          </w:p>
        </w:tc>
        <w:tc>
          <w:tcPr>
            <w:tcW w:w="1620" w:type="dxa"/>
            <w:tcBorders>
              <w:top w:val="nil"/>
              <w:left w:val="nil"/>
              <w:right w:val="nil"/>
            </w:tcBorders>
          </w:tcPr>
          <w:p>
            <w:pPr>
              <w:pStyle w:val="TableParagraph"/>
              <w:spacing w:before="115"/>
              <w:ind w:left="143" w:right="857"/>
              <w:rPr>
                <w:sz w:val="22"/>
              </w:rPr>
            </w:pPr>
            <w:r>
              <w:rPr>
                <w:sz w:val="22"/>
              </w:rPr>
              <w:t>Baja Media Alta</w:t>
            </w:r>
          </w:p>
        </w:tc>
        <w:tc>
          <w:tcPr>
            <w:tcW w:w="1352" w:type="dxa"/>
            <w:tcBorders>
              <w:top w:val="nil"/>
              <w:left w:val="nil"/>
              <w:right w:val="nil"/>
            </w:tcBorders>
          </w:tcPr>
          <w:p>
            <w:pPr>
              <w:pStyle w:val="TableParagraph"/>
              <w:spacing w:before="115"/>
              <w:ind w:left="304"/>
              <w:rPr>
                <w:sz w:val="22"/>
              </w:rPr>
            </w:pPr>
            <w:r>
              <w:rPr>
                <w:sz w:val="22"/>
              </w:rPr>
              <w:t>7 (17.5)</w:t>
            </w:r>
          </w:p>
          <w:p>
            <w:pPr>
              <w:pStyle w:val="TableParagraph"/>
              <w:spacing w:line="252" w:lineRule="exact" w:before="1"/>
              <w:ind w:left="335"/>
              <w:rPr>
                <w:sz w:val="22"/>
              </w:rPr>
            </w:pPr>
            <w:r>
              <w:rPr>
                <w:sz w:val="22"/>
              </w:rPr>
              <w:t>24 (60)</w:t>
            </w:r>
          </w:p>
          <w:p>
            <w:pPr>
              <w:pStyle w:val="TableParagraph"/>
              <w:spacing w:line="252" w:lineRule="exact"/>
              <w:ind w:left="304"/>
              <w:rPr>
                <w:sz w:val="22"/>
              </w:rPr>
            </w:pPr>
            <w:r>
              <w:rPr>
                <w:sz w:val="22"/>
              </w:rPr>
              <w:t>9 (22.5)</w:t>
            </w:r>
          </w:p>
        </w:tc>
        <w:tc>
          <w:tcPr>
            <w:tcW w:w="1317" w:type="dxa"/>
            <w:tcBorders>
              <w:top w:val="nil"/>
              <w:left w:val="nil"/>
              <w:right w:val="nil"/>
            </w:tcBorders>
          </w:tcPr>
          <w:p>
            <w:pPr>
              <w:pStyle w:val="TableParagraph"/>
              <w:spacing w:before="115"/>
              <w:ind w:left="171" w:right="127"/>
              <w:jc w:val="center"/>
              <w:rPr>
                <w:sz w:val="22"/>
              </w:rPr>
            </w:pPr>
            <w:r>
              <w:rPr>
                <w:sz w:val="22"/>
              </w:rPr>
              <w:t>1 (2.5)</w:t>
            </w:r>
          </w:p>
          <w:p>
            <w:pPr>
              <w:pStyle w:val="TableParagraph"/>
              <w:spacing w:line="252" w:lineRule="exact" w:before="1"/>
              <w:ind w:left="333"/>
              <w:rPr>
                <w:sz w:val="22"/>
              </w:rPr>
            </w:pPr>
            <w:r>
              <w:rPr>
                <w:sz w:val="22"/>
              </w:rPr>
              <w:t>12 (30)</w:t>
            </w:r>
          </w:p>
          <w:p>
            <w:pPr>
              <w:pStyle w:val="TableParagraph"/>
              <w:spacing w:line="252" w:lineRule="exact"/>
              <w:ind w:left="170" w:right="127"/>
              <w:jc w:val="center"/>
              <w:rPr>
                <w:sz w:val="22"/>
              </w:rPr>
            </w:pPr>
            <w:r>
              <w:rPr>
                <w:sz w:val="22"/>
              </w:rPr>
              <w:t>27 (67.5)</w:t>
            </w:r>
          </w:p>
        </w:tc>
      </w:tr>
    </w:tbl>
    <w:p>
      <w:pPr>
        <w:spacing w:after="0" w:line="252" w:lineRule="exact"/>
        <w:jc w:val="center"/>
        <w:rPr>
          <w:sz w:val="22"/>
        </w:rPr>
        <w:sectPr>
          <w:pgSz w:w="12240" w:h="15840"/>
          <w:pgMar w:header="733" w:footer="1039" w:top="1020" w:bottom="1220" w:left="1540" w:right="1520"/>
        </w:sectPr>
      </w:pPr>
    </w:p>
    <w:p>
      <w:pPr>
        <w:pStyle w:val="BodyText"/>
        <w:rPr>
          <w:sz w:val="20"/>
        </w:rPr>
      </w:pPr>
    </w:p>
    <w:p>
      <w:pPr>
        <w:pStyle w:val="BodyText"/>
        <w:rPr>
          <w:sz w:val="20"/>
        </w:rPr>
      </w:pPr>
    </w:p>
    <w:p>
      <w:pPr>
        <w:pStyle w:val="BodyText"/>
        <w:spacing w:before="2"/>
        <w:rPr>
          <w:sz w:val="20"/>
        </w:rPr>
      </w:pPr>
    </w:p>
    <w:p>
      <w:pPr>
        <w:pStyle w:val="Heading2"/>
        <w:numPr>
          <w:ilvl w:val="2"/>
          <w:numId w:val="31"/>
        </w:numPr>
        <w:tabs>
          <w:tab w:pos="765" w:val="left" w:leader="none"/>
        </w:tabs>
        <w:spacing w:line="240" w:lineRule="auto" w:before="0" w:after="0"/>
        <w:ind w:left="764" w:right="0" w:hanging="602"/>
        <w:jc w:val="both"/>
      </w:pPr>
      <w:bookmarkStart w:name="_TOC_250006" w:id="35"/>
      <w:r>
        <w:rPr/>
        <w:t>Determinación de</w:t>
      </w:r>
      <w:r>
        <w:rPr>
          <w:spacing w:val="-6"/>
        </w:rPr>
        <w:t> </w:t>
      </w:r>
      <w:bookmarkEnd w:id="35"/>
      <w:r>
        <w:rPr/>
        <w:t>caries</w:t>
      </w:r>
    </w:p>
    <w:p>
      <w:pPr>
        <w:pStyle w:val="BodyText"/>
        <w:spacing w:line="360" w:lineRule="auto" w:before="137"/>
        <w:ind w:left="162" w:right="184"/>
        <w:jc w:val="both"/>
      </w:pPr>
      <w:r>
        <w:rPr/>
        <w:t>En la tabla 6 se muestran las medias y desviaciones estándar de la variable caries que se determinó por el numero de dientes cariados de cada individuo. Siendo la media de dientes cariados en el grupo expuesto de 7.4 dientes cariados, difiriendo de la media para el grupo no expuesto la cual fue de 10.8 dientes con caries.</w:t>
      </w:r>
    </w:p>
    <w:p>
      <w:pPr>
        <w:pStyle w:val="BodyText"/>
        <w:spacing w:before="2"/>
        <w:rPr>
          <w:sz w:val="33"/>
        </w:rPr>
      </w:pPr>
    </w:p>
    <w:p>
      <w:pPr>
        <w:spacing w:before="0"/>
        <w:ind w:left="735" w:right="753" w:firstLine="0"/>
        <w:jc w:val="center"/>
        <w:rPr>
          <w:sz w:val="22"/>
        </w:rPr>
      </w:pPr>
      <w:r>
        <w:rPr>
          <w:sz w:val="22"/>
        </w:rPr>
        <w:t>TABLA 6. Resultados de la frecuencia de caries en los grupos en estudio</w:t>
      </w:r>
    </w:p>
    <w:p>
      <w:pPr>
        <w:pStyle w:val="BodyText"/>
        <w:spacing w:before="10"/>
        <w:rPr>
          <w:sz w:val="23"/>
        </w:rPr>
      </w:pPr>
    </w:p>
    <w:tbl>
      <w:tblPr>
        <w:tblW w:w="0" w:type="auto"/>
        <w:jc w:val="left"/>
        <w:tblInd w:w="28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896"/>
        <w:gridCol w:w="1649"/>
      </w:tblGrid>
      <w:tr>
        <w:trPr>
          <w:trHeight w:val="409" w:hRule="exact"/>
        </w:trPr>
        <w:tc>
          <w:tcPr>
            <w:tcW w:w="1896" w:type="dxa"/>
            <w:tcBorders>
              <w:left w:val="nil"/>
              <w:right w:val="nil"/>
            </w:tcBorders>
          </w:tcPr>
          <w:p>
            <w:pPr>
              <w:pStyle w:val="TableParagraph"/>
              <w:spacing w:line="251" w:lineRule="exact"/>
              <w:ind w:left="563"/>
              <w:rPr>
                <w:b/>
                <w:sz w:val="22"/>
              </w:rPr>
            </w:pPr>
            <w:r>
              <w:rPr>
                <w:b/>
                <w:sz w:val="22"/>
              </w:rPr>
              <w:t>Grupos</w:t>
            </w:r>
          </w:p>
        </w:tc>
        <w:tc>
          <w:tcPr>
            <w:tcW w:w="1649" w:type="dxa"/>
            <w:tcBorders>
              <w:left w:val="nil"/>
              <w:right w:val="nil"/>
            </w:tcBorders>
          </w:tcPr>
          <w:p>
            <w:pPr>
              <w:pStyle w:val="TableParagraph"/>
              <w:spacing w:before="2"/>
              <w:ind w:left="16"/>
              <w:jc w:val="center"/>
              <w:rPr>
                <w:b/>
                <w:sz w:val="22"/>
              </w:rPr>
            </w:pPr>
            <w:r>
              <w:rPr>
                <w:rFonts w:ascii="Cambria Math" w:hAnsi="Cambria Math"/>
                <w:spacing w:val="-128"/>
                <w:w w:val="262"/>
                <w:sz w:val="22"/>
              </w:rPr>
              <w:t> </w:t>
            </w:r>
            <w:r>
              <w:rPr>
                <w:rFonts w:ascii="Cambria Math" w:hAnsi="Cambria Math"/>
                <w:w w:val="258"/>
                <w:sz w:val="22"/>
              </w:rPr>
              <w:t> </w:t>
            </w:r>
            <w:r>
              <w:rPr>
                <w:rFonts w:ascii="Cambria Math" w:hAnsi="Cambria Math"/>
                <w:sz w:val="22"/>
              </w:rPr>
              <w:t>   </w:t>
            </w:r>
            <w:r>
              <w:rPr>
                <w:b/>
                <w:sz w:val="22"/>
              </w:rPr>
              <w:t>± DS</w:t>
            </w:r>
          </w:p>
        </w:tc>
      </w:tr>
      <w:tr>
        <w:trPr>
          <w:trHeight w:val="333" w:hRule="exact"/>
        </w:trPr>
        <w:tc>
          <w:tcPr>
            <w:tcW w:w="1896" w:type="dxa"/>
            <w:tcBorders>
              <w:left w:val="nil"/>
              <w:bottom w:val="nil"/>
              <w:right w:val="nil"/>
            </w:tcBorders>
          </w:tcPr>
          <w:p>
            <w:pPr>
              <w:pStyle w:val="TableParagraph"/>
              <w:spacing w:line="248" w:lineRule="exact"/>
              <w:ind w:left="107"/>
              <w:rPr>
                <w:b/>
                <w:sz w:val="22"/>
              </w:rPr>
            </w:pPr>
            <w:r>
              <w:rPr>
                <w:b/>
                <w:sz w:val="22"/>
              </w:rPr>
              <w:t>Expuesto</w:t>
            </w:r>
          </w:p>
        </w:tc>
        <w:tc>
          <w:tcPr>
            <w:tcW w:w="1649" w:type="dxa"/>
            <w:tcBorders>
              <w:left w:val="nil"/>
              <w:bottom w:val="nil"/>
              <w:right w:val="nil"/>
            </w:tcBorders>
          </w:tcPr>
          <w:p>
            <w:pPr>
              <w:pStyle w:val="TableParagraph"/>
              <w:spacing w:line="251" w:lineRule="exact"/>
              <w:ind w:left="14"/>
              <w:jc w:val="center"/>
              <w:rPr>
                <w:sz w:val="22"/>
              </w:rPr>
            </w:pPr>
            <w:r>
              <w:rPr>
                <w:sz w:val="22"/>
              </w:rPr>
              <w:t>7.4 ± 4.7</w:t>
            </w:r>
          </w:p>
        </w:tc>
      </w:tr>
      <w:tr>
        <w:trPr>
          <w:trHeight w:val="447" w:hRule="exact"/>
        </w:trPr>
        <w:tc>
          <w:tcPr>
            <w:tcW w:w="1896" w:type="dxa"/>
            <w:tcBorders>
              <w:top w:val="nil"/>
              <w:left w:val="nil"/>
              <w:right w:val="nil"/>
            </w:tcBorders>
          </w:tcPr>
          <w:p>
            <w:pPr>
              <w:pStyle w:val="TableParagraph"/>
              <w:spacing w:before="50"/>
              <w:ind w:left="107"/>
              <w:rPr>
                <w:b/>
                <w:sz w:val="22"/>
              </w:rPr>
            </w:pPr>
            <w:r>
              <w:rPr>
                <w:b/>
                <w:sz w:val="22"/>
              </w:rPr>
              <w:t>No expuestos</w:t>
            </w:r>
          </w:p>
        </w:tc>
        <w:tc>
          <w:tcPr>
            <w:tcW w:w="1649" w:type="dxa"/>
            <w:tcBorders>
              <w:top w:val="nil"/>
              <w:left w:val="nil"/>
              <w:right w:val="nil"/>
            </w:tcBorders>
          </w:tcPr>
          <w:p>
            <w:pPr>
              <w:pStyle w:val="TableParagraph"/>
              <w:spacing w:before="53"/>
              <w:ind w:left="16"/>
              <w:jc w:val="center"/>
              <w:rPr>
                <w:sz w:val="22"/>
              </w:rPr>
            </w:pPr>
            <w:r>
              <w:rPr>
                <w:sz w:val="22"/>
              </w:rPr>
              <w:t>10.8 ± 4.7</w:t>
            </w:r>
          </w:p>
        </w:tc>
      </w:tr>
    </w:tbl>
    <w:p>
      <w:pPr>
        <w:spacing w:before="16"/>
        <w:ind w:left="0" w:right="16" w:firstLine="0"/>
        <w:jc w:val="center"/>
        <w:rPr>
          <w:sz w:val="20"/>
        </w:rPr>
      </w:pPr>
      <w:r>
        <w:rPr>
          <w:rFonts w:ascii="Cambria Math" w:hAnsi="Cambria Math"/>
          <w:w w:val="240"/>
          <w:sz w:val="20"/>
        </w:rPr>
        <w:t> </w:t>
      </w:r>
      <w:r>
        <w:rPr>
          <w:rFonts w:ascii="Cambria Math" w:hAnsi="Cambria Math"/>
          <w:w w:val="1"/>
          <w:sz w:val="20"/>
        </w:rPr>
        <w:t> </w:t>
      </w:r>
      <w:r>
        <w:rPr>
          <w:rFonts w:ascii="Cambria Math" w:hAnsi="Cambria Math"/>
          <w:sz w:val="20"/>
        </w:rPr>
        <w:t>   </w:t>
      </w:r>
      <w:r>
        <w:rPr>
          <w:sz w:val="20"/>
        </w:rPr>
        <w:t>= media (promedio); DS= Desviación Estandar</w:t>
      </w:r>
    </w:p>
    <w:p>
      <w:pPr>
        <w:pStyle w:val="BodyText"/>
        <w:rPr>
          <w:sz w:val="20"/>
        </w:rPr>
      </w:pPr>
    </w:p>
    <w:p>
      <w:pPr>
        <w:pStyle w:val="BodyText"/>
        <w:rPr>
          <w:sz w:val="20"/>
        </w:rPr>
      </w:pPr>
    </w:p>
    <w:p>
      <w:pPr>
        <w:pStyle w:val="BodyText"/>
        <w:spacing w:before="1"/>
        <w:rPr>
          <w:sz w:val="18"/>
        </w:rPr>
      </w:pPr>
    </w:p>
    <w:p>
      <w:pPr>
        <w:pStyle w:val="Heading2"/>
        <w:numPr>
          <w:ilvl w:val="2"/>
          <w:numId w:val="31"/>
        </w:numPr>
        <w:tabs>
          <w:tab w:pos="832" w:val="left" w:leader="none"/>
        </w:tabs>
        <w:spacing w:line="240" w:lineRule="auto" w:before="0" w:after="0"/>
        <w:ind w:left="831" w:right="0" w:hanging="669"/>
        <w:jc w:val="both"/>
      </w:pPr>
      <w:r>
        <w:rPr/>
        <w:t>Determinación de los polimorfismos GSTM1, GSTT1,</w:t>
      </w:r>
      <w:r>
        <w:rPr>
          <w:spacing w:val="-14"/>
        </w:rPr>
        <w:t> </w:t>
      </w:r>
      <w:r>
        <w:rPr/>
        <w:t>GSTP1</w:t>
      </w:r>
    </w:p>
    <w:p>
      <w:pPr>
        <w:pStyle w:val="BodyText"/>
        <w:spacing w:line="360" w:lineRule="auto" w:before="139"/>
        <w:ind w:left="162" w:right="175"/>
        <w:jc w:val="both"/>
      </w:pPr>
      <w:r>
        <w:rPr/>
        <w:t>El polimorfismo GSTM1 (+/+) se presentó en el 70% de los individuos del grupo expuesto, y en el 30% de ellos fue nulo (-/-); difiriendo del grupo no expuesto, donde estuvo presente (+/+) el en 42.5% y nulo (-/-) en el 57.5% de los individuos de este grupo (Tabla 7).</w:t>
      </w:r>
    </w:p>
    <w:p>
      <w:pPr>
        <w:pStyle w:val="BodyText"/>
      </w:pPr>
    </w:p>
    <w:p>
      <w:pPr>
        <w:pStyle w:val="BodyText"/>
        <w:spacing w:line="360" w:lineRule="auto" w:before="142"/>
        <w:ind w:left="162" w:right="182"/>
        <w:jc w:val="both"/>
      </w:pPr>
      <w:r>
        <w:rPr/>
        <w:t>El polimorfismo del gen GSTT1 (+/+) estuvo presente en el 27.5% del grupo de los expuestos y nulo (-/-) en el 72.5%, difiriendo del grupo de los no expuestos donde estuvo presente (+/+) en el 30% y nulo (-/-) en el 70% de los individuos de este grupo de estudio (Tabla 7).</w:t>
      </w:r>
    </w:p>
    <w:p>
      <w:pPr>
        <w:pStyle w:val="BodyText"/>
      </w:pPr>
    </w:p>
    <w:p>
      <w:pPr>
        <w:pStyle w:val="BodyText"/>
        <w:spacing w:line="360" w:lineRule="auto" w:before="142"/>
        <w:ind w:left="162" w:right="185"/>
        <w:jc w:val="both"/>
      </w:pPr>
      <w:r>
        <w:rPr/>
        <w:t>Respecto al polimorfismo del gen GSTP1b en el exón 5, en el grupo de los expuestos el 2.5% fueron del tipo silvestre (a/a), 65% fueron heterocigotos (a/b), y 32.5% fueron homocigotos (b/b); en el grupo de los no expuestos el 30% fueron del tipo silvestre, el 35% fueron heterocigotos y el 35% fueron homocigotos (Tabla 7).</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60" w:lineRule="auto" w:before="69"/>
        <w:ind w:left="162" w:right="184"/>
        <w:jc w:val="both"/>
      </w:pPr>
      <w:r>
        <w:rPr/>
        <w:t>Así también, el polimorfismo del gen GSTP1c del exón 6 en el grupo de los no expuestos se presentó de forma silvestre (a/a) en el 60%, heterocigoto (a/b) en el 40% y no hubo homocigos (c/c). En el grupo de los no expuestos, fueron 72.5 % del tipo silvestre (a/a), 27.5% fueron heterocigotos (a/c) y no se presentaron homocigotos (c/c) (Tabla 7).</w:t>
      </w:r>
    </w:p>
    <w:p>
      <w:pPr>
        <w:pStyle w:val="BodyText"/>
      </w:pPr>
    </w:p>
    <w:p>
      <w:pPr>
        <w:spacing w:before="182"/>
        <w:ind w:left="735" w:right="748" w:firstLine="0"/>
        <w:jc w:val="center"/>
        <w:rPr>
          <w:sz w:val="22"/>
        </w:rPr>
      </w:pPr>
      <w:r>
        <w:rPr>
          <w:sz w:val="22"/>
        </w:rPr>
        <w:t>TABLA 7. Distribución de los polimorfismos en los grupos en estudios</w:t>
      </w:r>
    </w:p>
    <w:p>
      <w:pPr>
        <w:pStyle w:val="BodyText"/>
        <w:rPr>
          <w:sz w:val="20"/>
        </w:rPr>
      </w:pPr>
    </w:p>
    <w:p>
      <w:pPr>
        <w:pStyle w:val="BodyText"/>
        <w:spacing w:before="7"/>
      </w:pPr>
    </w:p>
    <w:tbl>
      <w:tblPr>
        <w:tblW w:w="0" w:type="auto"/>
        <w:jc w:val="left"/>
        <w:tblInd w:w="89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22"/>
        <w:gridCol w:w="1470"/>
        <w:gridCol w:w="1941"/>
        <w:gridCol w:w="2022"/>
      </w:tblGrid>
      <w:tr>
        <w:trPr>
          <w:trHeight w:val="746" w:hRule="exact"/>
        </w:trPr>
        <w:tc>
          <w:tcPr>
            <w:tcW w:w="1922" w:type="dxa"/>
            <w:tcBorders>
              <w:bottom w:val="single" w:sz="8" w:space="0" w:color="000000"/>
            </w:tcBorders>
          </w:tcPr>
          <w:p>
            <w:pPr>
              <w:pStyle w:val="TableParagraph"/>
              <w:spacing w:before="8"/>
              <w:rPr>
                <w:sz w:val="19"/>
              </w:rPr>
            </w:pPr>
          </w:p>
          <w:p>
            <w:pPr>
              <w:pStyle w:val="TableParagraph"/>
              <w:ind w:left="138" w:right="362"/>
              <w:jc w:val="center"/>
              <w:rPr>
                <w:sz w:val="22"/>
              </w:rPr>
            </w:pPr>
            <w:r>
              <w:rPr>
                <w:sz w:val="22"/>
              </w:rPr>
              <w:t>Polimorfismos</w:t>
            </w:r>
          </w:p>
        </w:tc>
        <w:tc>
          <w:tcPr>
            <w:tcW w:w="1470" w:type="dxa"/>
            <w:tcBorders>
              <w:bottom w:val="single" w:sz="8" w:space="0" w:color="000000"/>
            </w:tcBorders>
          </w:tcPr>
          <w:p>
            <w:pPr>
              <w:pStyle w:val="TableParagraph"/>
              <w:spacing w:before="8"/>
              <w:rPr>
                <w:sz w:val="19"/>
              </w:rPr>
            </w:pPr>
          </w:p>
          <w:p>
            <w:pPr>
              <w:pStyle w:val="TableParagraph"/>
              <w:ind w:left="382"/>
              <w:rPr>
                <w:sz w:val="22"/>
              </w:rPr>
            </w:pPr>
            <w:r>
              <w:rPr>
                <w:sz w:val="22"/>
              </w:rPr>
              <w:t>Alelos</w:t>
            </w:r>
          </w:p>
        </w:tc>
        <w:tc>
          <w:tcPr>
            <w:tcW w:w="3963" w:type="dxa"/>
            <w:gridSpan w:val="2"/>
            <w:tcBorders>
              <w:bottom w:val="single" w:sz="8" w:space="0" w:color="000000"/>
            </w:tcBorders>
          </w:tcPr>
          <w:p>
            <w:pPr>
              <w:pStyle w:val="TableParagraph"/>
              <w:spacing w:line="226" w:lineRule="exact"/>
              <w:ind w:left="1668" w:right="1532"/>
              <w:jc w:val="center"/>
              <w:rPr>
                <w:sz w:val="22"/>
              </w:rPr>
            </w:pPr>
            <w:r>
              <w:rPr>
                <w:sz w:val="22"/>
              </w:rPr>
              <w:t>Grupos</w:t>
            </w:r>
          </w:p>
          <w:p>
            <w:pPr>
              <w:pStyle w:val="TableParagraph"/>
              <w:tabs>
                <w:tab w:pos="2188" w:val="left" w:leader="none"/>
                <w:tab w:pos="2601" w:val="left" w:leader="none"/>
              </w:tabs>
              <w:spacing w:before="1"/>
              <w:ind w:left="671" w:right="403" w:hanging="183"/>
              <w:rPr>
                <w:sz w:val="22"/>
              </w:rPr>
            </w:pPr>
            <w:r>
              <w:rPr>
                <w:sz w:val="22"/>
              </w:rPr>
              <w:t>Expuestos</w:t>
              <w:tab/>
              <w:t>No</w:t>
            </w:r>
            <w:r>
              <w:rPr>
                <w:spacing w:val="-4"/>
                <w:sz w:val="22"/>
              </w:rPr>
              <w:t> </w:t>
            </w:r>
            <w:r>
              <w:rPr>
                <w:sz w:val="22"/>
              </w:rPr>
              <w:t>Expuestos</w:t>
            </w:r>
            <w:r>
              <w:rPr>
                <w:w w:val="100"/>
                <w:sz w:val="22"/>
              </w:rPr>
              <w:t> </w:t>
            </w:r>
            <w:r>
              <w:rPr>
                <w:sz w:val="22"/>
              </w:rPr>
              <w:t>n</w:t>
            </w:r>
            <w:r>
              <w:rPr>
                <w:spacing w:val="-3"/>
                <w:sz w:val="22"/>
              </w:rPr>
              <w:t> </w:t>
            </w:r>
            <w:r>
              <w:rPr>
                <w:sz w:val="22"/>
              </w:rPr>
              <w:t>(%)</w:t>
              <w:tab/>
              <w:tab/>
              <w:t>n (%)</w:t>
            </w:r>
          </w:p>
        </w:tc>
      </w:tr>
      <w:tr>
        <w:trPr>
          <w:trHeight w:val="763" w:hRule="exact"/>
        </w:trPr>
        <w:tc>
          <w:tcPr>
            <w:tcW w:w="1922" w:type="dxa"/>
            <w:tcBorders>
              <w:top w:val="single" w:sz="8" w:space="0" w:color="000000"/>
            </w:tcBorders>
          </w:tcPr>
          <w:p>
            <w:pPr>
              <w:pStyle w:val="TableParagraph"/>
              <w:spacing w:line="251" w:lineRule="exact"/>
              <w:ind w:left="134" w:right="362"/>
              <w:jc w:val="center"/>
              <w:rPr>
                <w:sz w:val="22"/>
              </w:rPr>
            </w:pPr>
            <w:r>
              <w:rPr>
                <w:sz w:val="22"/>
              </w:rPr>
              <w:t>GSTM1</w:t>
            </w:r>
          </w:p>
        </w:tc>
        <w:tc>
          <w:tcPr>
            <w:tcW w:w="1470" w:type="dxa"/>
            <w:tcBorders>
              <w:top w:val="single" w:sz="8" w:space="0" w:color="000000"/>
            </w:tcBorders>
          </w:tcPr>
          <w:p>
            <w:pPr>
              <w:pStyle w:val="TableParagraph"/>
              <w:spacing w:line="251" w:lineRule="exact"/>
              <w:ind w:left="461"/>
              <w:rPr>
                <w:sz w:val="22"/>
              </w:rPr>
            </w:pPr>
            <w:r>
              <w:rPr>
                <w:sz w:val="22"/>
              </w:rPr>
              <w:t>+ / +</w:t>
            </w:r>
          </w:p>
          <w:p>
            <w:pPr>
              <w:pStyle w:val="TableParagraph"/>
              <w:spacing w:before="126"/>
              <w:ind w:left="480"/>
              <w:rPr>
                <w:sz w:val="22"/>
              </w:rPr>
            </w:pPr>
            <w:r>
              <w:rPr>
                <w:sz w:val="22"/>
              </w:rPr>
              <w:t>- / -</w:t>
            </w:r>
          </w:p>
        </w:tc>
        <w:tc>
          <w:tcPr>
            <w:tcW w:w="1941" w:type="dxa"/>
            <w:tcBorders>
              <w:top w:val="single" w:sz="8" w:space="0" w:color="000000"/>
            </w:tcBorders>
          </w:tcPr>
          <w:p>
            <w:pPr>
              <w:pStyle w:val="TableParagraph"/>
              <w:spacing w:line="251" w:lineRule="exact"/>
              <w:ind w:left="635"/>
              <w:rPr>
                <w:sz w:val="22"/>
              </w:rPr>
            </w:pPr>
            <w:r>
              <w:rPr>
                <w:sz w:val="22"/>
              </w:rPr>
              <w:t>26 (65)</w:t>
            </w:r>
          </w:p>
          <w:p>
            <w:pPr>
              <w:pStyle w:val="TableParagraph"/>
              <w:spacing w:before="126"/>
              <w:ind w:left="635"/>
              <w:rPr>
                <w:sz w:val="22"/>
              </w:rPr>
            </w:pPr>
            <w:r>
              <w:rPr>
                <w:sz w:val="22"/>
              </w:rPr>
              <w:t>14 (35)</w:t>
            </w:r>
          </w:p>
        </w:tc>
        <w:tc>
          <w:tcPr>
            <w:tcW w:w="2022" w:type="dxa"/>
            <w:tcBorders>
              <w:top w:val="single" w:sz="8" w:space="0" w:color="000000"/>
            </w:tcBorders>
          </w:tcPr>
          <w:p>
            <w:pPr>
              <w:pStyle w:val="TableParagraph"/>
              <w:spacing w:line="251" w:lineRule="exact"/>
              <w:ind w:left="607"/>
              <w:rPr>
                <w:sz w:val="22"/>
              </w:rPr>
            </w:pPr>
            <w:r>
              <w:rPr>
                <w:sz w:val="22"/>
              </w:rPr>
              <w:t>12 (30)</w:t>
            </w:r>
          </w:p>
          <w:p>
            <w:pPr>
              <w:pStyle w:val="TableParagraph"/>
              <w:spacing w:before="126"/>
              <w:ind w:left="607"/>
              <w:rPr>
                <w:sz w:val="22"/>
              </w:rPr>
            </w:pPr>
            <w:r>
              <w:rPr>
                <w:sz w:val="22"/>
              </w:rPr>
              <w:t>28 (70)</w:t>
            </w:r>
          </w:p>
        </w:tc>
      </w:tr>
      <w:tr>
        <w:trPr>
          <w:trHeight w:val="856" w:hRule="exact"/>
        </w:trPr>
        <w:tc>
          <w:tcPr>
            <w:tcW w:w="1922" w:type="dxa"/>
          </w:tcPr>
          <w:p>
            <w:pPr>
              <w:pStyle w:val="TableParagraph"/>
              <w:spacing w:before="101"/>
              <w:ind w:left="138" w:right="359"/>
              <w:jc w:val="center"/>
              <w:rPr>
                <w:sz w:val="22"/>
              </w:rPr>
            </w:pPr>
            <w:r>
              <w:rPr>
                <w:sz w:val="22"/>
              </w:rPr>
              <w:t>GSTT1</w:t>
            </w:r>
          </w:p>
        </w:tc>
        <w:tc>
          <w:tcPr>
            <w:tcW w:w="1470" w:type="dxa"/>
          </w:tcPr>
          <w:p>
            <w:pPr>
              <w:pStyle w:val="TableParagraph"/>
              <w:spacing w:before="101"/>
              <w:ind w:left="443" w:right="546"/>
              <w:jc w:val="center"/>
              <w:rPr>
                <w:sz w:val="22"/>
              </w:rPr>
            </w:pPr>
            <w:r>
              <w:rPr>
                <w:sz w:val="22"/>
              </w:rPr>
              <w:t>+ / +</w:t>
            </w:r>
          </w:p>
          <w:p>
            <w:pPr>
              <w:pStyle w:val="TableParagraph"/>
              <w:spacing w:before="126"/>
              <w:ind w:left="442" w:right="546"/>
              <w:jc w:val="center"/>
              <w:rPr>
                <w:sz w:val="22"/>
              </w:rPr>
            </w:pPr>
            <w:r>
              <w:rPr>
                <w:sz w:val="22"/>
              </w:rPr>
              <w:t>- / -</w:t>
            </w:r>
          </w:p>
        </w:tc>
        <w:tc>
          <w:tcPr>
            <w:tcW w:w="1941" w:type="dxa"/>
          </w:tcPr>
          <w:p>
            <w:pPr>
              <w:pStyle w:val="TableParagraph"/>
              <w:spacing w:before="101"/>
              <w:ind w:left="544"/>
              <w:rPr>
                <w:sz w:val="22"/>
              </w:rPr>
            </w:pPr>
            <w:r>
              <w:rPr>
                <w:sz w:val="22"/>
              </w:rPr>
              <w:t>11 (27.5)</w:t>
            </w:r>
          </w:p>
          <w:p>
            <w:pPr>
              <w:pStyle w:val="TableParagraph"/>
              <w:spacing w:before="126"/>
              <w:ind w:left="544"/>
              <w:rPr>
                <w:sz w:val="22"/>
              </w:rPr>
            </w:pPr>
            <w:r>
              <w:rPr>
                <w:sz w:val="22"/>
              </w:rPr>
              <w:t>29 (72.5)</w:t>
            </w:r>
          </w:p>
        </w:tc>
        <w:tc>
          <w:tcPr>
            <w:tcW w:w="2022" w:type="dxa"/>
          </w:tcPr>
          <w:p>
            <w:pPr>
              <w:pStyle w:val="TableParagraph"/>
              <w:spacing w:before="101"/>
              <w:ind w:left="607"/>
              <w:rPr>
                <w:sz w:val="22"/>
              </w:rPr>
            </w:pPr>
            <w:r>
              <w:rPr>
                <w:sz w:val="22"/>
              </w:rPr>
              <w:t>12 (30)</w:t>
            </w:r>
          </w:p>
          <w:p>
            <w:pPr>
              <w:pStyle w:val="TableParagraph"/>
              <w:spacing w:before="126"/>
              <w:ind w:left="607"/>
              <w:rPr>
                <w:sz w:val="22"/>
              </w:rPr>
            </w:pPr>
            <w:r>
              <w:rPr>
                <w:sz w:val="22"/>
              </w:rPr>
              <w:t>28 (70)</w:t>
            </w:r>
          </w:p>
        </w:tc>
      </w:tr>
      <w:tr>
        <w:trPr>
          <w:trHeight w:val="1229" w:hRule="exact"/>
        </w:trPr>
        <w:tc>
          <w:tcPr>
            <w:tcW w:w="1922" w:type="dxa"/>
          </w:tcPr>
          <w:p>
            <w:pPr>
              <w:pStyle w:val="TableParagraph"/>
              <w:spacing w:before="99"/>
              <w:ind w:left="137" w:right="362"/>
              <w:jc w:val="center"/>
              <w:rPr>
                <w:sz w:val="22"/>
              </w:rPr>
            </w:pPr>
            <w:r>
              <w:rPr>
                <w:sz w:val="22"/>
              </w:rPr>
              <w:t>GSTP1b</w:t>
            </w:r>
          </w:p>
        </w:tc>
        <w:tc>
          <w:tcPr>
            <w:tcW w:w="1470" w:type="dxa"/>
          </w:tcPr>
          <w:p>
            <w:pPr>
              <w:pStyle w:val="TableParagraph"/>
              <w:spacing w:before="99"/>
              <w:ind w:left="456"/>
              <w:rPr>
                <w:sz w:val="22"/>
              </w:rPr>
            </w:pPr>
            <w:r>
              <w:rPr>
                <w:sz w:val="22"/>
              </w:rPr>
              <w:t>(a/a)</w:t>
            </w:r>
          </w:p>
          <w:p>
            <w:pPr>
              <w:pStyle w:val="TableParagraph"/>
              <w:spacing w:before="126"/>
              <w:ind w:left="456"/>
              <w:rPr>
                <w:sz w:val="22"/>
              </w:rPr>
            </w:pPr>
            <w:r>
              <w:rPr>
                <w:sz w:val="22"/>
              </w:rPr>
              <w:t>(a/b)</w:t>
            </w:r>
          </w:p>
          <w:p>
            <w:pPr>
              <w:pStyle w:val="TableParagraph"/>
              <w:spacing w:before="126"/>
              <w:ind w:left="456"/>
              <w:rPr>
                <w:sz w:val="22"/>
              </w:rPr>
            </w:pPr>
            <w:r>
              <w:rPr>
                <w:sz w:val="22"/>
              </w:rPr>
              <w:t>(b/b)</w:t>
            </w:r>
          </w:p>
        </w:tc>
        <w:tc>
          <w:tcPr>
            <w:tcW w:w="1941" w:type="dxa"/>
          </w:tcPr>
          <w:p>
            <w:pPr>
              <w:pStyle w:val="TableParagraph"/>
              <w:spacing w:before="99"/>
              <w:ind w:left="525" w:right="495"/>
              <w:jc w:val="center"/>
              <w:rPr>
                <w:sz w:val="22"/>
              </w:rPr>
            </w:pPr>
            <w:r>
              <w:rPr>
                <w:sz w:val="22"/>
              </w:rPr>
              <w:t>1 (2.5)</w:t>
            </w:r>
          </w:p>
          <w:p>
            <w:pPr>
              <w:pStyle w:val="TableParagraph"/>
              <w:spacing w:before="126"/>
              <w:ind w:left="635"/>
              <w:rPr>
                <w:sz w:val="22"/>
              </w:rPr>
            </w:pPr>
            <w:r>
              <w:rPr>
                <w:sz w:val="22"/>
              </w:rPr>
              <w:t>26 (65)</w:t>
            </w:r>
          </w:p>
          <w:p>
            <w:pPr>
              <w:pStyle w:val="TableParagraph"/>
              <w:spacing w:before="126"/>
              <w:ind w:left="525" w:right="495"/>
              <w:jc w:val="center"/>
              <w:rPr>
                <w:sz w:val="22"/>
              </w:rPr>
            </w:pPr>
            <w:r>
              <w:rPr>
                <w:sz w:val="22"/>
              </w:rPr>
              <w:t>13 (32.5)</w:t>
            </w:r>
          </w:p>
        </w:tc>
        <w:tc>
          <w:tcPr>
            <w:tcW w:w="2022" w:type="dxa"/>
          </w:tcPr>
          <w:p>
            <w:pPr>
              <w:pStyle w:val="TableParagraph"/>
              <w:spacing w:before="99"/>
              <w:ind w:left="576"/>
              <w:rPr>
                <w:sz w:val="22"/>
              </w:rPr>
            </w:pPr>
            <w:r>
              <w:rPr>
                <w:sz w:val="22"/>
              </w:rPr>
              <w:t>9 (22.5 )</w:t>
            </w:r>
          </w:p>
          <w:p>
            <w:pPr>
              <w:pStyle w:val="TableParagraph"/>
              <w:spacing w:before="126"/>
              <w:ind w:left="514"/>
              <w:rPr>
                <w:sz w:val="22"/>
              </w:rPr>
            </w:pPr>
            <w:r>
              <w:rPr>
                <w:sz w:val="22"/>
              </w:rPr>
              <w:t>17 (42.5)</w:t>
            </w:r>
          </w:p>
          <w:p>
            <w:pPr>
              <w:pStyle w:val="TableParagraph"/>
              <w:spacing w:before="126"/>
              <w:ind w:left="607"/>
              <w:rPr>
                <w:sz w:val="22"/>
              </w:rPr>
            </w:pPr>
            <w:r>
              <w:rPr>
                <w:sz w:val="22"/>
              </w:rPr>
              <w:t>14 (35)</w:t>
            </w:r>
          </w:p>
        </w:tc>
      </w:tr>
      <w:tr>
        <w:trPr>
          <w:trHeight w:val="1247" w:hRule="exact"/>
        </w:trPr>
        <w:tc>
          <w:tcPr>
            <w:tcW w:w="1922" w:type="dxa"/>
            <w:tcBorders>
              <w:bottom w:val="single" w:sz="8" w:space="0" w:color="000000"/>
            </w:tcBorders>
          </w:tcPr>
          <w:p>
            <w:pPr>
              <w:pStyle w:val="TableParagraph"/>
              <w:spacing w:before="95"/>
              <w:ind w:left="138" w:right="361"/>
              <w:jc w:val="center"/>
              <w:rPr>
                <w:sz w:val="22"/>
              </w:rPr>
            </w:pPr>
            <w:r>
              <w:rPr>
                <w:sz w:val="22"/>
              </w:rPr>
              <w:t>GSTP1c</w:t>
            </w:r>
          </w:p>
        </w:tc>
        <w:tc>
          <w:tcPr>
            <w:tcW w:w="1470" w:type="dxa"/>
            <w:tcBorders>
              <w:bottom w:val="single" w:sz="8" w:space="0" w:color="000000"/>
            </w:tcBorders>
          </w:tcPr>
          <w:p>
            <w:pPr>
              <w:pStyle w:val="TableParagraph"/>
              <w:spacing w:before="95"/>
              <w:ind w:left="456"/>
              <w:rPr>
                <w:sz w:val="22"/>
              </w:rPr>
            </w:pPr>
            <w:r>
              <w:rPr>
                <w:sz w:val="22"/>
              </w:rPr>
              <w:t>(a/a)</w:t>
            </w:r>
          </w:p>
          <w:p>
            <w:pPr>
              <w:pStyle w:val="TableParagraph"/>
              <w:spacing w:before="126"/>
              <w:ind w:left="461"/>
              <w:rPr>
                <w:sz w:val="22"/>
              </w:rPr>
            </w:pPr>
            <w:r>
              <w:rPr>
                <w:sz w:val="22"/>
              </w:rPr>
              <w:t>(a/c)</w:t>
            </w:r>
          </w:p>
          <w:p>
            <w:pPr>
              <w:pStyle w:val="TableParagraph"/>
              <w:spacing w:before="126"/>
              <w:ind w:left="468"/>
              <w:rPr>
                <w:sz w:val="22"/>
              </w:rPr>
            </w:pPr>
            <w:r>
              <w:rPr>
                <w:sz w:val="22"/>
              </w:rPr>
              <w:t>(c/c)</w:t>
            </w:r>
          </w:p>
        </w:tc>
        <w:tc>
          <w:tcPr>
            <w:tcW w:w="1941" w:type="dxa"/>
            <w:tcBorders>
              <w:bottom w:val="single" w:sz="8" w:space="0" w:color="000000"/>
            </w:tcBorders>
          </w:tcPr>
          <w:p>
            <w:pPr>
              <w:pStyle w:val="TableParagraph"/>
              <w:spacing w:before="95"/>
              <w:ind w:left="525" w:right="495"/>
              <w:jc w:val="center"/>
              <w:rPr>
                <w:sz w:val="22"/>
              </w:rPr>
            </w:pPr>
            <w:r>
              <w:rPr>
                <w:sz w:val="22"/>
              </w:rPr>
              <w:t>25 (62.5)</w:t>
            </w:r>
          </w:p>
          <w:p>
            <w:pPr>
              <w:pStyle w:val="TableParagraph"/>
              <w:spacing w:before="126"/>
              <w:ind w:left="525" w:right="495"/>
              <w:jc w:val="center"/>
              <w:rPr>
                <w:sz w:val="22"/>
              </w:rPr>
            </w:pPr>
            <w:r>
              <w:rPr>
                <w:sz w:val="22"/>
              </w:rPr>
              <w:t>15 (37.5)</w:t>
            </w:r>
          </w:p>
          <w:p>
            <w:pPr>
              <w:pStyle w:val="TableParagraph"/>
              <w:spacing w:before="126"/>
              <w:ind w:left="30"/>
              <w:jc w:val="center"/>
              <w:rPr>
                <w:sz w:val="22"/>
              </w:rPr>
            </w:pPr>
            <w:r>
              <w:rPr>
                <w:w w:val="100"/>
                <w:sz w:val="22"/>
              </w:rPr>
              <w:t>0</w:t>
            </w:r>
          </w:p>
        </w:tc>
        <w:tc>
          <w:tcPr>
            <w:tcW w:w="2022" w:type="dxa"/>
            <w:tcBorders>
              <w:bottom w:val="single" w:sz="8" w:space="0" w:color="000000"/>
            </w:tcBorders>
          </w:tcPr>
          <w:p>
            <w:pPr>
              <w:pStyle w:val="TableParagraph"/>
              <w:spacing w:before="95"/>
              <w:ind w:left="496" w:right="605"/>
              <w:jc w:val="center"/>
              <w:rPr>
                <w:sz w:val="22"/>
              </w:rPr>
            </w:pPr>
            <w:r>
              <w:rPr>
                <w:sz w:val="22"/>
              </w:rPr>
              <w:t>27 (67.5)</w:t>
            </w:r>
          </w:p>
          <w:p>
            <w:pPr>
              <w:pStyle w:val="TableParagraph"/>
              <w:spacing w:before="126"/>
              <w:ind w:left="496" w:right="605"/>
              <w:jc w:val="center"/>
              <w:rPr>
                <w:sz w:val="22"/>
              </w:rPr>
            </w:pPr>
            <w:r>
              <w:rPr>
                <w:sz w:val="22"/>
              </w:rPr>
              <w:t>13 (32.5)</w:t>
            </w:r>
          </w:p>
          <w:p>
            <w:pPr>
              <w:pStyle w:val="TableParagraph"/>
              <w:spacing w:before="126"/>
              <w:ind w:right="110"/>
              <w:jc w:val="center"/>
              <w:rPr>
                <w:sz w:val="22"/>
              </w:rPr>
            </w:pPr>
            <w:r>
              <w:rPr>
                <w:w w:val="100"/>
                <w:sz w:val="22"/>
              </w:rPr>
              <w:t>0</w:t>
            </w:r>
          </w:p>
        </w:tc>
      </w:tr>
    </w:tbl>
    <w:p>
      <w:pPr>
        <w:pStyle w:val="BodyText"/>
        <w:rPr>
          <w:sz w:val="22"/>
        </w:rPr>
      </w:pPr>
    </w:p>
    <w:p>
      <w:pPr>
        <w:spacing w:before="178"/>
        <w:ind w:left="735" w:right="760" w:firstLine="0"/>
        <w:jc w:val="center"/>
        <w:rPr>
          <w:sz w:val="20"/>
        </w:rPr>
      </w:pPr>
      <w:r>
        <w:rPr>
          <w:sz w:val="20"/>
        </w:rPr>
        <w:t>+/+= presente; -/- = nulo; a/a = silvestre; a/b, a/c=heterocigotos; b/b, c/c= homocigotos</w:t>
      </w:r>
    </w:p>
    <w:p>
      <w:pPr>
        <w:spacing w:after="0"/>
        <w:jc w:val="center"/>
        <w:rPr>
          <w:sz w:val="20"/>
        </w:rPr>
        <w:sectPr>
          <w:pgSz w:w="12240" w:h="15840"/>
          <w:pgMar w:header="733" w:footer="1039" w:top="1020" w:bottom="1220" w:left="1540" w:right="1520"/>
        </w:sectPr>
      </w:pPr>
    </w:p>
    <w:p>
      <w:pPr>
        <w:pStyle w:val="BodyText"/>
        <w:spacing w:before="9"/>
        <w:rPr>
          <w:sz w:val="17"/>
        </w:rPr>
      </w:pPr>
    </w:p>
    <w:p>
      <w:pPr>
        <w:pStyle w:val="Heading2"/>
        <w:numPr>
          <w:ilvl w:val="2"/>
          <w:numId w:val="31"/>
        </w:numPr>
        <w:tabs>
          <w:tab w:pos="765" w:val="left" w:leader="none"/>
        </w:tabs>
        <w:spacing w:line="240" w:lineRule="auto" w:before="69" w:after="0"/>
        <w:ind w:left="764" w:right="0" w:hanging="602"/>
        <w:jc w:val="both"/>
      </w:pPr>
      <w:bookmarkStart w:name="_TOC_250005" w:id="36"/>
      <w:r>
        <w:rPr/>
        <w:t>Resultados del uso de</w:t>
      </w:r>
      <w:r>
        <w:rPr>
          <w:spacing w:val="-8"/>
        </w:rPr>
        <w:t> </w:t>
      </w:r>
      <w:bookmarkEnd w:id="36"/>
      <w:r>
        <w:rPr/>
        <w:t>plaguicidas</w:t>
      </w:r>
    </w:p>
    <w:p>
      <w:pPr>
        <w:pStyle w:val="BodyText"/>
        <w:spacing w:before="2"/>
        <w:rPr>
          <w:b/>
        </w:rPr>
      </w:pPr>
    </w:p>
    <w:p>
      <w:pPr>
        <w:pStyle w:val="BodyText"/>
        <w:spacing w:line="360" w:lineRule="auto" w:before="1"/>
        <w:ind w:left="162" w:right="182"/>
        <w:jc w:val="both"/>
      </w:pPr>
      <w:r>
        <w:rPr/>
        <w:t>A los floricultores se les preguntó cuánto tiempo se han dedicado a la floricultura y el promedio fue de 12.5 años en un rango de 6 meses a 45 años. Siendo las actividades que mas realizan en los invernaderos el corte y armar bonches de flores (52.5%)  ver el detalle en la tabla 8.</w:t>
      </w:r>
    </w:p>
    <w:p>
      <w:pPr>
        <w:spacing w:before="204"/>
        <w:ind w:left="1779" w:right="126" w:firstLine="0"/>
        <w:jc w:val="left"/>
        <w:rPr>
          <w:sz w:val="22"/>
        </w:rPr>
      </w:pPr>
      <w:r>
        <w:rPr>
          <w:sz w:val="22"/>
        </w:rPr>
        <w:t>TABLA 8. Actividades de los floricultores en invernaderos</w:t>
      </w:r>
    </w:p>
    <w:p>
      <w:pPr>
        <w:pStyle w:val="BodyText"/>
        <w:rPr>
          <w:sz w:val="20"/>
        </w:rPr>
      </w:pPr>
    </w:p>
    <w:p>
      <w:pPr>
        <w:pStyle w:val="BodyText"/>
        <w:spacing w:before="7" w:after="1"/>
        <w:rPr>
          <w:sz w:val="10"/>
        </w:rPr>
      </w:pPr>
    </w:p>
    <w:tbl>
      <w:tblPr>
        <w:tblW w:w="0" w:type="auto"/>
        <w:jc w:val="left"/>
        <w:tblInd w:w="293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90"/>
        <w:gridCol w:w="1594"/>
      </w:tblGrid>
      <w:tr>
        <w:trPr>
          <w:trHeight w:val="247" w:hRule="exact"/>
        </w:trPr>
        <w:tc>
          <w:tcPr>
            <w:tcW w:w="1690" w:type="dxa"/>
          </w:tcPr>
          <w:p>
            <w:pPr>
              <w:pStyle w:val="TableParagraph"/>
              <w:tabs>
                <w:tab w:pos="2117" w:val="left" w:leader="none"/>
              </w:tabs>
              <w:spacing w:line="226" w:lineRule="exact"/>
              <w:ind w:left="14" w:right="-428"/>
              <w:rPr>
                <w:sz w:val="22"/>
              </w:rPr>
            </w:pPr>
            <w:r>
              <w:rPr>
                <w:w w:val="100"/>
                <w:sz w:val="22"/>
                <w:u w:val="single"/>
              </w:rPr>
              <w:t> </w:t>
            </w:r>
            <w:r>
              <w:rPr>
                <w:spacing w:val="-15"/>
                <w:sz w:val="22"/>
                <w:u w:val="single"/>
              </w:rPr>
              <w:t> </w:t>
            </w:r>
            <w:r>
              <w:rPr>
                <w:sz w:val="22"/>
                <w:u w:val="single"/>
              </w:rPr>
              <w:t>Actividad</w:t>
              <w:tab/>
            </w:r>
          </w:p>
        </w:tc>
        <w:tc>
          <w:tcPr>
            <w:tcW w:w="1594" w:type="dxa"/>
          </w:tcPr>
          <w:p>
            <w:pPr>
              <w:pStyle w:val="TableParagraph"/>
              <w:tabs>
                <w:tab w:pos="1594" w:val="left" w:leader="none"/>
              </w:tabs>
              <w:spacing w:line="226" w:lineRule="exact"/>
              <w:ind w:left="427"/>
              <w:rPr>
                <w:sz w:val="22"/>
              </w:rPr>
            </w:pPr>
            <w:r>
              <w:rPr>
                <w:sz w:val="22"/>
                <w:u w:val="single"/>
              </w:rPr>
              <w:t>n (%)</w:t>
              <w:tab/>
            </w:r>
          </w:p>
        </w:tc>
      </w:tr>
      <w:tr>
        <w:trPr>
          <w:trHeight w:val="327" w:hRule="exact"/>
        </w:trPr>
        <w:tc>
          <w:tcPr>
            <w:tcW w:w="1690" w:type="dxa"/>
          </w:tcPr>
          <w:p>
            <w:pPr>
              <w:pStyle w:val="TableParagraph"/>
              <w:spacing w:line="252" w:lineRule="exact"/>
              <w:ind w:left="122" w:right="-428"/>
              <w:rPr>
                <w:sz w:val="22"/>
              </w:rPr>
            </w:pPr>
            <w:r>
              <w:rPr>
                <w:sz w:val="22"/>
              </w:rPr>
              <w:t>Corte</w:t>
            </w:r>
          </w:p>
        </w:tc>
        <w:tc>
          <w:tcPr>
            <w:tcW w:w="1594" w:type="dxa"/>
          </w:tcPr>
          <w:p>
            <w:pPr>
              <w:pStyle w:val="TableParagraph"/>
              <w:spacing w:line="252" w:lineRule="exact"/>
              <w:ind w:left="427"/>
              <w:rPr>
                <w:sz w:val="22"/>
              </w:rPr>
            </w:pPr>
            <w:r>
              <w:rPr>
                <w:sz w:val="22"/>
              </w:rPr>
              <w:t>21 (52.5)</w:t>
            </w:r>
          </w:p>
        </w:tc>
      </w:tr>
      <w:tr>
        <w:trPr>
          <w:trHeight w:val="380" w:hRule="exact"/>
        </w:trPr>
        <w:tc>
          <w:tcPr>
            <w:tcW w:w="1690" w:type="dxa"/>
          </w:tcPr>
          <w:p>
            <w:pPr>
              <w:pStyle w:val="TableParagraph"/>
              <w:spacing w:before="52"/>
              <w:ind w:left="122" w:right="-428"/>
              <w:rPr>
                <w:sz w:val="22"/>
              </w:rPr>
            </w:pPr>
            <w:r>
              <w:rPr>
                <w:sz w:val="22"/>
              </w:rPr>
              <w:t>Bonche</w:t>
            </w:r>
          </w:p>
        </w:tc>
        <w:tc>
          <w:tcPr>
            <w:tcW w:w="1594" w:type="dxa"/>
          </w:tcPr>
          <w:p>
            <w:pPr>
              <w:pStyle w:val="TableParagraph"/>
              <w:spacing w:before="52"/>
              <w:ind w:left="427"/>
              <w:rPr>
                <w:sz w:val="22"/>
              </w:rPr>
            </w:pPr>
            <w:r>
              <w:rPr>
                <w:sz w:val="22"/>
              </w:rPr>
              <w:t>21 (52.5)</w:t>
            </w:r>
          </w:p>
        </w:tc>
      </w:tr>
      <w:tr>
        <w:trPr>
          <w:trHeight w:val="379" w:hRule="exact"/>
        </w:trPr>
        <w:tc>
          <w:tcPr>
            <w:tcW w:w="1690" w:type="dxa"/>
          </w:tcPr>
          <w:p>
            <w:pPr>
              <w:pStyle w:val="TableParagraph"/>
              <w:spacing w:before="51"/>
              <w:ind w:left="122" w:right="-428"/>
              <w:rPr>
                <w:sz w:val="22"/>
              </w:rPr>
            </w:pPr>
            <w:r>
              <w:rPr>
                <w:sz w:val="22"/>
              </w:rPr>
              <w:t>Sembrar</w:t>
            </w:r>
          </w:p>
        </w:tc>
        <w:tc>
          <w:tcPr>
            <w:tcW w:w="1594" w:type="dxa"/>
          </w:tcPr>
          <w:p>
            <w:pPr>
              <w:pStyle w:val="TableParagraph"/>
              <w:spacing w:before="51"/>
              <w:ind w:left="427"/>
              <w:rPr>
                <w:sz w:val="22"/>
              </w:rPr>
            </w:pPr>
            <w:r>
              <w:rPr>
                <w:sz w:val="22"/>
              </w:rPr>
              <w:t>20 (50)</w:t>
            </w:r>
          </w:p>
        </w:tc>
      </w:tr>
      <w:tr>
        <w:trPr>
          <w:trHeight w:val="379" w:hRule="exact"/>
        </w:trPr>
        <w:tc>
          <w:tcPr>
            <w:tcW w:w="1690" w:type="dxa"/>
          </w:tcPr>
          <w:p>
            <w:pPr>
              <w:pStyle w:val="TableParagraph"/>
              <w:spacing w:before="51"/>
              <w:ind w:left="122" w:right="-428"/>
              <w:rPr>
                <w:sz w:val="22"/>
              </w:rPr>
            </w:pPr>
            <w:r>
              <w:rPr>
                <w:sz w:val="22"/>
              </w:rPr>
              <w:t>Desbotonar</w:t>
            </w:r>
          </w:p>
        </w:tc>
        <w:tc>
          <w:tcPr>
            <w:tcW w:w="1594" w:type="dxa"/>
          </w:tcPr>
          <w:p>
            <w:pPr>
              <w:pStyle w:val="TableParagraph"/>
              <w:spacing w:before="51"/>
              <w:ind w:left="427"/>
              <w:rPr>
                <w:sz w:val="22"/>
              </w:rPr>
            </w:pPr>
            <w:r>
              <w:rPr>
                <w:sz w:val="22"/>
              </w:rPr>
              <w:t>20 (50)</w:t>
            </w:r>
          </w:p>
        </w:tc>
      </w:tr>
      <w:tr>
        <w:trPr>
          <w:trHeight w:val="379" w:hRule="exact"/>
        </w:trPr>
        <w:tc>
          <w:tcPr>
            <w:tcW w:w="1690" w:type="dxa"/>
          </w:tcPr>
          <w:p>
            <w:pPr>
              <w:pStyle w:val="TableParagraph"/>
              <w:spacing w:before="51"/>
              <w:ind w:left="122" w:right="-428"/>
              <w:rPr>
                <w:sz w:val="22"/>
              </w:rPr>
            </w:pPr>
            <w:r>
              <w:rPr>
                <w:sz w:val="22"/>
              </w:rPr>
              <w:t>Deshierbar</w:t>
            </w:r>
          </w:p>
        </w:tc>
        <w:tc>
          <w:tcPr>
            <w:tcW w:w="1594" w:type="dxa"/>
          </w:tcPr>
          <w:p>
            <w:pPr>
              <w:pStyle w:val="TableParagraph"/>
              <w:spacing w:before="51"/>
              <w:ind w:left="427"/>
              <w:rPr>
                <w:sz w:val="22"/>
              </w:rPr>
            </w:pPr>
            <w:r>
              <w:rPr>
                <w:sz w:val="22"/>
              </w:rPr>
              <w:t>17 (42.5)</w:t>
            </w:r>
          </w:p>
        </w:tc>
      </w:tr>
      <w:tr>
        <w:trPr>
          <w:trHeight w:val="379" w:hRule="exact"/>
        </w:trPr>
        <w:tc>
          <w:tcPr>
            <w:tcW w:w="1690" w:type="dxa"/>
          </w:tcPr>
          <w:p>
            <w:pPr>
              <w:pStyle w:val="TableParagraph"/>
              <w:spacing w:before="51"/>
              <w:ind w:left="122" w:right="-428"/>
              <w:rPr>
                <w:sz w:val="22"/>
              </w:rPr>
            </w:pPr>
            <w:r>
              <w:rPr>
                <w:sz w:val="22"/>
              </w:rPr>
              <w:t>Fumigar</w:t>
            </w:r>
          </w:p>
        </w:tc>
        <w:tc>
          <w:tcPr>
            <w:tcW w:w="1594" w:type="dxa"/>
          </w:tcPr>
          <w:p>
            <w:pPr>
              <w:pStyle w:val="TableParagraph"/>
              <w:spacing w:before="51"/>
              <w:ind w:left="427"/>
              <w:rPr>
                <w:sz w:val="22"/>
              </w:rPr>
            </w:pPr>
            <w:r>
              <w:rPr>
                <w:sz w:val="22"/>
              </w:rPr>
              <w:t>11 (27.5)</w:t>
            </w:r>
          </w:p>
        </w:tc>
      </w:tr>
      <w:tr>
        <w:trPr>
          <w:trHeight w:val="825" w:hRule="exact"/>
        </w:trPr>
        <w:tc>
          <w:tcPr>
            <w:tcW w:w="1690" w:type="dxa"/>
            <w:tcBorders>
              <w:bottom w:val="single" w:sz="8" w:space="0" w:color="000000"/>
            </w:tcBorders>
          </w:tcPr>
          <w:p>
            <w:pPr>
              <w:pStyle w:val="TableParagraph"/>
              <w:spacing w:line="362" w:lineRule="auto" w:before="51"/>
              <w:ind w:left="122" w:right="446"/>
              <w:rPr>
                <w:sz w:val="22"/>
              </w:rPr>
            </w:pPr>
            <w:r>
              <w:rPr>
                <w:sz w:val="22"/>
              </w:rPr>
              <w:t>Preparar plaguicidas</w:t>
            </w:r>
          </w:p>
        </w:tc>
        <w:tc>
          <w:tcPr>
            <w:tcW w:w="1594" w:type="dxa"/>
            <w:tcBorders>
              <w:bottom w:val="single" w:sz="8" w:space="0" w:color="000000"/>
            </w:tcBorders>
          </w:tcPr>
          <w:p>
            <w:pPr>
              <w:pStyle w:val="TableParagraph"/>
              <w:spacing w:before="51"/>
              <w:ind w:left="552"/>
              <w:rPr>
                <w:sz w:val="22"/>
              </w:rPr>
            </w:pPr>
            <w:r>
              <w:rPr>
                <w:sz w:val="22"/>
              </w:rPr>
              <w:t>8 (20)</w:t>
            </w:r>
          </w:p>
        </w:tc>
      </w:tr>
    </w:tbl>
    <w:p>
      <w:pPr>
        <w:pStyle w:val="BodyText"/>
        <w:rPr>
          <w:sz w:val="20"/>
        </w:rPr>
      </w:pPr>
    </w:p>
    <w:p>
      <w:pPr>
        <w:pStyle w:val="BodyText"/>
        <w:spacing w:before="1"/>
      </w:pPr>
    </w:p>
    <w:p>
      <w:pPr>
        <w:pStyle w:val="BodyText"/>
        <w:spacing w:line="360" w:lineRule="auto" w:before="70"/>
        <w:ind w:left="162" w:right="177"/>
        <w:jc w:val="both"/>
      </w:pPr>
      <w:r>
        <w:rPr/>
        <w:t>Con relación al equipo de protección que utilizan los floricultores en su trabajo, reportaron que el 47.5% usan guantes, el 32.5% botas y mandil, el 17.5% mascarilla, el 10% lentes y solo el 7.5% se protegen con overol (Tabla 9).</w:t>
      </w:r>
    </w:p>
    <w:p>
      <w:pPr>
        <w:pStyle w:val="BodyText"/>
        <w:spacing w:before="4"/>
      </w:pPr>
    </w:p>
    <w:p>
      <w:pPr>
        <w:spacing w:before="0"/>
        <w:ind w:left="1657" w:right="126" w:firstLine="0"/>
        <w:jc w:val="left"/>
        <w:rPr>
          <w:sz w:val="22"/>
        </w:rPr>
      </w:pPr>
      <w:r>
        <w:rPr>
          <w:sz w:val="22"/>
        </w:rPr>
        <w:t>TABLA 9. Equipo de protección utilizado por los floricultores</w:t>
      </w:r>
    </w:p>
    <w:p>
      <w:pPr>
        <w:pStyle w:val="BodyText"/>
        <w:spacing w:before="10" w:after="1"/>
        <w:rPr>
          <w:sz w:val="19"/>
        </w:rPr>
      </w:pPr>
    </w:p>
    <w:tbl>
      <w:tblPr>
        <w:tblW w:w="0" w:type="auto"/>
        <w:jc w:val="left"/>
        <w:tblInd w:w="27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789"/>
        <w:gridCol w:w="1943"/>
      </w:tblGrid>
      <w:tr>
        <w:trPr>
          <w:trHeight w:val="593" w:hRule="exact"/>
        </w:trPr>
        <w:tc>
          <w:tcPr>
            <w:tcW w:w="1789" w:type="dxa"/>
            <w:tcBorders>
              <w:left w:val="nil"/>
              <w:right w:val="nil"/>
            </w:tcBorders>
          </w:tcPr>
          <w:p>
            <w:pPr>
              <w:pStyle w:val="TableParagraph"/>
              <w:spacing w:line="242" w:lineRule="auto"/>
              <w:ind w:left="422" w:right="308" w:firstLine="177"/>
              <w:rPr>
                <w:sz w:val="22"/>
              </w:rPr>
            </w:pPr>
            <w:r>
              <w:rPr>
                <w:sz w:val="22"/>
              </w:rPr>
              <w:t>Equipo Proteccion</w:t>
            </w:r>
          </w:p>
        </w:tc>
        <w:tc>
          <w:tcPr>
            <w:tcW w:w="1943" w:type="dxa"/>
            <w:tcBorders>
              <w:left w:val="nil"/>
              <w:right w:val="nil"/>
            </w:tcBorders>
          </w:tcPr>
          <w:p>
            <w:pPr>
              <w:pStyle w:val="TableParagraph"/>
              <w:spacing w:line="242" w:lineRule="auto"/>
              <w:ind w:left="625" w:right="204" w:hanging="301"/>
              <w:rPr>
                <w:sz w:val="22"/>
              </w:rPr>
            </w:pPr>
            <w:r>
              <w:rPr>
                <w:sz w:val="22"/>
              </w:rPr>
              <w:t>Frecuencia de Uso (%)</w:t>
            </w:r>
          </w:p>
        </w:tc>
      </w:tr>
      <w:tr>
        <w:trPr>
          <w:trHeight w:val="335" w:hRule="exact"/>
        </w:trPr>
        <w:tc>
          <w:tcPr>
            <w:tcW w:w="1789" w:type="dxa"/>
            <w:tcBorders>
              <w:left w:val="nil"/>
              <w:bottom w:val="nil"/>
              <w:right w:val="nil"/>
            </w:tcBorders>
          </w:tcPr>
          <w:p>
            <w:pPr>
              <w:pStyle w:val="TableParagraph"/>
              <w:spacing w:line="251" w:lineRule="exact"/>
              <w:ind w:left="425" w:right="329"/>
              <w:jc w:val="center"/>
              <w:rPr>
                <w:sz w:val="22"/>
              </w:rPr>
            </w:pPr>
            <w:r>
              <w:rPr>
                <w:sz w:val="22"/>
              </w:rPr>
              <w:t>Guantes</w:t>
            </w:r>
          </w:p>
        </w:tc>
        <w:tc>
          <w:tcPr>
            <w:tcW w:w="1943" w:type="dxa"/>
            <w:tcBorders>
              <w:left w:val="nil"/>
              <w:bottom w:val="nil"/>
              <w:right w:val="nil"/>
            </w:tcBorders>
          </w:tcPr>
          <w:p>
            <w:pPr>
              <w:pStyle w:val="TableParagraph"/>
              <w:spacing w:line="251" w:lineRule="exact"/>
              <w:ind w:left="807" w:right="204"/>
              <w:rPr>
                <w:sz w:val="22"/>
              </w:rPr>
            </w:pPr>
            <w:r>
              <w:rPr>
                <w:sz w:val="22"/>
              </w:rPr>
              <w:t>47.5</w:t>
            </w:r>
          </w:p>
        </w:tc>
      </w:tr>
      <w:tr>
        <w:trPr>
          <w:trHeight w:val="381" w:hRule="exact"/>
        </w:trPr>
        <w:tc>
          <w:tcPr>
            <w:tcW w:w="1789" w:type="dxa"/>
            <w:tcBorders>
              <w:top w:val="nil"/>
              <w:left w:val="nil"/>
              <w:bottom w:val="nil"/>
              <w:right w:val="nil"/>
            </w:tcBorders>
          </w:tcPr>
          <w:p>
            <w:pPr>
              <w:pStyle w:val="TableParagraph"/>
              <w:spacing w:before="51"/>
              <w:ind w:left="425" w:right="326"/>
              <w:jc w:val="center"/>
              <w:rPr>
                <w:sz w:val="22"/>
              </w:rPr>
            </w:pPr>
            <w:r>
              <w:rPr>
                <w:sz w:val="22"/>
              </w:rPr>
              <w:t>Botas</w:t>
            </w:r>
          </w:p>
        </w:tc>
        <w:tc>
          <w:tcPr>
            <w:tcW w:w="1943" w:type="dxa"/>
            <w:tcBorders>
              <w:top w:val="nil"/>
              <w:left w:val="nil"/>
              <w:bottom w:val="nil"/>
              <w:right w:val="nil"/>
            </w:tcBorders>
          </w:tcPr>
          <w:p>
            <w:pPr>
              <w:pStyle w:val="TableParagraph"/>
              <w:spacing w:before="51"/>
              <w:ind w:left="807" w:right="204"/>
              <w:rPr>
                <w:sz w:val="22"/>
              </w:rPr>
            </w:pPr>
            <w:r>
              <w:rPr>
                <w:sz w:val="22"/>
              </w:rPr>
              <w:t>32.5</w:t>
            </w:r>
          </w:p>
        </w:tc>
      </w:tr>
      <w:tr>
        <w:trPr>
          <w:trHeight w:val="381" w:hRule="exact"/>
        </w:trPr>
        <w:tc>
          <w:tcPr>
            <w:tcW w:w="1789" w:type="dxa"/>
            <w:tcBorders>
              <w:top w:val="nil"/>
              <w:left w:val="nil"/>
              <w:bottom w:val="nil"/>
              <w:right w:val="nil"/>
            </w:tcBorders>
          </w:tcPr>
          <w:p>
            <w:pPr>
              <w:pStyle w:val="TableParagraph"/>
              <w:spacing w:before="53"/>
              <w:ind w:left="425" w:right="330"/>
              <w:jc w:val="center"/>
              <w:rPr>
                <w:sz w:val="22"/>
              </w:rPr>
            </w:pPr>
            <w:r>
              <w:rPr>
                <w:sz w:val="22"/>
              </w:rPr>
              <w:t>Mandil</w:t>
            </w:r>
          </w:p>
        </w:tc>
        <w:tc>
          <w:tcPr>
            <w:tcW w:w="1943" w:type="dxa"/>
            <w:tcBorders>
              <w:top w:val="nil"/>
              <w:left w:val="nil"/>
              <w:bottom w:val="nil"/>
              <w:right w:val="nil"/>
            </w:tcBorders>
          </w:tcPr>
          <w:p>
            <w:pPr>
              <w:pStyle w:val="TableParagraph"/>
              <w:spacing w:before="53"/>
              <w:ind w:left="807" w:right="204"/>
              <w:rPr>
                <w:sz w:val="22"/>
              </w:rPr>
            </w:pPr>
            <w:r>
              <w:rPr>
                <w:sz w:val="22"/>
              </w:rPr>
              <w:t>32.5</w:t>
            </w:r>
          </w:p>
        </w:tc>
      </w:tr>
      <w:tr>
        <w:trPr>
          <w:trHeight w:val="379" w:hRule="exact"/>
        </w:trPr>
        <w:tc>
          <w:tcPr>
            <w:tcW w:w="1789" w:type="dxa"/>
            <w:tcBorders>
              <w:top w:val="nil"/>
              <w:left w:val="nil"/>
              <w:bottom w:val="nil"/>
              <w:right w:val="nil"/>
            </w:tcBorders>
          </w:tcPr>
          <w:p>
            <w:pPr>
              <w:pStyle w:val="TableParagraph"/>
              <w:spacing w:before="51"/>
              <w:ind w:left="425" w:right="334"/>
              <w:jc w:val="center"/>
              <w:rPr>
                <w:sz w:val="22"/>
              </w:rPr>
            </w:pPr>
            <w:r>
              <w:rPr>
                <w:sz w:val="22"/>
              </w:rPr>
              <w:t>Mascarilla</w:t>
            </w:r>
          </w:p>
        </w:tc>
        <w:tc>
          <w:tcPr>
            <w:tcW w:w="1943" w:type="dxa"/>
            <w:tcBorders>
              <w:top w:val="nil"/>
              <w:left w:val="nil"/>
              <w:bottom w:val="nil"/>
              <w:right w:val="nil"/>
            </w:tcBorders>
          </w:tcPr>
          <w:p>
            <w:pPr>
              <w:pStyle w:val="TableParagraph"/>
              <w:spacing w:before="51"/>
              <w:ind w:left="807" w:right="204"/>
              <w:rPr>
                <w:sz w:val="22"/>
              </w:rPr>
            </w:pPr>
            <w:r>
              <w:rPr>
                <w:sz w:val="22"/>
              </w:rPr>
              <w:t>17.5</w:t>
            </w:r>
          </w:p>
        </w:tc>
      </w:tr>
      <w:tr>
        <w:trPr>
          <w:trHeight w:val="379" w:hRule="exact"/>
        </w:trPr>
        <w:tc>
          <w:tcPr>
            <w:tcW w:w="1789" w:type="dxa"/>
            <w:tcBorders>
              <w:top w:val="nil"/>
              <w:left w:val="nil"/>
              <w:bottom w:val="nil"/>
              <w:right w:val="nil"/>
            </w:tcBorders>
          </w:tcPr>
          <w:p>
            <w:pPr>
              <w:pStyle w:val="TableParagraph"/>
              <w:spacing w:before="51"/>
              <w:ind w:left="425" w:right="329"/>
              <w:jc w:val="center"/>
              <w:rPr>
                <w:sz w:val="22"/>
              </w:rPr>
            </w:pPr>
            <w:r>
              <w:rPr>
                <w:sz w:val="22"/>
              </w:rPr>
              <w:t>Lentes</w:t>
            </w:r>
          </w:p>
        </w:tc>
        <w:tc>
          <w:tcPr>
            <w:tcW w:w="1943" w:type="dxa"/>
            <w:tcBorders>
              <w:top w:val="nil"/>
              <w:left w:val="nil"/>
              <w:bottom w:val="nil"/>
              <w:right w:val="nil"/>
            </w:tcBorders>
          </w:tcPr>
          <w:p>
            <w:pPr>
              <w:pStyle w:val="TableParagraph"/>
              <w:spacing w:before="51"/>
              <w:ind w:left="898" w:right="204"/>
              <w:rPr>
                <w:sz w:val="22"/>
              </w:rPr>
            </w:pPr>
            <w:r>
              <w:rPr>
                <w:sz w:val="22"/>
              </w:rPr>
              <w:t>10</w:t>
            </w:r>
          </w:p>
        </w:tc>
      </w:tr>
      <w:tr>
        <w:trPr>
          <w:trHeight w:val="443" w:hRule="exact"/>
        </w:trPr>
        <w:tc>
          <w:tcPr>
            <w:tcW w:w="1789" w:type="dxa"/>
            <w:tcBorders>
              <w:top w:val="nil"/>
              <w:left w:val="nil"/>
              <w:right w:val="nil"/>
            </w:tcBorders>
          </w:tcPr>
          <w:p>
            <w:pPr>
              <w:pStyle w:val="TableParagraph"/>
              <w:spacing w:before="51"/>
              <w:ind w:left="425" w:right="328"/>
              <w:jc w:val="center"/>
              <w:rPr>
                <w:sz w:val="22"/>
              </w:rPr>
            </w:pPr>
            <w:r>
              <w:rPr>
                <w:sz w:val="22"/>
              </w:rPr>
              <w:t>Overol</w:t>
            </w:r>
          </w:p>
        </w:tc>
        <w:tc>
          <w:tcPr>
            <w:tcW w:w="1943" w:type="dxa"/>
            <w:tcBorders>
              <w:top w:val="nil"/>
              <w:left w:val="nil"/>
              <w:right w:val="nil"/>
            </w:tcBorders>
          </w:tcPr>
          <w:p>
            <w:pPr>
              <w:pStyle w:val="TableParagraph"/>
              <w:spacing w:before="51"/>
              <w:ind w:left="870" w:right="204"/>
              <w:rPr>
                <w:sz w:val="22"/>
              </w:rPr>
            </w:pPr>
            <w:r>
              <w:rPr>
                <w:sz w:val="22"/>
              </w:rPr>
              <w:t>7.5</w:t>
            </w:r>
          </w:p>
        </w:tc>
      </w:tr>
    </w:tbl>
    <w:p>
      <w:pPr>
        <w:spacing w:after="0"/>
        <w:rPr>
          <w:sz w:val="22"/>
        </w:rPr>
        <w:sectPr>
          <w:pgSz w:w="12240" w:h="15840"/>
          <w:pgMar w:header="733" w:footer="1039" w:top="1020" w:bottom="1220" w:left="1540" w:right="1520"/>
        </w:sectPr>
      </w:pPr>
    </w:p>
    <w:p>
      <w:pPr>
        <w:pStyle w:val="BodyText"/>
        <w:rPr>
          <w:sz w:val="18"/>
        </w:rPr>
      </w:pPr>
    </w:p>
    <w:p>
      <w:pPr>
        <w:pStyle w:val="BodyText"/>
        <w:spacing w:line="360" w:lineRule="auto" w:before="69"/>
        <w:ind w:left="222" w:right="219"/>
        <w:jc w:val="both"/>
      </w:pPr>
      <w:r>
        <w:rPr/>
        <w:t>Con relación al tipo de plaguicidas se encontró que el más utilizado, en un 35%  fue el Lannate (carbamato) considerado altamente tóxico, el segundo más usado fue el Ridomil Gold (carbamato) en un 25% clasificado como moderadamente tóxico y en tercer lugar el Furadan (carbamato) en un 22.5%, el cual es altamente tóxico. En la tabla 10 se muestran los plaguicidas que emplean los floricultores, con el nombre comercial, grupo químico al que pertenecen, la actividad biológica por la cual se emplean, su frecuencia de uso y el grado de toxicidad de cada uno de acuerdo con la OMS (2009), en donde aparece también la clasificación de cuidado o precaución para aquellos compuestos con ingredientes activos que no presenta riesgo agudo en uso</w:t>
      </w:r>
      <w:r>
        <w:rPr>
          <w:spacing w:val="-13"/>
        </w:rPr>
        <w:t> </w:t>
      </w:r>
      <w:r>
        <w:rPr/>
        <w:t>normal.</w:t>
      </w:r>
    </w:p>
    <w:p>
      <w:pPr>
        <w:pStyle w:val="BodyText"/>
      </w:pPr>
    </w:p>
    <w:p>
      <w:pPr>
        <w:pStyle w:val="BodyText"/>
      </w:pPr>
    </w:p>
    <w:p>
      <w:pPr>
        <w:spacing w:before="141"/>
        <w:ind w:left="1993" w:right="0" w:firstLine="0"/>
        <w:jc w:val="left"/>
        <w:rPr>
          <w:sz w:val="22"/>
        </w:rPr>
      </w:pPr>
      <w:r>
        <w:rPr>
          <w:sz w:val="22"/>
        </w:rPr>
        <w:t>TABLA 10. Plaguicidas empleados por los floricultores</w:t>
      </w:r>
    </w:p>
    <w:p>
      <w:pPr>
        <w:pStyle w:val="BodyText"/>
        <w:spacing w:before="11"/>
        <w:rPr>
          <w:sz w:val="20"/>
        </w:rPr>
      </w:pPr>
    </w:p>
    <w:tbl>
      <w:tblPr>
        <w:tblW w:w="0" w:type="auto"/>
        <w:jc w:val="left"/>
        <w:tblInd w:w="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10"/>
        <w:gridCol w:w="2131"/>
        <w:gridCol w:w="1603"/>
        <w:gridCol w:w="1834"/>
        <w:gridCol w:w="1878"/>
      </w:tblGrid>
      <w:tr>
        <w:trPr>
          <w:trHeight w:val="540" w:hRule="exact"/>
        </w:trPr>
        <w:tc>
          <w:tcPr>
            <w:tcW w:w="1610" w:type="dxa"/>
            <w:tcBorders>
              <w:left w:val="nil"/>
              <w:right w:val="nil"/>
            </w:tcBorders>
          </w:tcPr>
          <w:p>
            <w:pPr>
              <w:pStyle w:val="TableParagraph"/>
              <w:spacing w:line="252" w:lineRule="exact" w:before="2"/>
              <w:ind w:left="331" w:right="268" w:firstLine="103"/>
              <w:rPr>
                <w:sz w:val="22"/>
              </w:rPr>
            </w:pPr>
            <w:r>
              <w:rPr>
                <w:sz w:val="22"/>
              </w:rPr>
              <w:t>Nombre Comercial</w:t>
            </w:r>
          </w:p>
        </w:tc>
        <w:tc>
          <w:tcPr>
            <w:tcW w:w="2131" w:type="dxa"/>
            <w:tcBorders>
              <w:left w:val="nil"/>
              <w:right w:val="nil"/>
            </w:tcBorders>
          </w:tcPr>
          <w:p>
            <w:pPr>
              <w:pStyle w:val="TableParagraph"/>
              <w:spacing w:line="251" w:lineRule="exact"/>
              <w:ind w:left="288"/>
              <w:rPr>
                <w:sz w:val="22"/>
              </w:rPr>
            </w:pPr>
            <w:r>
              <w:rPr>
                <w:sz w:val="22"/>
              </w:rPr>
              <w:t>Grupo Químico</w:t>
            </w:r>
          </w:p>
        </w:tc>
        <w:tc>
          <w:tcPr>
            <w:tcW w:w="1603" w:type="dxa"/>
            <w:tcBorders>
              <w:left w:val="nil"/>
              <w:right w:val="nil"/>
            </w:tcBorders>
          </w:tcPr>
          <w:p>
            <w:pPr>
              <w:pStyle w:val="TableParagraph"/>
              <w:spacing w:line="252" w:lineRule="exact" w:before="2"/>
              <w:ind w:left="324" w:right="364" w:firstLine="2"/>
              <w:rPr>
                <w:sz w:val="22"/>
              </w:rPr>
            </w:pPr>
            <w:r>
              <w:rPr>
                <w:sz w:val="22"/>
              </w:rPr>
              <w:t>Actividad Biológica</w:t>
            </w:r>
          </w:p>
        </w:tc>
        <w:tc>
          <w:tcPr>
            <w:tcW w:w="1834" w:type="dxa"/>
            <w:tcBorders>
              <w:left w:val="nil"/>
              <w:right w:val="nil"/>
            </w:tcBorders>
          </w:tcPr>
          <w:p>
            <w:pPr>
              <w:pStyle w:val="TableParagraph"/>
              <w:spacing w:line="252" w:lineRule="exact" w:before="2"/>
              <w:ind w:left="572" w:right="148" w:hanging="300"/>
              <w:rPr>
                <w:sz w:val="22"/>
              </w:rPr>
            </w:pPr>
            <w:r>
              <w:rPr>
                <w:sz w:val="22"/>
              </w:rPr>
              <w:t>Frecuencia de Uso (%)</w:t>
            </w:r>
          </w:p>
        </w:tc>
        <w:tc>
          <w:tcPr>
            <w:tcW w:w="1878" w:type="dxa"/>
            <w:tcBorders>
              <w:left w:val="nil"/>
              <w:right w:val="nil"/>
            </w:tcBorders>
          </w:tcPr>
          <w:p>
            <w:pPr>
              <w:pStyle w:val="TableParagraph"/>
              <w:spacing w:line="251" w:lineRule="exact"/>
              <w:ind w:left="144" w:right="90"/>
              <w:jc w:val="center"/>
              <w:rPr>
                <w:sz w:val="22"/>
              </w:rPr>
            </w:pPr>
            <w:r>
              <w:rPr>
                <w:sz w:val="22"/>
              </w:rPr>
              <w:t>Toxicidad</w:t>
            </w:r>
          </w:p>
        </w:tc>
      </w:tr>
      <w:tr>
        <w:trPr>
          <w:trHeight w:val="272" w:hRule="exact"/>
        </w:trPr>
        <w:tc>
          <w:tcPr>
            <w:tcW w:w="1610" w:type="dxa"/>
            <w:tcBorders>
              <w:left w:val="nil"/>
              <w:bottom w:val="nil"/>
              <w:right w:val="nil"/>
            </w:tcBorders>
          </w:tcPr>
          <w:p>
            <w:pPr>
              <w:pStyle w:val="TableParagraph"/>
              <w:spacing w:line="251" w:lineRule="exact"/>
              <w:ind w:left="176" w:right="131"/>
              <w:jc w:val="center"/>
              <w:rPr>
                <w:sz w:val="22"/>
              </w:rPr>
            </w:pPr>
            <w:r>
              <w:rPr>
                <w:sz w:val="22"/>
              </w:rPr>
              <w:t>Lannate</w:t>
            </w:r>
          </w:p>
        </w:tc>
        <w:tc>
          <w:tcPr>
            <w:tcW w:w="2131" w:type="dxa"/>
            <w:tcBorders>
              <w:left w:val="nil"/>
              <w:bottom w:val="nil"/>
              <w:right w:val="nil"/>
            </w:tcBorders>
          </w:tcPr>
          <w:p>
            <w:pPr>
              <w:pStyle w:val="TableParagraph"/>
              <w:spacing w:line="251" w:lineRule="exact"/>
              <w:ind w:left="489"/>
              <w:rPr>
                <w:sz w:val="22"/>
              </w:rPr>
            </w:pPr>
            <w:r>
              <w:rPr>
                <w:sz w:val="22"/>
              </w:rPr>
              <w:t>Carbamato</w:t>
            </w:r>
          </w:p>
        </w:tc>
        <w:tc>
          <w:tcPr>
            <w:tcW w:w="1603" w:type="dxa"/>
            <w:tcBorders>
              <w:left w:val="nil"/>
              <w:bottom w:val="nil"/>
              <w:right w:val="nil"/>
            </w:tcBorders>
          </w:tcPr>
          <w:p>
            <w:pPr>
              <w:pStyle w:val="TableParagraph"/>
              <w:spacing w:line="251" w:lineRule="exact"/>
              <w:ind w:left="252" w:right="262"/>
              <w:rPr>
                <w:sz w:val="22"/>
              </w:rPr>
            </w:pPr>
            <w:r>
              <w:rPr>
                <w:sz w:val="22"/>
              </w:rPr>
              <w:t>Insecticida</w:t>
            </w:r>
          </w:p>
        </w:tc>
        <w:tc>
          <w:tcPr>
            <w:tcW w:w="1834" w:type="dxa"/>
            <w:tcBorders>
              <w:left w:val="nil"/>
              <w:bottom w:val="nil"/>
              <w:right w:val="nil"/>
            </w:tcBorders>
          </w:tcPr>
          <w:p>
            <w:pPr>
              <w:pStyle w:val="TableParagraph"/>
              <w:spacing w:line="251" w:lineRule="exact"/>
              <w:ind w:left="735" w:right="627"/>
              <w:jc w:val="center"/>
              <w:rPr>
                <w:sz w:val="22"/>
              </w:rPr>
            </w:pPr>
            <w:r>
              <w:rPr>
                <w:sz w:val="22"/>
              </w:rPr>
              <w:t>35</w:t>
            </w:r>
          </w:p>
        </w:tc>
        <w:tc>
          <w:tcPr>
            <w:tcW w:w="1878" w:type="dxa"/>
            <w:tcBorders>
              <w:left w:val="nil"/>
              <w:bottom w:val="nil"/>
              <w:right w:val="nil"/>
            </w:tcBorders>
          </w:tcPr>
          <w:p>
            <w:pPr>
              <w:pStyle w:val="TableParagraph"/>
              <w:spacing w:line="251" w:lineRule="exact"/>
              <w:ind w:left="144" w:right="90"/>
              <w:jc w:val="center"/>
              <w:rPr>
                <w:sz w:val="22"/>
              </w:rPr>
            </w:pPr>
            <w:r>
              <w:rPr>
                <w:sz w:val="22"/>
              </w:rPr>
              <w:t>Altamente</w:t>
            </w:r>
          </w:p>
        </w:tc>
      </w:tr>
      <w:tr>
        <w:trPr>
          <w:trHeight w:val="260" w:hRule="exact"/>
        </w:trPr>
        <w:tc>
          <w:tcPr>
            <w:tcW w:w="1610" w:type="dxa"/>
            <w:tcBorders>
              <w:top w:val="nil"/>
              <w:left w:val="nil"/>
              <w:bottom w:val="nil"/>
              <w:right w:val="nil"/>
            </w:tcBorders>
          </w:tcPr>
          <w:p>
            <w:pPr>
              <w:pStyle w:val="TableParagraph"/>
              <w:spacing w:line="242" w:lineRule="exact"/>
              <w:ind w:left="176" w:right="133"/>
              <w:jc w:val="center"/>
              <w:rPr>
                <w:sz w:val="22"/>
              </w:rPr>
            </w:pPr>
            <w:r>
              <w:rPr>
                <w:sz w:val="22"/>
              </w:rPr>
              <w:t>Ridomil Gold</w:t>
            </w:r>
          </w:p>
        </w:tc>
        <w:tc>
          <w:tcPr>
            <w:tcW w:w="2131" w:type="dxa"/>
            <w:tcBorders>
              <w:top w:val="nil"/>
              <w:left w:val="nil"/>
              <w:bottom w:val="nil"/>
              <w:right w:val="nil"/>
            </w:tcBorders>
          </w:tcPr>
          <w:p>
            <w:pPr>
              <w:pStyle w:val="TableParagraph"/>
              <w:spacing w:line="242" w:lineRule="exact"/>
              <w:ind w:left="489"/>
              <w:rPr>
                <w:sz w:val="22"/>
              </w:rPr>
            </w:pPr>
            <w:r>
              <w:rPr>
                <w:sz w:val="22"/>
              </w:rPr>
              <w:t>Carbamato</w:t>
            </w:r>
          </w:p>
        </w:tc>
        <w:tc>
          <w:tcPr>
            <w:tcW w:w="1603" w:type="dxa"/>
            <w:tcBorders>
              <w:top w:val="nil"/>
              <w:left w:val="nil"/>
              <w:bottom w:val="nil"/>
              <w:right w:val="nil"/>
            </w:tcBorders>
          </w:tcPr>
          <w:p>
            <w:pPr>
              <w:pStyle w:val="TableParagraph"/>
              <w:spacing w:line="242" w:lineRule="exact"/>
              <w:ind w:left="295" w:right="262"/>
              <w:rPr>
                <w:sz w:val="22"/>
              </w:rPr>
            </w:pPr>
            <w:r>
              <w:rPr>
                <w:sz w:val="22"/>
              </w:rPr>
              <w:t>Fungicida</w:t>
            </w:r>
          </w:p>
        </w:tc>
        <w:tc>
          <w:tcPr>
            <w:tcW w:w="1834" w:type="dxa"/>
            <w:tcBorders>
              <w:top w:val="nil"/>
              <w:left w:val="nil"/>
              <w:bottom w:val="nil"/>
              <w:right w:val="nil"/>
            </w:tcBorders>
          </w:tcPr>
          <w:p>
            <w:pPr>
              <w:pStyle w:val="TableParagraph"/>
              <w:spacing w:line="242" w:lineRule="exact"/>
              <w:ind w:left="735" w:right="627"/>
              <w:jc w:val="center"/>
              <w:rPr>
                <w:sz w:val="22"/>
              </w:rPr>
            </w:pPr>
            <w:r>
              <w:rPr>
                <w:sz w:val="22"/>
              </w:rPr>
              <w:t>25</w:t>
            </w:r>
          </w:p>
        </w:tc>
        <w:tc>
          <w:tcPr>
            <w:tcW w:w="1878" w:type="dxa"/>
            <w:tcBorders>
              <w:top w:val="nil"/>
              <w:left w:val="nil"/>
              <w:bottom w:val="nil"/>
              <w:right w:val="nil"/>
            </w:tcBorders>
          </w:tcPr>
          <w:p>
            <w:pPr>
              <w:pStyle w:val="TableParagraph"/>
              <w:spacing w:line="242" w:lineRule="exact"/>
              <w:ind w:left="144" w:right="91"/>
              <w:jc w:val="center"/>
              <w:rPr>
                <w:sz w:val="22"/>
              </w:rPr>
            </w:pPr>
            <w:r>
              <w:rPr>
                <w:sz w:val="22"/>
              </w:rPr>
              <w:t>Moderadamente</w:t>
            </w:r>
          </w:p>
        </w:tc>
      </w:tr>
      <w:tr>
        <w:trPr>
          <w:trHeight w:val="269" w:hRule="exact"/>
        </w:trPr>
        <w:tc>
          <w:tcPr>
            <w:tcW w:w="1610" w:type="dxa"/>
            <w:tcBorders>
              <w:top w:val="nil"/>
              <w:left w:val="nil"/>
              <w:bottom w:val="nil"/>
              <w:right w:val="nil"/>
            </w:tcBorders>
          </w:tcPr>
          <w:p>
            <w:pPr>
              <w:pStyle w:val="TableParagraph"/>
              <w:spacing w:line="248" w:lineRule="exact"/>
              <w:ind w:left="176" w:right="130"/>
              <w:jc w:val="center"/>
              <w:rPr>
                <w:sz w:val="22"/>
              </w:rPr>
            </w:pPr>
            <w:r>
              <w:rPr>
                <w:sz w:val="22"/>
              </w:rPr>
              <w:t>Furadan</w:t>
            </w:r>
          </w:p>
        </w:tc>
        <w:tc>
          <w:tcPr>
            <w:tcW w:w="2131" w:type="dxa"/>
            <w:tcBorders>
              <w:top w:val="nil"/>
              <w:left w:val="nil"/>
              <w:bottom w:val="nil"/>
              <w:right w:val="nil"/>
            </w:tcBorders>
          </w:tcPr>
          <w:p>
            <w:pPr>
              <w:pStyle w:val="TableParagraph"/>
              <w:spacing w:line="248" w:lineRule="exact"/>
              <w:ind w:left="489"/>
              <w:rPr>
                <w:sz w:val="22"/>
              </w:rPr>
            </w:pPr>
            <w:r>
              <w:rPr>
                <w:sz w:val="22"/>
              </w:rPr>
              <w:t>Carbamato</w:t>
            </w:r>
          </w:p>
        </w:tc>
        <w:tc>
          <w:tcPr>
            <w:tcW w:w="1603" w:type="dxa"/>
            <w:tcBorders>
              <w:top w:val="nil"/>
              <w:left w:val="nil"/>
              <w:bottom w:val="nil"/>
              <w:right w:val="nil"/>
            </w:tcBorders>
          </w:tcPr>
          <w:p>
            <w:pPr>
              <w:pStyle w:val="TableParagraph"/>
              <w:spacing w:line="248" w:lineRule="exact"/>
              <w:ind w:left="252" w:right="262"/>
              <w:rPr>
                <w:sz w:val="22"/>
              </w:rPr>
            </w:pPr>
            <w:r>
              <w:rPr>
                <w:sz w:val="22"/>
              </w:rPr>
              <w:t>Insecticida</w:t>
            </w:r>
          </w:p>
        </w:tc>
        <w:tc>
          <w:tcPr>
            <w:tcW w:w="1834" w:type="dxa"/>
            <w:tcBorders>
              <w:top w:val="nil"/>
              <w:left w:val="nil"/>
              <w:bottom w:val="nil"/>
              <w:right w:val="nil"/>
            </w:tcBorders>
          </w:tcPr>
          <w:p>
            <w:pPr>
              <w:pStyle w:val="TableParagraph"/>
              <w:spacing w:line="248" w:lineRule="exact"/>
              <w:ind w:left="738" w:right="627"/>
              <w:jc w:val="center"/>
              <w:rPr>
                <w:sz w:val="22"/>
              </w:rPr>
            </w:pPr>
            <w:r>
              <w:rPr>
                <w:sz w:val="22"/>
              </w:rPr>
              <w:t>22.5</w:t>
            </w:r>
          </w:p>
        </w:tc>
        <w:tc>
          <w:tcPr>
            <w:tcW w:w="1878" w:type="dxa"/>
            <w:tcBorders>
              <w:top w:val="nil"/>
              <w:left w:val="nil"/>
              <w:bottom w:val="nil"/>
              <w:right w:val="nil"/>
            </w:tcBorders>
          </w:tcPr>
          <w:p>
            <w:pPr>
              <w:pStyle w:val="TableParagraph"/>
              <w:spacing w:line="248" w:lineRule="exact"/>
              <w:ind w:left="144" w:right="90"/>
              <w:jc w:val="center"/>
              <w:rPr>
                <w:sz w:val="22"/>
              </w:rPr>
            </w:pPr>
            <w:r>
              <w:rPr>
                <w:sz w:val="22"/>
              </w:rPr>
              <w:t>Altamente</w:t>
            </w:r>
          </w:p>
        </w:tc>
      </w:tr>
      <w:tr>
        <w:trPr>
          <w:trHeight w:val="515" w:hRule="exact"/>
        </w:trPr>
        <w:tc>
          <w:tcPr>
            <w:tcW w:w="1610" w:type="dxa"/>
            <w:tcBorders>
              <w:top w:val="nil"/>
              <w:left w:val="nil"/>
              <w:bottom w:val="nil"/>
              <w:right w:val="nil"/>
            </w:tcBorders>
          </w:tcPr>
          <w:p>
            <w:pPr>
              <w:pStyle w:val="TableParagraph"/>
              <w:spacing w:line="251" w:lineRule="exact"/>
              <w:ind w:left="176" w:right="129"/>
              <w:jc w:val="center"/>
              <w:rPr>
                <w:sz w:val="22"/>
              </w:rPr>
            </w:pPr>
            <w:r>
              <w:rPr>
                <w:sz w:val="22"/>
              </w:rPr>
              <w:t>Agrimec</w:t>
            </w:r>
          </w:p>
        </w:tc>
        <w:tc>
          <w:tcPr>
            <w:tcW w:w="2131" w:type="dxa"/>
            <w:tcBorders>
              <w:top w:val="nil"/>
              <w:left w:val="nil"/>
              <w:bottom w:val="nil"/>
              <w:right w:val="nil"/>
            </w:tcBorders>
          </w:tcPr>
          <w:p>
            <w:pPr>
              <w:pStyle w:val="TableParagraph"/>
              <w:spacing w:line="251" w:lineRule="exact"/>
              <w:ind w:left="580"/>
              <w:rPr>
                <w:sz w:val="22"/>
              </w:rPr>
            </w:pPr>
            <w:r>
              <w:rPr>
                <w:sz w:val="22"/>
              </w:rPr>
              <w:t>Glicósido</w:t>
            </w:r>
          </w:p>
        </w:tc>
        <w:tc>
          <w:tcPr>
            <w:tcW w:w="1603" w:type="dxa"/>
            <w:tcBorders>
              <w:top w:val="nil"/>
              <w:left w:val="nil"/>
              <w:bottom w:val="nil"/>
              <w:right w:val="nil"/>
            </w:tcBorders>
          </w:tcPr>
          <w:p>
            <w:pPr>
              <w:pStyle w:val="TableParagraph"/>
              <w:spacing w:line="252" w:lineRule="exact" w:before="2"/>
              <w:ind w:left="331" w:right="262" w:hanging="111"/>
              <w:rPr>
                <w:sz w:val="22"/>
              </w:rPr>
            </w:pPr>
            <w:r>
              <w:rPr>
                <w:sz w:val="22"/>
              </w:rPr>
              <w:t>Insecticida, acaricida</w:t>
            </w:r>
          </w:p>
        </w:tc>
        <w:tc>
          <w:tcPr>
            <w:tcW w:w="1834" w:type="dxa"/>
            <w:tcBorders>
              <w:top w:val="nil"/>
              <w:left w:val="nil"/>
              <w:bottom w:val="nil"/>
              <w:right w:val="nil"/>
            </w:tcBorders>
          </w:tcPr>
          <w:p>
            <w:pPr>
              <w:pStyle w:val="TableParagraph"/>
              <w:spacing w:line="251" w:lineRule="exact"/>
              <w:ind w:left="735" w:right="627"/>
              <w:jc w:val="center"/>
              <w:rPr>
                <w:sz w:val="22"/>
              </w:rPr>
            </w:pPr>
            <w:r>
              <w:rPr>
                <w:sz w:val="22"/>
              </w:rPr>
              <w:t>20</w:t>
            </w:r>
          </w:p>
        </w:tc>
        <w:tc>
          <w:tcPr>
            <w:tcW w:w="1878" w:type="dxa"/>
            <w:tcBorders>
              <w:top w:val="nil"/>
              <w:left w:val="nil"/>
              <w:bottom w:val="nil"/>
              <w:right w:val="nil"/>
            </w:tcBorders>
          </w:tcPr>
          <w:p>
            <w:pPr>
              <w:pStyle w:val="TableParagraph"/>
              <w:spacing w:line="251" w:lineRule="exact"/>
              <w:ind w:left="144" w:right="91"/>
              <w:jc w:val="center"/>
              <w:rPr>
                <w:sz w:val="22"/>
              </w:rPr>
            </w:pPr>
            <w:r>
              <w:rPr>
                <w:sz w:val="22"/>
              </w:rPr>
              <w:t>Moderadamente</w:t>
            </w:r>
          </w:p>
        </w:tc>
      </w:tr>
      <w:tr>
        <w:trPr>
          <w:trHeight w:val="284" w:hRule="exact"/>
        </w:trPr>
        <w:tc>
          <w:tcPr>
            <w:tcW w:w="1610" w:type="dxa"/>
            <w:tcBorders>
              <w:top w:val="nil"/>
              <w:left w:val="nil"/>
              <w:bottom w:val="nil"/>
              <w:right w:val="nil"/>
            </w:tcBorders>
          </w:tcPr>
          <w:p>
            <w:pPr>
              <w:pStyle w:val="TableParagraph"/>
              <w:spacing w:line="242" w:lineRule="exact"/>
              <w:ind w:left="176" w:right="131"/>
              <w:jc w:val="center"/>
              <w:rPr>
                <w:sz w:val="22"/>
              </w:rPr>
            </w:pPr>
            <w:r>
              <w:rPr>
                <w:sz w:val="22"/>
              </w:rPr>
              <w:t>Tamaron</w:t>
            </w:r>
          </w:p>
        </w:tc>
        <w:tc>
          <w:tcPr>
            <w:tcW w:w="2131" w:type="dxa"/>
            <w:tcBorders>
              <w:top w:val="nil"/>
              <w:left w:val="nil"/>
              <w:bottom w:val="nil"/>
              <w:right w:val="nil"/>
            </w:tcBorders>
          </w:tcPr>
          <w:p>
            <w:pPr>
              <w:pStyle w:val="TableParagraph"/>
              <w:spacing w:line="242" w:lineRule="exact"/>
              <w:ind w:left="153"/>
              <w:rPr>
                <w:sz w:val="22"/>
              </w:rPr>
            </w:pPr>
            <w:r>
              <w:rPr>
                <w:sz w:val="22"/>
              </w:rPr>
              <w:t>Organofosforados</w:t>
            </w:r>
          </w:p>
        </w:tc>
        <w:tc>
          <w:tcPr>
            <w:tcW w:w="1603" w:type="dxa"/>
            <w:tcBorders>
              <w:top w:val="nil"/>
              <w:left w:val="nil"/>
              <w:bottom w:val="nil"/>
              <w:right w:val="nil"/>
            </w:tcBorders>
          </w:tcPr>
          <w:p>
            <w:pPr>
              <w:pStyle w:val="TableParagraph"/>
              <w:spacing w:line="242" w:lineRule="exact"/>
              <w:ind w:left="252" w:right="262"/>
              <w:rPr>
                <w:sz w:val="22"/>
              </w:rPr>
            </w:pPr>
            <w:r>
              <w:rPr>
                <w:sz w:val="22"/>
              </w:rPr>
              <w:t>Insecticida</w:t>
            </w:r>
          </w:p>
        </w:tc>
        <w:tc>
          <w:tcPr>
            <w:tcW w:w="1834" w:type="dxa"/>
            <w:tcBorders>
              <w:top w:val="nil"/>
              <w:left w:val="nil"/>
              <w:bottom w:val="nil"/>
              <w:right w:val="nil"/>
            </w:tcBorders>
          </w:tcPr>
          <w:p>
            <w:pPr>
              <w:pStyle w:val="TableParagraph"/>
              <w:spacing w:line="242" w:lineRule="exact"/>
              <w:ind w:left="738" w:right="627"/>
              <w:jc w:val="center"/>
              <w:rPr>
                <w:sz w:val="22"/>
              </w:rPr>
            </w:pPr>
            <w:r>
              <w:rPr>
                <w:sz w:val="22"/>
              </w:rPr>
              <w:t>17.5</w:t>
            </w:r>
          </w:p>
        </w:tc>
        <w:tc>
          <w:tcPr>
            <w:tcW w:w="1878" w:type="dxa"/>
            <w:tcBorders>
              <w:top w:val="nil"/>
              <w:left w:val="nil"/>
              <w:bottom w:val="nil"/>
              <w:right w:val="nil"/>
            </w:tcBorders>
          </w:tcPr>
          <w:p>
            <w:pPr>
              <w:pStyle w:val="TableParagraph"/>
              <w:spacing w:line="242" w:lineRule="exact"/>
              <w:ind w:left="144" w:right="90"/>
              <w:jc w:val="center"/>
              <w:rPr>
                <w:sz w:val="22"/>
              </w:rPr>
            </w:pPr>
            <w:r>
              <w:rPr>
                <w:sz w:val="22"/>
              </w:rPr>
              <w:t>Altamente</w:t>
            </w:r>
          </w:p>
        </w:tc>
      </w:tr>
      <w:tr>
        <w:trPr>
          <w:trHeight w:val="299" w:hRule="exact"/>
        </w:trPr>
        <w:tc>
          <w:tcPr>
            <w:tcW w:w="1610" w:type="dxa"/>
            <w:tcBorders>
              <w:top w:val="nil"/>
              <w:left w:val="nil"/>
              <w:bottom w:val="nil"/>
              <w:right w:val="nil"/>
            </w:tcBorders>
          </w:tcPr>
          <w:p>
            <w:pPr>
              <w:pStyle w:val="TableParagraph"/>
              <w:spacing w:before="19"/>
              <w:ind w:left="175" w:right="133"/>
              <w:jc w:val="center"/>
              <w:rPr>
                <w:sz w:val="22"/>
              </w:rPr>
            </w:pPr>
            <w:r>
              <w:rPr>
                <w:sz w:val="22"/>
              </w:rPr>
              <w:t>Benlate</w:t>
            </w:r>
          </w:p>
        </w:tc>
        <w:tc>
          <w:tcPr>
            <w:tcW w:w="2131" w:type="dxa"/>
            <w:tcBorders>
              <w:top w:val="nil"/>
              <w:left w:val="nil"/>
              <w:bottom w:val="nil"/>
              <w:right w:val="nil"/>
            </w:tcBorders>
          </w:tcPr>
          <w:p>
            <w:pPr>
              <w:pStyle w:val="TableParagraph"/>
              <w:spacing w:before="19"/>
              <w:ind w:left="576"/>
              <w:rPr>
                <w:sz w:val="22"/>
              </w:rPr>
            </w:pPr>
            <w:r>
              <w:rPr>
                <w:sz w:val="22"/>
              </w:rPr>
              <w:t>Benomilo</w:t>
            </w:r>
          </w:p>
        </w:tc>
        <w:tc>
          <w:tcPr>
            <w:tcW w:w="1603" w:type="dxa"/>
            <w:tcBorders>
              <w:top w:val="nil"/>
              <w:left w:val="nil"/>
              <w:bottom w:val="nil"/>
              <w:right w:val="nil"/>
            </w:tcBorders>
          </w:tcPr>
          <w:p>
            <w:pPr>
              <w:pStyle w:val="TableParagraph"/>
              <w:spacing w:before="19"/>
              <w:ind w:left="295" w:right="262"/>
              <w:rPr>
                <w:sz w:val="22"/>
              </w:rPr>
            </w:pPr>
            <w:r>
              <w:rPr>
                <w:sz w:val="22"/>
              </w:rPr>
              <w:t>Fungicida</w:t>
            </w:r>
          </w:p>
        </w:tc>
        <w:tc>
          <w:tcPr>
            <w:tcW w:w="1834" w:type="dxa"/>
            <w:tcBorders>
              <w:top w:val="nil"/>
              <w:left w:val="nil"/>
              <w:bottom w:val="nil"/>
              <w:right w:val="nil"/>
            </w:tcBorders>
          </w:tcPr>
          <w:p>
            <w:pPr>
              <w:pStyle w:val="TableParagraph"/>
              <w:spacing w:before="19"/>
              <w:ind w:left="735" w:right="627"/>
              <w:jc w:val="center"/>
              <w:rPr>
                <w:sz w:val="22"/>
              </w:rPr>
            </w:pPr>
            <w:r>
              <w:rPr>
                <w:sz w:val="22"/>
              </w:rPr>
              <w:t>15</w:t>
            </w:r>
          </w:p>
        </w:tc>
        <w:tc>
          <w:tcPr>
            <w:tcW w:w="1878" w:type="dxa"/>
            <w:tcBorders>
              <w:top w:val="nil"/>
              <w:left w:val="nil"/>
              <w:bottom w:val="nil"/>
              <w:right w:val="nil"/>
            </w:tcBorders>
          </w:tcPr>
          <w:p>
            <w:pPr>
              <w:pStyle w:val="TableParagraph"/>
              <w:spacing w:before="19"/>
              <w:ind w:left="143" w:right="91"/>
              <w:jc w:val="center"/>
              <w:rPr>
                <w:sz w:val="22"/>
              </w:rPr>
            </w:pPr>
            <w:r>
              <w:rPr>
                <w:sz w:val="22"/>
              </w:rPr>
              <w:t>Precaución</w:t>
            </w:r>
          </w:p>
        </w:tc>
      </w:tr>
      <w:tr>
        <w:trPr>
          <w:trHeight w:val="283" w:hRule="exact"/>
        </w:trPr>
        <w:tc>
          <w:tcPr>
            <w:tcW w:w="1610" w:type="dxa"/>
            <w:tcBorders>
              <w:top w:val="nil"/>
              <w:left w:val="nil"/>
              <w:bottom w:val="nil"/>
              <w:right w:val="nil"/>
            </w:tcBorders>
          </w:tcPr>
          <w:p>
            <w:pPr>
              <w:pStyle w:val="TableParagraph"/>
              <w:spacing w:before="3"/>
              <w:ind w:left="176" w:right="130"/>
              <w:jc w:val="center"/>
              <w:rPr>
                <w:sz w:val="22"/>
              </w:rPr>
            </w:pPr>
            <w:r>
              <w:rPr>
                <w:sz w:val="22"/>
              </w:rPr>
              <w:t>Cascade</w:t>
            </w:r>
          </w:p>
        </w:tc>
        <w:tc>
          <w:tcPr>
            <w:tcW w:w="2131" w:type="dxa"/>
            <w:tcBorders>
              <w:top w:val="nil"/>
              <w:left w:val="nil"/>
              <w:bottom w:val="nil"/>
              <w:right w:val="nil"/>
            </w:tcBorders>
          </w:tcPr>
          <w:p>
            <w:pPr>
              <w:pStyle w:val="TableParagraph"/>
              <w:spacing w:before="3"/>
              <w:ind w:left="489"/>
              <w:rPr>
                <w:sz w:val="22"/>
              </w:rPr>
            </w:pPr>
            <w:r>
              <w:rPr>
                <w:sz w:val="22"/>
              </w:rPr>
              <w:t>Carbamato</w:t>
            </w:r>
          </w:p>
        </w:tc>
        <w:tc>
          <w:tcPr>
            <w:tcW w:w="1603" w:type="dxa"/>
            <w:tcBorders>
              <w:top w:val="nil"/>
              <w:left w:val="nil"/>
              <w:bottom w:val="nil"/>
              <w:right w:val="nil"/>
            </w:tcBorders>
          </w:tcPr>
          <w:p>
            <w:pPr>
              <w:pStyle w:val="TableParagraph"/>
              <w:spacing w:before="3"/>
              <w:ind w:left="252" w:right="262"/>
              <w:rPr>
                <w:sz w:val="22"/>
              </w:rPr>
            </w:pPr>
            <w:r>
              <w:rPr>
                <w:sz w:val="22"/>
              </w:rPr>
              <w:t>Insecticida</w:t>
            </w:r>
          </w:p>
        </w:tc>
        <w:tc>
          <w:tcPr>
            <w:tcW w:w="1834" w:type="dxa"/>
            <w:tcBorders>
              <w:top w:val="nil"/>
              <w:left w:val="nil"/>
              <w:bottom w:val="nil"/>
              <w:right w:val="nil"/>
            </w:tcBorders>
          </w:tcPr>
          <w:p>
            <w:pPr>
              <w:pStyle w:val="TableParagraph"/>
              <w:spacing w:before="3"/>
              <w:ind w:left="738" w:right="627"/>
              <w:jc w:val="center"/>
              <w:rPr>
                <w:sz w:val="22"/>
              </w:rPr>
            </w:pPr>
            <w:r>
              <w:rPr>
                <w:sz w:val="22"/>
              </w:rPr>
              <w:t>12.5</w:t>
            </w:r>
          </w:p>
        </w:tc>
        <w:tc>
          <w:tcPr>
            <w:tcW w:w="1878" w:type="dxa"/>
            <w:tcBorders>
              <w:top w:val="nil"/>
              <w:left w:val="nil"/>
              <w:bottom w:val="nil"/>
              <w:right w:val="nil"/>
            </w:tcBorders>
          </w:tcPr>
          <w:p>
            <w:pPr>
              <w:pStyle w:val="TableParagraph"/>
              <w:spacing w:before="3"/>
              <w:ind w:left="144" w:right="88"/>
              <w:jc w:val="center"/>
              <w:rPr>
                <w:sz w:val="22"/>
              </w:rPr>
            </w:pPr>
            <w:r>
              <w:rPr>
                <w:sz w:val="22"/>
              </w:rPr>
              <w:t>Ligeramente</w:t>
            </w:r>
          </w:p>
        </w:tc>
      </w:tr>
      <w:tr>
        <w:trPr>
          <w:trHeight w:val="553" w:hRule="exact"/>
        </w:trPr>
        <w:tc>
          <w:tcPr>
            <w:tcW w:w="1610" w:type="dxa"/>
            <w:tcBorders>
              <w:top w:val="nil"/>
              <w:left w:val="nil"/>
              <w:bottom w:val="nil"/>
              <w:right w:val="nil"/>
            </w:tcBorders>
          </w:tcPr>
          <w:p>
            <w:pPr>
              <w:pStyle w:val="TableParagraph"/>
              <w:spacing w:before="3"/>
              <w:ind w:left="176" w:right="131"/>
              <w:jc w:val="center"/>
              <w:rPr>
                <w:sz w:val="22"/>
              </w:rPr>
            </w:pPr>
            <w:r>
              <w:rPr>
                <w:sz w:val="22"/>
              </w:rPr>
              <w:t>Nuvacron</w:t>
            </w:r>
          </w:p>
        </w:tc>
        <w:tc>
          <w:tcPr>
            <w:tcW w:w="2131" w:type="dxa"/>
            <w:tcBorders>
              <w:top w:val="nil"/>
              <w:left w:val="nil"/>
              <w:bottom w:val="nil"/>
              <w:right w:val="nil"/>
            </w:tcBorders>
          </w:tcPr>
          <w:p>
            <w:pPr>
              <w:pStyle w:val="TableParagraph"/>
              <w:spacing w:before="3"/>
              <w:ind w:left="208"/>
              <w:rPr>
                <w:sz w:val="22"/>
              </w:rPr>
            </w:pPr>
            <w:r>
              <w:rPr>
                <w:sz w:val="22"/>
              </w:rPr>
              <w:t>Organofosforado</w:t>
            </w:r>
          </w:p>
        </w:tc>
        <w:tc>
          <w:tcPr>
            <w:tcW w:w="1603" w:type="dxa"/>
            <w:tcBorders>
              <w:top w:val="nil"/>
              <w:left w:val="nil"/>
              <w:bottom w:val="nil"/>
              <w:right w:val="nil"/>
            </w:tcBorders>
          </w:tcPr>
          <w:p>
            <w:pPr>
              <w:pStyle w:val="TableParagraph"/>
              <w:spacing w:before="3"/>
              <w:ind w:left="331" w:right="257" w:hanging="118"/>
              <w:rPr>
                <w:sz w:val="22"/>
              </w:rPr>
            </w:pPr>
            <w:r>
              <w:rPr>
                <w:sz w:val="22"/>
              </w:rPr>
              <w:t>Insecticida- acaricida</w:t>
            </w:r>
          </w:p>
        </w:tc>
        <w:tc>
          <w:tcPr>
            <w:tcW w:w="1834" w:type="dxa"/>
            <w:tcBorders>
              <w:top w:val="nil"/>
              <w:left w:val="nil"/>
              <w:bottom w:val="nil"/>
              <w:right w:val="nil"/>
            </w:tcBorders>
          </w:tcPr>
          <w:p>
            <w:pPr>
              <w:pStyle w:val="TableParagraph"/>
              <w:spacing w:before="3"/>
              <w:ind w:left="735" w:right="627"/>
              <w:jc w:val="center"/>
              <w:rPr>
                <w:sz w:val="22"/>
              </w:rPr>
            </w:pPr>
            <w:r>
              <w:rPr>
                <w:sz w:val="22"/>
              </w:rPr>
              <w:t>10</w:t>
            </w:r>
          </w:p>
        </w:tc>
        <w:tc>
          <w:tcPr>
            <w:tcW w:w="1878" w:type="dxa"/>
            <w:tcBorders>
              <w:top w:val="nil"/>
              <w:left w:val="nil"/>
              <w:bottom w:val="nil"/>
              <w:right w:val="nil"/>
            </w:tcBorders>
          </w:tcPr>
          <w:p>
            <w:pPr>
              <w:pStyle w:val="TableParagraph"/>
              <w:spacing w:before="3"/>
              <w:ind w:left="144" w:right="90"/>
              <w:jc w:val="center"/>
              <w:rPr>
                <w:sz w:val="22"/>
              </w:rPr>
            </w:pPr>
            <w:r>
              <w:rPr>
                <w:sz w:val="22"/>
              </w:rPr>
              <w:t>Altamente</w:t>
            </w:r>
          </w:p>
        </w:tc>
      </w:tr>
      <w:tr>
        <w:trPr>
          <w:trHeight w:val="289" w:hRule="exact"/>
        </w:trPr>
        <w:tc>
          <w:tcPr>
            <w:tcW w:w="1610" w:type="dxa"/>
            <w:tcBorders>
              <w:top w:val="nil"/>
              <w:left w:val="nil"/>
              <w:bottom w:val="nil"/>
              <w:right w:val="nil"/>
            </w:tcBorders>
          </w:tcPr>
          <w:p>
            <w:pPr>
              <w:pStyle w:val="TableParagraph"/>
              <w:spacing w:before="19"/>
              <w:ind w:left="176" w:right="130"/>
              <w:jc w:val="center"/>
              <w:rPr>
                <w:sz w:val="22"/>
              </w:rPr>
            </w:pPr>
            <w:r>
              <w:rPr>
                <w:sz w:val="22"/>
              </w:rPr>
              <w:t>Talstar</w:t>
            </w:r>
          </w:p>
        </w:tc>
        <w:tc>
          <w:tcPr>
            <w:tcW w:w="2131" w:type="dxa"/>
            <w:tcBorders>
              <w:top w:val="nil"/>
              <w:left w:val="nil"/>
              <w:bottom w:val="nil"/>
              <w:right w:val="nil"/>
            </w:tcBorders>
          </w:tcPr>
          <w:p>
            <w:pPr>
              <w:pStyle w:val="TableParagraph"/>
              <w:spacing w:before="19"/>
              <w:ind w:left="564"/>
              <w:rPr>
                <w:sz w:val="22"/>
              </w:rPr>
            </w:pPr>
            <w:r>
              <w:rPr>
                <w:sz w:val="22"/>
              </w:rPr>
              <w:t>Piretroide</w:t>
            </w:r>
          </w:p>
        </w:tc>
        <w:tc>
          <w:tcPr>
            <w:tcW w:w="1603" w:type="dxa"/>
            <w:tcBorders>
              <w:top w:val="nil"/>
              <w:left w:val="nil"/>
              <w:bottom w:val="nil"/>
              <w:right w:val="nil"/>
            </w:tcBorders>
          </w:tcPr>
          <w:p>
            <w:pPr>
              <w:pStyle w:val="TableParagraph"/>
              <w:spacing w:before="19"/>
              <w:ind w:left="252" w:right="262"/>
              <w:rPr>
                <w:sz w:val="22"/>
              </w:rPr>
            </w:pPr>
            <w:r>
              <w:rPr>
                <w:sz w:val="22"/>
              </w:rPr>
              <w:t>Insecticida</w:t>
            </w:r>
          </w:p>
        </w:tc>
        <w:tc>
          <w:tcPr>
            <w:tcW w:w="1834" w:type="dxa"/>
            <w:tcBorders>
              <w:top w:val="nil"/>
              <w:left w:val="nil"/>
              <w:bottom w:val="nil"/>
              <w:right w:val="nil"/>
            </w:tcBorders>
          </w:tcPr>
          <w:p>
            <w:pPr>
              <w:pStyle w:val="TableParagraph"/>
              <w:spacing w:before="19"/>
              <w:ind w:left="735" w:right="627"/>
              <w:jc w:val="center"/>
              <w:rPr>
                <w:sz w:val="22"/>
              </w:rPr>
            </w:pPr>
            <w:r>
              <w:rPr>
                <w:sz w:val="22"/>
              </w:rPr>
              <w:t>10</w:t>
            </w:r>
          </w:p>
        </w:tc>
        <w:tc>
          <w:tcPr>
            <w:tcW w:w="1878" w:type="dxa"/>
            <w:tcBorders>
              <w:top w:val="nil"/>
              <w:left w:val="nil"/>
              <w:bottom w:val="nil"/>
              <w:right w:val="nil"/>
            </w:tcBorders>
          </w:tcPr>
          <w:p>
            <w:pPr>
              <w:pStyle w:val="TableParagraph"/>
              <w:spacing w:before="19"/>
              <w:ind w:left="144" w:right="91"/>
              <w:jc w:val="center"/>
              <w:rPr>
                <w:sz w:val="22"/>
              </w:rPr>
            </w:pPr>
            <w:r>
              <w:rPr>
                <w:sz w:val="22"/>
              </w:rPr>
              <w:t>Moderadamente</w:t>
            </w:r>
          </w:p>
        </w:tc>
      </w:tr>
      <w:tr>
        <w:trPr>
          <w:trHeight w:val="258" w:hRule="exact"/>
        </w:trPr>
        <w:tc>
          <w:tcPr>
            <w:tcW w:w="1610" w:type="dxa"/>
            <w:tcBorders>
              <w:top w:val="nil"/>
              <w:left w:val="nil"/>
              <w:bottom w:val="nil"/>
              <w:right w:val="nil"/>
            </w:tcBorders>
          </w:tcPr>
          <w:p>
            <w:pPr>
              <w:pStyle w:val="TableParagraph"/>
              <w:spacing w:line="247" w:lineRule="exact"/>
              <w:ind w:left="176" w:right="131"/>
              <w:jc w:val="center"/>
              <w:rPr>
                <w:sz w:val="22"/>
              </w:rPr>
            </w:pPr>
            <w:r>
              <w:rPr>
                <w:sz w:val="22"/>
              </w:rPr>
              <w:t>Tecto</w:t>
            </w:r>
          </w:p>
        </w:tc>
        <w:tc>
          <w:tcPr>
            <w:tcW w:w="2131" w:type="dxa"/>
            <w:tcBorders>
              <w:top w:val="nil"/>
              <w:left w:val="nil"/>
              <w:bottom w:val="nil"/>
              <w:right w:val="nil"/>
            </w:tcBorders>
          </w:tcPr>
          <w:p>
            <w:pPr>
              <w:pStyle w:val="TableParagraph"/>
              <w:spacing w:line="247" w:lineRule="exact"/>
              <w:ind w:left="379"/>
              <w:rPr>
                <w:sz w:val="22"/>
              </w:rPr>
            </w:pPr>
            <w:r>
              <w:rPr>
                <w:sz w:val="22"/>
              </w:rPr>
              <w:t>Bencimidazol</w:t>
            </w:r>
          </w:p>
        </w:tc>
        <w:tc>
          <w:tcPr>
            <w:tcW w:w="1603" w:type="dxa"/>
            <w:tcBorders>
              <w:top w:val="nil"/>
              <w:left w:val="nil"/>
              <w:bottom w:val="nil"/>
              <w:right w:val="nil"/>
            </w:tcBorders>
          </w:tcPr>
          <w:p>
            <w:pPr>
              <w:pStyle w:val="TableParagraph"/>
              <w:spacing w:line="247" w:lineRule="exact"/>
              <w:ind w:left="295" w:right="262"/>
              <w:rPr>
                <w:sz w:val="22"/>
              </w:rPr>
            </w:pPr>
            <w:r>
              <w:rPr>
                <w:sz w:val="22"/>
              </w:rPr>
              <w:t>Fungicida</w:t>
            </w:r>
          </w:p>
        </w:tc>
        <w:tc>
          <w:tcPr>
            <w:tcW w:w="1834" w:type="dxa"/>
            <w:tcBorders>
              <w:top w:val="nil"/>
              <w:left w:val="nil"/>
              <w:bottom w:val="nil"/>
              <w:right w:val="nil"/>
            </w:tcBorders>
          </w:tcPr>
          <w:p>
            <w:pPr>
              <w:pStyle w:val="TableParagraph"/>
              <w:spacing w:line="247" w:lineRule="exact"/>
              <w:ind w:left="735" w:right="627"/>
              <w:jc w:val="center"/>
              <w:rPr>
                <w:sz w:val="22"/>
              </w:rPr>
            </w:pPr>
            <w:r>
              <w:rPr>
                <w:sz w:val="22"/>
              </w:rPr>
              <w:t>10</w:t>
            </w:r>
          </w:p>
        </w:tc>
        <w:tc>
          <w:tcPr>
            <w:tcW w:w="1878" w:type="dxa"/>
            <w:tcBorders>
              <w:top w:val="nil"/>
              <w:left w:val="nil"/>
              <w:bottom w:val="nil"/>
              <w:right w:val="nil"/>
            </w:tcBorders>
          </w:tcPr>
          <w:p>
            <w:pPr>
              <w:pStyle w:val="TableParagraph"/>
              <w:spacing w:line="247" w:lineRule="exact"/>
              <w:ind w:left="144" w:right="88"/>
              <w:jc w:val="center"/>
              <w:rPr>
                <w:sz w:val="22"/>
              </w:rPr>
            </w:pPr>
            <w:r>
              <w:rPr>
                <w:sz w:val="22"/>
              </w:rPr>
              <w:t>Ligeramente</w:t>
            </w:r>
          </w:p>
        </w:tc>
      </w:tr>
      <w:tr>
        <w:trPr>
          <w:trHeight w:val="505" w:hRule="exact"/>
        </w:trPr>
        <w:tc>
          <w:tcPr>
            <w:tcW w:w="1610" w:type="dxa"/>
            <w:tcBorders>
              <w:top w:val="nil"/>
              <w:left w:val="nil"/>
              <w:bottom w:val="nil"/>
              <w:right w:val="nil"/>
            </w:tcBorders>
          </w:tcPr>
          <w:p>
            <w:pPr>
              <w:pStyle w:val="TableParagraph"/>
              <w:spacing w:line="241" w:lineRule="exact"/>
              <w:ind w:left="176" w:right="130"/>
              <w:jc w:val="center"/>
              <w:rPr>
                <w:sz w:val="22"/>
              </w:rPr>
            </w:pPr>
            <w:r>
              <w:rPr>
                <w:sz w:val="22"/>
              </w:rPr>
              <w:t>Curacron</w:t>
            </w:r>
          </w:p>
        </w:tc>
        <w:tc>
          <w:tcPr>
            <w:tcW w:w="2131" w:type="dxa"/>
            <w:tcBorders>
              <w:top w:val="nil"/>
              <w:left w:val="nil"/>
              <w:bottom w:val="nil"/>
              <w:right w:val="nil"/>
            </w:tcBorders>
          </w:tcPr>
          <w:p>
            <w:pPr>
              <w:pStyle w:val="TableParagraph"/>
              <w:spacing w:line="241" w:lineRule="exact"/>
              <w:ind w:left="208"/>
              <w:rPr>
                <w:sz w:val="22"/>
              </w:rPr>
            </w:pPr>
            <w:r>
              <w:rPr>
                <w:sz w:val="22"/>
              </w:rPr>
              <w:t>Organofosforado</w:t>
            </w:r>
          </w:p>
        </w:tc>
        <w:tc>
          <w:tcPr>
            <w:tcW w:w="1603" w:type="dxa"/>
            <w:tcBorders>
              <w:top w:val="nil"/>
              <w:left w:val="nil"/>
              <w:bottom w:val="nil"/>
              <w:right w:val="nil"/>
            </w:tcBorders>
          </w:tcPr>
          <w:p>
            <w:pPr>
              <w:pStyle w:val="TableParagraph"/>
              <w:ind w:left="331" w:right="257" w:hanging="118"/>
              <w:rPr>
                <w:sz w:val="22"/>
              </w:rPr>
            </w:pPr>
            <w:r>
              <w:rPr>
                <w:sz w:val="22"/>
              </w:rPr>
              <w:t>Insecticida- acaricida</w:t>
            </w:r>
          </w:p>
        </w:tc>
        <w:tc>
          <w:tcPr>
            <w:tcW w:w="1834" w:type="dxa"/>
            <w:tcBorders>
              <w:top w:val="nil"/>
              <w:left w:val="nil"/>
              <w:bottom w:val="nil"/>
              <w:right w:val="nil"/>
            </w:tcBorders>
          </w:tcPr>
          <w:p>
            <w:pPr>
              <w:pStyle w:val="TableParagraph"/>
              <w:spacing w:line="241" w:lineRule="exact"/>
              <w:ind w:left="735" w:right="627"/>
              <w:jc w:val="center"/>
              <w:rPr>
                <w:sz w:val="22"/>
              </w:rPr>
            </w:pPr>
            <w:r>
              <w:rPr>
                <w:sz w:val="22"/>
              </w:rPr>
              <w:t>7.5</w:t>
            </w:r>
          </w:p>
        </w:tc>
        <w:tc>
          <w:tcPr>
            <w:tcW w:w="1878" w:type="dxa"/>
            <w:tcBorders>
              <w:top w:val="nil"/>
              <w:left w:val="nil"/>
              <w:bottom w:val="nil"/>
              <w:right w:val="nil"/>
            </w:tcBorders>
          </w:tcPr>
          <w:p>
            <w:pPr>
              <w:pStyle w:val="TableParagraph"/>
              <w:spacing w:line="241" w:lineRule="exact"/>
              <w:ind w:left="144" w:right="91"/>
              <w:jc w:val="center"/>
              <w:rPr>
                <w:sz w:val="22"/>
              </w:rPr>
            </w:pPr>
            <w:r>
              <w:rPr>
                <w:sz w:val="22"/>
              </w:rPr>
              <w:t>Moderadamente</w:t>
            </w:r>
          </w:p>
        </w:tc>
      </w:tr>
      <w:tr>
        <w:trPr>
          <w:trHeight w:val="284" w:hRule="exact"/>
        </w:trPr>
        <w:tc>
          <w:tcPr>
            <w:tcW w:w="1610" w:type="dxa"/>
            <w:tcBorders>
              <w:top w:val="nil"/>
              <w:left w:val="nil"/>
              <w:bottom w:val="nil"/>
              <w:right w:val="nil"/>
            </w:tcBorders>
          </w:tcPr>
          <w:p>
            <w:pPr>
              <w:pStyle w:val="TableParagraph"/>
              <w:spacing w:line="242" w:lineRule="exact"/>
              <w:ind w:left="175" w:right="133"/>
              <w:jc w:val="center"/>
              <w:rPr>
                <w:sz w:val="22"/>
              </w:rPr>
            </w:pPr>
            <w:r>
              <w:rPr>
                <w:sz w:val="22"/>
              </w:rPr>
              <w:t>Folpet</w:t>
            </w:r>
          </w:p>
        </w:tc>
        <w:tc>
          <w:tcPr>
            <w:tcW w:w="2131" w:type="dxa"/>
            <w:tcBorders>
              <w:top w:val="nil"/>
              <w:left w:val="nil"/>
              <w:bottom w:val="nil"/>
              <w:right w:val="nil"/>
            </w:tcBorders>
          </w:tcPr>
          <w:p>
            <w:pPr>
              <w:pStyle w:val="TableParagraph"/>
              <w:spacing w:line="242" w:lineRule="exact"/>
              <w:ind w:left="496"/>
              <w:rPr>
                <w:sz w:val="22"/>
              </w:rPr>
            </w:pPr>
            <w:r>
              <w:rPr>
                <w:sz w:val="22"/>
              </w:rPr>
              <w:t>Ftalamidas</w:t>
            </w:r>
          </w:p>
        </w:tc>
        <w:tc>
          <w:tcPr>
            <w:tcW w:w="1603" w:type="dxa"/>
            <w:tcBorders>
              <w:top w:val="nil"/>
              <w:left w:val="nil"/>
              <w:bottom w:val="nil"/>
              <w:right w:val="nil"/>
            </w:tcBorders>
          </w:tcPr>
          <w:p>
            <w:pPr>
              <w:pStyle w:val="TableParagraph"/>
              <w:spacing w:line="242" w:lineRule="exact"/>
              <w:ind w:left="295" w:right="262"/>
              <w:rPr>
                <w:sz w:val="22"/>
              </w:rPr>
            </w:pPr>
            <w:r>
              <w:rPr>
                <w:sz w:val="22"/>
              </w:rPr>
              <w:t>Fungicida</w:t>
            </w:r>
          </w:p>
        </w:tc>
        <w:tc>
          <w:tcPr>
            <w:tcW w:w="1834" w:type="dxa"/>
            <w:tcBorders>
              <w:top w:val="nil"/>
              <w:left w:val="nil"/>
              <w:bottom w:val="nil"/>
              <w:right w:val="nil"/>
            </w:tcBorders>
          </w:tcPr>
          <w:p>
            <w:pPr>
              <w:pStyle w:val="TableParagraph"/>
              <w:spacing w:line="242" w:lineRule="exact"/>
              <w:ind w:left="735" w:right="627"/>
              <w:jc w:val="center"/>
              <w:rPr>
                <w:sz w:val="22"/>
              </w:rPr>
            </w:pPr>
            <w:r>
              <w:rPr>
                <w:sz w:val="22"/>
              </w:rPr>
              <w:t>7.5</w:t>
            </w:r>
          </w:p>
        </w:tc>
        <w:tc>
          <w:tcPr>
            <w:tcW w:w="1878" w:type="dxa"/>
            <w:tcBorders>
              <w:top w:val="nil"/>
              <w:left w:val="nil"/>
              <w:bottom w:val="nil"/>
              <w:right w:val="nil"/>
            </w:tcBorders>
          </w:tcPr>
          <w:p>
            <w:pPr>
              <w:pStyle w:val="TableParagraph"/>
              <w:spacing w:line="242" w:lineRule="exact"/>
              <w:ind w:left="143" w:right="91"/>
              <w:jc w:val="center"/>
              <w:rPr>
                <w:sz w:val="22"/>
              </w:rPr>
            </w:pPr>
            <w:r>
              <w:rPr>
                <w:sz w:val="22"/>
              </w:rPr>
              <w:t>Precaución</w:t>
            </w:r>
          </w:p>
        </w:tc>
      </w:tr>
      <w:tr>
        <w:trPr>
          <w:trHeight w:val="296" w:hRule="exact"/>
        </w:trPr>
        <w:tc>
          <w:tcPr>
            <w:tcW w:w="1610" w:type="dxa"/>
            <w:tcBorders>
              <w:top w:val="nil"/>
              <w:left w:val="nil"/>
              <w:bottom w:val="nil"/>
              <w:right w:val="nil"/>
            </w:tcBorders>
          </w:tcPr>
          <w:p>
            <w:pPr>
              <w:pStyle w:val="TableParagraph"/>
              <w:spacing w:before="19"/>
              <w:ind w:left="176" w:right="131"/>
              <w:jc w:val="center"/>
              <w:rPr>
                <w:sz w:val="22"/>
              </w:rPr>
            </w:pPr>
            <w:r>
              <w:rPr>
                <w:sz w:val="22"/>
              </w:rPr>
              <w:t>Pentaclor</w:t>
            </w:r>
          </w:p>
        </w:tc>
        <w:tc>
          <w:tcPr>
            <w:tcW w:w="2131" w:type="dxa"/>
            <w:tcBorders>
              <w:top w:val="nil"/>
              <w:left w:val="nil"/>
              <w:bottom w:val="nil"/>
              <w:right w:val="nil"/>
            </w:tcBorders>
          </w:tcPr>
          <w:p>
            <w:pPr>
              <w:pStyle w:val="TableParagraph"/>
              <w:spacing w:before="19"/>
              <w:ind w:left="307"/>
              <w:rPr>
                <w:sz w:val="22"/>
              </w:rPr>
            </w:pPr>
            <w:r>
              <w:rPr>
                <w:sz w:val="22"/>
              </w:rPr>
              <w:t>Organoclorado</w:t>
            </w:r>
          </w:p>
        </w:tc>
        <w:tc>
          <w:tcPr>
            <w:tcW w:w="1603" w:type="dxa"/>
            <w:tcBorders>
              <w:top w:val="nil"/>
              <w:left w:val="nil"/>
              <w:bottom w:val="nil"/>
              <w:right w:val="nil"/>
            </w:tcBorders>
          </w:tcPr>
          <w:p>
            <w:pPr>
              <w:pStyle w:val="TableParagraph"/>
              <w:spacing w:before="19"/>
              <w:ind w:left="295" w:right="262"/>
              <w:rPr>
                <w:sz w:val="22"/>
              </w:rPr>
            </w:pPr>
            <w:r>
              <w:rPr>
                <w:sz w:val="22"/>
              </w:rPr>
              <w:t>Fungicida</w:t>
            </w:r>
          </w:p>
        </w:tc>
        <w:tc>
          <w:tcPr>
            <w:tcW w:w="1834" w:type="dxa"/>
            <w:tcBorders>
              <w:top w:val="nil"/>
              <w:left w:val="nil"/>
              <w:bottom w:val="nil"/>
              <w:right w:val="nil"/>
            </w:tcBorders>
          </w:tcPr>
          <w:p>
            <w:pPr>
              <w:pStyle w:val="TableParagraph"/>
              <w:spacing w:before="19"/>
              <w:ind w:left="735" w:right="627"/>
              <w:jc w:val="center"/>
              <w:rPr>
                <w:sz w:val="22"/>
              </w:rPr>
            </w:pPr>
            <w:r>
              <w:rPr>
                <w:sz w:val="22"/>
              </w:rPr>
              <w:t>7.5</w:t>
            </w:r>
          </w:p>
        </w:tc>
        <w:tc>
          <w:tcPr>
            <w:tcW w:w="1878" w:type="dxa"/>
            <w:tcBorders>
              <w:top w:val="nil"/>
              <w:left w:val="nil"/>
              <w:bottom w:val="nil"/>
              <w:right w:val="nil"/>
            </w:tcBorders>
          </w:tcPr>
          <w:p>
            <w:pPr>
              <w:pStyle w:val="TableParagraph"/>
              <w:spacing w:before="19"/>
              <w:ind w:left="143" w:right="91"/>
              <w:jc w:val="center"/>
              <w:rPr>
                <w:sz w:val="22"/>
              </w:rPr>
            </w:pPr>
            <w:r>
              <w:rPr>
                <w:sz w:val="22"/>
              </w:rPr>
              <w:t>Precaución</w:t>
            </w:r>
          </w:p>
        </w:tc>
      </w:tr>
      <w:tr>
        <w:trPr>
          <w:trHeight w:val="273" w:hRule="exact"/>
        </w:trPr>
        <w:tc>
          <w:tcPr>
            <w:tcW w:w="1610" w:type="dxa"/>
            <w:tcBorders>
              <w:top w:val="nil"/>
              <w:left w:val="nil"/>
              <w:bottom w:val="nil"/>
              <w:right w:val="nil"/>
            </w:tcBorders>
          </w:tcPr>
          <w:p>
            <w:pPr>
              <w:pStyle w:val="TableParagraph"/>
              <w:spacing w:before="1"/>
              <w:ind w:left="174" w:right="133"/>
              <w:jc w:val="center"/>
              <w:rPr>
                <w:sz w:val="22"/>
              </w:rPr>
            </w:pPr>
            <w:r>
              <w:rPr>
                <w:sz w:val="22"/>
              </w:rPr>
              <w:t>Clorotalonil</w:t>
            </w:r>
          </w:p>
        </w:tc>
        <w:tc>
          <w:tcPr>
            <w:tcW w:w="2131" w:type="dxa"/>
            <w:tcBorders>
              <w:top w:val="nil"/>
              <w:left w:val="nil"/>
              <w:bottom w:val="nil"/>
              <w:right w:val="nil"/>
            </w:tcBorders>
          </w:tcPr>
          <w:p>
            <w:pPr>
              <w:pStyle w:val="TableParagraph"/>
              <w:spacing w:before="1"/>
              <w:ind w:left="177"/>
              <w:rPr>
                <w:sz w:val="22"/>
              </w:rPr>
            </w:pPr>
            <w:r>
              <w:rPr>
                <w:sz w:val="22"/>
              </w:rPr>
              <w:t>Bencenoderivado</w:t>
            </w:r>
          </w:p>
        </w:tc>
        <w:tc>
          <w:tcPr>
            <w:tcW w:w="1603" w:type="dxa"/>
            <w:tcBorders>
              <w:top w:val="nil"/>
              <w:left w:val="nil"/>
              <w:bottom w:val="nil"/>
              <w:right w:val="nil"/>
            </w:tcBorders>
          </w:tcPr>
          <w:p>
            <w:pPr>
              <w:pStyle w:val="TableParagraph"/>
              <w:spacing w:before="1"/>
              <w:ind w:left="295" w:right="262"/>
              <w:rPr>
                <w:sz w:val="22"/>
              </w:rPr>
            </w:pPr>
            <w:r>
              <w:rPr>
                <w:sz w:val="22"/>
              </w:rPr>
              <w:t>Fungicida</w:t>
            </w:r>
          </w:p>
        </w:tc>
        <w:tc>
          <w:tcPr>
            <w:tcW w:w="1834" w:type="dxa"/>
            <w:tcBorders>
              <w:top w:val="nil"/>
              <w:left w:val="nil"/>
              <w:bottom w:val="nil"/>
              <w:right w:val="nil"/>
            </w:tcBorders>
          </w:tcPr>
          <w:p>
            <w:pPr>
              <w:pStyle w:val="TableParagraph"/>
              <w:spacing w:before="1"/>
              <w:ind w:left="106"/>
              <w:jc w:val="center"/>
              <w:rPr>
                <w:sz w:val="22"/>
              </w:rPr>
            </w:pPr>
            <w:r>
              <w:rPr>
                <w:w w:val="100"/>
                <w:sz w:val="22"/>
              </w:rPr>
              <w:t>5</w:t>
            </w:r>
          </w:p>
        </w:tc>
        <w:tc>
          <w:tcPr>
            <w:tcW w:w="1878" w:type="dxa"/>
            <w:tcBorders>
              <w:top w:val="nil"/>
              <w:left w:val="nil"/>
              <w:bottom w:val="nil"/>
              <w:right w:val="nil"/>
            </w:tcBorders>
          </w:tcPr>
          <w:p>
            <w:pPr>
              <w:pStyle w:val="TableParagraph"/>
              <w:spacing w:before="1"/>
              <w:ind w:left="143" w:right="91"/>
              <w:jc w:val="center"/>
              <w:rPr>
                <w:sz w:val="22"/>
              </w:rPr>
            </w:pPr>
            <w:r>
              <w:rPr>
                <w:sz w:val="22"/>
              </w:rPr>
              <w:t>Precaución</w:t>
            </w:r>
          </w:p>
        </w:tc>
      </w:tr>
      <w:tr>
        <w:trPr>
          <w:trHeight w:val="270" w:hRule="exact"/>
        </w:trPr>
        <w:tc>
          <w:tcPr>
            <w:tcW w:w="1610" w:type="dxa"/>
            <w:tcBorders>
              <w:top w:val="nil"/>
              <w:left w:val="nil"/>
              <w:bottom w:val="nil"/>
              <w:right w:val="nil"/>
            </w:tcBorders>
          </w:tcPr>
          <w:p>
            <w:pPr>
              <w:pStyle w:val="TableParagraph"/>
              <w:spacing w:line="249" w:lineRule="exact"/>
              <w:ind w:left="176" w:right="128"/>
              <w:jc w:val="center"/>
              <w:rPr>
                <w:sz w:val="22"/>
              </w:rPr>
            </w:pPr>
            <w:r>
              <w:rPr>
                <w:sz w:val="22"/>
              </w:rPr>
              <w:t>Omite</w:t>
            </w:r>
          </w:p>
        </w:tc>
        <w:tc>
          <w:tcPr>
            <w:tcW w:w="2131" w:type="dxa"/>
            <w:tcBorders>
              <w:top w:val="nil"/>
              <w:left w:val="nil"/>
              <w:bottom w:val="nil"/>
              <w:right w:val="nil"/>
            </w:tcBorders>
          </w:tcPr>
          <w:p>
            <w:pPr>
              <w:pStyle w:val="TableParagraph"/>
              <w:spacing w:line="249" w:lineRule="exact"/>
              <w:ind w:left="213"/>
              <w:rPr>
                <w:sz w:val="22"/>
              </w:rPr>
            </w:pPr>
            <w:r>
              <w:rPr>
                <w:sz w:val="22"/>
              </w:rPr>
              <w:t>Organosulfurado</w:t>
            </w:r>
          </w:p>
        </w:tc>
        <w:tc>
          <w:tcPr>
            <w:tcW w:w="1603" w:type="dxa"/>
            <w:tcBorders>
              <w:top w:val="nil"/>
              <w:left w:val="nil"/>
              <w:bottom w:val="nil"/>
              <w:right w:val="nil"/>
            </w:tcBorders>
          </w:tcPr>
          <w:p>
            <w:pPr>
              <w:pStyle w:val="TableParagraph"/>
              <w:spacing w:line="249" w:lineRule="exact"/>
              <w:ind w:left="319" w:right="262"/>
              <w:rPr>
                <w:sz w:val="22"/>
              </w:rPr>
            </w:pPr>
            <w:r>
              <w:rPr>
                <w:sz w:val="22"/>
              </w:rPr>
              <w:t>Acaricida</w:t>
            </w:r>
          </w:p>
        </w:tc>
        <w:tc>
          <w:tcPr>
            <w:tcW w:w="1834" w:type="dxa"/>
            <w:tcBorders>
              <w:top w:val="nil"/>
              <w:left w:val="nil"/>
              <w:bottom w:val="nil"/>
              <w:right w:val="nil"/>
            </w:tcBorders>
          </w:tcPr>
          <w:p>
            <w:pPr>
              <w:pStyle w:val="TableParagraph"/>
              <w:spacing w:line="249" w:lineRule="exact"/>
              <w:ind w:left="106"/>
              <w:jc w:val="center"/>
              <w:rPr>
                <w:sz w:val="22"/>
              </w:rPr>
            </w:pPr>
            <w:r>
              <w:rPr>
                <w:w w:val="100"/>
                <w:sz w:val="22"/>
              </w:rPr>
              <w:t>5</w:t>
            </w:r>
          </w:p>
        </w:tc>
        <w:tc>
          <w:tcPr>
            <w:tcW w:w="1878" w:type="dxa"/>
            <w:tcBorders>
              <w:top w:val="nil"/>
              <w:left w:val="nil"/>
              <w:bottom w:val="nil"/>
              <w:right w:val="nil"/>
            </w:tcBorders>
          </w:tcPr>
          <w:p>
            <w:pPr>
              <w:pStyle w:val="TableParagraph"/>
              <w:spacing w:line="249" w:lineRule="exact"/>
              <w:ind w:left="144" w:right="88"/>
              <w:jc w:val="center"/>
              <w:rPr>
                <w:sz w:val="22"/>
              </w:rPr>
            </w:pPr>
            <w:r>
              <w:rPr>
                <w:sz w:val="22"/>
              </w:rPr>
              <w:t>Ligeramente</w:t>
            </w:r>
          </w:p>
        </w:tc>
      </w:tr>
      <w:tr>
        <w:trPr>
          <w:trHeight w:val="278" w:hRule="exact"/>
        </w:trPr>
        <w:tc>
          <w:tcPr>
            <w:tcW w:w="1610" w:type="dxa"/>
            <w:tcBorders>
              <w:top w:val="nil"/>
              <w:left w:val="nil"/>
              <w:bottom w:val="nil"/>
              <w:right w:val="nil"/>
            </w:tcBorders>
          </w:tcPr>
          <w:p>
            <w:pPr>
              <w:pStyle w:val="TableParagraph"/>
              <w:spacing w:line="252" w:lineRule="exact"/>
              <w:ind w:left="176" w:right="126"/>
              <w:jc w:val="center"/>
              <w:rPr>
                <w:sz w:val="22"/>
              </w:rPr>
            </w:pPr>
            <w:r>
              <w:rPr>
                <w:sz w:val="22"/>
              </w:rPr>
              <w:t>Consist max</w:t>
            </w:r>
          </w:p>
        </w:tc>
        <w:tc>
          <w:tcPr>
            <w:tcW w:w="2131" w:type="dxa"/>
            <w:tcBorders>
              <w:top w:val="nil"/>
              <w:left w:val="nil"/>
              <w:bottom w:val="nil"/>
              <w:right w:val="nil"/>
            </w:tcBorders>
          </w:tcPr>
          <w:p>
            <w:pPr>
              <w:pStyle w:val="TableParagraph"/>
              <w:spacing w:line="252" w:lineRule="exact"/>
              <w:ind w:left="703"/>
              <w:rPr>
                <w:sz w:val="22"/>
              </w:rPr>
            </w:pPr>
            <w:r>
              <w:rPr>
                <w:sz w:val="22"/>
              </w:rPr>
              <w:t>Triazol</w:t>
            </w:r>
          </w:p>
        </w:tc>
        <w:tc>
          <w:tcPr>
            <w:tcW w:w="1603" w:type="dxa"/>
            <w:tcBorders>
              <w:top w:val="nil"/>
              <w:left w:val="nil"/>
              <w:bottom w:val="nil"/>
              <w:right w:val="nil"/>
            </w:tcBorders>
          </w:tcPr>
          <w:p>
            <w:pPr>
              <w:pStyle w:val="TableParagraph"/>
              <w:spacing w:line="252" w:lineRule="exact"/>
              <w:ind w:left="295" w:right="262"/>
              <w:rPr>
                <w:sz w:val="22"/>
              </w:rPr>
            </w:pPr>
            <w:r>
              <w:rPr>
                <w:sz w:val="22"/>
              </w:rPr>
              <w:t>Fungicida</w:t>
            </w:r>
          </w:p>
        </w:tc>
        <w:tc>
          <w:tcPr>
            <w:tcW w:w="1834" w:type="dxa"/>
            <w:tcBorders>
              <w:top w:val="nil"/>
              <w:left w:val="nil"/>
              <w:bottom w:val="nil"/>
              <w:right w:val="nil"/>
            </w:tcBorders>
          </w:tcPr>
          <w:p>
            <w:pPr>
              <w:pStyle w:val="TableParagraph"/>
              <w:spacing w:line="252" w:lineRule="exact"/>
              <w:ind w:left="106"/>
              <w:jc w:val="center"/>
              <w:rPr>
                <w:sz w:val="22"/>
              </w:rPr>
            </w:pPr>
            <w:r>
              <w:rPr>
                <w:w w:val="100"/>
                <w:sz w:val="22"/>
              </w:rPr>
              <w:t>5</w:t>
            </w:r>
          </w:p>
        </w:tc>
        <w:tc>
          <w:tcPr>
            <w:tcW w:w="1878" w:type="dxa"/>
            <w:tcBorders>
              <w:top w:val="nil"/>
              <w:left w:val="nil"/>
              <w:bottom w:val="nil"/>
              <w:right w:val="nil"/>
            </w:tcBorders>
          </w:tcPr>
          <w:p>
            <w:pPr>
              <w:pStyle w:val="TableParagraph"/>
              <w:spacing w:line="252" w:lineRule="exact"/>
              <w:ind w:left="143" w:right="91"/>
              <w:jc w:val="center"/>
              <w:rPr>
                <w:sz w:val="22"/>
              </w:rPr>
            </w:pPr>
            <w:r>
              <w:rPr>
                <w:sz w:val="22"/>
              </w:rPr>
              <w:t>Precaución</w:t>
            </w:r>
          </w:p>
        </w:tc>
      </w:tr>
      <w:tr>
        <w:trPr>
          <w:trHeight w:val="283" w:hRule="exact"/>
        </w:trPr>
        <w:tc>
          <w:tcPr>
            <w:tcW w:w="1610" w:type="dxa"/>
            <w:tcBorders>
              <w:top w:val="nil"/>
              <w:left w:val="nil"/>
              <w:bottom w:val="nil"/>
              <w:right w:val="nil"/>
            </w:tcBorders>
          </w:tcPr>
          <w:p>
            <w:pPr>
              <w:pStyle w:val="TableParagraph"/>
              <w:spacing w:before="3"/>
              <w:ind w:left="176" w:right="129"/>
              <w:jc w:val="center"/>
              <w:rPr>
                <w:sz w:val="22"/>
              </w:rPr>
            </w:pPr>
            <w:r>
              <w:rPr>
                <w:sz w:val="22"/>
              </w:rPr>
              <w:t>Infinito</w:t>
            </w:r>
          </w:p>
        </w:tc>
        <w:tc>
          <w:tcPr>
            <w:tcW w:w="2131" w:type="dxa"/>
            <w:tcBorders>
              <w:top w:val="nil"/>
              <w:left w:val="nil"/>
              <w:bottom w:val="nil"/>
              <w:right w:val="nil"/>
            </w:tcBorders>
          </w:tcPr>
          <w:p>
            <w:pPr>
              <w:pStyle w:val="TableParagraph"/>
              <w:spacing w:before="3"/>
              <w:ind w:left="489"/>
              <w:rPr>
                <w:sz w:val="22"/>
              </w:rPr>
            </w:pPr>
            <w:r>
              <w:rPr>
                <w:sz w:val="22"/>
              </w:rPr>
              <w:t>Carbamato</w:t>
            </w:r>
          </w:p>
        </w:tc>
        <w:tc>
          <w:tcPr>
            <w:tcW w:w="1603" w:type="dxa"/>
            <w:tcBorders>
              <w:top w:val="nil"/>
              <w:left w:val="nil"/>
              <w:bottom w:val="nil"/>
              <w:right w:val="nil"/>
            </w:tcBorders>
          </w:tcPr>
          <w:p>
            <w:pPr>
              <w:pStyle w:val="TableParagraph"/>
              <w:spacing w:before="3"/>
              <w:ind w:left="295" w:right="262"/>
              <w:rPr>
                <w:sz w:val="22"/>
              </w:rPr>
            </w:pPr>
            <w:r>
              <w:rPr>
                <w:sz w:val="22"/>
              </w:rPr>
              <w:t>Fungicida</w:t>
            </w:r>
          </w:p>
        </w:tc>
        <w:tc>
          <w:tcPr>
            <w:tcW w:w="1834" w:type="dxa"/>
            <w:tcBorders>
              <w:top w:val="nil"/>
              <w:left w:val="nil"/>
              <w:bottom w:val="nil"/>
              <w:right w:val="nil"/>
            </w:tcBorders>
          </w:tcPr>
          <w:p>
            <w:pPr>
              <w:pStyle w:val="TableParagraph"/>
              <w:spacing w:before="3"/>
              <w:ind w:left="735" w:right="627"/>
              <w:jc w:val="center"/>
              <w:rPr>
                <w:sz w:val="22"/>
              </w:rPr>
            </w:pPr>
            <w:r>
              <w:rPr>
                <w:sz w:val="22"/>
              </w:rPr>
              <w:t>2.5</w:t>
            </w:r>
          </w:p>
        </w:tc>
        <w:tc>
          <w:tcPr>
            <w:tcW w:w="1878" w:type="dxa"/>
            <w:tcBorders>
              <w:top w:val="nil"/>
              <w:left w:val="nil"/>
              <w:bottom w:val="nil"/>
              <w:right w:val="nil"/>
            </w:tcBorders>
          </w:tcPr>
          <w:p>
            <w:pPr>
              <w:pStyle w:val="TableParagraph"/>
              <w:spacing w:before="3"/>
              <w:ind w:left="143" w:right="91"/>
              <w:jc w:val="center"/>
              <w:rPr>
                <w:sz w:val="22"/>
              </w:rPr>
            </w:pPr>
            <w:r>
              <w:rPr>
                <w:sz w:val="22"/>
              </w:rPr>
              <w:t>Precaución</w:t>
            </w:r>
          </w:p>
        </w:tc>
      </w:tr>
      <w:tr>
        <w:trPr>
          <w:trHeight w:val="301" w:hRule="exact"/>
        </w:trPr>
        <w:tc>
          <w:tcPr>
            <w:tcW w:w="1610" w:type="dxa"/>
            <w:tcBorders>
              <w:top w:val="nil"/>
              <w:left w:val="nil"/>
              <w:right w:val="nil"/>
            </w:tcBorders>
          </w:tcPr>
          <w:p>
            <w:pPr>
              <w:pStyle w:val="TableParagraph"/>
              <w:spacing w:before="3"/>
              <w:ind w:left="176" w:right="132"/>
              <w:jc w:val="center"/>
              <w:rPr>
                <w:sz w:val="22"/>
              </w:rPr>
            </w:pPr>
            <w:r>
              <w:rPr>
                <w:sz w:val="22"/>
              </w:rPr>
              <w:t>Saprol</w:t>
            </w:r>
          </w:p>
        </w:tc>
        <w:tc>
          <w:tcPr>
            <w:tcW w:w="2131" w:type="dxa"/>
            <w:tcBorders>
              <w:top w:val="nil"/>
              <w:left w:val="nil"/>
              <w:right w:val="nil"/>
            </w:tcBorders>
          </w:tcPr>
          <w:p>
            <w:pPr>
              <w:pStyle w:val="TableParagraph"/>
              <w:spacing w:before="3"/>
              <w:ind w:left="458"/>
              <w:rPr>
                <w:sz w:val="22"/>
              </w:rPr>
            </w:pPr>
            <w:r>
              <w:rPr>
                <w:sz w:val="22"/>
              </w:rPr>
              <w:t>Piperazinas</w:t>
            </w:r>
          </w:p>
        </w:tc>
        <w:tc>
          <w:tcPr>
            <w:tcW w:w="1603" w:type="dxa"/>
            <w:tcBorders>
              <w:top w:val="nil"/>
              <w:left w:val="nil"/>
              <w:right w:val="nil"/>
            </w:tcBorders>
          </w:tcPr>
          <w:p>
            <w:pPr>
              <w:pStyle w:val="TableParagraph"/>
              <w:spacing w:before="3"/>
              <w:ind w:left="295" w:right="262"/>
              <w:rPr>
                <w:sz w:val="22"/>
              </w:rPr>
            </w:pPr>
            <w:r>
              <w:rPr>
                <w:sz w:val="22"/>
              </w:rPr>
              <w:t>Fungicida</w:t>
            </w:r>
          </w:p>
        </w:tc>
        <w:tc>
          <w:tcPr>
            <w:tcW w:w="1834" w:type="dxa"/>
            <w:tcBorders>
              <w:top w:val="nil"/>
              <w:left w:val="nil"/>
              <w:right w:val="nil"/>
            </w:tcBorders>
          </w:tcPr>
          <w:p>
            <w:pPr>
              <w:pStyle w:val="TableParagraph"/>
              <w:spacing w:before="3"/>
              <w:ind w:left="735" w:right="627"/>
              <w:jc w:val="center"/>
              <w:rPr>
                <w:sz w:val="22"/>
              </w:rPr>
            </w:pPr>
            <w:r>
              <w:rPr>
                <w:sz w:val="22"/>
              </w:rPr>
              <w:t>2.5</w:t>
            </w:r>
          </w:p>
        </w:tc>
        <w:tc>
          <w:tcPr>
            <w:tcW w:w="1878" w:type="dxa"/>
            <w:tcBorders>
              <w:top w:val="nil"/>
              <w:left w:val="nil"/>
              <w:right w:val="nil"/>
            </w:tcBorders>
          </w:tcPr>
          <w:p>
            <w:pPr>
              <w:pStyle w:val="TableParagraph"/>
              <w:spacing w:before="3"/>
              <w:ind w:left="143" w:right="91"/>
              <w:jc w:val="center"/>
              <w:rPr>
                <w:sz w:val="22"/>
              </w:rPr>
            </w:pPr>
            <w:r>
              <w:rPr>
                <w:sz w:val="22"/>
              </w:rPr>
              <w:t>Precaución</w:t>
            </w:r>
          </w:p>
        </w:tc>
      </w:tr>
    </w:tbl>
    <w:p>
      <w:pPr>
        <w:spacing w:line="230" w:lineRule="exact" w:before="0"/>
        <w:ind w:left="222" w:right="0" w:firstLine="0"/>
        <w:jc w:val="left"/>
        <w:rPr>
          <w:sz w:val="20"/>
        </w:rPr>
      </w:pPr>
      <w:r>
        <w:rPr>
          <w:sz w:val="20"/>
        </w:rPr>
        <w:t>Fuente: datos obtenidos de los cuestionarios</w:t>
      </w:r>
    </w:p>
    <w:p>
      <w:pPr>
        <w:spacing w:after="0" w:line="230" w:lineRule="exact"/>
        <w:jc w:val="left"/>
        <w:rPr>
          <w:sz w:val="20"/>
        </w:rPr>
        <w:sectPr>
          <w:pgSz w:w="12240" w:h="15840"/>
          <w:pgMar w:header="733" w:footer="1039" w:top="1020" w:bottom="1220" w:left="1480" w:right="1480"/>
        </w:sectPr>
      </w:pPr>
    </w:p>
    <w:p>
      <w:pPr>
        <w:pStyle w:val="BodyText"/>
        <w:rPr>
          <w:sz w:val="18"/>
        </w:rPr>
      </w:pPr>
    </w:p>
    <w:p>
      <w:pPr>
        <w:pStyle w:val="Heading2"/>
        <w:numPr>
          <w:ilvl w:val="2"/>
          <w:numId w:val="31"/>
        </w:numPr>
        <w:tabs>
          <w:tab w:pos="722" w:val="left" w:leader="none"/>
        </w:tabs>
        <w:spacing w:line="240" w:lineRule="auto" w:before="69" w:after="0"/>
        <w:ind w:left="721" w:right="0" w:hanging="559"/>
        <w:jc w:val="both"/>
        <w:rPr>
          <w:sz w:val="22"/>
        </w:rPr>
      </w:pPr>
      <w:bookmarkStart w:name="_TOC_250004" w:id="37"/>
      <w:r>
        <w:rPr/>
        <w:t>Correlación de</w:t>
      </w:r>
      <w:r>
        <w:rPr>
          <w:spacing w:val="-10"/>
        </w:rPr>
        <w:t> </w:t>
      </w:r>
      <w:bookmarkEnd w:id="37"/>
      <w:r>
        <w:rPr/>
        <w:t>variables</w:t>
      </w:r>
    </w:p>
    <w:p>
      <w:pPr>
        <w:pStyle w:val="BodyText"/>
        <w:spacing w:before="5"/>
        <w:rPr>
          <w:b/>
          <w:sz w:val="29"/>
        </w:rPr>
      </w:pPr>
    </w:p>
    <w:p>
      <w:pPr>
        <w:pStyle w:val="BodyText"/>
        <w:spacing w:line="360" w:lineRule="auto"/>
        <w:ind w:left="162" w:right="181"/>
        <w:jc w:val="both"/>
      </w:pPr>
      <w:r>
        <w:rPr/>
        <w:t>Se realizo una correlación bivariada para analizar las características sociodemográficas con la exposición a plaguicidas y la presencia de caries. Se encontró que el presentar caries en los individuos del grupo expuestos, tuvo una correlación positiva con la edad (0.07), una correlación negativa con la escolaridad de los individuos (-0.088), una correlación positiva con el tiempo exposición (0.21) y una correlación negativa con la atención a la enfermedad (-0.10) (Tabla 11).</w:t>
      </w:r>
    </w:p>
    <w:p>
      <w:pPr>
        <w:pStyle w:val="BodyText"/>
      </w:pPr>
    </w:p>
    <w:p>
      <w:pPr>
        <w:pStyle w:val="BodyText"/>
      </w:pPr>
    </w:p>
    <w:p>
      <w:pPr>
        <w:spacing w:line="276" w:lineRule="auto" w:before="142"/>
        <w:ind w:left="162" w:right="179" w:firstLine="0"/>
        <w:jc w:val="both"/>
        <w:rPr>
          <w:sz w:val="22"/>
        </w:rPr>
      </w:pPr>
      <w:r>
        <w:rPr>
          <w:sz w:val="22"/>
        </w:rPr>
        <w:t>TABLA 11. Resultados del modelo de correlación de las características sociodemográficas, de la exposición a plaguicidas, presencia de caries y atención</w:t>
      </w:r>
      <w:r>
        <w:rPr>
          <w:spacing w:val="-17"/>
          <w:sz w:val="22"/>
        </w:rPr>
        <w:t> </w:t>
      </w:r>
      <w:r>
        <w:rPr>
          <w:sz w:val="22"/>
        </w:rPr>
        <w:t>dental</w:t>
      </w:r>
    </w:p>
    <w:p>
      <w:pPr>
        <w:pStyle w:val="BodyText"/>
        <w:rPr>
          <w:sz w:val="20"/>
        </w:rPr>
      </w:pPr>
    </w:p>
    <w:p>
      <w:pPr>
        <w:pStyle w:val="BodyText"/>
        <w:spacing w:before="2"/>
        <w:rPr>
          <w:sz w:val="12"/>
        </w:rPr>
      </w:pPr>
    </w:p>
    <w:tbl>
      <w:tblPr>
        <w:tblW w:w="0" w:type="auto"/>
        <w:jc w:val="left"/>
        <w:tblInd w:w="7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49"/>
        <w:gridCol w:w="1011"/>
        <w:gridCol w:w="1499"/>
        <w:gridCol w:w="1017"/>
        <w:gridCol w:w="1444"/>
        <w:gridCol w:w="1201"/>
      </w:tblGrid>
      <w:tr>
        <w:trPr>
          <w:trHeight w:val="614" w:hRule="exact"/>
        </w:trPr>
        <w:tc>
          <w:tcPr>
            <w:tcW w:w="1449" w:type="dxa"/>
            <w:tcBorders>
              <w:left w:val="nil"/>
              <w:right w:val="nil"/>
            </w:tcBorders>
          </w:tcPr>
          <w:p>
            <w:pPr>
              <w:pStyle w:val="TableParagraph"/>
              <w:spacing w:line="251" w:lineRule="exact"/>
              <w:ind w:left="232"/>
              <w:rPr>
                <w:sz w:val="22"/>
              </w:rPr>
            </w:pPr>
            <w:r>
              <w:rPr>
                <w:sz w:val="22"/>
              </w:rPr>
              <w:t>Variables</w:t>
            </w:r>
          </w:p>
        </w:tc>
        <w:tc>
          <w:tcPr>
            <w:tcW w:w="1011" w:type="dxa"/>
            <w:tcBorders>
              <w:left w:val="nil"/>
              <w:right w:val="nil"/>
            </w:tcBorders>
          </w:tcPr>
          <w:p>
            <w:pPr>
              <w:pStyle w:val="TableParagraph"/>
              <w:spacing w:line="251" w:lineRule="exact"/>
              <w:ind w:left="245"/>
              <w:rPr>
                <w:sz w:val="22"/>
              </w:rPr>
            </w:pPr>
            <w:r>
              <w:rPr>
                <w:sz w:val="22"/>
              </w:rPr>
              <w:t>Edad</w:t>
            </w:r>
          </w:p>
        </w:tc>
        <w:tc>
          <w:tcPr>
            <w:tcW w:w="1499" w:type="dxa"/>
            <w:tcBorders>
              <w:left w:val="nil"/>
              <w:right w:val="nil"/>
            </w:tcBorders>
          </w:tcPr>
          <w:p>
            <w:pPr>
              <w:pStyle w:val="TableParagraph"/>
              <w:spacing w:line="251" w:lineRule="exact"/>
              <w:ind w:left="173" w:right="136"/>
              <w:jc w:val="center"/>
              <w:rPr>
                <w:sz w:val="22"/>
              </w:rPr>
            </w:pPr>
            <w:r>
              <w:rPr>
                <w:sz w:val="22"/>
              </w:rPr>
              <w:t>Escolaridad</w:t>
            </w:r>
          </w:p>
        </w:tc>
        <w:tc>
          <w:tcPr>
            <w:tcW w:w="1017" w:type="dxa"/>
            <w:tcBorders>
              <w:left w:val="nil"/>
              <w:right w:val="nil"/>
            </w:tcBorders>
          </w:tcPr>
          <w:p>
            <w:pPr>
              <w:pStyle w:val="TableParagraph"/>
              <w:spacing w:line="251" w:lineRule="exact"/>
              <w:ind w:left="136" w:right="204"/>
              <w:jc w:val="center"/>
              <w:rPr>
                <w:sz w:val="22"/>
              </w:rPr>
            </w:pPr>
            <w:r>
              <w:rPr>
                <w:sz w:val="22"/>
              </w:rPr>
              <w:t>Caries</w:t>
            </w:r>
          </w:p>
        </w:tc>
        <w:tc>
          <w:tcPr>
            <w:tcW w:w="1444" w:type="dxa"/>
            <w:tcBorders>
              <w:left w:val="nil"/>
              <w:right w:val="nil"/>
            </w:tcBorders>
          </w:tcPr>
          <w:p>
            <w:pPr>
              <w:pStyle w:val="TableParagraph"/>
              <w:spacing w:line="242" w:lineRule="auto"/>
              <w:ind w:left="225" w:right="184" w:firstLine="141"/>
              <w:rPr>
                <w:sz w:val="22"/>
              </w:rPr>
            </w:pPr>
            <w:r>
              <w:rPr>
                <w:sz w:val="22"/>
              </w:rPr>
              <w:t>Tiempo Exposción</w:t>
            </w:r>
          </w:p>
        </w:tc>
        <w:tc>
          <w:tcPr>
            <w:tcW w:w="1201" w:type="dxa"/>
            <w:tcBorders>
              <w:left w:val="nil"/>
              <w:right w:val="nil"/>
            </w:tcBorders>
          </w:tcPr>
          <w:p>
            <w:pPr>
              <w:pStyle w:val="TableParagraph"/>
              <w:spacing w:line="242" w:lineRule="auto"/>
              <w:ind w:left="315" w:right="121" w:hanging="111"/>
              <w:rPr>
                <w:sz w:val="22"/>
              </w:rPr>
            </w:pPr>
            <w:r>
              <w:rPr>
                <w:sz w:val="22"/>
              </w:rPr>
              <w:t>Atención Dental</w:t>
            </w:r>
          </w:p>
        </w:tc>
      </w:tr>
      <w:tr>
        <w:trPr>
          <w:trHeight w:val="599" w:hRule="exact"/>
        </w:trPr>
        <w:tc>
          <w:tcPr>
            <w:tcW w:w="1449" w:type="dxa"/>
            <w:tcBorders>
              <w:left w:val="nil"/>
              <w:bottom w:val="nil"/>
              <w:right w:val="nil"/>
            </w:tcBorders>
          </w:tcPr>
          <w:p>
            <w:pPr>
              <w:pStyle w:val="TableParagraph"/>
              <w:spacing w:line="251" w:lineRule="exact"/>
              <w:ind w:left="108"/>
              <w:rPr>
                <w:sz w:val="22"/>
              </w:rPr>
            </w:pPr>
            <w:r>
              <w:rPr>
                <w:sz w:val="22"/>
              </w:rPr>
              <w:t>Edad</w:t>
            </w:r>
          </w:p>
        </w:tc>
        <w:tc>
          <w:tcPr>
            <w:tcW w:w="1011" w:type="dxa"/>
            <w:tcBorders>
              <w:left w:val="nil"/>
              <w:bottom w:val="nil"/>
              <w:right w:val="nil"/>
            </w:tcBorders>
          </w:tcPr>
          <w:p>
            <w:pPr>
              <w:pStyle w:val="TableParagraph"/>
              <w:spacing w:line="251" w:lineRule="exact"/>
              <w:ind w:left="289"/>
              <w:rPr>
                <w:sz w:val="22"/>
              </w:rPr>
            </w:pPr>
            <w:r>
              <w:rPr>
                <w:sz w:val="22"/>
              </w:rPr>
              <w:t>1.00</w:t>
            </w:r>
          </w:p>
        </w:tc>
        <w:tc>
          <w:tcPr>
            <w:tcW w:w="1499" w:type="dxa"/>
            <w:tcBorders>
              <w:left w:val="nil"/>
              <w:bottom w:val="nil"/>
              <w:right w:val="nil"/>
            </w:tcBorders>
          </w:tcPr>
          <w:p>
            <w:pPr>
              <w:pStyle w:val="TableParagraph"/>
              <w:spacing w:line="251" w:lineRule="exact"/>
              <w:ind w:left="516"/>
              <w:rPr>
                <w:sz w:val="22"/>
              </w:rPr>
            </w:pPr>
            <w:r>
              <w:rPr>
                <w:sz w:val="22"/>
              </w:rPr>
              <w:t>-0.28</w:t>
            </w:r>
          </w:p>
          <w:p>
            <w:pPr>
              <w:pStyle w:val="TableParagraph"/>
              <w:spacing w:before="1"/>
              <w:ind w:left="480"/>
              <w:rPr>
                <w:sz w:val="22"/>
              </w:rPr>
            </w:pPr>
            <w:r>
              <w:rPr>
                <w:sz w:val="22"/>
              </w:rPr>
              <w:t>(0.08)</w:t>
            </w:r>
          </w:p>
        </w:tc>
        <w:tc>
          <w:tcPr>
            <w:tcW w:w="1017" w:type="dxa"/>
            <w:tcBorders>
              <w:left w:val="nil"/>
              <w:bottom w:val="nil"/>
              <w:right w:val="nil"/>
            </w:tcBorders>
          </w:tcPr>
          <w:p>
            <w:pPr>
              <w:pStyle w:val="TableParagraph"/>
              <w:spacing w:line="251" w:lineRule="exact"/>
              <w:ind w:left="259"/>
              <w:rPr>
                <w:sz w:val="22"/>
              </w:rPr>
            </w:pPr>
            <w:r>
              <w:rPr>
                <w:sz w:val="22"/>
              </w:rPr>
              <w:t>0.07</w:t>
            </w:r>
          </w:p>
          <w:p>
            <w:pPr>
              <w:pStyle w:val="TableParagraph"/>
              <w:spacing w:before="1"/>
              <w:ind w:left="186"/>
              <w:rPr>
                <w:sz w:val="22"/>
              </w:rPr>
            </w:pPr>
            <w:r>
              <w:rPr>
                <w:sz w:val="22"/>
              </w:rPr>
              <w:t>(0.64)</w:t>
            </w:r>
          </w:p>
        </w:tc>
        <w:tc>
          <w:tcPr>
            <w:tcW w:w="1444" w:type="dxa"/>
            <w:tcBorders>
              <w:left w:val="nil"/>
              <w:bottom w:val="nil"/>
              <w:right w:val="nil"/>
            </w:tcBorders>
          </w:tcPr>
          <w:p>
            <w:pPr>
              <w:pStyle w:val="TableParagraph"/>
              <w:spacing w:line="251" w:lineRule="exact"/>
              <w:ind w:left="426" w:right="399"/>
              <w:jc w:val="center"/>
              <w:rPr>
                <w:sz w:val="22"/>
              </w:rPr>
            </w:pPr>
            <w:r>
              <w:rPr>
                <w:sz w:val="22"/>
              </w:rPr>
              <w:t>0.66</w:t>
            </w:r>
          </w:p>
          <w:p>
            <w:pPr>
              <w:pStyle w:val="TableParagraph"/>
              <w:spacing w:before="1"/>
              <w:ind w:left="426" w:right="402"/>
              <w:jc w:val="center"/>
              <w:rPr>
                <w:sz w:val="22"/>
              </w:rPr>
            </w:pPr>
            <w:r>
              <w:rPr>
                <w:sz w:val="22"/>
              </w:rPr>
              <w:t>(0.00)</w:t>
            </w:r>
          </w:p>
        </w:tc>
        <w:tc>
          <w:tcPr>
            <w:tcW w:w="1201" w:type="dxa"/>
            <w:tcBorders>
              <w:left w:val="nil"/>
              <w:bottom w:val="nil"/>
              <w:right w:val="nil"/>
            </w:tcBorders>
          </w:tcPr>
          <w:p>
            <w:pPr>
              <w:pStyle w:val="TableParagraph"/>
              <w:spacing w:line="251" w:lineRule="exact"/>
              <w:ind w:left="383" w:right="121"/>
              <w:rPr>
                <w:sz w:val="22"/>
              </w:rPr>
            </w:pPr>
            <w:r>
              <w:rPr>
                <w:sz w:val="22"/>
              </w:rPr>
              <w:t>-0.21</w:t>
            </w:r>
          </w:p>
          <w:p>
            <w:pPr>
              <w:pStyle w:val="TableParagraph"/>
              <w:spacing w:before="1"/>
              <w:ind w:left="346" w:right="121"/>
              <w:rPr>
                <w:sz w:val="22"/>
              </w:rPr>
            </w:pPr>
            <w:r>
              <w:rPr>
                <w:sz w:val="22"/>
              </w:rPr>
              <w:t>(0.18)</w:t>
            </w:r>
          </w:p>
        </w:tc>
      </w:tr>
      <w:tr>
        <w:trPr>
          <w:trHeight w:val="696" w:hRule="exact"/>
        </w:trPr>
        <w:tc>
          <w:tcPr>
            <w:tcW w:w="1449" w:type="dxa"/>
            <w:tcBorders>
              <w:top w:val="nil"/>
              <w:left w:val="nil"/>
              <w:bottom w:val="nil"/>
              <w:right w:val="nil"/>
            </w:tcBorders>
          </w:tcPr>
          <w:p>
            <w:pPr>
              <w:pStyle w:val="TableParagraph"/>
              <w:spacing w:before="61"/>
              <w:ind w:left="108"/>
              <w:rPr>
                <w:sz w:val="22"/>
              </w:rPr>
            </w:pPr>
            <w:r>
              <w:rPr>
                <w:sz w:val="22"/>
              </w:rPr>
              <w:t>Escolaridad</w:t>
            </w:r>
          </w:p>
        </w:tc>
        <w:tc>
          <w:tcPr>
            <w:tcW w:w="1011" w:type="dxa"/>
            <w:tcBorders>
              <w:top w:val="nil"/>
              <w:left w:val="nil"/>
              <w:bottom w:val="nil"/>
              <w:right w:val="nil"/>
            </w:tcBorders>
          </w:tcPr>
          <w:p>
            <w:pPr>
              <w:pStyle w:val="TableParagraph"/>
              <w:spacing w:before="61"/>
              <w:ind w:left="250"/>
              <w:rPr>
                <w:sz w:val="22"/>
              </w:rPr>
            </w:pPr>
            <w:r>
              <w:rPr>
                <w:sz w:val="22"/>
              </w:rPr>
              <w:t>-0.28</w:t>
            </w:r>
          </w:p>
          <w:p>
            <w:pPr>
              <w:pStyle w:val="TableParagraph"/>
              <w:spacing w:before="1"/>
              <w:ind w:left="214"/>
              <w:rPr>
                <w:sz w:val="22"/>
              </w:rPr>
            </w:pPr>
            <w:r>
              <w:rPr>
                <w:sz w:val="22"/>
              </w:rPr>
              <w:t>(0.08)</w:t>
            </w:r>
          </w:p>
        </w:tc>
        <w:tc>
          <w:tcPr>
            <w:tcW w:w="1499" w:type="dxa"/>
            <w:tcBorders>
              <w:top w:val="nil"/>
              <w:left w:val="nil"/>
              <w:bottom w:val="nil"/>
              <w:right w:val="nil"/>
            </w:tcBorders>
          </w:tcPr>
          <w:p>
            <w:pPr>
              <w:pStyle w:val="TableParagraph"/>
              <w:spacing w:before="61"/>
              <w:ind w:left="173" w:right="134"/>
              <w:jc w:val="center"/>
              <w:rPr>
                <w:sz w:val="22"/>
              </w:rPr>
            </w:pPr>
            <w:r>
              <w:rPr>
                <w:sz w:val="22"/>
              </w:rPr>
              <w:t>1.000</w:t>
            </w:r>
          </w:p>
        </w:tc>
        <w:tc>
          <w:tcPr>
            <w:tcW w:w="1017" w:type="dxa"/>
            <w:tcBorders>
              <w:top w:val="nil"/>
              <w:left w:val="nil"/>
              <w:bottom w:val="nil"/>
              <w:right w:val="nil"/>
            </w:tcBorders>
          </w:tcPr>
          <w:p>
            <w:pPr>
              <w:pStyle w:val="TableParagraph"/>
              <w:spacing w:before="61"/>
              <w:ind w:left="222"/>
              <w:rPr>
                <w:sz w:val="22"/>
              </w:rPr>
            </w:pPr>
            <w:r>
              <w:rPr>
                <w:sz w:val="22"/>
              </w:rPr>
              <w:t>-0.08</w:t>
            </w:r>
          </w:p>
          <w:p>
            <w:pPr>
              <w:pStyle w:val="TableParagraph"/>
              <w:spacing w:before="1"/>
              <w:ind w:left="186"/>
              <w:rPr>
                <w:sz w:val="22"/>
              </w:rPr>
            </w:pPr>
            <w:r>
              <w:rPr>
                <w:sz w:val="22"/>
              </w:rPr>
              <w:t>(0.59)</w:t>
            </w:r>
          </w:p>
        </w:tc>
        <w:tc>
          <w:tcPr>
            <w:tcW w:w="1444" w:type="dxa"/>
            <w:tcBorders>
              <w:top w:val="nil"/>
              <w:left w:val="nil"/>
              <w:bottom w:val="nil"/>
              <w:right w:val="nil"/>
            </w:tcBorders>
          </w:tcPr>
          <w:p>
            <w:pPr>
              <w:pStyle w:val="TableParagraph"/>
              <w:spacing w:before="61"/>
              <w:ind w:left="482" w:right="184"/>
              <w:rPr>
                <w:sz w:val="22"/>
              </w:rPr>
            </w:pPr>
            <w:r>
              <w:rPr>
                <w:sz w:val="22"/>
              </w:rPr>
              <w:t>-0.33</w:t>
            </w:r>
          </w:p>
          <w:p>
            <w:pPr>
              <w:pStyle w:val="TableParagraph"/>
              <w:spacing w:before="1"/>
              <w:ind w:left="446" w:right="184"/>
              <w:rPr>
                <w:sz w:val="22"/>
              </w:rPr>
            </w:pPr>
            <w:r>
              <w:rPr>
                <w:sz w:val="22"/>
              </w:rPr>
              <w:t>(0.03)</w:t>
            </w:r>
          </w:p>
        </w:tc>
        <w:tc>
          <w:tcPr>
            <w:tcW w:w="1201" w:type="dxa"/>
            <w:tcBorders>
              <w:top w:val="nil"/>
              <w:left w:val="nil"/>
              <w:bottom w:val="nil"/>
              <w:right w:val="nil"/>
            </w:tcBorders>
          </w:tcPr>
          <w:p>
            <w:pPr>
              <w:pStyle w:val="TableParagraph"/>
              <w:spacing w:before="61"/>
              <w:ind w:left="383" w:right="121"/>
              <w:rPr>
                <w:sz w:val="22"/>
              </w:rPr>
            </w:pPr>
            <w:r>
              <w:rPr>
                <w:sz w:val="22"/>
              </w:rPr>
              <w:t>-0.03</w:t>
            </w:r>
          </w:p>
          <w:p>
            <w:pPr>
              <w:pStyle w:val="TableParagraph"/>
              <w:spacing w:before="1"/>
              <w:ind w:left="346" w:right="121"/>
              <w:rPr>
                <w:sz w:val="22"/>
              </w:rPr>
            </w:pPr>
            <w:r>
              <w:rPr>
                <w:sz w:val="22"/>
              </w:rPr>
              <w:t>(0.85)</w:t>
            </w:r>
          </w:p>
        </w:tc>
      </w:tr>
      <w:tr>
        <w:trPr>
          <w:trHeight w:val="728" w:hRule="exact"/>
        </w:trPr>
        <w:tc>
          <w:tcPr>
            <w:tcW w:w="1449" w:type="dxa"/>
            <w:tcBorders>
              <w:top w:val="nil"/>
              <w:left w:val="nil"/>
              <w:bottom w:val="nil"/>
              <w:right w:val="nil"/>
            </w:tcBorders>
          </w:tcPr>
          <w:p>
            <w:pPr>
              <w:pStyle w:val="TableParagraph"/>
              <w:spacing w:before="104"/>
              <w:ind w:left="108"/>
              <w:rPr>
                <w:sz w:val="22"/>
              </w:rPr>
            </w:pPr>
            <w:r>
              <w:rPr>
                <w:sz w:val="22"/>
              </w:rPr>
              <w:t>Caries</w:t>
            </w:r>
          </w:p>
        </w:tc>
        <w:tc>
          <w:tcPr>
            <w:tcW w:w="1011" w:type="dxa"/>
            <w:tcBorders>
              <w:top w:val="nil"/>
              <w:left w:val="nil"/>
              <w:bottom w:val="nil"/>
              <w:right w:val="nil"/>
            </w:tcBorders>
          </w:tcPr>
          <w:p>
            <w:pPr>
              <w:pStyle w:val="TableParagraph"/>
              <w:spacing w:before="104"/>
              <w:ind w:left="214" w:right="201" w:firstLine="31"/>
              <w:rPr>
                <w:sz w:val="22"/>
              </w:rPr>
            </w:pPr>
            <w:r>
              <w:rPr>
                <w:sz w:val="22"/>
              </w:rPr>
              <w:t>0.07* (0.64)</w:t>
            </w:r>
          </w:p>
        </w:tc>
        <w:tc>
          <w:tcPr>
            <w:tcW w:w="1499" w:type="dxa"/>
            <w:tcBorders>
              <w:top w:val="nil"/>
              <w:left w:val="nil"/>
              <w:bottom w:val="nil"/>
              <w:right w:val="nil"/>
            </w:tcBorders>
          </w:tcPr>
          <w:p>
            <w:pPr>
              <w:pStyle w:val="TableParagraph"/>
              <w:spacing w:before="104"/>
              <w:ind w:left="480" w:right="419" w:hanging="8"/>
              <w:rPr>
                <w:sz w:val="22"/>
              </w:rPr>
            </w:pPr>
            <w:r>
              <w:rPr>
                <w:sz w:val="22"/>
              </w:rPr>
              <w:t>-0.08* (0.59)</w:t>
            </w:r>
          </w:p>
        </w:tc>
        <w:tc>
          <w:tcPr>
            <w:tcW w:w="1017" w:type="dxa"/>
            <w:tcBorders>
              <w:top w:val="nil"/>
              <w:left w:val="nil"/>
              <w:bottom w:val="nil"/>
              <w:right w:val="nil"/>
            </w:tcBorders>
          </w:tcPr>
          <w:p>
            <w:pPr>
              <w:pStyle w:val="TableParagraph"/>
              <w:spacing w:before="104"/>
              <w:ind w:left="136" w:right="203"/>
              <w:jc w:val="center"/>
              <w:rPr>
                <w:sz w:val="22"/>
              </w:rPr>
            </w:pPr>
            <w:r>
              <w:rPr>
                <w:sz w:val="22"/>
              </w:rPr>
              <w:t>1.00</w:t>
            </w:r>
          </w:p>
        </w:tc>
        <w:tc>
          <w:tcPr>
            <w:tcW w:w="1444" w:type="dxa"/>
            <w:tcBorders>
              <w:top w:val="nil"/>
              <w:left w:val="nil"/>
              <w:bottom w:val="nil"/>
              <w:right w:val="nil"/>
            </w:tcBorders>
          </w:tcPr>
          <w:p>
            <w:pPr>
              <w:pStyle w:val="TableParagraph"/>
              <w:spacing w:before="104"/>
              <w:ind w:left="446" w:right="403" w:firstLine="31"/>
              <w:rPr>
                <w:sz w:val="22"/>
              </w:rPr>
            </w:pPr>
            <w:r>
              <w:rPr>
                <w:sz w:val="22"/>
              </w:rPr>
              <w:t>0.21* (0.18)</w:t>
            </w:r>
          </w:p>
        </w:tc>
        <w:tc>
          <w:tcPr>
            <w:tcW w:w="1201" w:type="dxa"/>
            <w:tcBorders>
              <w:top w:val="nil"/>
              <w:left w:val="nil"/>
              <w:bottom w:val="nil"/>
              <w:right w:val="nil"/>
            </w:tcBorders>
          </w:tcPr>
          <w:p>
            <w:pPr>
              <w:pStyle w:val="TableParagraph"/>
              <w:spacing w:line="253" w:lineRule="exact" w:before="104"/>
              <w:ind w:left="383" w:right="121"/>
              <w:rPr>
                <w:sz w:val="22"/>
              </w:rPr>
            </w:pPr>
            <w:r>
              <w:rPr>
                <w:sz w:val="22"/>
              </w:rPr>
              <w:t>-0.10</w:t>
            </w:r>
          </w:p>
          <w:p>
            <w:pPr>
              <w:pStyle w:val="TableParagraph"/>
              <w:spacing w:line="253" w:lineRule="exact"/>
              <w:ind w:left="346" w:right="121"/>
              <w:rPr>
                <w:sz w:val="22"/>
              </w:rPr>
            </w:pPr>
            <w:r>
              <w:rPr>
                <w:sz w:val="22"/>
              </w:rPr>
              <w:t>(0.53)</w:t>
            </w:r>
          </w:p>
        </w:tc>
      </w:tr>
      <w:tr>
        <w:trPr>
          <w:trHeight w:val="713" w:hRule="exact"/>
        </w:trPr>
        <w:tc>
          <w:tcPr>
            <w:tcW w:w="1449" w:type="dxa"/>
            <w:tcBorders>
              <w:top w:val="nil"/>
              <w:left w:val="nil"/>
              <w:bottom w:val="nil"/>
              <w:right w:val="nil"/>
            </w:tcBorders>
          </w:tcPr>
          <w:p>
            <w:pPr>
              <w:pStyle w:val="TableParagraph"/>
              <w:spacing w:before="95"/>
              <w:ind w:left="108" w:right="257"/>
              <w:rPr>
                <w:sz w:val="22"/>
              </w:rPr>
            </w:pPr>
            <w:r>
              <w:rPr>
                <w:sz w:val="22"/>
              </w:rPr>
              <w:t>Tiempo de Exposición</w:t>
            </w:r>
          </w:p>
        </w:tc>
        <w:tc>
          <w:tcPr>
            <w:tcW w:w="1011" w:type="dxa"/>
            <w:tcBorders>
              <w:top w:val="nil"/>
              <w:left w:val="nil"/>
              <w:bottom w:val="nil"/>
              <w:right w:val="nil"/>
            </w:tcBorders>
          </w:tcPr>
          <w:p>
            <w:pPr>
              <w:pStyle w:val="TableParagraph"/>
              <w:spacing w:before="95"/>
              <w:ind w:left="214" w:right="201" w:firstLine="31"/>
              <w:rPr>
                <w:sz w:val="22"/>
              </w:rPr>
            </w:pPr>
            <w:r>
              <w:rPr>
                <w:sz w:val="22"/>
              </w:rPr>
              <w:t>0.74* (0.00)</w:t>
            </w:r>
          </w:p>
        </w:tc>
        <w:tc>
          <w:tcPr>
            <w:tcW w:w="1499" w:type="dxa"/>
            <w:tcBorders>
              <w:top w:val="nil"/>
              <w:left w:val="nil"/>
              <w:bottom w:val="nil"/>
              <w:right w:val="nil"/>
            </w:tcBorders>
          </w:tcPr>
          <w:p>
            <w:pPr>
              <w:pStyle w:val="TableParagraph"/>
              <w:spacing w:line="252" w:lineRule="exact" w:before="95"/>
              <w:ind w:left="516"/>
              <w:rPr>
                <w:sz w:val="22"/>
              </w:rPr>
            </w:pPr>
            <w:r>
              <w:rPr>
                <w:sz w:val="22"/>
              </w:rPr>
              <w:t>-0.33</w:t>
            </w:r>
          </w:p>
          <w:p>
            <w:pPr>
              <w:pStyle w:val="TableParagraph"/>
              <w:spacing w:line="252" w:lineRule="exact"/>
              <w:ind w:left="480"/>
              <w:rPr>
                <w:sz w:val="22"/>
              </w:rPr>
            </w:pPr>
            <w:r>
              <w:rPr>
                <w:sz w:val="22"/>
              </w:rPr>
              <w:t>(0.03)</w:t>
            </w:r>
          </w:p>
        </w:tc>
        <w:tc>
          <w:tcPr>
            <w:tcW w:w="1017" w:type="dxa"/>
            <w:tcBorders>
              <w:top w:val="nil"/>
              <w:left w:val="nil"/>
              <w:bottom w:val="nil"/>
              <w:right w:val="nil"/>
            </w:tcBorders>
          </w:tcPr>
          <w:p>
            <w:pPr>
              <w:pStyle w:val="TableParagraph"/>
              <w:spacing w:line="252" w:lineRule="exact" w:before="95"/>
              <w:ind w:left="259"/>
              <w:rPr>
                <w:sz w:val="22"/>
              </w:rPr>
            </w:pPr>
            <w:r>
              <w:rPr>
                <w:sz w:val="22"/>
              </w:rPr>
              <w:t>0.21</w:t>
            </w:r>
          </w:p>
          <w:p>
            <w:pPr>
              <w:pStyle w:val="TableParagraph"/>
              <w:spacing w:line="252" w:lineRule="exact"/>
              <w:ind w:left="186"/>
              <w:rPr>
                <w:sz w:val="22"/>
              </w:rPr>
            </w:pPr>
            <w:r>
              <w:rPr>
                <w:sz w:val="22"/>
              </w:rPr>
              <w:t>(0.18)</w:t>
            </w:r>
          </w:p>
        </w:tc>
        <w:tc>
          <w:tcPr>
            <w:tcW w:w="1444" w:type="dxa"/>
            <w:tcBorders>
              <w:top w:val="nil"/>
              <w:left w:val="nil"/>
              <w:bottom w:val="nil"/>
              <w:right w:val="nil"/>
            </w:tcBorders>
          </w:tcPr>
          <w:p>
            <w:pPr>
              <w:pStyle w:val="TableParagraph"/>
              <w:spacing w:before="95"/>
              <w:ind w:left="426" w:right="399"/>
              <w:jc w:val="center"/>
              <w:rPr>
                <w:sz w:val="22"/>
              </w:rPr>
            </w:pPr>
            <w:r>
              <w:rPr>
                <w:sz w:val="22"/>
              </w:rPr>
              <w:t>1.00</w:t>
            </w:r>
          </w:p>
        </w:tc>
        <w:tc>
          <w:tcPr>
            <w:tcW w:w="1201" w:type="dxa"/>
            <w:tcBorders>
              <w:top w:val="nil"/>
              <w:left w:val="nil"/>
              <w:bottom w:val="nil"/>
              <w:right w:val="nil"/>
            </w:tcBorders>
          </w:tcPr>
          <w:p>
            <w:pPr>
              <w:pStyle w:val="TableParagraph"/>
              <w:spacing w:line="252" w:lineRule="exact" w:before="95"/>
              <w:ind w:left="421" w:right="121"/>
              <w:rPr>
                <w:sz w:val="22"/>
              </w:rPr>
            </w:pPr>
            <w:r>
              <w:rPr>
                <w:sz w:val="22"/>
              </w:rPr>
              <w:t>0.36</w:t>
            </w:r>
          </w:p>
          <w:p>
            <w:pPr>
              <w:pStyle w:val="TableParagraph"/>
              <w:spacing w:line="252" w:lineRule="exact"/>
              <w:ind w:left="346" w:right="121"/>
              <w:rPr>
                <w:sz w:val="22"/>
              </w:rPr>
            </w:pPr>
            <w:r>
              <w:rPr>
                <w:sz w:val="22"/>
              </w:rPr>
              <w:t>(0.02)</w:t>
            </w:r>
          </w:p>
        </w:tc>
      </w:tr>
      <w:tr>
        <w:trPr>
          <w:trHeight w:val="609" w:hRule="exact"/>
        </w:trPr>
        <w:tc>
          <w:tcPr>
            <w:tcW w:w="1449" w:type="dxa"/>
            <w:tcBorders>
              <w:top w:val="nil"/>
              <w:left w:val="nil"/>
              <w:right w:val="nil"/>
            </w:tcBorders>
          </w:tcPr>
          <w:p>
            <w:pPr>
              <w:pStyle w:val="TableParagraph"/>
              <w:spacing w:before="90"/>
              <w:ind w:left="108" w:right="464"/>
              <w:rPr>
                <w:sz w:val="22"/>
              </w:rPr>
            </w:pPr>
            <w:r>
              <w:rPr>
                <w:sz w:val="22"/>
              </w:rPr>
              <w:t>Atención Dental</w:t>
            </w:r>
          </w:p>
        </w:tc>
        <w:tc>
          <w:tcPr>
            <w:tcW w:w="1011" w:type="dxa"/>
            <w:tcBorders>
              <w:top w:val="nil"/>
              <w:left w:val="nil"/>
              <w:right w:val="nil"/>
            </w:tcBorders>
          </w:tcPr>
          <w:p>
            <w:pPr>
              <w:pStyle w:val="TableParagraph"/>
              <w:spacing w:line="252" w:lineRule="exact" w:before="90"/>
              <w:ind w:left="190"/>
              <w:rPr>
                <w:sz w:val="22"/>
              </w:rPr>
            </w:pPr>
            <w:r>
              <w:rPr>
                <w:sz w:val="22"/>
              </w:rPr>
              <w:t>-0.299</w:t>
            </w:r>
          </w:p>
          <w:p>
            <w:pPr>
              <w:pStyle w:val="TableParagraph"/>
              <w:spacing w:line="252" w:lineRule="exact"/>
              <w:ind w:left="214"/>
              <w:rPr>
                <w:sz w:val="22"/>
              </w:rPr>
            </w:pPr>
            <w:r>
              <w:rPr>
                <w:sz w:val="22"/>
              </w:rPr>
              <w:t>(0.06)</w:t>
            </w:r>
          </w:p>
        </w:tc>
        <w:tc>
          <w:tcPr>
            <w:tcW w:w="1499" w:type="dxa"/>
            <w:tcBorders>
              <w:top w:val="nil"/>
              <w:left w:val="nil"/>
              <w:right w:val="nil"/>
            </w:tcBorders>
          </w:tcPr>
          <w:p>
            <w:pPr>
              <w:pStyle w:val="TableParagraph"/>
              <w:spacing w:line="252" w:lineRule="exact" w:before="90"/>
              <w:ind w:left="516"/>
              <w:rPr>
                <w:sz w:val="22"/>
              </w:rPr>
            </w:pPr>
            <w:r>
              <w:rPr>
                <w:sz w:val="22"/>
              </w:rPr>
              <w:t>-0.03</w:t>
            </w:r>
          </w:p>
          <w:p>
            <w:pPr>
              <w:pStyle w:val="TableParagraph"/>
              <w:spacing w:line="252" w:lineRule="exact"/>
              <w:ind w:left="480"/>
              <w:rPr>
                <w:sz w:val="22"/>
              </w:rPr>
            </w:pPr>
            <w:r>
              <w:rPr>
                <w:sz w:val="22"/>
              </w:rPr>
              <w:t>(0.85)</w:t>
            </w:r>
          </w:p>
        </w:tc>
        <w:tc>
          <w:tcPr>
            <w:tcW w:w="1017" w:type="dxa"/>
            <w:tcBorders>
              <w:top w:val="nil"/>
              <w:left w:val="nil"/>
              <w:right w:val="nil"/>
            </w:tcBorders>
          </w:tcPr>
          <w:p>
            <w:pPr>
              <w:pStyle w:val="TableParagraph"/>
              <w:spacing w:line="252" w:lineRule="exact" w:before="90"/>
              <w:ind w:left="222"/>
              <w:rPr>
                <w:sz w:val="22"/>
              </w:rPr>
            </w:pPr>
            <w:r>
              <w:rPr>
                <w:sz w:val="22"/>
              </w:rPr>
              <w:t>-0.10</w:t>
            </w:r>
          </w:p>
          <w:p>
            <w:pPr>
              <w:pStyle w:val="TableParagraph"/>
              <w:spacing w:line="252" w:lineRule="exact"/>
              <w:ind w:left="186"/>
              <w:rPr>
                <w:sz w:val="22"/>
              </w:rPr>
            </w:pPr>
            <w:r>
              <w:rPr>
                <w:sz w:val="22"/>
              </w:rPr>
              <w:t>(0.53)</w:t>
            </w:r>
          </w:p>
        </w:tc>
        <w:tc>
          <w:tcPr>
            <w:tcW w:w="1444" w:type="dxa"/>
            <w:tcBorders>
              <w:top w:val="nil"/>
              <w:left w:val="nil"/>
              <w:right w:val="nil"/>
            </w:tcBorders>
          </w:tcPr>
          <w:p>
            <w:pPr>
              <w:pStyle w:val="TableParagraph"/>
              <w:spacing w:line="252" w:lineRule="exact" w:before="90"/>
              <w:ind w:left="426" w:right="399"/>
              <w:jc w:val="center"/>
              <w:rPr>
                <w:sz w:val="22"/>
              </w:rPr>
            </w:pPr>
            <w:r>
              <w:rPr>
                <w:sz w:val="22"/>
              </w:rPr>
              <w:t>0.36</w:t>
            </w:r>
          </w:p>
          <w:p>
            <w:pPr>
              <w:pStyle w:val="TableParagraph"/>
              <w:spacing w:line="252" w:lineRule="exact"/>
              <w:ind w:left="426" w:right="402"/>
              <w:jc w:val="center"/>
              <w:rPr>
                <w:sz w:val="22"/>
              </w:rPr>
            </w:pPr>
            <w:r>
              <w:rPr>
                <w:sz w:val="22"/>
              </w:rPr>
              <w:t>(0.02)</w:t>
            </w:r>
          </w:p>
        </w:tc>
        <w:tc>
          <w:tcPr>
            <w:tcW w:w="1201" w:type="dxa"/>
            <w:tcBorders>
              <w:top w:val="nil"/>
              <w:left w:val="nil"/>
              <w:right w:val="nil"/>
            </w:tcBorders>
          </w:tcPr>
          <w:p>
            <w:pPr>
              <w:pStyle w:val="TableParagraph"/>
              <w:spacing w:before="90"/>
              <w:ind w:left="421" w:right="121"/>
              <w:rPr>
                <w:sz w:val="22"/>
              </w:rPr>
            </w:pPr>
            <w:r>
              <w:rPr>
                <w:sz w:val="22"/>
              </w:rPr>
              <w:t>1.00</w:t>
            </w:r>
          </w:p>
        </w:tc>
      </w:tr>
    </w:tbl>
    <w:p>
      <w:pPr>
        <w:spacing w:before="163"/>
        <w:ind w:left="742" w:right="126" w:firstLine="0"/>
        <w:jc w:val="left"/>
        <w:rPr>
          <w:sz w:val="20"/>
        </w:rPr>
      </w:pPr>
      <w:r>
        <w:rPr>
          <w:sz w:val="20"/>
        </w:rPr>
        <w:t>*Correlaciones</w:t>
      </w:r>
    </w:p>
    <w:p>
      <w:pPr>
        <w:spacing w:after="0"/>
        <w:jc w:val="left"/>
        <w:rPr>
          <w:sz w:val="20"/>
        </w:rPr>
        <w:sectPr>
          <w:pgSz w:w="12240" w:h="15840"/>
          <w:pgMar w:header="733" w:footer="1039" w:top="1020" w:bottom="1220" w:left="1540" w:right="1520"/>
        </w:sectPr>
      </w:pPr>
    </w:p>
    <w:p>
      <w:pPr>
        <w:pStyle w:val="BodyText"/>
        <w:rPr>
          <w:sz w:val="18"/>
        </w:rPr>
      </w:pPr>
    </w:p>
    <w:p>
      <w:pPr>
        <w:pStyle w:val="BodyText"/>
        <w:spacing w:line="360" w:lineRule="auto" w:before="69"/>
        <w:ind w:left="162" w:right="180"/>
        <w:jc w:val="both"/>
      </w:pPr>
      <w:r>
        <w:rPr/>
        <w:t>En la tabla 12 se muestra el análisis de correlación para el grupo de los no expuestos, donde el presentar caries, tuvo una correlación positiva con la edad (0.09), una correlación negativa con la escolaridad de los individuos (-0.02), y una correlación negativa con la atención a la enfermedad (-0.39). babe mencionar que las correlaciones en cuanto a edad, escolaridad y atención dental se presentaran en igual forma en ambos grupos. Siendo el tiempo de exposición a los plaguicidas exclusivo del grupo expuesto.</w:t>
      </w:r>
    </w:p>
    <w:p>
      <w:pPr>
        <w:pStyle w:val="BodyText"/>
      </w:pPr>
    </w:p>
    <w:p>
      <w:pPr>
        <w:pStyle w:val="BodyText"/>
        <w:spacing w:before="11"/>
        <w:rPr>
          <w:sz w:val="18"/>
        </w:rPr>
      </w:pPr>
    </w:p>
    <w:p>
      <w:pPr>
        <w:spacing w:line="278" w:lineRule="auto" w:before="0"/>
        <w:ind w:left="162" w:right="179" w:firstLine="0"/>
        <w:jc w:val="both"/>
        <w:rPr>
          <w:sz w:val="22"/>
        </w:rPr>
      </w:pPr>
      <w:r>
        <w:rPr>
          <w:sz w:val="22"/>
        </w:rPr>
        <w:t>TABLA 12. Resultados del modelo de correlación de las características sociodemográficas, presencia de caries y atención</w:t>
      </w:r>
      <w:r>
        <w:rPr>
          <w:spacing w:val="-9"/>
          <w:sz w:val="22"/>
        </w:rPr>
        <w:t> </w:t>
      </w:r>
      <w:r>
        <w:rPr>
          <w:sz w:val="22"/>
        </w:rPr>
        <w:t>dental</w:t>
      </w:r>
    </w:p>
    <w:p>
      <w:pPr>
        <w:pStyle w:val="BodyText"/>
        <w:spacing w:before="5"/>
        <w:rPr>
          <w:sz w:val="25"/>
        </w:rPr>
      </w:pPr>
    </w:p>
    <w:tbl>
      <w:tblPr>
        <w:tblW w:w="0" w:type="auto"/>
        <w:jc w:val="left"/>
        <w:tblInd w:w="9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25"/>
        <w:gridCol w:w="1276"/>
        <w:gridCol w:w="1812"/>
        <w:gridCol w:w="1263"/>
        <w:gridCol w:w="1366"/>
      </w:tblGrid>
      <w:tr>
        <w:trPr>
          <w:trHeight w:val="526" w:hRule="exact"/>
        </w:trPr>
        <w:tc>
          <w:tcPr>
            <w:tcW w:w="1625" w:type="dxa"/>
            <w:tcBorders>
              <w:left w:val="nil"/>
              <w:right w:val="nil"/>
            </w:tcBorders>
          </w:tcPr>
          <w:p>
            <w:pPr>
              <w:pStyle w:val="TableParagraph"/>
              <w:spacing w:line="251" w:lineRule="exact"/>
              <w:ind w:left="107"/>
              <w:rPr>
                <w:sz w:val="22"/>
              </w:rPr>
            </w:pPr>
            <w:r>
              <w:rPr>
                <w:sz w:val="22"/>
              </w:rPr>
              <w:t>Variables</w:t>
            </w:r>
          </w:p>
        </w:tc>
        <w:tc>
          <w:tcPr>
            <w:tcW w:w="1276" w:type="dxa"/>
            <w:tcBorders>
              <w:left w:val="nil"/>
              <w:right w:val="nil"/>
            </w:tcBorders>
          </w:tcPr>
          <w:p>
            <w:pPr>
              <w:pStyle w:val="TableParagraph"/>
              <w:spacing w:line="251" w:lineRule="exact"/>
              <w:ind w:left="375" w:right="346"/>
              <w:jc w:val="center"/>
              <w:rPr>
                <w:sz w:val="22"/>
              </w:rPr>
            </w:pPr>
            <w:r>
              <w:rPr>
                <w:sz w:val="22"/>
              </w:rPr>
              <w:t>Edad</w:t>
            </w:r>
          </w:p>
        </w:tc>
        <w:tc>
          <w:tcPr>
            <w:tcW w:w="1812" w:type="dxa"/>
            <w:tcBorders>
              <w:left w:val="nil"/>
              <w:right w:val="nil"/>
            </w:tcBorders>
          </w:tcPr>
          <w:p>
            <w:pPr>
              <w:pStyle w:val="TableParagraph"/>
              <w:spacing w:line="251" w:lineRule="exact"/>
              <w:ind w:left="314" w:right="308"/>
              <w:jc w:val="center"/>
              <w:rPr>
                <w:sz w:val="22"/>
              </w:rPr>
            </w:pPr>
            <w:r>
              <w:rPr>
                <w:sz w:val="22"/>
              </w:rPr>
              <w:t>Escolaridad</w:t>
            </w:r>
          </w:p>
        </w:tc>
        <w:tc>
          <w:tcPr>
            <w:tcW w:w="1263" w:type="dxa"/>
            <w:tcBorders>
              <w:left w:val="nil"/>
              <w:right w:val="nil"/>
            </w:tcBorders>
          </w:tcPr>
          <w:p>
            <w:pPr>
              <w:pStyle w:val="TableParagraph"/>
              <w:spacing w:line="251" w:lineRule="exact"/>
              <w:ind w:left="307" w:right="280"/>
              <w:jc w:val="center"/>
              <w:rPr>
                <w:sz w:val="22"/>
              </w:rPr>
            </w:pPr>
            <w:r>
              <w:rPr>
                <w:sz w:val="22"/>
              </w:rPr>
              <w:t>Caries</w:t>
            </w:r>
          </w:p>
        </w:tc>
        <w:tc>
          <w:tcPr>
            <w:tcW w:w="1366" w:type="dxa"/>
            <w:tcBorders>
              <w:left w:val="nil"/>
              <w:right w:val="nil"/>
            </w:tcBorders>
          </w:tcPr>
          <w:p>
            <w:pPr>
              <w:pStyle w:val="TableParagraph"/>
              <w:spacing w:line="242" w:lineRule="auto"/>
              <w:ind w:left="410" w:right="190" w:hanging="111"/>
              <w:rPr>
                <w:sz w:val="22"/>
              </w:rPr>
            </w:pPr>
            <w:r>
              <w:rPr>
                <w:sz w:val="22"/>
              </w:rPr>
              <w:t>Atención Dental</w:t>
            </w:r>
          </w:p>
        </w:tc>
      </w:tr>
      <w:tr>
        <w:trPr>
          <w:trHeight w:val="571" w:hRule="exact"/>
        </w:trPr>
        <w:tc>
          <w:tcPr>
            <w:tcW w:w="1625" w:type="dxa"/>
            <w:tcBorders>
              <w:left w:val="nil"/>
              <w:bottom w:val="nil"/>
              <w:right w:val="nil"/>
            </w:tcBorders>
          </w:tcPr>
          <w:p>
            <w:pPr>
              <w:pStyle w:val="TableParagraph"/>
              <w:spacing w:line="251" w:lineRule="exact"/>
              <w:ind w:left="107"/>
              <w:rPr>
                <w:sz w:val="22"/>
              </w:rPr>
            </w:pPr>
            <w:r>
              <w:rPr>
                <w:sz w:val="22"/>
              </w:rPr>
              <w:t>Edad</w:t>
            </w:r>
          </w:p>
        </w:tc>
        <w:tc>
          <w:tcPr>
            <w:tcW w:w="1276" w:type="dxa"/>
            <w:tcBorders>
              <w:left w:val="nil"/>
              <w:bottom w:val="nil"/>
              <w:right w:val="nil"/>
            </w:tcBorders>
          </w:tcPr>
          <w:p>
            <w:pPr>
              <w:pStyle w:val="TableParagraph"/>
              <w:spacing w:line="251" w:lineRule="exact"/>
              <w:ind w:left="375" w:right="344"/>
              <w:jc w:val="center"/>
              <w:rPr>
                <w:sz w:val="22"/>
              </w:rPr>
            </w:pPr>
            <w:r>
              <w:rPr>
                <w:sz w:val="22"/>
              </w:rPr>
              <w:t>1.00</w:t>
            </w:r>
          </w:p>
        </w:tc>
        <w:tc>
          <w:tcPr>
            <w:tcW w:w="1812" w:type="dxa"/>
            <w:tcBorders>
              <w:left w:val="nil"/>
              <w:bottom w:val="nil"/>
              <w:right w:val="nil"/>
            </w:tcBorders>
          </w:tcPr>
          <w:p>
            <w:pPr>
              <w:pStyle w:val="TableParagraph"/>
              <w:spacing w:line="251" w:lineRule="exact"/>
              <w:ind w:left="314" w:right="306"/>
              <w:jc w:val="center"/>
              <w:rPr>
                <w:sz w:val="22"/>
              </w:rPr>
            </w:pPr>
            <w:r>
              <w:rPr>
                <w:sz w:val="22"/>
              </w:rPr>
              <w:t>-0.25</w:t>
            </w:r>
          </w:p>
          <w:p>
            <w:pPr>
              <w:pStyle w:val="TableParagraph"/>
              <w:spacing w:before="1"/>
              <w:ind w:left="314" w:right="307"/>
              <w:jc w:val="center"/>
              <w:rPr>
                <w:sz w:val="22"/>
              </w:rPr>
            </w:pPr>
            <w:r>
              <w:rPr>
                <w:sz w:val="22"/>
              </w:rPr>
              <w:t>(0.12)</w:t>
            </w:r>
          </w:p>
        </w:tc>
        <w:tc>
          <w:tcPr>
            <w:tcW w:w="1263" w:type="dxa"/>
            <w:tcBorders>
              <w:left w:val="nil"/>
              <w:bottom w:val="nil"/>
              <w:right w:val="nil"/>
            </w:tcBorders>
          </w:tcPr>
          <w:p>
            <w:pPr>
              <w:pStyle w:val="TableParagraph"/>
              <w:spacing w:line="242" w:lineRule="auto"/>
              <w:ind w:left="358" w:right="310" w:firstLine="28"/>
              <w:rPr>
                <w:sz w:val="22"/>
              </w:rPr>
            </w:pPr>
            <w:r>
              <w:rPr>
                <w:sz w:val="22"/>
              </w:rPr>
              <w:t>0.09* (0.54)</w:t>
            </w:r>
          </w:p>
        </w:tc>
        <w:tc>
          <w:tcPr>
            <w:tcW w:w="1366" w:type="dxa"/>
            <w:tcBorders>
              <w:left w:val="nil"/>
              <w:bottom w:val="nil"/>
              <w:right w:val="nil"/>
            </w:tcBorders>
          </w:tcPr>
          <w:p>
            <w:pPr>
              <w:pStyle w:val="TableParagraph"/>
              <w:spacing w:line="251" w:lineRule="exact"/>
              <w:ind w:left="513" w:right="190"/>
              <w:rPr>
                <w:sz w:val="22"/>
              </w:rPr>
            </w:pPr>
            <w:r>
              <w:rPr>
                <w:sz w:val="22"/>
              </w:rPr>
              <w:t>0.05</w:t>
            </w:r>
          </w:p>
          <w:p>
            <w:pPr>
              <w:pStyle w:val="TableParagraph"/>
              <w:spacing w:before="1"/>
              <w:ind w:left="441" w:right="190"/>
              <w:rPr>
                <w:sz w:val="22"/>
              </w:rPr>
            </w:pPr>
            <w:r>
              <w:rPr>
                <w:sz w:val="22"/>
              </w:rPr>
              <w:t>(0.74)</w:t>
            </w:r>
          </w:p>
        </w:tc>
      </w:tr>
      <w:tr>
        <w:trPr>
          <w:trHeight w:val="581" w:hRule="exact"/>
        </w:trPr>
        <w:tc>
          <w:tcPr>
            <w:tcW w:w="1625" w:type="dxa"/>
            <w:tcBorders>
              <w:top w:val="nil"/>
              <w:left w:val="nil"/>
              <w:bottom w:val="nil"/>
              <w:right w:val="nil"/>
            </w:tcBorders>
          </w:tcPr>
          <w:p>
            <w:pPr>
              <w:pStyle w:val="TableParagraph"/>
              <w:spacing w:before="33"/>
              <w:ind w:left="107"/>
              <w:rPr>
                <w:sz w:val="22"/>
              </w:rPr>
            </w:pPr>
            <w:r>
              <w:rPr>
                <w:sz w:val="22"/>
              </w:rPr>
              <w:t>Escolaridad</w:t>
            </w:r>
          </w:p>
        </w:tc>
        <w:tc>
          <w:tcPr>
            <w:tcW w:w="1276" w:type="dxa"/>
            <w:tcBorders>
              <w:top w:val="nil"/>
              <w:left w:val="nil"/>
              <w:bottom w:val="nil"/>
              <w:right w:val="nil"/>
            </w:tcBorders>
          </w:tcPr>
          <w:p>
            <w:pPr>
              <w:pStyle w:val="TableParagraph"/>
              <w:spacing w:line="252" w:lineRule="exact" w:before="33"/>
              <w:ind w:left="403"/>
              <w:rPr>
                <w:sz w:val="22"/>
              </w:rPr>
            </w:pPr>
            <w:r>
              <w:rPr>
                <w:sz w:val="22"/>
              </w:rPr>
              <w:t>-0.25</w:t>
            </w:r>
          </w:p>
          <w:p>
            <w:pPr>
              <w:pStyle w:val="TableParagraph"/>
              <w:spacing w:line="252" w:lineRule="exact"/>
              <w:ind w:left="367"/>
              <w:rPr>
                <w:sz w:val="22"/>
              </w:rPr>
            </w:pPr>
            <w:r>
              <w:rPr>
                <w:sz w:val="22"/>
              </w:rPr>
              <w:t>(0.12)</w:t>
            </w:r>
          </w:p>
        </w:tc>
        <w:tc>
          <w:tcPr>
            <w:tcW w:w="1812" w:type="dxa"/>
            <w:tcBorders>
              <w:top w:val="nil"/>
              <w:left w:val="nil"/>
              <w:bottom w:val="nil"/>
              <w:right w:val="nil"/>
            </w:tcBorders>
          </w:tcPr>
          <w:p>
            <w:pPr>
              <w:pStyle w:val="TableParagraph"/>
              <w:spacing w:before="33"/>
              <w:ind w:left="314" w:right="308"/>
              <w:jc w:val="center"/>
              <w:rPr>
                <w:sz w:val="22"/>
              </w:rPr>
            </w:pPr>
            <w:r>
              <w:rPr>
                <w:sz w:val="22"/>
              </w:rPr>
              <w:t>1.00</w:t>
            </w:r>
          </w:p>
        </w:tc>
        <w:tc>
          <w:tcPr>
            <w:tcW w:w="1263" w:type="dxa"/>
            <w:tcBorders>
              <w:top w:val="nil"/>
              <w:left w:val="nil"/>
              <w:bottom w:val="nil"/>
              <w:right w:val="nil"/>
            </w:tcBorders>
          </w:tcPr>
          <w:p>
            <w:pPr>
              <w:pStyle w:val="TableParagraph"/>
              <w:spacing w:before="33"/>
              <w:ind w:left="358" w:right="306" w:hanging="8"/>
              <w:rPr>
                <w:sz w:val="22"/>
              </w:rPr>
            </w:pPr>
            <w:r>
              <w:rPr>
                <w:sz w:val="22"/>
              </w:rPr>
              <w:t>-0.02* (0.89)</w:t>
            </w:r>
          </w:p>
        </w:tc>
        <w:tc>
          <w:tcPr>
            <w:tcW w:w="1366" w:type="dxa"/>
            <w:tcBorders>
              <w:top w:val="nil"/>
              <w:left w:val="nil"/>
              <w:bottom w:val="nil"/>
              <w:right w:val="nil"/>
            </w:tcBorders>
          </w:tcPr>
          <w:p>
            <w:pPr>
              <w:pStyle w:val="TableParagraph"/>
              <w:spacing w:line="252" w:lineRule="exact" w:before="33"/>
              <w:ind w:left="513" w:right="190"/>
              <w:rPr>
                <w:sz w:val="22"/>
              </w:rPr>
            </w:pPr>
            <w:r>
              <w:rPr>
                <w:sz w:val="22"/>
              </w:rPr>
              <w:t>0.18</w:t>
            </w:r>
          </w:p>
          <w:p>
            <w:pPr>
              <w:pStyle w:val="TableParagraph"/>
              <w:spacing w:line="252" w:lineRule="exact"/>
              <w:ind w:left="441" w:right="190"/>
              <w:rPr>
                <w:sz w:val="22"/>
              </w:rPr>
            </w:pPr>
            <w:r>
              <w:rPr>
                <w:sz w:val="22"/>
              </w:rPr>
              <w:t>(0.26)</w:t>
            </w:r>
          </w:p>
        </w:tc>
      </w:tr>
      <w:tr>
        <w:trPr>
          <w:trHeight w:val="565" w:hRule="exact"/>
        </w:trPr>
        <w:tc>
          <w:tcPr>
            <w:tcW w:w="1625" w:type="dxa"/>
            <w:tcBorders>
              <w:top w:val="nil"/>
              <w:left w:val="nil"/>
              <w:bottom w:val="nil"/>
              <w:right w:val="nil"/>
            </w:tcBorders>
          </w:tcPr>
          <w:p>
            <w:pPr>
              <w:pStyle w:val="TableParagraph"/>
              <w:spacing w:before="19"/>
              <w:ind w:left="107"/>
              <w:rPr>
                <w:sz w:val="22"/>
              </w:rPr>
            </w:pPr>
            <w:r>
              <w:rPr>
                <w:sz w:val="22"/>
              </w:rPr>
              <w:t>Caries</w:t>
            </w:r>
          </w:p>
        </w:tc>
        <w:tc>
          <w:tcPr>
            <w:tcW w:w="1276" w:type="dxa"/>
            <w:tcBorders>
              <w:top w:val="nil"/>
              <w:left w:val="nil"/>
              <w:bottom w:val="nil"/>
              <w:right w:val="nil"/>
            </w:tcBorders>
          </w:tcPr>
          <w:p>
            <w:pPr>
              <w:pStyle w:val="TableParagraph"/>
              <w:spacing w:before="19"/>
              <w:ind w:left="439"/>
              <w:rPr>
                <w:sz w:val="22"/>
              </w:rPr>
            </w:pPr>
            <w:r>
              <w:rPr>
                <w:sz w:val="22"/>
              </w:rPr>
              <w:t>0.09</w:t>
            </w:r>
          </w:p>
          <w:p>
            <w:pPr>
              <w:pStyle w:val="TableParagraph"/>
              <w:spacing w:before="1"/>
              <w:ind w:left="367"/>
              <w:rPr>
                <w:sz w:val="22"/>
              </w:rPr>
            </w:pPr>
            <w:r>
              <w:rPr>
                <w:sz w:val="22"/>
              </w:rPr>
              <w:t>(0.54)</w:t>
            </w:r>
          </w:p>
        </w:tc>
        <w:tc>
          <w:tcPr>
            <w:tcW w:w="1812" w:type="dxa"/>
            <w:tcBorders>
              <w:top w:val="nil"/>
              <w:left w:val="nil"/>
              <w:bottom w:val="nil"/>
              <w:right w:val="nil"/>
            </w:tcBorders>
          </w:tcPr>
          <w:p>
            <w:pPr>
              <w:pStyle w:val="TableParagraph"/>
              <w:spacing w:before="19"/>
              <w:ind w:left="314" w:right="306"/>
              <w:jc w:val="center"/>
              <w:rPr>
                <w:sz w:val="22"/>
              </w:rPr>
            </w:pPr>
            <w:r>
              <w:rPr>
                <w:sz w:val="22"/>
              </w:rPr>
              <w:t>-0.02</w:t>
            </w:r>
          </w:p>
          <w:p>
            <w:pPr>
              <w:pStyle w:val="TableParagraph"/>
              <w:spacing w:before="1"/>
              <w:ind w:left="314" w:right="307"/>
              <w:jc w:val="center"/>
              <w:rPr>
                <w:sz w:val="22"/>
              </w:rPr>
            </w:pPr>
            <w:r>
              <w:rPr>
                <w:sz w:val="22"/>
              </w:rPr>
              <w:t>(0.89)</w:t>
            </w:r>
          </w:p>
        </w:tc>
        <w:tc>
          <w:tcPr>
            <w:tcW w:w="1263" w:type="dxa"/>
            <w:tcBorders>
              <w:top w:val="nil"/>
              <w:left w:val="nil"/>
              <w:bottom w:val="nil"/>
              <w:right w:val="nil"/>
            </w:tcBorders>
          </w:tcPr>
          <w:p>
            <w:pPr>
              <w:pStyle w:val="TableParagraph"/>
              <w:spacing w:before="19"/>
              <w:ind w:left="307" w:right="280"/>
              <w:jc w:val="center"/>
              <w:rPr>
                <w:sz w:val="22"/>
              </w:rPr>
            </w:pPr>
            <w:r>
              <w:rPr>
                <w:sz w:val="22"/>
              </w:rPr>
              <w:t>1.00</w:t>
            </w:r>
          </w:p>
        </w:tc>
        <w:tc>
          <w:tcPr>
            <w:tcW w:w="1366" w:type="dxa"/>
            <w:tcBorders>
              <w:top w:val="nil"/>
              <w:left w:val="nil"/>
              <w:bottom w:val="nil"/>
              <w:right w:val="nil"/>
            </w:tcBorders>
          </w:tcPr>
          <w:p>
            <w:pPr>
              <w:pStyle w:val="TableParagraph"/>
              <w:spacing w:before="19"/>
              <w:ind w:left="477" w:right="190"/>
              <w:rPr>
                <w:sz w:val="22"/>
              </w:rPr>
            </w:pPr>
            <w:r>
              <w:rPr>
                <w:sz w:val="22"/>
              </w:rPr>
              <w:t>-0.39</w:t>
            </w:r>
          </w:p>
          <w:p>
            <w:pPr>
              <w:pStyle w:val="TableParagraph"/>
              <w:spacing w:before="1"/>
              <w:ind w:left="441" w:right="190"/>
              <w:rPr>
                <w:sz w:val="22"/>
              </w:rPr>
            </w:pPr>
            <w:r>
              <w:rPr>
                <w:sz w:val="22"/>
              </w:rPr>
              <w:t>(0.01)</w:t>
            </w:r>
          </w:p>
        </w:tc>
      </w:tr>
      <w:tr>
        <w:trPr>
          <w:trHeight w:val="570" w:hRule="exact"/>
        </w:trPr>
        <w:tc>
          <w:tcPr>
            <w:tcW w:w="1625" w:type="dxa"/>
            <w:tcBorders>
              <w:top w:val="nil"/>
              <w:left w:val="nil"/>
              <w:right w:val="nil"/>
            </w:tcBorders>
          </w:tcPr>
          <w:p>
            <w:pPr>
              <w:pStyle w:val="TableParagraph"/>
              <w:spacing w:before="15"/>
              <w:ind w:left="107" w:right="642"/>
              <w:rPr>
                <w:sz w:val="22"/>
              </w:rPr>
            </w:pPr>
            <w:r>
              <w:rPr>
                <w:sz w:val="22"/>
              </w:rPr>
              <w:t>Atención Dental</w:t>
            </w:r>
          </w:p>
        </w:tc>
        <w:tc>
          <w:tcPr>
            <w:tcW w:w="1276" w:type="dxa"/>
            <w:tcBorders>
              <w:top w:val="nil"/>
              <w:left w:val="nil"/>
              <w:right w:val="nil"/>
            </w:tcBorders>
          </w:tcPr>
          <w:p>
            <w:pPr>
              <w:pStyle w:val="TableParagraph"/>
              <w:spacing w:before="15"/>
              <w:ind w:left="439"/>
              <w:rPr>
                <w:sz w:val="22"/>
              </w:rPr>
            </w:pPr>
            <w:r>
              <w:rPr>
                <w:sz w:val="22"/>
              </w:rPr>
              <w:t>0.05</w:t>
            </w:r>
          </w:p>
          <w:p>
            <w:pPr>
              <w:pStyle w:val="TableParagraph"/>
              <w:spacing w:before="1"/>
              <w:ind w:left="367"/>
              <w:rPr>
                <w:sz w:val="22"/>
              </w:rPr>
            </w:pPr>
            <w:r>
              <w:rPr>
                <w:sz w:val="22"/>
              </w:rPr>
              <w:t>(0.74)</w:t>
            </w:r>
          </w:p>
        </w:tc>
        <w:tc>
          <w:tcPr>
            <w:tcW w:w="1812" w:type="dxa"/>
            <w:tcBorders>
              <w:top w:val="nil"/>
              <w:left w:val="nil"/>
              <w:right w:val="nil"/>
            </w:tcBorders>
          </w:tcPr>
          <w:p>
            <w:pPr>
              <w:pStyle w:val="TableParagraph"/>
              <w:spacing w:before="15"/>
              <w:ind w:left="313" w:right="308"/>
              <w:jc w:val="center"/>
              <w:rPr>
                <w:sz w:val="22"/>
              </w:rPr>
            </w:pPr>
            <w:r>
              <w:rPr>
                <w:sz w:val="22"/>
              </w:rPr>
              <w:t>0.18</w:t>
            </w:r>
          </w:p>
          <w:p>
            <w:pPr>
              <w:pStyle w:val="TableParagraph"/>
              <w:spacing w:before="1"/>
              <w:ind w:left="314" w:right="307"/>
              <w:jc w:val="center"/>
              <w:rPr>
                <w:sz w:val="22"/>
              </w:rPr>
            </w:pPr>
            <w:r>
              <w:rPr>
                <w:sz w:val="22"/>
              </w:rPr>
              <w:t>(0.26)</w:t>
            </w:r>
          </w:p>
        </w:tc>
        <w:tc>
          <w:tcPr>
            <w:tcW w:w="1263" w:type="dxa"/>
            <w:tcBorders>
              <w:top w:val="nil"/>
              <w:left w:val="nil"/>
              <w:right w:val="nil"/>
            </w:tcBorders>
          </w:tcPr>
          <w:p>
            <w:pPr>
              <w:pStyle w:val="TableParagraph"/>
              <w:spacing w:before="15"/>
              <w:ind w:left="358" w:right="306" w:hanging="8"/>
              <w:rPr>
                <w:sz w:val="22"/>
              </w:rPr>
            </w:pPr>
            <w:r>
              <w:rPr>
                <w:sz w:val="22"/>
              </w:rPr>
              <w:t>-0.39* (0.01)</w:t>
            </w:r>
          </w:p>
        </w:tc>
        <w:tc>
          <w:tcPr>
            <w:tcW w:w="1366" w:type="dxa"/>
            <w:tcBorders>
              <w:top w:val="nil"/>
              <w:left w:val="nil"/>
              <w:right w:val="nil"/>
            </w:tcBorders>
          </w:tcPr>
          <w:p>
            <w:pPr>
              <w:pStyle w:val="TableParagraph"/>
              <w:spacing w:before="15"/>
              <w:ind w:left="513" w:right="190"/>
              <w:rPr>
                <w:sz w:val="22"/>
              </w:rPr>
            </w:pPr>
            <w:r>
              <w:rPr>
                <w:sz w:val="22"/>
              </w:rPr>
              <w:t>1.00</w:t>
            </w:r>
          </w:p>
        </w:tc>
      </w:tr>
    </w:tbl>
    <w:p>
      <w:pPr>
        <w:spacing w:before="161"/>
        <w:ind w:left="870" w:right="126" w:firstLine="0"/>
        <w:jc w:val="left"/>
        <w:rPr>
          <w:sz w:val="20"/>
        </w:rPr>
      </w:pPr>
      <w:r>
        <w:rPr>
          <w:sz w:val="20"/>
        </w:rPr>
        <w:t>*Correlaciones</w:t>
      </w:r>
    </w:p>
    <w:p>
      <w:pPr>
        <w:pStyle w:val="BodyText"/>
        <w:rPr>
          <w:sz w:val="20"/>
        </w:rPr>
      </w:pPr>
    </w:p>
    <w:p>
      <w:pPr>
        <w:pStyle w:val="BodyText"/>
        <w:rPr>
          <w:sz w:val="20"/>
        </w:rPr>
      </w:pPr>
    </w:p>
    <w:p>
      <w:pPr>
        <w:pStyle w:val="BodyText"/>
        <w:spacing w:before="2"/>
        <w:rPr>
          <w:sz w:val="16"/>
        </w:rPr>
      </w:pPr>
    </w:p>
    <w:p>
      <w:pPr>
        <w:pStyle w:val="Heading2"/>
        <w:numPr>
          <w:ilvl w:val="2"/>
          <w:numId w:val="31"/>
        </w:numPr>
        <w:tabs>
          <w:tab w:pos="765" w:val="left" w:leader="none"/>
        </w:tabs>
        <w:spacing w:line="240" w:lineRule="auto" w:before="1" w:after="0"/>
        <w:ind w:left="764" w:right="0" w:hanging="602"/>
        <w:jc w:val="both"/>
      </w:pPr>
      <w:bookmarkStart w:name="_TOC_250003" w:id="38"/>
      <w:r>
        <w:rPr/>
        <w:t>Modelo de</w:t>
      </w:r>
      <w:r>
        <w:rPr>
          <w:spacing w:val="-5"/>
        </w:rPr>
        <w:t> </w:t>
      </w:r>
      <w:bookmarkEnd w:id="38"/>
      <w:r>
        <w:rPr/>
        <w:t>regresión</w:t>
      </w:r>
    </w:p>
    <w:p>
      <w:pPr>
        <w:pStyle w:val="BodyText"/>
        <w:rPr>
          <w:b/>
        </w:rPr>
      </w:pPr>
    </w:p>
    <w:p>
      <w:pPr>
        <w:pStyle w:val="BodyText"/>
        <w:rPr>
          <w:b/>
        </w:rPr>
      </w:pPr>
    </w:p>
    <w:p>
      <w:pPr>
        <w:pStyle w:val="BodyText"/>
        <w:spacing w:line="360" w:lineRule="auto"/>
        <w:ind w:left="162" w:right="178"/>
        <w:jc w:val="both"/>
      </w:pPr>
      <w:r>
        <w:rPr/>
        <w:t>Se realizo un análisis de regresión multinominal (Tabla 13) para conocer si existe asociación entre la caries y las variables: polimorfismos, hábitos higiénicos y dietéticos. En el grupo expuesto a plaguicidas, la presencia del polimorfismo GSTM1 (+/+) se encontró asociada a menor frecuencia de caries dental en 49% (p=0.01); así como en el grupo de los no expuestos, con 38% (p=0.02).</w:t>
      </w:r>
    </w:p>
    <w:p>
      <w:pPr>
        <w:pStyle w:val="BodyText"/>
      </w:pPr>
    </w:p>
    <w:p>
      <w:pPr>
        <w:pStyle w:val="BodyText"/>
        <w:spacing w:line="360" w:lineRule="auto" w:before="142"/>
        <w:ind w:left="162" w:right="180"/>
        <w:jc w:val="both"/>
      </w:pPr>
      <w:r>
        <w:rPr/>
        <w:t>En el grupo no expuesto a plaguicidas, la presencia del polimorfismo GSTT1 (+/+) se encontró asociada a menor frecuencia de caries en 38% (p=0.05)</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62" w:lineRule="auto" w:before="69"/>
        <w:ind w:left="162" w:right="185"/>
        <w:jc w:val="both"/>
      </w:pPr>
      <w:r>
        <w:rPr/>
        <w:t>El polimorfismo GSTP1b (a/a) no tuvo asociación alguna en ambos grupos (expuestos y no expuestos a plaguicidas) con la caries.</w:t>
      </w:r>
    </w:p>
    <w:p>
      <w:pPr>
        <w:pStyle w:val="BodyText"/>
      </w:pPr>
    </w:p>
    <w:p>
      <w:pPr>
        <w:pStyle w:val="BodyText"/>
        <w:spacing w:line="360" w:lineRule="auto" w:before="139"/>
        <w:ind w:left="162" w:right="184"/>
        <w:jc w:val="both"/>
      </w:pPr>
      <w:r>
        <w:rPr/>
        <w:t>Así también, se encontró asociación entre la presencia del polimorfismo silvestre GSTP1c con menor frecuencia de caries en 39% (p=0.05) en el grupo expuesto; y en el grupo de los no expuestos la asociación fue del 41% (p=0.04).</w:t>
      </w:r>
    </w:p>
    <w:p>
      <w:pPr>
        <w:pStyle w:val="BodyText"/>
      </w:pPr>
    </w:p>
    <w:p>
      <w:pPr>
        <w:pStyle w:val="BodyText"/>
        <w:spacing w:before="11"/>
        <w:rPr>
          <w:sz w:val="18"/>
        </w:rPr>
      </w:pPr>
    </w:p>
    <w:p>
      <w:pPr>
        <w:spacing w:line="276" w:lineRule="auto" w:before="0"/>
        <w:ind w:left="2740" w:right="429" w:hanging="2312"/>
        <w:jc w:val="left"/>
        <w:rPr>
          <w:sz w:val="22"/>
        </w:rPr>
      </w:pPr>
      <w:r>
        <w:rPr>
          <w:sz w:val="22"/>
        </w:rPr>
        <w:t>TABLA 13. Asociación entre frecuencia de caries, polimorfismos, hábitos higiénicos y dieta cariogénica entre ambos grupos</w:t>
      </w:r>
    </w:p>
    <w:p>
      <w:pPr>
        <w:pStyle w:val="BodyText"/>
        <w:spacing w:before="10"/>
        <w:rPr>
          <w:sz w:val="19"/>
        </w:rPr>
      </w:pPr>
    </w:p>
    <w:tbl>
      <w:tblPr>
        <w:tblW w:w="0" w:type="auto"/>
        <w:jc w:val="left"/>
        <w:tblInd w:w="7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789"/>
        <w:gridCol w:w="881"/>
        <w:gridCol w:w="955"/>
        <w:gridCol w:w="1077"/>
        <w:gridCol w:w="1223"/>
        <w:gridCol w:w="911"/>
        <w:gridCol w:w="910"/>
      </w:tblGrid>
      <w:tr>
        <w:trPr>
          <w:trHeight w:val="382" w:hRule="exact"/>
        </w:trPr>
        <w:tc>
          <w:tcPr>
            <w:tcW w:w="1789" w:type="dxa"/>
            <w:tcBorders>
              <w:left w:val="nil"/>
              <w:right w:val="nil"/>
            </w:tcBorders>
          </w:tcPr>
          <w:p>
            <w:pPr>
              <w:pStyle w:val="TableParagraph"/>
              <w:spacing w:line="251" w:lineRule="exact"/>
              <w:ind w:left="684"/>
              <w:rPr>
                <w:sz w:val="22"/>
              </w:rPr>
            </w:pPr>
            <w:r>
              <w:rPr>
                <w:sz w:val="22"/>
              </w:rPr>
              <w:t>Grupo</w:t>
            </w:r>
          </w:p>
        </w:tc>
        <w:tc>
          <w:tcPr>
            <w:tcW w:w="1836" w:type="dxa"/>
            <w:gridSpan w:val="2"/>
            <w:tcBorders>
              <w:left w:val="nil"/>
              <w:right w:val="nil"/>
            </w:tcBorders>
          </w:tcPr>
          <w:p>
            <w:pPr>
              <w:pStyle w:val="TableParagraph"/>
              <w:spacing w:line="251" w:lineRule="exact"/>
              <w:ind w:left="776"/>
              <w:rPr>
                <w:sz w:val="22"/>
              </w:rPr>
            </w:pPr>
            <w:r>
              <w:rPr>
                <w:sz w:val="22"/>
              </w:rPr>
              <w:t>Expuesto</w:t>
            </w:r>
          </w:p>
        </w:tc>
        <w:tc>
          <w:tcPr>
            <w:tcW w:w="1077" w:type="dxa"/>
            <w:tcBorders>
              <w:left w:val="nil"/>
              <w:right w:val="nil"/>
            </w:tcBorders>
          </w:tcPr>
          <w:p>
            <w:pPr/>
          </w:p>
        </w:tc>
        <w:tc>
          <w:tcPr>
            <w:tcW w:w="3043" w:type="dxa"/>
            <w:gridSpan w:val="3"/>
            <w:tcBorders>
              <w:left w:val="nil"/>
              <w:right w:val="nil"/>
            </w:tcBorders>
          </w:tcPr>
          <w:p>
            <w:pPr>
              <w:pStyle w:val="TableParagraph"/>
              <w:spacing w:line="251" w:lineRule="exact"/>
              <w:ind w:left="1012"/>
              <w:rPr>
                <w:sz w:val="22"/>
              </w:rPr>
            </w:pPr>
            <w:r>
              <w:rPr>
                <w:sz w:val="22"/>
              </w:rPr>
              <w:t>No Expuesto</w:t>
            </w:r>
          </w:p>
        </w:tc>
      </w:tr>
      <w:tr>
        <w:trPr>
          <w:trHeight w:val="318" w:hRule="exact"/>
        </w:trPr>
        <w:tc>
          <w:tcPr>
            <w:tcW w:w="1789" w:type="dxa"/>
            <w:tcBorders>
              <w:left w:val="nil"/>
              <w:bottom w:val="single" w:sz="6" w:space="0" w:color="000000"/>
              <w:right w:val="nil"/>
            </w:tcBorders>
          </w:tcPr>
          <w:p>
            <w:pPr/>
          </w:p>
        </w:tc>
        <w:tc>
          <w:tcPr>
            <w:tcW w:w="881" w:type="dxa"/>
            <w:tcBorders>
              <w:left w:val="nil"/>
              <w:bottom w:val="single" w:sz="6" w:space="0" w:color="000000"/>
              <w:right w:val="nil"/>
            </w:tcBorders>
          </w:tcPr>
          <w:p>
            <w:pPr>
              <w:pStyle w:val="TableParagraph"/>
              <w:spacing w:line="251" w:lineRule="exact"/>
              <w:ind w:right="247"/>
              <w:jc w:val="right"/>
              <w:rPr>
                <w:sz w:val="22"/>
              </w:rPr>
            </w:pPr>
            <w:r>
              <w:rPr>
                <w:w w:val="100"/>
                <w:sz w:val="22"/>
              </w:rPr>
              <w:t>B</w:t>
            </w:r>
          </w:p>
        </w:tc>
        <w:tc>
          <w:tcPr>
            <w:tcW w:w="955" w:type="dxa"/>
            <w:tcBorders>
              <w:left w:val="nil"/>
              <w:bottom w:val="single" w:sz="6" w:space="0" w:color="000000"/>
              <w:right w:val="nil"/>
            </w:tcBorders>
          </w:tcPr>
          <w:p>
            <w:pPr>
              <w:pStyle w:val="TableParagraph"/>
              <w:spacing w:line="251" w:lineRule="exact"/>
              <w:ind w:left="166"/>
              <w:rPr>
                <w:sz w:val="22"/>
              </w:rPr>
            </w:pPr>
            <w:r>
              <w:rPr>
                <w:sz w:val="22"/>
              </w:rPr>
              <w:t>E.E.</w:t>
            </w:r>
          </w:p>
        </w:tc>
        <w:tc>
          <w:tcPr>
            <w:tcW w:w="1077" w:type="dxa"/>
            <w:tcBorders>
              <w:left w:val="nil"/>
              <w:bottom w:val="single" w:sz="6" w:space="0" w:color="000000"/>
              <w:right w:val="nil"/>
            </w:tcBorders>
          </w:tcPr>
          <w:p>
            <w:pPr>
              <w:pStyle w:val="TableParagraph"/>
              <w:spacing w:line="251" w:lineRule="exact"/>
              <w:ind w:right="455"/>
              <w:jc w:val="center"/>
              <w:rPr>
                <w:sz w:val="22"/>
              </w:rPr>
            </w:pPr>
            <w:r>
              <w:rPr>
                <w:w w:val="100"/>
                <w:sz w:val="22"/>
              </w:rPr>
              <w:t>p</w:t>
            </w:r>
          </w:p>
        </w:tc>
        <w:tc>
          <w:tcPr>
            <w:tcW w:w="1223" w:type="dxa"/>
            <w:tcBorders>
              <w:left w:val="nil"/>
              <w:bottom w:val="single" w:sz="6" w:space="0" w:color="000000"/>
              <w:right w:val="nil"/>
            </w:tcBorders>
          </w:tcPr>
          <w:p>
            <w:pPr>
              <w:pStyle w:val="TableParagraph"/>
              <w:spacing w:line="251" w:lineRule="exact"/>
              <w:ind w:right="247"/>
              <w:jc w:val="right"/>
              <w:rPr>
                <w:sz w:val="22"/>
              </w:rPr>
            </w:pPr>
            <w:r>
              <w:rPr>
                <w:w w:val="100"/>
                <w:sz w:val="22"/>
              </w:rPr>
              <w:t>B</w:t>
            </w:r>
          </w:p>
        </w:tc>
        <w:tc>
          <w:tcPr>
            <w:tcW w:w="911" w:type="dxa"/>
            <w:tcBorders>
              <w:left w:val="nil"/>
              <w:bottom w:val="single" w:sz="6" w:space="0" w:color="000000"/>
              <w:right w:val="nil"/>
            </w:tcBorders>
          </w:tcPr>
          <w:p>
            <w:pPr>
              <w:pStyle w:val="TableParagraph"/>
              <w:spacing w:line="251" w:lineRule="exact"/>
              <w:ind w:left="209" w:right="-14"/>
              <w:rPr>
                <w:sz w:val="22"/>
              </w:rPr>
            </w:pPr>
            <w:r>
              <w:rPr>
                <w:sz w:val="22"/>
              </w:rPr>
              <w:t>E.E.</w:t>
            </w:r>
          </w:p>
        </w:tc>
        <w:tc>
          <w:tcPr>
            <w:tcW w:w="910" w:type="dxa"/>
            <w:tcBorders>
              <w:left w:val="nil"/>
              <w:bottom w:val="single" w:sz="6" w:space="0" w:color="000000"/>
              <w:right w:val="nil"/>
            </w:tcBorders>
          </w:tcPr>
          <w:p>
            <w:pPr>
              <w:pStyle w:val="TableParagraph"/>
              <w:spacing w:line="251" w:lineRule="exact"/>
              <w:ind w:right="381"/>
              <w:jc w:val="right"/>
              <w:rPr>
                <w:sz w:val="22"/>
              </w:rPr>
            </w:pPr>
            <w:r>
              <w:rPr>
                <w:w w:val="100"/>
                <w:sz w:val="22"/>
              </w:rPr>
              <w:t>p</w:t>
            </w:r>
          </w:p>
        </w:tc>
      </w:tr>
      <w:tr>
        <w:trPr>
          <w:trHeight w:val="387" w:hRule="exact"/>
        </w:trPr>
        <w:tc>
          <w:tcPr>
            <w:tcW w:w="1789" w:type="dxa"/>
            <w:tcBorders>
              <w:top w:val="single" w:sz="6" w:space="0" w:color="000000"/>
              <w:left w:val="nil"/>
              <w:bottom w:val="nil"/>
              <w:right w:val="nil"/>
            </w:tcBorders>
          </w:tcPr>
          <w:p>
            <w:pPr>
              <w:pStyle w:val="TableParagraph"/>
              <w:spacing w:before="108"/>
              <w:ind w:left="122"/>
              <w:rPr>
                <w:sz w:val="22"/>
              </w:rPr>
            </w:pPr>
            <w:r>
              <w:rPr>
                <w:sz w:val="22"/>
              </w:rPr>
              <w:t>GSTM1 (+/+)</w:t>
            </w:r>
          </w:p>
        </w:tc>
        <w:tc>
          <w:tcPr>
            <w:tcW w:w="881" w:type="dxa"/>
            <w:tcBorders>
              <w:top w:val="single" w:sz="6" w:space="0" w:color="000000"/>
              <w:left w:val="nil"/>
              <w:bottom w:val="nil"/>
              <w:right w:val="nil"/>
            </w:tcBorders>
          </w:tcPr>
          <w:p>
            <w:pPr>
              <w:pStyle w:val="TableParagraph"/>
              <w:spacing w:before="108"/>
              <w:ind w:right="164"/>
              <w:jc w:val="right"/>
              <w:rPr>
                <w:sz w:val="22"/>
              </w:rPr>
            </w:pPr>
            <w:r>
              <w:rPr>
                <w:sz w:val="22"/>
              </w:rPr>
              <w:t>0.49</w:t>
            </w:r>
          </w:p>
        </w:tc>
        <w:tc>
          <w:tcPr>
            <w:tcW w:w="955" w:type="dxa"/>
            <w:tcBorders>
              <w:top w:val="single" w:sz="6" w:space="0" w:color="000000"/>
              <w:left w:val="nil"/>
              <w:bottom w:val="nil"/>
              <w:right w:val="nil"/>
            </w:tcBorders>
          </w:tcPr>
          <w:p>
            <w:pPr>
              <w:pStyle w:val="TableParagraph"/>
              <w:spacing w:before="108"/>
              <w:ind w:left="166"/>
              <w:rPr>
                <w:sz w:val="22"/>
              </w:rPr>
            </w:pPr>
            <w:r>
              <w:rPr>
                <w:sz w:val="22"/>
              </w:rPr>
              <w:t>0.41</w:t>
            </w:r>
          </w:p>
        </w:tc>
        <w:tc>
          <w:tcPr>
            <w:tcW w:w="1077" w:type="dxa"/>
            <w:tcBorders>
              <w:top w:val="single" w:sz="6" w:space="0" w:color="000000"/>
              <w:left w:val="nil"/>
              <w:bottom w:val="nil"/>
              <w:right w:val="nil"/>
            </w:tcBorders>
          </w:tcPr>
          <w:p>
            <w:pPr>
              <w:pStyle w:val="TableParagraph"/>
              <w:spacing w:before="108"/>
              <w:ind w:left="45" w:right="562"/>
              <w:jc w:val="center"/>
              <w:rPr>
                <w:sz w:val="22"/>
              </w:rPr>
            </w:pPr>
            <w:r>
              <w:rPr>
                <w:sz w:val="22"/>
              </w:rPr>
              <w:t>0.01</w:t>
            </w:r>
          </w:p>
        </w:tc>
        <w:tc>
          <w:tcPr>
            <w:tcW w:w="1223" w:type="dxa"/>
            <w:tcBorders>
              <w:top w:val="single" w:sz="6" w:space="0" w:color="000000"/>
              <w:left w:val="nil"/>
              <w:bottom w:val="nil"/>
              <w:right w:val="nil"/>
            </w:tcBorders>
          </w:tcPr>
          <w:p>
            <w:pPr>
              <w:pStyle w:val="TableParagraph"/>
              <w:spacing w:before="108"/>
              <w:ind w:right="207"/>
              <w:jc w:val="right"/>
              <w:rPr>
                <w:sz w:val="22"/>
              </w:rPr>
            </w:pPr>
            <w:r>
              <w:rPr>
                <w:sz w:val="22"/>
              </w:rPr>
              <w:t>0.38</w:t>
            </w:r>
          </w:p>
        </w:tc>
        <w:tc>
          <w:tcPr>
            <w:tcW w:w="911" w:type="dxa"/>
            <w:tcBorders>
              <w:top w:val="single" w:sz="6" w:space="0" w:color="000000"/>
              <w:left w:val="nil"/>
              <w:bottom w:val="nil"/>
              <w:right w:val="nil"/>
            </w:tcBorders>
          </w:tcPr>
          <w:p>
            <w:pPr>
              <w:pStyle w:val="TableParagraph"/>
              <w:spacing w:before="108"/>
              <w:ind w:left="209" w:right="-14"/>
              <w:rPr>
                <w:sz w:val="22"/>
              </w:rPr>
            </w:pPr>
            <w:r>
              <w:rPr>
                <w:sz w:val="22"/>
              </w:rPr>
              <w:t>1.03</w:t>
            </w:r>
          </w:p>
        </w:tc>
        <w:tc>
          <w:tcPr>
            <w:tcW w:w="910" w:type="dxa"/>
            <w:tcBorders>
              <w:top w:val="single" w:sz="6" w:space="0" w:color="000000"/>
              <w:left w:val="nil"/>
              <w:bottom w:val="nil"/>
              <w:right w:val="nil"/>
            </w:tcBorders>
          </w:tcPr>
          <w:p>
            <w:pPr>
              <w:pStyle w:val="TableParagraph"/>
              <w:spacing w:before="108"/>
              <w:ind w:right="328"/>
              <w:jc w:val="right"/>
              <w:rPr>
                <w:sz w:val="22"/>
              </w:rPr>
            </w:pPr>
            <w:r>
              <w:rPr>
                <w:sz w:val="22"/>
              </w:rPr>
              <w:t>0.02</w:t>
            </w:r>
          </w:p>
        </w:tc>
      </w:tr>
      <w:tr>
        <w:trPr>
          <w:trHeight w:val="276" w:hRule="exact"/>
        </w:trPr>
        <w:tc>
          <w:tcPr>
            <w:tcW w:w="1789" w:type="dxa"/>
            <w:tcBorders>
              <w:top w:val="nil"/>
              <w:left w:val="nil"/>
              <w:bottom w:val="nil"/>
              <w:right w:val="nil"/>
            </w:tcBorders>
          </w:tcPr>
          <w:p>
            <w:pPr>
              <w:pStyle w:val="TableParagraph"/>
              <w:spacing w:line="248" w:lineRule="exact"/>
              <w:ind w:left="122"/>
              <w:rPr>
                <w:sz w:val="22"/>
              </w:rPr>
            </w:pPr>
            <w:r>
              <w:rPr>
                <w:sz w:val="22"/>
              </w:rPr>
              <w:t>H. Hig. Orales</w:t>
            </w:r>
          </w:p>
        </w:tc>
        <w:tc>
          <w:tcPr>
            <w:tcW w:w="881" w:type="dxa"/>
            <w:tcBorders>
              <w:top w:val="nil"/>
              <w:left w:val="nil"/>
              <w:bottom w:val="nil"/>
              <w:right w:val="nil"/>
            </w:tcBorders>
          </w:tcPr>
          <w:p>
            <w:pPr>
              <w:pStyle w:val="TableParagraph"/>
              <w:spacing w:line="248" w:lineRule="exact"/>
              <w:ind w:right="164"/>
              <w:jc w:val="right"/>
              <w:rPr>
                <w:sz w:val="22"/>
              </w:rPr>
            </w:pPr>
            <w:r>
              <w:rPr>
                <w:sz w:val="22"/>
              </w:rPr>
              <w:t>0.09</w:t>
            </w:r>
          </w:p>
        </w:tc>
        <w:tc>
          <w:tcPr>
            <w:tcW w:w="955" w:type="dxa"/>
            <w:tcBorders>
              <w:top w:val="nil"/>
              <w:left w:val="nil"/>
              <w:bottom w:val="nil"/>
              <w:right w:val="nil"/>
            </w:tcBorders>
          </w:tcPr>
          <w:p>
            <w:pPr>
              <w:pStyle w:val="TableParagraph"/>
              <w:spacing w:line="248" w:lineRule="exact"/>
              <w:ind w:left="166"/>
              <w:rPr>
                <w:sz w:val="22"/>
              </w:rPr>
            </w:pPr>
            <w:r>
              <w:rPr>
                <w:sz w:val="22"/>
              </w:rPr>
              <w:t>0.67</w:t>
            </w:r>
          </w:p>
        </w:tc>
        <w:tc>
          <w:tcPr>
            <w:tcW w:w="1077" w:type="dxa"/>
            <w:tcBorders>
              <w:top w:val="nil"/>
              <w:left w:val="nil"/>
              <w:bottom w:val="nil"/>
              <w:right w:val="nil"/>
            </w:tcBorders>
          </w:tcPr>
          <w:p>
            <w:pPr>
              <w:pStyle w:val="TableParagraph"/>
              <w:spacing w:line="248" w:lineRule="exact"/>
              <w:ind w:left="45" w:right="562"/>
              <w:jc w:val="center"/>
              <w:rPr>
                <w:sz w:val="22"/>
              </w:rPr>
            </w:pPr>
            <w:r>
              <w:rPr>
                <w:sz w:val="22"/>
              </w:rPr>
              <w:t>0.17</w:t>
            </w:r>
          </w:p>
        </w:tc>
        <w:tc>
          <w:tcPr>
            <w:tcW w:w="1223" w:type="dxa"/>
            <w:tcBorders>
              <w:top w:val="nil"/>
              <w:left w:val="nil"/>
              <w:bottom w:val="nil"/>
              <w:right w:val="nil"/>
            </w:tcBorders>
          </w:tcPr>
          <w:p>
            <w:pPr>
              <w:pStyle w:val="TableParagraph"/>
              <w:spacing w:line="248" w:lineRule="exact"/>
              <w:ind w:right="207"/>
              <w:jc w:val="right"/>
              <w:rPr>
                <w:sz w:val="22"/>
              </w:rPr>
            </w:pPr>
            <w:r>
              <w:rPr>
                <w:sz w:val="22"/>
              </w:rPr>
              <w:t>0.20</w:t>
            </w:r>
          </w:p>
        </w:tc>
        <w:tc>
          <w:tcPr>
            <w:tcW w:w="911" w:type="dxa"/>
            <w:tcBorders>
              <w:top w:val="nil"/>
              <w:left w:val="nil"/>
              <w:bottom w:val="nil"/>
              <w:right w:val="nil"/>
            </w:tcBorders>
          </w:tcPr>
          <w:p>
            <w:pPr>
              <w:pStyle w:val="TableParagraph"/>
              <w:spacing w:line="248" w:lineRule="exact"/>
              <w:ind w:left="209" w:right="-14"/>
              <w:rPr>
                <w:sz w:val="22"/>
              </w:rPr>
            </w:pPr>
            <w:r>
              <w:rPr>
                <w:sz w:val="22"/>
              </w:rPr>
              <w:t>0.53</w:t>
            </w:r>
          </w:p>
        </w:tc>
        <w:tc>
          <w:tcPr>
            <w:tcW w:w="910" w:type="dxa"/>
            <w:tcBorders>
              <w:top w:val="nil"/>
              <w:left w:val="nil"/>
              <w:bottom w:val="nil"/>
              <w:right w:val="nil"/>
            </w:tcBorders>
          </w:tcPr>
          <w:p>
            <w:pPr>
              <w:pStyle w:val="TableParagraph"/>
              <w:spacing w:line="248" w:lineRule="exact"/>
              <w:ind w:right="328"/>
              <w:jc w:val="right"/>
              <w:rPr>
                <w:sz w:val="22"/>
              </w:rPr>
            </w:pPr>
            <w:r>
              <w:rPr>
                <w:sz w:val="22"/>
              </w:rPr>
              <w:t>0.83</w:t>
            </w:r>
          </w:p>
        </w:tc>
      </w:tr>
      <w:tr>
        <w:trPr>
          <w:trHeight w:val="287" w:hRule="exact"/>
        </w:trPr>
        <w:tc>
          <w:tcPr>
            <w:tcW w:w="1789" w:type="dxa"/>
            <w:tcBorders>
              <w:top w:val="nil"/>
              <w:left w:val="nil"/>
              <w:bottom w:val="nil"/>
              <w:right w:val="nil"/>
            </w:tcBorders>
          </w:tcPr>
          <w:p>
            <w:pPr>
              <w:pStyle w:val="TableParagraph"/>
              <w:spacing w:before="5"/>
              <w:ind w:left="122"/>
              <w:rPr>
                <w:sz w:val="22"/>
              </w:rPr>
            </w:pPr>
            <w:r>
              <w:rPr>
                <w:sz w:val="22"/>
              </w:rPr>
              <w:t>Dieta Cariog.</w:t>
            </w:r>
          </w:p>
        </w:tc>
        <w:tc>
          <w:tcPr>
            <w:tcW w:w="881" w:type="dxa"/>
            <w:tcBorders>
              <w:top w:val="nil"/>
              <w:left w:val="nil"/>
              <w:bottom w:val="nil"/>
              <w:right w:val="nil"/>
            </w:tcBorders>
          </w:tcPr>
          <w:p>
            <w:pPr>
              <w:pStyle w:val="TableParagraph"/>
              <w:spacing w:before="5"/>
              <w:ind w:right="164"/>
              <w:jc w:val="right"/>
              <w:rPr>
                <w:sz w:val="22"/>
              </w:rPr>
            </w:pPr>
            <w:r>
              <w:rPr>
                <w:sz w:val="22"/>
              </w:rPr>
              <w:t>0.18</w:t>
            </w:r>
          </w:p>
        </w:tc>
        <w:tc>
          <w:tcPr>
            <w:tcW w:w="955" w:type="dxa"/>
            <w:tcBorders>
              <w:top w:val="nil"/>
              <w:left w:val="nil"/>
              <w:bottom w:val="nil"/>
              <w:right w:val="nil"/>
            </w:tcBorders>
          </w:tcPr>
          <w:p>
            <w:pPr>
              <w:pStyle w:val="TableParagraph"/>
              <w:spacing w:before="5"/>
              <w:ind w:left="166"/>
              <w:rPr>
                <w:sz w:val="22"/>
              </w:rPr>
            </w:pPr>
            <w:r>
              <w:rPr>
                <w:sz w:val="22"/>
              </w:rPr>
              <w:t>0.76</w:t>
            </w:r>
          </w:p>
        </w:tc>
        <w:tc>
          <w:tcPr>
            <w:tcW w:w="1077" w:type="dxa"/>
            <w:tcBorders>
              <w:top w:val="nil"/>
              <w:left w:val="nil"/>
              <w:bottom w:val="nil"/>
              <w:right w:val="nil"/>
            </w:tcBorders>
          </w:tcPr>
          <w:p>
            <w:pPr>
              <w:pStyle w:val="TableParagraph"/>
              <w:spacing w:before="5"/>
              <w:ind w:left="45" w:right="562"/>
              <w:jc w:val="center"/>
              <w:rPr>
                <w:sz w:val="22"/>
              </w:rPr>
            </w:pPr>
            <w:r>
              <w:rPr>
                <w:sz w:val="22"/>
              </w:rPr>
              <w:t>0.11</w:t>
            </w:r>
          </w:p>
        </w:tc>
        <w:tc>
          <w:tcPr>
            <w:tcW w:w="1223" w:type="dxa"/>
            <w:tcBorders>
              <w:top w:val="nil"/>
              <w:left w:val="nil"/>
              <w:bottom w:val="nil"/>
              <w:right w:val="nil"/>
            </w:tcBorders>
          </w:tcPr>
          <w:p>
            <w:pPr>
              <w:pStyle w:val="TableParagraph"/>
              <w:spacing w:before="5"/>
              <w:ind w:right="208"/>
              <w:jc w:val="right"/>
              <w:rPr>
                <w:sz w:val="22"/>
              </w:rPr>
            </w:pPr>
            <w:r>
              <w:rPr>
                <w:sz w:val="22"/>
              </w:rPr>
              <w:t>0.16</w:t>
            </w:r>
          </w:p>
        </w:tc>
        <w:tc>
          <w:tcPr>
            <w:tcW w:w="911" w:type="dxa"/>
            <w:tcBorders>
              <w:top w:val="nil"/>
              <w:left w:val="nil"/>
              <w:bottom w:val="nil"/>
              <w:right w:val="nil"/>
            </w:tcBorders>
          </w:tcPr>
          <w:p>
            <w:pPr>
              <w:pStyle w:val="TableParagraph"/>
              <w:spacing w:before="5"/>
              <w:ind w:left="209" w:right="-14"/>
              <w:rPr>
                <w:sz w:val="22"/>
              </w:rPr>
            </w:pPr>
            <w:r>
              <w:rPr>
                <w:sz w:val="22"/>
              </w:rPr>
              <w:t>0.54</w:t>
            </w:r>
          </w:p>
        </w:tc>
        <w:tc>
          <w:tcPr>
            <w:tcW w:w="910" w:type="dxa"/>
            <w:tcBorders>
              <w:top w:val="nil"/>
              <w:left w:val="nil"/>
              <w:bottom w:val="nil"/>
              <w:right w:val="nil"/>
            </w:tcBorders>
          </w:tcPr>
          <w:p>
            <w:pPr>
              <w:pStyle w:val="TableParagraph"/>
              <w:spacing w:before="5"/>
              <w:ind w:right="328"/>
              <w:jc w:val="right"/>
              <w:rPr>
                <w:sz w:val="22"/>
              </w:rPr>
            </w:pPr>
            <w:r>
              <w:rPr>
                <w:sz w:val="22"/>
              </w:rPr>
              <w:t>0.83</w:t>
            </w:r>
          </w:p>
        </w:tc>
      </w:tr>
      <w:tr>
        <w:trPr>
          <w:trHeight w:val="396" w:hRule="exact"/>
        </w:trPr>
        <w:tc>
          <w:tcPr>
            <w:tcW w:w="1789" w:type="dxa"/>
            <w:tcBorders>
              <w:top w:val="nil"/>
              <w:left w:val="nil"/>
              <w:bottom w:val="nil"/>
              <w:right w:val="nil"/>
            </w:tcBorders>
          </w:tcPr>
          <w:p>
            <w:pPr/>
          </w:p>
        </w:tc>
        <w:tc>
          <w:tcPr>
            <w:tcW w:w="881" w:type="dxa"/>
            <w:tcBorders>
              <w:top w:val="nil"/>
              <w:left w:val="nil"/>
              <w:bottom w:val="nil"/>
              <w:right w:val="nil"/>
            </w:tcBorders>
          </w:tcPr>
          <w:p>
            <w:pPr/>
          </w:p>
        </w:tc>
        <w:tc>
          <w:tcPr>
            <w:tcW w:w="955" w:type="dxa"/>
            <w:tcBorders>
              <w:top w:val="nil"/>
              <w:left w:val="nil"/>
              <w:bottom w:val="nil"/>
              <w:right w:val="nil"/>
            </w:tcBorders>
          </w:tcPr>
          <w:p>
            <w:pPr>
              <w:pStyle w:val="TableParagraph"/>
              <w:spacing w:before="6"/>
              <w:ind w:left="15"/>
              <w:rPr>
                <w:sz w:val="22"/>
              </w:rPr>
            </w:pPr>
            <w:r>
              <w:rPr>
                <w:sz w:val="22"/>
              </w:rPr>
              <w:t>r2= 0.49</w:t>
            </w:r>
          </w:p>
        </w:tc>
        <w:tc>
          <w:tcPr>
            <w:tcW w:w="1077" w:type="dxa"/>
            <w:tcBorders>
              <w:top w:val="nil"/>
              <w:left w:val="nil"/>
              <w:bottom w:val="nil"/>
              <w:right w:val="nil"/>
            </w:tcBorders>
          </w:tcPr>
          <w:p>
            <w:pPr/>
          </w:p>
        </w:tc>
        <w:tc>
          <w:tcPr>
            <w:tcW w:w="1223" w:type="dxa"/>
            <w:tcBorders>
              <w:top w:val="nil"/>
              <w:left w:val="nil"/>
              <w:bottom w:val="nil"/>
              <w:right w:val="nil"/>
            </w:tcBorders>
          </w:tcPr>
          <w:p>
            <w:pPr/>
          </w:p>
        </w:tc>
        <w:tc>
          <w:tcPr>
            <w:tcW w:w="911" w:type="dxa"/>
            <w:tcBorders>
              <w:top w:val="nil"/>
              <w:left w:val="nil"/>
              <w:bottom w:val="nil"/>
              <w:right w:val="nil"/>
            </w:tcBorders>
          </w:tcPr>
          <w:p>
            <w:pPr>
              <w:pStyle w:val="TableParagraph"/>
              <w:spacing w:before="6"/>
              <w:ind w:left="152" w:right="-14"/>
              <w:rPr>
                <w:sz w:val="22"/>
              </w:rPr>
            </w:pPr>
            <w:r>
              <w:rPr>
                <w:sz w:val="22"/>
              </w:rPr>
              <w:t>r2=0.32</w:t>
            </w:r>
          </w:p>
        </w:tc>
        <w:tc>
          <w:tcPr>
            <w:tcW w:w="910" w:type="dxa"/>
            <w:tcBorders>
              <w:top w:val="nil"/>
              <w:left w:val="nil"/>
              <w:bottom w:val="nil"/>
              <w:right w:val="nil"/>
            </w:tcBorders>
          </w:tcPr>
          <w:p>
            <w:pPr/>
          </w:p>
        </w:tc>
      </w:tr>
      <w:tr>
        <w:trPr>
          <w:trHeight w:val="379" w:hRule="exact"/>
        </w:trPr>
        <w:tc>
          <w:tcPr>
            <w:tcW w:w="1789" w:type="dxa"/>
            <w:tcBorders>
              <w:top w:val="nil"/>
              <w:left w:val="nil"/>
              <w:bottom w:val="nil"/>
              <w:right w:val="nil"/>
            </w:tcBorders>
          </w:tcPr>
          <w:p>
            <w:pPr>
              <w:pStyle w:val="TableParagraph"/>
              <w:spacing w:before="114"/>
              <w:ind w:left="122"/>
              <w:rPr>
                <w:sz w:val="22"/>
              </w:rPr>
            </w:pPr>
            <w:r>
              <w:rPr>
                <w:sz w:val="22"/>
              </w:rPr>
              <w:t>GSTT1 (+/+)</w:t>
            </w:r>
          </w:p>
        </w:tc>
        <w:tc>
          <w:tcPr>
            <w:tcW w:w="881" w:type="dxa"/>
            <w:tcBorders>
              <w:top w:val="nil"/>
              <w:left w:val="nil"/>
              <w:bottom w:val="nil"/>
              <w:right w:val="nil"/>
            </w:tcBorders>
          </w:tcPr>
          <w:p>
            <w:pPr>
              <w:pStyle w:val="TableParagraph"/>
              <w:spacing w:before="114"/>
              <w:ind w:right="164"/>
              <w:jc w:val="right"/>
              <w:rPr>
                <w:sz w:val="22"/>
              </w:rPr>
            </w:pPr>
            <w:r>
              <w:rPr>
                <w:sz w:val="22"/>
              </w:rPr>
              <w:t>0.28</w:t>
            </w:r>
          </w:p>
        </w:tc>
        <w:tc>
          <w:tcPr>
            <w:tcW w:w="955" w:type="dxa"/>
            <w:tcBorders>
              <w:top w:val="nil"/>
              <w:left w:val="nil"/>
              <w:bottom w:val="nil"/>
              <w:right w:val="nil"/>
            </w:tcBorders>
          </w:tcPr>
          <w:p>
            <w:pPr>
              <w:pStyle w:val="TableParagraph"/>
              <w:spacing w:before="114"/>
              <w:ind w:left="166"/>
              <w:rPr>
                <w:sz w:val="22"/>
              </w:rPr>
            </w:pPr>
            <w:r>
              <w:rPr>
                <w:sz w:val="22"/>
              </w:rPr>
              <w:t>0.62</w:t>
            </w:r>
          </w:p>
        </w:tc>
        <w:tc>
          <w:tcPr>
            <w:tcW w:w="1077" w:type="dxa"/>
            <w:tcBorders>
              <w:top w:val="nil"/>
              <w:left w:val="nil"/>
              <w:bottom w:val="nil"/>
              <w:right w:val="nil"/>
            </w:tcBorders>
          </w:tcPr>
          <w:p>
            <w:pPr>
              <w:pStyle w:val="TableParagraph"/>
              <w:spacing w:before="114"/>
              <w:ind w:left="45" w:right="562"/>
              <w:jc w:val="center"/>
              <w:rPr>
                <w:sz w:val="22"/>
              </w:rPr>
            </w:pPr>
            <w:r>
              <w:rPr>
                <w:sz w:val="22"/>
              </w:rPr>
              <w:t>0.31</w:t>
            </w:r>
          </w:p>
        </w:tc>
        <w:tc>
          <w:tcPr>
            <w:tcW w:w="1223" w:type="dxa"/>
            <w:tcBorders>
              <w:top w:val="nil"/>
              <w:left w:val="nil"/>
              <w:bottom w:val="nil"/>
              <w:right w:val="nil"/>
            </w:tcBorders>
          </w:tcPr>
          <w:p>
            <w:pPr>
              <w:pStyle w:val="TableParagraph"/>
              <w:spacing w:before="114"/>
              <w:ind w:right="207"/>
              <w:jc w:val="right"/>
              <w:rPr>
                <w:sz w:val="22"/>
              </w:rPr>
            </w:pPr>
            <w:r>
              <w:rPr>
                <w:sz w:val="22"/>
              </w:rPr>
              <w:t>0.38</w:t>
            </w:r>
          </w:p>
        </w:tc>
        <w:tc>
          <w:tcPr>
            <w:tcW w:w="911" w:type="dxa"/>
            <w:tcBorders>
              <w:top w:val="nil"/>
              <w:left w:val="nil"/>
              <w:bottom w:val="nil"/>
              <w:right w:val="nil"/>
            </w:tcBorders>
          </w:tcPr>
          <w:p>
            <w:pPr>
              <w:pStyle w:val="TableParagraph"/>
              <w:spacing w:before="114"/>
              <w:ind w:left="209" w:right="-14"/>
              <w:rPr>
                <w:sz w:val="22"/>
              </w:rPr>
            </w:pPr>
            <w:r>
              <w:rPr>
                <w:sz w:val="22"/>
              </w:rPr>
              <w:t>0.54</w:t>
            </w:r>
          </w:p>
        </w:tc>
        <w:tc>
          <w:tcPr>
            <w:tcW w:w="910" w:type="dxa"/>
            <w:tcBorders>
              <w:top w:val="nil"/>
              <w:left w:val="nil"/>
              <w:bottom w:val="nil"/>
              <w:right w:val="nil"/>
            </w:tcBorders>
          </w:tcPr>
          <w:p>
            <w:pPr>
              <w:pStyle w:val="TableParagraph"/>
              <w:spacing w:before="114"/>
              <w:ind w:right="328"/>
              <w:jc w:val="right"/>
              <w:rPr>
                <w:sz w:val="22"/>
              </w:rPr>
            </w:pPr>
            <w:r>
              <w:rPr>
                <w:sz w:val="22"/>
              </w:rPr>
              <w:t>0.05</w:t>
            </w:r>
          </w:p>
        </w:tc>
      </w:tr>
      <w:tr>
        <w:trPr>
          <w:trHeight w:val="274" w:hRule="exact"/>
        </w:trPr>
        <w:tc>
          <w:tcPr>
            <w:tcW w:w="1789" w:type="dxa"/>
            <w:tcBorders>
              <w:top w:val="nil"/>
              <w:left w:val="nil"/>
              <w:bottom w:val="nil"/>
              <w:right w:val="nil"/>
            </w:tcBorders>
          </w:tcPr>
          <w:p>
            <w:pPr>
              <w:pStyle w:val="TableParagraph"/>
              <w:spacing w:line="242" w:lineRule="exact"/>
              <w:ind w:left="122"/>
              <w:rPr>
                <w:sz w:val="22"/>
              </w:rPr>
            </w:pPr>
            <w:r>
              <w:rPr>
                <w:sz w:val="22"/>
              </w:rPr>
              <w:t>H. Hig. Orales</w:t>
            </w:r>
          </w:p>
        </w:tc>
        <w:tc>
          <w:tcPr>
            <w:tcW w:w="881" w:type="dxa"/>
            <w:tcBorders>
              <w:top w:val="nil"/>
              <w:left w:val="nil"/>
              <w:bottom w:val="nil"/>
              <w:right w:val="nil"/>
            </w:tcBorders>
          </w:tcPr>
          <w:p>
            <w:pPr>
              <w:pStyle w:val="TableParagraph"/>
              <w:spacing w:line="242" w:lineRule="exact"/>
              <w:ind w:right="164"/>
              <w:jc w:val="right"/>
              <w:rPr>
                <w:sz w:val="22"/>
              </w:rPr>
            </w:pPr>
            <w:r>
              <w:rPr>
                <w:sz w:val="22"/>
              </w:rPr>
              <w:t>0.09</w:t>
            </w:r>
          </w:p>
        </w:tc>
        <w:tc>
          <w:tcPr>
            <w:tcW w:w="955" w:type="dxa"/>
            <w:tcBorders>
              <w:top w:val="nil"/>
              <w:left w:val="nil"/>
              <w:bottom w:val="nil"/>
              <w:right w:val="nil"/>
            </w:tcBorders>
          </w:tcPr>
          <w:p>
            <w:pPr>
              <w:pStyle w:val="TableParagraph"/>
              <w:spacing w:line="242" w:lineRule="exact"/>
              <w:ind w:left="166"/>
              <w:rPr>
                <w:sz w:val="22"/>
              </w:rPr>
            </w:pPr>
            <w:r>
              <w:rPr>
                <w:sz w:val="22"/>
              </w:rPr>
              <w:t>0.67</w:t>
            </w:r>
          </w:p>
        </w:tc>
        <w:tc>
          <w:tcPr>
            <w:tcW w:w="1077" w:type="dxa"/>
            <w:tcBorders>
              <w:top w:val="nil"/>
              <w:left w:val="nil"/>
              <w:bottom w:val="nil"/>
              <w:right w:val="nil"/>
            </w:tcBorders>
          </w:tcPr>
          <w:p>
            <w:pPr>
              <w:pStyle w:val="TableParagraph"/>
              <w:spacing w:line="242" w:lineRule="exact"/>
              <w:ind w:left="45" w:right="562"/>
              <w:jc w:val="center"/>
              <w:rPr>
                <w:sz w:val="22"/>
              </w:rPr>
            </w:pPr>
            <w:r>
              <w:rPr>
                <w:sz w:val="22"/>
              </w:rPr>
              <w:t>0.17</w:t>
            </w:r>
          </w:p>
        </w:tc>
        <w:tc>
          <w:tcPr>
            <w:tcW w:w="1223" w:type="dxa"/>
            <w:tcBorders>
              <w:top w:val="nil"/>
              <w:left w:val="nil"/>
              <w:bottom w:val="nil"/>
              <w:right w:val="nil"/>
            </w:tcBorders>
          </w:tcPr>
          <w:p>
            <w:pPr>
              <w:pStyle w:val="TableParagraph"/>
              <w:spacing w:line="242" w:lineRule="exact"/>
              <w:ind w:right="207"/>
              <w:jc w:val="right"/>
              <w:rPr>
                <w:sz w:val="22"/>
              </w:rPr>
            </w:pPr>
            <w:r>
              <w:rPr>
                <w:sz w:val="22"/>
              </w:rPr>
              <w:t>0.20</w:t>
            </w:r>
          </w:p>
        </w:tc>
        <w:tc>
          <w:tcPr>
            <w:tcW w:w="911" w:type="dxa"/>
            <w:tcBorders>
              <w:top w:val="nil"/>
              <w:left w:val="nil"/>
              <w:bottom w:val="nil"/>
              <w:right w:val="nil"/>
            </w:tcBorders>
          </w:tcPr>
          <w:p>
            <w:pPr>
              <w:pStyle w:val="TableParagraph"/>
              <w:spacing w:line="242" w:lineRule="exact"/>
              <w:ind w:left="209" w:right="-14"/>
              <w:rPr>
                <w:sz w:val="22"/>
              </w:rPr>
            </w:pPr>
            <w:r>
              <w:rPr>
                <w:sz w:val="22"/>
              </w:rPr>
              <w:t>0.53</w:t>
            </w:r>
          </w:p>
        </w:tc>
        <w:tc>
          <w:tcPr>
            <w:tcW w:w="910" w:type="dxa"/>
            <w:tcBorders>
              <w:top w:val="nil"/>
              <w:left w:val="nil"/>
              <w:bottom w:val="nil"/>
              <w:right w:val="nil"/>
            </w:tcBorders>
          </w:tcPr>
          <w:p>
            <w:pPr>
              <w:pStyle w:val="TableParagraph"/>
              <w:spacing w:line="242" w:lineRule="exact"/>
              <w:ind w:right="328"/>
              <w:jc w:val="right"/>
              <w:rPr>
                <w:sz w:val="22"/>
              </w:rPr>
            </w:pPr>
            <w:r>
              <w:rPr>
                <w:sz w:val="22"/>
              </w:rPr>
              <w:t>0.83</w:t>
            </w:r>
          </w:p>
        </w:tc>
      </w:tr>
      <w:tr>
        <w:trPr>
          <w:trHeight w:val="301" w:hRule="exact"/>
        </w:trPr>
        <w:tc>
          <w:tcPr>
            <w:tcW w:w="1789" w:type="dxa"/>
            <w:tcBorders>
              <w:top w:val="nil"/>
              <w:left w:val="nil"/>
              <w:bottom w:val="nil"/>
              <w:right w:val="nil"/>
            </w:tcBorders>
          </w:tcPr>
          <w:p>
            <w:pPr>
              <w:pStyle w:val="TableParagraph"/>
              <w:spacing w:before="8"/>
              <w:ind w:left="122"/>
              <w:rPr>
                <w:sz w:val="22"/>
              </w:rPr>
            </w:pPr>
            <w:r>
              <w:rPr>
                <w:sz w:val="22"/>
              </w:rPr>
              <w:t>Dieta Cariog.</w:t>
            </w:r>
          </w:p>
        </w:tc>
        <w:tc>
          <w:tcPr>
            <w:tcW w:w="881" w:type="dxa"/>
            <w:tcBorders>
              <w:top w:val="nil"/>
              <w:left w:val="nil"/>
              <w:bottom w:val="nil"/>
              <w:right w:val="nil"/>
            </w:tcBorders>
          </w:tcPr>
          <w:p>
            <w:pPr>
              <w:pStyle w:val="TableParagraph"/>
              <w:spacing w:before="8"/>
              <w:ind w:right="164"/>
              <w:jc w:val="right"/>
              <w:rPr>
                <w:sz w:val="22"/>
              </w:rPr>
            </w:pPr>
            <w:r>
              <w:rPr>
                <w:sz w:val="22"/>
              </w:rPr>
              <w:t>0.18</w:t>
            </w:r>
          </w:p>
        </w:tc>
        <w:tc>
          <w:tcPr>
            <w:tcW w:w="955" w:type="dxa"/>
            <w:tcBorders>
              <w:top w:val="nil"/>
              <w:left w:val="nil"/>
              <w:bottom w:val="nil"/>
              <w:right w:val="nil"/>
            </w:tcBorders>
          </w:tcPr>
          <w:p>
            <w:pPr>
              <w:pStyle w:val="TableParagraph"/>
              <w:spacing w:before="8"/>
              <w:ind w:left="166"/>
              <w:rPr>
                <w:sz w:val="22"/>
              </w:rPr>
            </w:pPr>
            <w:r>
              <w:rPr>
                <w:sz w:val="22"/>
              </w:rPr>
              <w:t>0.76</w:t>
            </w:r>
          </w:p>
        </w:tc>
        <w:tc>
          <w:tcPr>
            <w:tcW w:w="1077" w:type="dxa"/>
            <w:tcBorders>
              <w:top w:val="nil"/>
              <w:left w:val="nil"/>
              <w:bottom w:val="nil"/>
              <w:right w:val="nil"/>
            </w:tcBorders>
          </w:tcPr>
          <w:p>
            <w:pPr>
              <w:pStyle w:val="TableParagraph"/>
              <w:spacing w:before="8"/>
              <w:ind w:left="45" w:right="562"/>
              <w:jc w:val="center"/>
              <w:rPr>
                <w:sz w:val="22"/>
              </w:rPr>
            </w:pPr>
            <w:r>
              <w:rPr>
                <w:sz w:val="22"/>
              </w:rPr>
              <w:t>0.11</w:t>
            </w:r>
          </w:p>
        </w:tc>
        <w:tc>
          <w:tcPr>
            <w:tcW w:w="1223" w:type="dxa"/>
            <w:tcBorders>
              <w:top w:val="nil"/>
              <w:left w:val="nil"/>
              <w:bottom w:val="nil"/>
              <w:right w:val="nil"/>
            </w:tcBorders>
          </w:tcPr>
          <w:p>
            <w:pPr>
              <w:pStyle w:val="TableParagraph"/>
              <w:spacing w:before="8"/>
              <w:ind w:right="207"/>
              <w:jc w:val="right"/>
              <w:rPr>
                <w:sz w:val="22"/>
              </w:rPr>
            </w:pPr>
            <w:r>
              <w:rPr>
                <w:sz w:val="22"/>
              </w:rPr>
              <w:t>0.16</w:t>
            </w:r>
          </w:p>
        </w:tc>
        <w:tc>
          <w:tcPr>
            <w:tcW w:w="911" w:type="dxa"/>
            <w:tcBorders>
              <w:top w:val="nil"/>
              <w:left w:val="nil"/>
              <w:bottom w:val="nil"/>
              <w:right w:val="nil"/>
            </w:tcBorders>
          </w:tcPr>
          <w:p>
            <w:pPr>
              <w:pStyle w:val="TableParagraph"/>
              <w:spacing w:before="8"/>
              <w:ind w:left="209" w:right="-14"/>
              <w:rPr>
                <w:sz w:val="22"/>
              </w:rPr>
            </w:pPr>
            <w:r>
              <w:rPr>
                <w:sz w:val="22"/>
              </w:rPr>
              <w:t>0.54</w:t>
            </w:r>
          </w:p>
        </w:tc>
        <w:tc>
          <w:tcPr>
            <w:tcW w:w="910" w:type="dxa"/>
            <w:tcBorders>
              <w:top w:val="nil"/>
              <w:left w:val="nil"/>
              <w:bottom w:val="nil"/>
              <w:right w:val="nil"/>
            </w:tcBorders>
          </w:tcPr>
          <w:p>
            <w:pPr>
              <w:pStyle w:val="TableParagraph"/>
              <w:spacing w:before="8"/>
              <w:ind w:right="328"/>
              <w:jc w:val="right"/>
              <w:rPr>
                <w:sz w:val="22"/>
              </w:rPr>
            </w:pPr>
            <w:r>
              <w:rPr>
                <w:sz w:val="22"/>
              </w:rPr>
              <w:t>0.83</w:t>
            </w:r>
          </w:p>
        </w:tc>
      </w:tr>
      <w:tr>
        <w:trPr>
          <w:trHeight w:val="420" w:hRule="exact"/>
        </w:trPr>
        <w:tc>
          <w:tcPr>
            <w:tcW w:w="1789" w:type="dxa"/>
            <w:tcBorders>
              <w:top w:val="nil"/>
              <w:left w:val="nil"/>
              <w:bottom w:val="nil"/>
              <w:right w:val="nil"/>
            </w:tcBorders>
          </w:tcPr>
          <w:p>
            <w:pPr/>
          </w:p>
        </w:tc>
        <w:tc>
          <w:tcPr>
            <w:tcW w:w="881" w:type="dxa"/>
            <w:tcBorders>
              <w:top w:val="nil"/>
              <w:left w:val="nil"/>
              <w:bottom w:val="nil"/>
              <w:right w:val="nil"/>
            </w:tcBorders>
          </w:tcPr>
          <w:p>
            <w:pPr/>
          </w:p>
        </w:tc>
        <w:tc>
          <w:tcPr>
            <w:tcW w:w="955" w:type="dxa"/>
            <w:tcBorders>
              <w:top w:val="nil"/>
              <w:left w:val="nil"/>
              <w:bottom w:val="nil"/>
              <w:right w:val="nil"/>
            </w:tcBorders>
          </w:tcPr>
          <w:p>
            <w:pPr>
              <w:pStyle w:val="TableParagraph"/>
              <w:spacing w:before="17"/>
              <w:ind w:left="77"/>
              <w:rPr>
                <w:sz w:val="22"/>
              </w:rPr>
            </w:pPr>
            <w:r>
              <w:rPr>
                <w:sz w:val="22"/>
              </w:rPr>
              <w:t>r2= 0.49</w:t>
            </w:r>
          </w:p>
        </w:tc>
        <w:tc>
          <w:tcPr>
            <w:tcW w:w="1077" w:type="dxa"/>
            <w:tcBorders>
              <w:top w:val="nil"/>
              <w:left w:val="nil"/>
              <w:bottom w:val="nil"/>
              <w:right w:val="nil"/>
            </w:tcBorders>
          </w:tcPr>
          <w:p>
            <w:pPr/>
          </w:p>
        </w:tc>
        <w:tc>
          <w:tcPr>
            <w:tcW w:w="1223" w:type="dxa"/>
            <w:tcBorders>
              <w:top w:val="nil"/>
              <w:left w:val="nil"/>
              <w:bottom w:val="nil"/>
              <w:right w:val="nil"/>
            </w:tcBorders>
          </w:tcPr>
          <w:p>
            <w:pPr/>
          </w:p>
        </w:tc>
        <w:tc>
          <w:tcPr>
            <w:tcW w:w="911" w:type="dxa"/>
            <w:tcBorders>
              <w:top w:val="nil"/>
              <w:left w:val="nil"/>
              <w:bottom w:val="nil"/>
              <w:right w:val="nil"/>
            </w:tcBorders>
          </w:tcPr>
          <w:p>
            <w:pPr>
              <w:pStyle w:val="TableParagraph"/>
              <w:spacing w:before="17"/>
              <w:ind w:left="121" w:right="-44"/>
              <w:rPr>
                <w:sz w:val="22"/>
              </w:rPr>
            </w:pPr>
            <w:r>
              <w:rPr>
                <w:sz w:val="22"/>
              </w:rPr>
              <w:t>r2= 0.33</w:t>
            </w:r>
          </w:p>
        </w:tc>
        <w:tc>
          <w:tcPr>
            <w:tcW w:w="910" w:type="dxa"/>
            <w:tcBorders>
              <w:top w:val="nil"/>
              <w:left w:val="nil"/>
              <w:bottom w:val="nil"/>
              <w:right w:val="nil"/>
            </w:tcBorders>
          </w:tcPr>
          <w:p>
            <w:pPr/>
          </w:p>
        </w:tc>
      </w:tr>
      <w:tr>
        <w:trPr>
          <w:trHeight w:val="393" w:hRule="exact"/>
        </w:trPr>
        <w:tc>
          <w:tcPr>
            <w:tcW w:w="1789" w:type="dxa"/>
            <w:tcBorders>
              <w:top w:val="nil"/>
              <w:left w:val="nil"/>
              <w:bottom w:val="nil"/>
              <w:right w:val="nil"/>
            </w:tcBorders>
          </w:tcPr>
          <w:p>
            <w:pPr>
              <w:pStyle w:val="TableParagraph"/>
              <w:spacing w:before="127"/>
              <w:ind w:left="122"/>
              <w:rPr>
                <w:sz w:val="22"/>
              </w:rPr>
            </w:pPr>
            <w:r>
              <w:rPr>
                <w:sz w:val="22"/>
              </w:rPr>
              <w:t>GSTP1 (a/a)</w:t>
            </w:r>
          </w:p>
        </w:tc>
        <w:tc>
          <w:tcPr>
            <w:tcW w:w="881" w:type="dxa"/>
            <w:tcBorders>
              <w:top w:val="nil"/>
              <w:left w:val="nil"/>
              <w:bottom w:val="nil"/>
              <w:right w:val="nil"/>
            </w:tcBorders>
          </w:tcPr>
          <w:p>
            <w:pPr>
              <w:pStyle w:val="TableParagraph"/>
              <w:spacing w:before="127"/>
              <w:ind w:right="164"/>
              <w:jc w:val="right"/>
              <w:rPr>
                <w:sz w:val="22"/>
              </w:rPr>
            </w:pPr>
            <w:r>
              <w:rPr>
                <w:sz w:val="22"/>
              </w:rPr>
              <w:t>0.12</w:t>
            </w:r>
          </w:p>
        </w:tc>
        <w:tc>
          <w:tcPr>
            <w:tcW w:w="955" w:type="dxa"/>
            <w:tcBorders>
              <w:top w:val="nil"/>
              <w:left w:val="nil"/>
              <w:bottom w:val="nil"/>
              <w:right w:val="nil"/>
            </w:tcBorders>
          </w:tcPr>
          <w:p>
            <w:pPr>
              <w:pStyle w:val="TableParagraph"/>
              <w:spacing w:before="127"/>
              <w:ind w:left="166"/>
              <w:rPr>
                <w:sz w:val="22"/>
              </w:rPr>
            </w:pPr>
            <w:r>
              <w:rPr>
                <w:sz w:val="22"/>
              </w:rPr>
              <w:t>0.76</w:t>
            </w:r>
          </w:p>
        </w:tc>
        <w:tc>
          <w:tcPr>
            <w:tcW w:w="1077" w:type="dxa"/>
            <w:tcBorders>
              <w:top w:val="nil"/>
              <w:left w:val="nil"/>
              <w:bottom w:val="nil"/>
              <w:right w:val="nil"/>
            </w:tcBorders>
          </w:tcPr>
          <w:p>
            <w:pPr>
              <w:pStyle w:val="TableParagraph"/>
              <w:spacing w:before="127"/>
              <w:ind w:left="45" w:right="562"/>
              <w:jc w:val="center"/>
              <w:rPr>
                <w:sz w:val="22"/>
              </w:rPr>
            </w:pPr>
            <w:r>
              <w:rPr>
                <w:sz w:val="22"/>
              </w:rPr>
              <w:t>0.17</w:t>
            </w:r>
          </w:p>
        </w:tc>
        <w:tc>
          <w:tcPr>
            <w:tcW w:w="1223" w:type="dxa"/>
            <w:tcBorders>
              <w:top w:val="nil"/>
              <w:left w:val="nil"/>
              <w:bottom w:val="nil"/>
              <w:right w:val="nil"/>
            </w:tcBorders>
          </w:tcPr>
          <w:p>
            <w:pPr>
              <w:pStyle w:val="TableParagraph"/>
              <w:spacing w:before="127"/>
              <w:ind w:right="207"/>
              <w:jc w:val="right"/>
              <w:rPr>
                <w:sz w:val="22"/>
              </w:rPr>
            </w:pPr>
            <w:r>
              <w:rPr>
                <w:sz w:val="22"/>
              </w:rPr>
              <w:t>0.56</w:t>
            </w:r>
          </w:p>
        </w:tc>
        <w:tc>
          <w:tcPr>
            <w:tcW w:w="911" w:type="dxa"/>
            <w:tcBorders>
              <w:top w:val="nil"/>
              <w:left w:val="nil"/>
              <w:bottom w:val="nil"/>
              <w:right w:val="nil"/>
            </w:tcBorders>
          </w:tcPr>
          <w:p>
            <w:pPr>
              <w:pStyle w:val="TableParagraph"/>
              <w:spacing w:before="127"/>
              <w:ind w:left="209" w:right="-14"/>
              <w:rPr>
                <w:sz w:val="22"/>
              </w:rPr>
            </w:pPr>
            <w:r>
              <w:rPr>
                <w:sz w:val="22"/>
              </w:rPr>
              <w:t>[1.03]</w:t>
            </w:r>
          </w:p>
        </w:tc>
        <w:tc>
          <w:tcPr>
            <w:tcW w:w="910" w:type="dxa"/>
            <w:tcBorders>
              <w:top w:val="nil"/>
              <w:left w:val="nil"/>
              <w:bottom w:val="nil"/>
              <w:right w:val="nil"/>
            </w:tcBorders>
          </w:tcPr>
          <w:p>
            <w:pPr>
              <w:pStyle w:val="TableParagraph"/>
              <w:spacing w:before="127"/>
              <w:ind w:right="328"/>
              <w:jc w:val="right"/>
              <w:rPr>
                <w:sz w:val="22"/>
              </w:rPr>
            </w:pPr>
            <w:r>
              <w:rPr>
                <w:sz w:val="22"/>
              </w:rPr>
              <w:t>0.21</w:t>
            </w:r>
          </w:p>
        </w:tc>
      </w:tr>
      <w:tr>
        <w:trPr>
          <w:trHeight w:val="253" w:hRule="exact"/>
        </w:trPr>
        <w:tc>
          <w:tcPr>
            <w:tcW w:w="1789" w:type="dxa"/>
            <w:tcBorders>
              <w:top w:val="nil"/>
              <w:left w:val="nil"/>
              <w:bottom w:val="nil"/>
              <w:right w:val="nil"/>
            </w:tcBorders>
          </w:tcPr>
          <w:p>
            <w:pPr>
              <w:pStyle w:val="TableParagraph"/>
              <w:spacing w:line="242" w:lineRule="exact"/>
              <w:ind w:left="122"/>
              <w:rPr>
                <w:sz w:val="22"/>
              </w:rPr>
            </w:pPr>
            <w:r>
              <w:rPr>
                <w:sz w:val="22"/>
              </w:rPr>
              <w:t>H. Hig. Orales</w:t>
            </w:r>
          </w:p>
        </w:tc>
        <w:tc>
          <w:tcPr>
            <w:tcW w:w="881" w:type="dxa"/>
            <w:tcBorders>
              <w:top w:val="nil"/>
              <w:left w:val="nil"/>
              <w:bottom w:val="nil"/>
              <w:right w:val="nil"/>
            </w:tcBorders>
          </w:tcPr>
          <w:p>
            <w:pPr>
              <w:pStyle w:val="TableParagraph"/>
              <w:spacing w:line="242" w:lineRule="exact"/>
              <w:ind w:right="164"/>
              <w:jc w:val="right"/>
              <w:rPr>
                <w:sz w:val="22"/>
              </w:rPr>
            </w:pPr>
            <w:r>
              <w:rPr>
                <w:sz w:val="22"/>
              </w:rPr>
              <w:t>0.09</w:t>
            </w:r>
          </w:p>
        </w:tc>
        <w:tc>
          <w:tcPr>
            <w:tcW w:w="955" w:type="dxa"/>
            <w:tcBorders>
              <w:top w:val="nil"/>
              <w:left w:val="nil"/>
              <w:bottom w:val="nil"/>
              <w:right w:val="nil"/>
            </w:tcBorders>
          </w:tcPr>
          <w:p>
            <w:pPr>
              <w:pStyle w:val="TableParagraph"/>
              <w:spacing w:line="242" w:lineRule="exact"/>
              <w:ind w:left="166"/>
              <w:rPr>
                <w:sz w:val="22"/>
              </w:rPr>
            </w:pPr>
            <w:r>
              <w:rPr>
                <w:sz w:val="22"/>
              </w:rPr>
              <w:t>[0.67]</w:t>
            </w:r>
          </w:p>
        </w:tc>
        <w:tc>
          <w:tcPr>
            <w:tcW w:w="1077" w:type="dxa"/>
            <w:tcBorders>
              <w:top w:val="nil"/>
              <w:left w:val="nil"/>
              <w:bottom w:val="nil"/>
              <w:right w:val="nil"/>
            </w:tcBorders>
          </w:tcPr>
          <w:p>
            <w:pPr>
              <w:pStyle w:val="TableParagraph"/>
              <w:spacing w:line="242" w:lineRule="exact"/>
              <w:ind w:left="45" w:right="562"/>
              <w:jc w:val="center"/>
              <w:rPr>
                <w:sz w:val="22"/>
              </w:rPr>
            </w:pPr>
            <w:r>
              <w:rPr>
                <w:sz w:val="22"/>
              </w:rPr>
              <w:t>0.17</w:t>
            </w:r>
          </w:p>
        </w:tc>
        <w:tc>
          <w:tcPr>
            <w:tcW w:w="1223" w:type="dxa"/>
            <w:tcBorders>
              <w:top w:val="nil"/>
              <w:left w:val="nil"/>
              <w:bottom w:val="nil"/>
              <w:right w:val="nil"/>
            </w:tcBorders>
          </w:tcPr>
          <w:p>
            <w:pPr>
              <w:pStyle w:val="TableParagraph"/>
              <w:spacing w:line="242" w:lineRule="exact"/>
              <w:ind w:right="207"/>
              <w:jc w:val="right"/>
              <w:rPr>
                <w:sz w:val="22"/>
              </w:rPr>
            </w:pPr>
            <w:r>
              <w:rPr>
                <w:sz w:val="22"/>
              </w:rPr>
              <w:t>0.20</w:t>
            </w:r>
          </w:p>
        </w:tc>
        <w:tc>
          <w:tcPr>
            <w:tcW w:w="911" w:type="dxa"/>
            <w:tcBorders>
              <w:top w:val="nil"/>
              <w:left w:val="nil"/>
              <w:bottom w:val="nil"/>
              <w:right w:val="nil"/>
            </w:tcBorders>
          </w:tcPr>
          <w:p>
            <w:pPr>
              <w:pStyle w:val="TableParagraph"/>
              <w:spacing w:line="242" w:lineRule="exact"/>
              <w:ind w:left="209" w:right="-14"/>
              <w:rPr>
                <w:sz w:val="22"/>
              </w:rPr>
            </w:pPr>
            <w:r>
              <w:rPr>
                <w:sz w:val="22"/>
              </w:rPr>
              <w:t>[0.53]</w:t>
            </w:r>
          </w:p>
        </w:tc>
        <w:tc>
          <w:tcPr>
            <w:tcW w:w="910" w:type="dxa"/>
            <w:tcBorders>
              <w:top w:val="nil"/>
              <w:left w:val="nil"/>
              <w:bottom w:val="nil"/>
              <w:right w:val="nil"/>
            </w:tcBorders>
          </w:tcPr>
          <w:p>
            <w:pPr>
              <w:pStyle w:val="TableParagraph"/>
              <w:spacing w:line="242" w:lineRule="exact"/>
              <w:ind w:right="328"/>
              <w:jc w:val="right"/>
              <w:rPr>
                <w:sz w:val="22"/>
              </w:rPr>
            </w:pPr>
            <w:r>
              <w:rPr>
                <w:sz w:val="22"/>
              </w:rPr>
              <w:t>0.83</w:t>
            </w:r>
          </w:p>
        </w:tc>
      </w:tr>
      <w:tr>
        <w:trPr>
          <w:trHeight w:val="256" w:hRule="exact"/>
        </w:trPr>
        <w:tc>
          <w:tcPr>
            <w:tcW w:w="1789" w:type="dxa"/>
            <w:tcBorders>
              <w:top w:val="nil"/>
              <w:left w:val="nil"/>
              <w:bottom w:val="nil"/>
              <w:right w:val="nil"/>
            </w:tcBorders>
          </w:tcPr>
          <w:p>
            <w:pPr>
              <w:pStyle w:val="TableParagraph"/>
              <w:spacing w:line="241" w:lineRule="exact"/>
              <w:ind w:left="122"/>
              <w:rPr>
                <w:sz w:val="22"/>
              </w:rPr>
            </w:pPr>
            <w:r>
              <w:rPr>
                <w:sz w:val="22"/>
              </w:rPr>
              <w:t>Dieta Cariog.</w:t>
            </w:r>
          </w:p>
        </w:tc>
        <w:tc>
          <w:tcPr>
            <w:tcW w:w="881" w:type="dxa"/>
            <w:tcBorders>
              <w:top w:val="nil"/>
              <w:left w:val="nil"/>
              <w:bottom w:val="nil"/>
              <w:right w:val="nil"/>
            </w:tcBorders>
          </w:tcPr>
          <w:p>
            <w:pPr>
              <w:pStyle w:val="TableParagraph"/>
              <w:spacing w:line="241" w:lineRule="exact"/>
              <w:ind w:right="164"/>
              <w:jc w:val="right"/>
              <w:rPr>
                <w:sz w:val="22"/>
              </w:rPr>
            </w:pPr>
            <w:r>
              <w:rPr>
                <w:sz w:val="22"/>
              </w:rPr>
              <w:t>0.18</w:t>
            </w:r>
          </w:p>
        </w:tc>
        <w:tc>
          <w:tcPr>
            <w:tcW w:w="955" w:type="dxa"/>
            <w:tcBorders>
              <w:top w:val="nil"/>
              <w:left w:val="nil"/>
              <w:bottom w:val="nil"/>
              <w:right w:val="nil"/>
            </w:tcBorders>
          </w:tcPr>
          <w:p>
            <w:pPr>
              <w:pStyle w:val="TableParagraph"/>
              <w:spacing w:line="241" w:lineRule="exact"/>
              <w:ind w:left="166"/>
              <w:rPr>
                <w:sz w:val="22"/>
              </w:rPr>
            </w:pPr>
            <w:r>
              <w:rPr>
                <w:sz w:val="22"/>
              </w:rPr>
              <w:t>[0.76]</w:t>
            </w:r>
          </w:p>
        </w:tc>
        <w:tc>
          <w:tcPr>
            <w:tcW w:w="1077" w:type="dxa"/>
            <w:tcBorders>
              <w:top w:val="nil"/>
              <w:left w:val="nil"/>
              <w:bottom w:val="nil"/>
              <w:right w:val="nil"/>
            </w:tcBorders>
          </w:tcPr>
          <w:p>
            <w:pPr>
              <w:pStyle w:val="TableParagraph"/>
              <w:spacing w:line="241" w:lineRule="exact"/>
              <w:ind w:left="45" w:right="562"/>
              <w:jc w:val="center"/>
              <w:rPr>
                <w:sz w:val="22"/>
              </w:rPr>
            </w:pPr>
            <w:r>
              <w:rPr>
                <w:sz w:val="22"/>
              </w:rPr>
              <w:t>0.11</w:t>
            </w:r>
          </w:p>
        </w:tc>
        <w:tc>
          <w:tcPr>
            <w:tcW w:w="1223" w:type="dxa"/>
            <w:tcBorders>
              <w:top w:val="nil"/>
              <w:left w:val="nil"/>
              <w:bottom w:val="nil"/>
              <w:right w:val="nil"/>
            </w:tcBorders>
          </w:tcPr>
          <w:p>
            <w:pPr>
              <w:pStyle w:val="TableParagraph"/>
              <w:spacing w:line="241" w:lineRule="exact"/>
              <w:ind w:right="207"/>
              <w:jc w:val="right"/>
              <w:rPr>
                <w:sz w:val="22"/>
              </w:rPr>
            </w:pPr>
            <w:r>
              <w:rPr>
                <w:sz w:val="22"/>
              </w:rPr>
              <w:t>0.16</w:t>
            </w:r>
          </w:p>
        </w:tc>
        <w:tc>
          <w:tcPr>
            <w:tcW w:w="911" w:type="dxa"/>
            <w:tcBorders>
              <w:top w:val="nil"/>
              <w:left w:val="nil"/>
              <w:bottom w:val="nil"/>
              <w:right w:val="nil"/>
            </w:tcBorders>
          </w:tcPr>
          <w:p>
            <w:pPr>
              <w:pStyle w:val="TableParagraph"/>
              <w:spacing w:line="241" w:lineRule="exact"/>
              <w:ind w:left="209" w:right="-14"/>
              <w:rPr>
                <w:sz w:val="22"/>
              </w:rPr>
            </w:pPr>
            <w:r>
              <w:rPr>
                <w:sz w:val="22"/>
              </w:rPr>
              <w:t>[0.54]</w:t>
            </w:r>
          </w:p>
        </w:tc>
        <w:tc>
          <w:tcPr>
            <w:tcW w:w="910" w:type="dxa"/>
            <w:tcBorders>
              <w:top w:val="nil"/>
              <w:left w:val="nil"/>
              <w:bottom w:val="nil"/>
              <w:right w:val="nil"/>
            </w:tcBorders>
          </w:tcPr>
          <w:p>
            <w:pPr>
              <w:pStyle w:val="TableParagraph"/>
              <w:spacing w:line="241" w:lineRule="exact"/>
              <w:ind w:right="328"/>
              <w:jc w:val="right"/>
              <w:rPr>
                <w:sz w:val="22"/>
              </w:rPr>
            </w:pPr>
            <w:r>
              <w:rPr>
                <w:sz w:val="22"/>
              </w:rPr>
              <w:t>0.83</w:t>
            </w:r>
          </w:p>
        </w:tc>
      </w:tr>
      <w:tr>
        <w:trPr>
          <w:trHeight w:val="382" w:hRule="exact"/>
        </w:trPr>
        <w:tc>
          <w:tcPr>
            <w:tcW w:w="1789" w:type="dxa"/>
            <w:tcBorders>
              <w:top w:val="nil"/>
              <w:left w:val="nil"/>
              <w:bottom w:val="nil"/>
              <w:right w:val="nil"/>
            </w:tcBorders>
          </w:tcPr>
          <w:p>
            <w:pPr/>
          </w:p>
        </w:tc>
        <w:tc>
          <w:tcPr>
            <w:tcW w:w="881" w:type="dxa"/>
            <w:tcBorders>
              <w:top w:val="nil"/>
              <w:left w:val="nil"/>
              <w:bottom w:val="nil"/>
              <w:right w:val="nil"/>
            </w:tcBorders>
          </w:tcPr>
          <w:p>
            <w:pPr/>
          </w:p>
        </w:tc>
        <w:tc>
          <w:tcPr>
            <w:tcW w:w="955" w:type="dxa"/>
            <w:tcBorders>
              <w:top w:val="nil"/>
              <w:left w:val="nil"/>
              <w:bottom w:val="nil"/>
              <w:right w:val="nil"/>
            </w:tcBorders>
          </w:tcPr>
          <w:p>
            <w:pPr>
              <w:pStyle w:val="TableParagraph"/>
              <w:spacing w:line="245" w:lineRule="exact"/>
              <w:ind w:left="77"/>
              <w:rPr>
                <w:sz w:val="22"/>
              </w:rPr>
            </w:pPr>
            <w:r>
              <w:rPr>
                <w:sz w:val="22"/>
              </w:rPr>
              <w:t>r2= 0.36</w:t>
            </w:r>
          </w:p>
        </w:tc>
        <w:tc>
          <w:tcPr>
            <w:tcW w:w="1077" w:type="dxa"/>
            <w:tcBorders>
              <w:top w:val="nil"/>
              <w:left w:val="nil"/>
              <w:bottom w:val="nil"/>
              <w:right w:val="nil"/>
            </w:tcBorders>
          </w:tcPr>
          <w:p>
            <w:pPr/>
          </w:p>
        </w:tc>
        <w:tc>
          <w:tcPr>
            <w:tcW w:w="1223" w:type="dxa"/>
            <w:tcBorders>
              <w:top w:val="nil"/>
              <w:left w:val="nil"/>
              <w:bottom w:val="nil"/>
              <w:right w:val="nil"/>
            </w:tcBorders>
          </w:tcPr>
          <w:p>
            <w:pPr/>
          </w:p>
        </w:tc>
        <w:tc>
          <w:tcPr>
            <w:tcW w:w="911" w:type="dxa"/>
            <w:tcBorders>
              <w:top w:val="nil"/>
              <w:left w:val="nil"/>
              <w:bottom w:val="nil"/>
              <w:right w:val="nil"/>
            </w:tcBorders>
          </w:tcPr>
          <w:p>
            <w:pPr>
              <w:pStyle w:val="TableParagraph"/>
              <w:spacing w:line="245" w:lineRule="exact"/>
              <w:ind w:left="121" w:right="-44"/>
              <w:rPr>
                <w:sz w:val="22"/>
              </w:rPr>
            </w:pPr>
            <w:r>
              <w:rPr>
                <w:sz w:val="22"/>
              </w:rPr>
              <w:t>r2= 0.39</w:t>
            </w:r>
          </w:p>
        </w:tc>
        <w:tc>
          <w:tcPr>
            <w:tcW w:w="910" w:type="dxa"/>
            <w:tcBorders>
              <w:top w:val="nil"/>
              <w:left w:val="nil"/>
              <w:bottom w:val="nil"/>
              <w:right w:val="nil"/>
            </w:tcBorders>
          </w:tcPr>
          <w:p>
            <w:pPr/>
          </w:p>
        </w:tc>
      </w:tr>
      <w:tr>
        <w:trPr>
          <w:trHeight w:val="404" w:hRule="exact"/>
        </w:trPr>
        <w:tc>
          <w:tcPr>
            <w:tcW w:w="1789" w:type="dxa"/>
            <w:tcBorders>
              <w:top w:val="nil"/>
              <w:left w:val="nil"/>
              <w:bottom w:val="nil"/>
              <w:right w:val="nil"/>
            </w:tcBorders>
          </w:tcPr>
          <w:p>
            <w:pPr>
              <w:pStyle w:val="TableParagraph"/>
              <w:spacing w:before="114"/>
              <w:ind w:left="122"/>
              <w:rPr>
                <w:sz w:val="22"/>
              </w:rPr>
            </w:pPr>
            <w:r>
              <w:rPr>
                <w:sz w:val="22"/>
              </w:rPr>
              <w:t>GSTP1c (a/a)</w:t>
            </w:r>
          </w:p>
        </w:tc>
        <w:tc>
          <w:tcPr>
            <w:tcW w:w="881" w:type="dxa"/>
            <w:tcBorders>
              <w:top w:val="nil"/>
              <w:left w:val="nil"/>
              <w:bottom w:val="nil"/>
              <w:right w:val="nil"/>
            </w:tcBorders>
          </w:tcPr>
          <w:p>
            <w:pPr>
              <w:pStyle w:val="TableParagraph"/>
              <w:spacing w:before="114"/>
              <w:ind w:right="164"/>
              <w:jc w:val="right"/>
              <w:rPr>
                <w:sz w:val="22"/>
              </w:rPr>
            </w:pPr>
            <w:r>
              <w:rPr>
                <w:sz w:val="22"/>
              </w:rPr>
              <w:t>0.39</w:t>
            </w:r>
          </w:p>
        </w:tc>
        <w:tc>
          <w:tcPr>
            <w:tcW w:w="955" w:type="dxa"/>
            <w:tcBorders>
              <w:top w:val="nil"/>
              <w:left w:val="nil"/>
              <w:bottom w:val="nil"/>
              <w:right w:val="nil"/>
            </w:tcBorders>
          </w:tcPr>
          <w:p>
            <w:pPr>
              <w:pStyle w:val="TableParagraph"/>
              <w:spacing w:before="114"/>
              <w:ind w:left="166"/>
              <w:rPr>
                <w:sz w:val="22"/>
              </w:rPr>
            </w:pPr>
            <w:r>
              <w:rPr>
                <w:sz w:val="22"/>
              </w:rPr>
              <w:t>[0.53]</w:t>
            </w:r>
          </w:p>
        </w:tc>
        <w:tc>
          <w:tcPr>
            <w:tcW w:w="1077" w:type="dxa"/>
            <w:tcBorders>
              <w:top w:val="nil"/>
              <w:left w:val="nil"/>
              <w:bottom w:val="nil"/>
              <w:right w:val="nil"/>
            </w:tcBorders>
          </w:tcPr>
          <w:p>
            <w:pPr>
              <w:pStyle w:val="TableParagraph"/>
              <w:spacing w:before="114"/>
              <w:ind w:left="45" w:right="562"/>
              <w:jc w:val="center"/>
              <w:rPr>
                <w:sz w:val="22"/>
              </w:rPr>
            </w:pPr>
            <w:r>
              <w:rPr>
                <w:sz w:val="22"/>
              </w:rPr>
              <w:t>0.05</w:t>
            </w:r>
          </w:p>
        </w:tc>
        <w:tc>
          <w:tcPr>
            <w:tcW w:w="1223" w:type="dxa"/>
            <w:tcBorders>
              <w:top w:val="nil"/>
              <w:left w:val="nil"/>
              <w:bottom w:val="nil"/>
              <w:right w:val="nil"/>
            </w:tcBorders>
          </w:tcPr>
          <w:p>
            <w:pPr>
              <w:pStyle w:val="TableParagraph"/>
              <w:spacing w:before="114"/>
              <w:ind w:right="207"/>
              <w:jc w:val="right"/>
              <w:rPr>
                <w:sz w:val="22"/>
              </w:rPr>
            </w:pPr>
            <w:r>
              <w:rPr>
                <w:sz w:val="22"/>
              </w:rPr>
              <w:t>0.41</w:t>
            </w:r>
          </w:p>
        </w:tc>
        <w:tc>
          <w:tcPr>
            <w:tcW w:w="911" w:type="dxa"/>
            <w:tcBorders>
              <w:top w:val="nil"/>
              <w:left w:val="nil"/>
              <w:bottom w:val="nil"/>
              <w:right w:val="nil"/>
            </w:tcBorders>
          </w:tcPr>
          <w:p>
            <w:pPr>
              <w:pStyle w:val="TableParagraph"/>
              <w:spacing w:before="114"/>
              <w:ind w:left="209" w:right="-14"/>
              <w:rPr>
                <w:sz w:val="22"/>
              </w:rPr>
            </w:pPr>
            <w:r>
              <w:rPr>
                <w:sz w:val="22"/>
              </w:rPr>
              <w:t>[1.41]</w:t>
            </w:r>
          </w:p>
        </w:tc>
        <w:tc>
          <w:tcPr>
            <w:tcW w:w="910" w:type="dxa"/>
            <w:tcBorders>
              <w:top w:val="nil"/>
              <w:left w:val="nil"/>
              <w:bottom w:val="nil"/>
              <w:right w:val="nil"/>
            </w:tcBorders>
          </w:tcPr>
          <w:p>
            <w:pPr>
              <w:pStyle w:val="TableParagraph"/>
              <w:spacing w:before="114"/>
              <w:ind w:right="328"/>
              <w:jc w:val="right"/>
              <w:rPr>
                <w:sz w:val="22"/>
              </w:rPr>
            </w:pPr>
            <w:r>
              <w:rPr>
                <w:sz w:val="22"/>
              </w:rPr>
              <w:t>0.04</w:t>
            </w:r>
          </w:p>
        </w:tc>
      </w:tr>
      <w:tr>
        <w:trPr>
          <w:trHeight w:val="293" w:hRule="exact"/>
        </w:trPr>
        <w:tc>
          <w:tcPr>
            <w:tcW w:w="1789" w:type="dxa"/>
            <w:tcBorders>
              <w:top w:val="nil"/>
              <w:left w:val="nil"/>
              <w:bottom w:val="nil"/>
              <w:right w:val="nil"/>
            </w:tcBorders>
          </w:tcPr>
          <w:p>
            <w:pPr>
              <w:pStyle w:val="TableParagraph"/>
              <w:spacing w:before="14"/>
              <w:ind w:left="122"/>
              <w:rPr>
                <w:sz w:val="22"/>
              </w:rPr>
            </w:pPr>
            <w:r>
              <w:rPr>
                <w:sz w:val="22"/>
              </w:rPr>
              <w:t>H. Hig. Orales</w:t>
            </w:r>
          </w:p>
        </w:tc>
        <w:tc>
          <w:tcPr>
            <w:tcW w:w="881" w:type="dxa"/>
            <w:tcBorders>
              <w:top w:val="nil"/>
              <w:left w:val="nil"/>
              <w:bottom w:val="nil"/>
              <w:right w:val="nil"/>
            </w:tcBorders>
          </w:tcPr>
          <w:p>
            <w:pPr>
              <w:pStyle w:val="TableParagraph"/>
              <w:spacing w:before="14"/>
              <w:ind w:right="164"/>
              <w:jc w:val="right"/>
              <w:rPr>
                <w:sz w:val="22"/>
              </w:rPr>
            </w:pPr>
            <w:r>
              <w:rPr>
                <w:sz w:val="22"/>
              </w:rPr>
              <w:t>0.09</w:t>
            </w:r>
          </w:p>
        </w:tc>
        <w:tc>
          <w:tcPr>
            <w:tcW w:w="955" w:type="dxa"/>
            <w:tcBorders>
              <w:top w:val="nil"/>
              <w:left w:val="nil"/>
              <w:bottom w:val="nil"/>
              <w:right w:val="nil"/>
            </w:tcBorders>
          </w:tcPr>
          <w:p>
            <w:pPr>
              <w:pStyle w:val="TableParagraph"/>
              <w:spacing w:before="14"/>
              <w:ind w:left="166"/>
              <w:rPr>
                <w:sz w:val="22"/>
              </w:rPr>
            </w:pPr>
            <w:r>
              <w:rPr>
                <w:sz w:val="22"/>
              </w:rPr>
              <w:t>[0.67]</w:t>
            </w:r>
          </w:p>
        </w:tc>
        <w:tc>
          <w:tcPr>
            <w:tcW w:w="1077" w:type="dxa"/>
            <w:tcBorders>
              <w:top w:val="nil"/>
              <w:left w:val="nil"/>
              <w:bottom w:val="nil"/>
              <w:right w:val="nil"/>
            </w:tcBorders>
          </w:tcPr>
          <w:p>
            <w:pPr>
              <w:pStyle w:val="TableParagraph"/>
              <w:spacing w:before="14"/>
              <w:ind w:left="45" w:right="562"/>
              <w:jc w:val="center"/>
              <w:rPr>
                <w:sz w:val="22"/>
              </w:rPr>
            </w:pPr>
            <w:r>
              <w:rPr>
                <w:sz w:val="22"/>
              </w:rPr>
              <w:t>0.17</w:t>
            </w:r>
          </w:p>
        </w:tc>
        <w:tc>
          <w:tcPr>
            <w:tcW w:w="1223" w:type="dxa"/>
            <w:tcBorders>
              <w:top w:val="nil"/>
              <w:left w:val="nil"/>
              <w:bottom w:val="nil"/>
              <w:right w:val="nil"/>
            </w:tcBorders>
          </w:tcPr>
          <w:p>
            <w:pPr>
              <w:pStyle w:val="TableParagraph"/>
              <w:spacing w:before="14"/>
              <w:ind w:right="207"/>
              <w:jc w:val="right"/>
              <w:rPr>
                <w:sz w:val="22"/>
              </w:rPr>
            </w:pPr>
            <w:r>
              <w:rPr>
                <w:sz w:val="22"/>
              </w:rPr>
              <w:t>0.20</w:t>
            </w:r>
          </w:p>
        </w:tc>
        <w:tc>
          <w:tcPr>
            <w:tcW w:w="911" w:type="dxa"/>
            <w:tcBorders>
              <w:top w:val="nil"/>
              <w:left w:val="nil"/>
              <w:bottom w:val="nil"/>
              <w:right w:val="nil"/>
            </w:tcBorders>
          </w:tcPr>
          <w:p>
            <w:pPr>
              <w:pStyle w:val="TableParagraph"/>
              <w:spacing w:before="14"/>
              <w:ind w:left="209" w:right="-14"/>
              <w:rPr>
                <w:sz w:val="22"/>
              </w:rPr>
            </w:pPr>
            <w:r>
              <w:rPr>
                <w:sz w:val="22"/>
              </w:rPr>
              <w:t>[0.53]</w:t>
            </w:r>
          </w:p>
        </w:tc>
        <w:tc>
          <w:tcPr>
            <w:tcW w:w="910" w:type="dxa"/>
            <w:tcBorders>
              <w:top w:val="nil"/>
              <w:left w:val="nil"/>
              <w:bottom w:val="nil"/>
              <w:right w:val="nil"/>
            </w:tcBorders>
          </w:tcPr>
          <w:p>
            <w:pPr>
              <w:pStyle w:val="TableParagraph"/>
              <w:spacing w:before="14"/>
              <w:ind w:right="328"/>
              <w:jc w:val="right"/>
              <w:rPr>
                <w:sz w:val="22"/>
              </w:rPr>
            </w:pPr>
            <w:r>
              <w:rPr>
                <w:sz w:val="22"/>
              </w:rPr>
              <w:t>0.83</w:t>
            </w:r>
          </w:p>
        </w:tc>
      </w:tr>
      <w:tr>
        <w:trPr>
          <w:trHeight w:val="266" w:hRule="exact"/>
        </w:trPr>
        <w:tc>
          <w:tcPr>
            <w:tcW w:w="1789" w:type="dxa"/>
            <w:tcBorders>
              <w:top w:val="nil"/>
              <w:left w:val="nil"/>
              <w:bottom w:val="nil"/>
              <w:right w:val="nil"/>
            </w:tcBorders>
          </w:tcPr>
          <w:p>
            <w:pPr>
              <w:pStyle w:val="TableParagraph"/>
              <w:spacing w:before="2"/>
              <w:ind w:left="122"/>
              <w:rPr>
                <w:sz w:val="22"/>
              </w:rPr>
            </w:pPr>
            <w:r>
              <w:rPr>
                <w:sz w:val="22"/>
              </w:rPr>
              <w:t>Dieta Cariog.</w:t>
            </w:r>
          </w:p>
        </w:tc>
        <w:tc>
          <w:tcPr>
            <w:tcW w:w="881" w:type="dxa"/>
            <w:tcBorders>
              <w:top w:val="nil"/>
              <w:left w:val="nil"/>
              <w:bottom w:val="nil"/>
              <w:right w:val="nil"/>
            </w:tcBorders>
          </w:tcPr>
          <w:p>
            <w:pPr>
              <w:pStyle w:val="TableParagraph"/>
              <w:spacing w:before="2"/>
              <w:ind w:right="164"/>
              <w:jc w:val="right"/>
              <w:rPr>
                <w:sz w:val="22"/>
              </w:rPr>
            </w:pPr>
            <w:r>
              <w:rPr>
                <w:sz w:val="22"/>
              </w:rPr>
              <w:t>0.18</w:t>
            </w:r>
          </w:p>
        </w:tc>
        <w:tc>
          <w:tcPr>
            <w:tcW w:w="955" w:type="dxa"/>
            <w:tcBorders>
              <w:top w:val="nil"/>
              <w:left w:val="nil"/>
              <w:bottom w:val="nil"/>
              <w:right w:val="nil"/>
            </w:tcBorders>
          </w:tcPr>
          <w:p>
            <w:pPr>
              <w:pStyle w:val="TableParagraph"/>
              <w:spacing w:before="2"/>
              <w:ind w:left="166"/>
              <w:rPr>
                <w:sz w:val="22"/>
              </w:rPr>
            </w:pPr>
            <w:r>
              <w:rPr>
                <w:sz w:val="22"/>
              </w:rPr>
              <w:t>[0.76]</w:t>
            </w:r>
          </w:p>
        </w:tc>
        <w:tc>
          <w:tcPr>
            <w:tcW w:w="1077" w:type="dxa"/>
            <w:tcBorders>
              <w:top w:val="nil"/>
              <w:left w:val="nil"/>
              <w:bottom w:val="nil"/>
              <w:right w:val="nil"/>
            </w:tcBorders>
          </w:tcPr>
          <w:p>
            <w:pPr>
              <w:pStyle w:val="TableParagraph"/>
              <w:spacing w:before="2"/>
              <w:ind w:left="45" w:right="562"/>
              <w:jc w:val="center"/>
              <w:rPr>
                <w:sz w:val="22"/>
              </w:rPr>
            </w:pPr>
            <w:r>
              <w:rPr>
                <w:sz w:val="22"/>
              </w:rPr>
              <w:t>0.11</w:t>
            </w:r>
          </w:p>
        </w:tc>
        <w:tc>
          <w:tcPr>
            <w:tcW w:w="1223" w:type="dxa"/>
            <w:tcBorders>
              <w:top w:val="nil"/>
              <w:left w:val="nil"/>
              <w:bottom w:val="nil"/>
              <w:right w:val="nil"/>
            </w:tcBorders>
          </w:tcPr>
          <w:p>
            <w:pPr>
              <w:pStyle w:val="TableParagraph"/>
              <w:spacing w:before="2"/>
              <w:ind w:right="207"/>
              <w:jc w:val="right"/>
              <w:rPr>
                <w:sz w:val="22"/>
              </w:rPr>
            </w:pPr>
            <w:r>
              <w:rPr>
                <w:sz w:val="22"/>
              </w:rPr>
              <w:t>0.16</w:t>
            </w:r>
          </w:p>
        </w:tc>
        <w:tc>
          <w:tcPr>
            <w:tcW w:w="911" w:type="dxa"/>
            <w:tcBorders>
              <w:top w:val="nil"/>
              <w:left w:val="nil"/>
              <w:bottom w:val="nil"/>
              <w:right w:val="nil"/>
            </w:tcBorders>
          </w:tcPr>
          <w:p>
            <w:pPr>
              <w:pStyle w:val="TableParagraph"/>
              <w:spacing w:before="2"/>
              <w:ind w:left="209" w:right="-14"/>
              <w:rPr>
                <w:sz w:val="22"/>
              </w:rPr>
            </w:pPr>
            <w:r>
              <w:rPr>
                <w:sz w:val="22"/>
              </w:rPr>
              <w:t>[0.54]</w:t>
            </w:r>
          </w:p>
        </w:tc>
        <w:tc>
          <w:tcPr>
            <w:tcW w:w="910" w:type="dxa"/>
            <w:tcBorders>
              <w:top w:val="nil"/>
              <w:left w:val="nil"/>
              <w:bottom w:val="nil"/>
              <w:right w:val="nil"/>
            </w:tcBorders>
          </w:tcPr>
          <w:p>
            <w:pPr>
              <w:pStyle w:val="TableParagraph"/>
              <w:spacing w:before="2"/>
              <w:ind w:right="328"/>
              <w:jc w:val="right"/>
              <w:rPr>
                <w:sz w:val="22"/>
              </w:rPr>
            </w:pPr>
            <w:r>
              <w:rPr>
                <w:sz w:val="22"/>
              </w:rPr>
              <w:t>0.83</w:t>
            </w:r>
          </w:p>
        </w:tc>
      </w:tr>
      <w:tr>
        <w:trPr>
          <w:trHeight w:val="324" w:hRule="exact"/>
        </w:trPr>
        <w:tc>
          <w:tcPr>
            <w:tcW w:w="1789" w:type="dxa"/>
            <w:tcBorders>
              <w:top w:val="nil"/>
              <w:left w:val="nil"/>
              <w:right w:val="nil"/>
            </w:tcBorders>
          </w:tcPr>
          <w:p>
            <w:pPr/>
          </w:p>
        </w:tc>
        <w:tc>
          <w:tcPr>
            <w:tcW w:w="881" w:type="dxa"/>
            <w:tcBorders>
              <w:top w:val="nil"/>
              <w:left w:val="nil"/>
              <w:right w:val="nil"/>
            </w:tcBorders>
          </w:tcPr>
          <w:p>
            <w:pPr/>
          </w:p>
        </w:tc>
        <w:tc>
          <w:tcPr>
            <w:tcW w:w="955" w:type="dxa"/>
            <w:tcBorders>
              <w:top w:val="nil"/>
              <w:left w:val="nil"/>
              <w:right w:val="nil"/>
            </w:tcBorders>
          </w:tcPr>
          <w:p>
            <w:pPr>
              <w:pStyle w:val="TableParagraph"/>
              <w:spacing w:line="241" w:lineRule="exact"/>
              <w:ind w:left="77"/>
              <w:rPr>
                <w:sz w:val="22"/>
              </w:rPr>
            </w:pPr>
            <w:r>
              <w:rPr>
                <w:sz w:val="22"/>
              </w:rPr>
              <w:t>r2= 0.37</w:t>
            </w:r>
          </w:p>
        </w:tc>
        <w:tc>
          <w:tcPr>
            <w:tcW w:w="1077" w:type="dxa"/>
            <w:tcBorders>
              <w:top w:val="nil"/>
              <w:left w:val="nil"/>
              <w:right w:val="nil"/>
            </w:tcBorders>
          </w:tcPr>
          <w:p>
            <w:pPr/>
          </w:p>
        </w:tc>
        <w:tc>
          <w:tcPr>
            <w:tcW w:w="1223" w:type="dxa"/>
            <w:tcBorders>
              <w:top w:val="nil"/>
              <w:left w:val="nil"/>
              <w:right w:val="nil"/>
            </w:tcBorders>
          </w:tcPr>
          <w:p>
            <w:pPr/>
          </w:p>
        </w:tc>
        <w:tc>
          <w:tcPr>
            <w:tcW w:w="911" w:type="dxa"/>
            <w:tcBorders>
              <w:top w:val="nil"/>
              <w:left w:val="nil"/>
              <w:right w:val="nil"/>
            </w:tcBorders>
          </w:tcPr>
          <w:p>
            <w:pPr>
              <w:pStyle w:val="TableParagraph"/>
              <w:spacing w:line="241" w:lineRule="exact"/>
              <w:ind w:left="121" w:right="-44"/>
              <w:rPr>
                <w:sz w:val="22"/>
              </w:rPr>
            </w:pPr>
            <w:r>
              <w:rPr>
                <w:sz w:val="22"/>
              </w:rPr>
              <w:t>r2= 0.34</w:t>
            </w:r>
          </w:p>
        </w:tc>
        <w:tc>
          <w:tcPr>
            <w:tcW w:w="910" w:type="dxa"/>
            <w:tcBorders>
              <w:top w:val="nil"/>
              <w:left w:val="nil"/>
              <w:right w:val="nil"/>
            </w:tcBorders>
          </w:tcPr>
          <w:p>
            <w:pPr/>
          </w:p>
        </w:tc>
      </w:tr>
    </w:tbl>
    <w:p>
      <w:pPr>
        <w:spacing w:before="31"/>
        <w:ind w:left="661" w:right="126" w:firstLine="0"/>
        <w:jc w:val="left"/>
        <w:rPr>
          <w:sz w:val="20"/>
        </w:rPr>
      </w:pPr>
      <w:r>
        <w:rPr>
          <w:sz w:val="20"/>
        </w:rPr>
        <w:t>B= Coeficiente de Regresión  E.E.= Error Estándar  p=Probabilidad 95%</w:t>
      </w:r>
    </w:p>
    <w:p>
      <w:pPr>
        <w:spacing w:after="0"/>
        <w:jc w:val="left"/>
        <w:rPr>
          <w:sz w:val="20"/>
        </w:rPr>
        <w:sectPr>
          <w:pgSz w:w="12240" w:h="15840"/>
          <w:pgMar w:header="733" w:footer="1039" w:top="1020" w:bottom="1220" w:left="1540" w:right="1520"/>
        </w:sectPr>
      </w:pPr>
    </w:p>
    <w:p>
      <w:pPr>
        <w:pStyle w:val="BodyText"/>
        <w:spacing w:before="3"/>
        <w:rPr>
          <w:sz w:val="18"/>
        </w:rPr>
      </w:pPr>
    </w:p>
    <w:p>
      <w:pPr>
        <w:pStyle w:val="Heading1"/>
        <w:numPr>
          <w:ilvl w:val="0"/>
          <w:numId w:val="15"/>
        </w:numPr>
        <w:tabs>
          <w:tab w:pos="3977" w:val="left" w:leader="none"/>
        </w:tabs>
        <w:spacing w:line="240" w:lineRule="auto" w:before="65" w:after="0"/>
        <w:ind w:left="3976" w:right="0" w:hanging="346"/>
        <w:jc w:val="left"/>
      </w:pPr>
      <w:bookmarkStart w:name="_TOC_250002" w:id="39"/>
      <w:bookmarkEnd w:id="39"/>
      <w:r>
        <w:rPr/>
        <w:t>DISCUSIÓN</w:t>
      </w:r>
    </w:p>
    <w:p>
      <w:pPr>
        <w:pStyle w:val="BodyText"/>
        <w:spacing w:before="7"/>
        <w:rPr>
          <w:b/>
          <w:sz w:val="31"/>
        </w:rPr>
      </w:pPr>
    </w:p>
    <w:p>
      <w:pPr>
        <w:pStyle w:val="BodyText"/>
        <w:spacing w:line="360" w:lineRule="auto"/>
        <w:ind w:left="162" w:right="176"/>
        <w:jc w:val="both"/>
      </w:pPr>
      <w:r>
        <w:rPr/>
        <w:t>Diversos autores mencionan que la caries dental es un problema de salud pública en virtud de su elevada prevalencia. En México se ha documentado que la prevalencia de caries dental se encuentra entre 70 y 85% en dentición secundaria a la edad de 12 años. No obstante las medidas de salud pública bucal instituidas (fluoración de la sal, programas nacionales de salud bucal), los problemas de morbilidad bucal ocupan un papel importante en el panorama de salud pública, toda vez que demandan conductas personales para su control más eficaz y, en buena medida, se trata de problemas que pueden prevenirse con mínimas conductas de protección a la salud. Sin embargo, dicha enfermedad multifactorial se ha explorado desde distintas aristas, y el componente genético ha sido poco explorado, y menos aún lo relacionado a los polimorfismos, los cuales determinan las variantes génicas polimórficas que un individuo posea, le conferirán mayor o</w:t>
      </w:r>
    </w:p>
    <w:p>
      <w:pPr>
        <w:pStyle w:val="BodyText"/>
        <w:spacing w:line="328" w:lineRule="auto" w:before="5"/>
        <w:ind w:left="162" w:right="185"/>
        <w:jc w:val="both"/>
        <w:rPr>
          <w:sz w:val="16"/>
        </w:rPr>
      </w:pPr>
      <w:r>
        <w:rPr/>
        <w:t>menor susceptibilidad frente a sustancias con potencial genotóxico como lo son muchos de los plaguicidas, que fueron motivo del presente estudio. </w:t>
      </w:r>
      <w:r>
        <w:rPr>
          <w:position w:val="11"/>
          <w:sz w:val="16"/>
        </w:rPr>
        <w:t>95</w:t>
      </w:r>
    </w:p>
    <w:p>
      <w:pPr>
        <w:pStyle w:val="BodyText"/>
        <w:spacing w:line="360" w:lineRule="auto" w:before="225"/>
        <w:ind w:left="162" w:right="181"/>
        <w:jc w:val="both"/>
      </w:pPr>
      <w:r>
        <w:rPr/>
        <w:t>Considerando los resultados obtenidos en el presente estudio, se observó que el consumo de azúcar y el riesgo a caries no está asociado. Lo cual concuerda con  la revisión de la literatura realizada por Burt et al. (2001) en donde concluyeron que no existe asociación entre el consumo de azúcar y el riesgo de caries, al revisar 36 artículos que cumplieron con sus criterios de inclusión, de los   </w:t>
      </w:r>
      <w:r>
        <w:rPr>
          <w:spacing w:val="2"/>
        </w:rPr>
        <w:t> </w:t>
      </w:r>
      <w:r>
        <w:rPr/>
        <w:t>cuales 2</w:t>
      </w:r>
    </w:p>
    <w:p>
      <w:pPr>
        <w:pStyle w:val="BodyText"/>
        <w:spacing w:line="331" w:lineRule="auto" w:before="2"/>
        <w:ind w:left="162" w:right="188"/>
        <w:jc w:val="both"/>
        <w:rPr>
          <w:sz w:val="16"/>
        </w:rPr>
      </w:pPr>
      <w:r>
        <w:rPr/>
        <w:t>de ellos reportan una fuerte relación entre el consumo de azúcar y el desarrollo de caries, 16 encontraron una moderada relación y en 18 una débil relación.</w:t>
      </w:r>
      <w:r>
        <w:rPr>
          <w:position w:val="11"/>
          <w:sz w:val="16"/>
        </w:rPr>
        <w:t>27</w:t>
      </w:r>
    </w:p>
    <w:p>
      <w:pPr>
        <w:pStyle w:val="BodyText"/>
        <w:spacing w:before="10"/>
        <w:rPr>
          <w:sz w:val="37"/>
        </w:rPr>
      </w:pPr>
    </w:p>
    <w:p>
      <w:pPr>
        <w:pStyle w:val="BodyText"/>
        <w:spacing w:line="360" w:lineRule="auto"/>
        <w:ind w:left="162" w:right="178"/>
        <w:jc w:val="both"/>
      </w:pPr>
      <w:r>
        <w:rPr/>
        <w:t>Con respecto a la caries y la higiene bucodental, Irigoyen et al. (2001), reportan en una poblacion escolar mexicana que el 39.5% refirieron cepillarse de una a dos veces los dientes al día y el 11% no utilizaban dentífrico. Estos  datos  son similares</w:t>
      </w:r>
      <w:r>
        <w:rPr>
          <w:spacing w:val="57"/>
        </w:rPr>
        <w:t> </w:t>
      </w:r>
      <w:r>
        <w:rPr/>
        <w:t>a</w:t>
      </w:r>
      <w:r>
        <w:rPr>
          <w:spacing w:val="56"/>
        </w:rPr>
        <w:t> </w:t>
      </w:r>
      <w:r>
        <w:rPr/>
        <w:t>lo</w:t>
      </w:r>
      <w:r>
        <w:rPr>
          <w:spacing w:val="55"/>
        </w:rPr>
        <w:t> </w:t>
      </w:r>
      <w:r>
        <w:rPr/>
        <w:t>encontrado</w:t>
      </w:r>
      <w:r>
        <w:rPr>
          <w:spacing w:val="56"/>
        </w:rPr>
        <w:t> </w:t>
      </w:r>
      <w:r>
        <w:rPr/>
        <w:t>en</w:t>
      </w:r>
      <w:r>
        <w:rPr>
          <w:spacing w:val="56"/>
        </w:rPr>
        <w:t> </w:t>
      </w:r>
      <w:r>
        <w:rPr/>
        <w:t>este</w:t>
      </w:r>
      <w:r>
        <w:rPr>
          <w:spacing w:val="55"/>
        </w:rPr>
        <w:t> </w:t>
      </w:r>
      <w:r>
        <w:rPr/>
        <w:t>estudio,</w:t>
      </w:r>
      <w:r>
        <w:rPr>
          <w:spacing w:val="56"/>
        </w:rPr>
        <w:t> </w:t>
      </w:r>
      <w:r>
        <w:rPr/>
        <w:t>aunque</w:t>
      </w:r>
      <w:r>
        <w:rPr>
          <w:spacing w:val="58"/>
        </w:rPr>
        <w:t> </w:t>
      </w:r>
      <w:r>
        <w:rPr/>
        <w:t>la</w:t>
      </w:r>
      <w:r>
        <w:rPr>
          <w:spacing w:val="55"/>
        </w:rPr>
        <w:t> </w:t>
      </w:r>
      <w:r>
        <w:rPr/>
        <w:t>poblacion</w:t>
      </w:r>
      <w:r>
        <w:rPr>
          <w:spacing w:val="56"/>
        </w:rPr>
        <w:t> </w:t>
      </w:r>
      <w:r>
        <w:rPr/>
        <w:t>es</w:t>
      </w:r>
      <w:r>
        <w:rPr>
          <w:spacing w:val="55"/>
        </w:rPr>
        <w:t> </w:t>
      </w:r>
      <w:r>
        <w:rPr/>
        <w:t>distinta</w:t>
      </w:r>
      <w:r>
        <w:rPr>
          <w:spacing w:val="56"/>
        </w:rPr>
        <w:t> </w:t>
      </w:r>
      <w:r>
        <w:rPr/>
        <w:t>en</w:t>
      </w:r>
    </w:p>
    <w:p>
      <w:pPr>
        <w:pStyle w:val="BodyText"/>
        <w:spacing w:line="328" w:lineRule="auto" w:before="5"/>
        <w:ind w:left="162" w:right="187"/>
        <w:jc w:val="both"/>
        <w:rPr>
          <w:sz w:val="16"/>
        </w:rPr>
      </w:pPr>
      <w:r>
        <w:rPr/>
        <w:t>cuanto a edad y exposición, sin embargo ambos estudios son en poblacion mexicana.</w:t>
      </w:r>
      <w:r>
        <w:rPr>
          <w:position w:val="11"/>
          <w:sz w:val="16"/>
        </w:rPr>
        <w:t>96</w:t>
      </w:r>
    </w:p>
    <w:p>
      <w:pPr>
        <w:spacing w:after="0" w:line="328" w:lineRule="auto"/>
        <w:jc w:val="both"/>
        <w:rPr>
          <w:sz w:val="16"/>
        </w:rPr>
        <w:sectPr>
          <w:pgSz w:w="12240" w:h="15840"/>
          <w:pgMar w:header="733" w:footer="1039" w:top="1020" w:bottom="1220" w:left="1540" w:right="1520"/>
        </w:sectPr>
      </w:pPr>
    </w:p>
    <w:p>
      <w:pPr>
        <w:pStyle w:val="BodyText"/>
        <w:rPr>
          <w:sz w:val="18"/>
        </w:rPr>
      </w:pPr>
    </w:p>
    <w:p>
      <w:pPr>
        <w:pStyle w:val="BodyText"/>
        <w:spacing w:line="360" w:lineRule="auto" w:before="69"/>
        <w:ind w:left="162" w:right="173"/>
        <w:jc w:val="both"/>
      </w:pPr>
      <w:r>
        <w:rPr/>
        <w:t>Con relación al papel que juegan los genes en la susceptibilidad a caries </w:t>
      </w:r>
      <w:r>
        <w:rPr>
          <w:color w:val="1F1F3E"/>
        </w:rPr>
        <w:t>Deshpande </w:t>
      </w:r>
      <w:r>
        <w:rPr/>
        <w:t>et al. (2012), realizaron un estudio con hermanos gemelos monocigóticos de 5 años de edad que fueron criados por separado y presentaban características similares de caries dental. Les proporcionaron atención integral oral preventiva y terapéutica. Mediante el estudio de las enfermedades dentales en los gemelos criados por separado, el elemento de la influencia del medio ambiente es eliminado sin perder la ventaja de genotipo similar en los gemelos monocigóticos. Así como también, otros autores se han dado a la tarea de evaluar la susceptibilidad a caries asociada a la carga génica en gemelos, Townsend et al. (1988), reportaron que la morfología de la corona dental humana está bajo un grado de control genético, las características de la superficie oclusal, la progresión de la lesión y la tasa de incidencia específica del sitio, están influenciados por el genotipo.  El  estudio  de  Conry  et  al.(1993),  demostró  que  una        proporción</w:t>
      </w:r>
    </w:p>
    <w:p>
      <w:pPr>
        <w:pStyle w:val="BodyText"/>
        <w:spacing w:line="328" w:lineRule="auto" w:before="5"/>
        <w:ind w:left="162" w:right="173"/>
        <w:jc w:val="both"/>
        <w:rPr>
          <w:sz w:val="16"/>
        </w:rPr>
      </w:pPr>
      <w:r>
        <w:rPr/>
        <w:t>significativa de la varianza para el número de dientes y superficies restauradas, y la presencia de la caries fue atribuible a la variabilidad genética. </w:t>
      </w:r>
      <w:r>
        <w:rPr>
          <w:position w:val="11"/>
          <w:sz w:val="16"/>
        </w:rPr>
        <w:t>97, 98, 99,</w:t>
      </w:r>
      <w:r>
        <w:rPr>
          <w:spacing w:val="1"/>
          <w:position w:val="11"/>
          <w:sz w:val="16"/>
        </w:rPr>
        <w:t> </w:t>
      </w:r>
      <w:r>
        <w:rPr>
          <w:position w:val="11"/>
          <w:sz w:val="16"/>
        </w:rPr>
        <w:t>100</w:t>
      </w:r>
    </w:p>
    <w:p>
      <w:pPr>
        <w:pStyle w:val="BodyText"/>
        <w:spacing w:before="1"/>
        <w:rPr>
          <w:sz w:val="38"/>
        </w:rPr>
      </w:pPr>
    </w:p>
    <w:p>
      <w:pPr>
        <w:pStyle w:val="BodyText"/>
        <w:spacing w:line="360" w:lineRule="auto" w:before="1"/>
        <w:ind w:left="162" w:right="183"/>
        <w:jc w:val="both"/>
      </w:pPr>
      <w:r>
        <w:rPr/>
        <w:t>Wendell et al. (2010), estudiaron la variación genética en genes de la vía del gusto (TAS2R38, TAS1R2, GNAT3) que pueden asociarse con riego de caries dental o como factor de protección. Realizaron PCR para cada gen y mediante la prueba  de análisis de desequilibrio de transmisión (TDT) se analizaron tres grupos de dentición:     primaria,     mixta     y     permanente.     Observaron      </w:t>
      </w:r>
      <w:r>
        <w:rPr>
          <w:spacing w:val="33"/>
        </w:rPr>
        <w:t> </w:t>
      </w:r>
      <w:r>
        <w:rPr/>
        <w:t>asociaciones</w:t>
      </w:r>
    </w:p>
    <w:p>
      <w:pPr>
        <w:pStyle w:val="BodyText"/>
        <w:spacing w:line="328" w:lineRule="auto" w:before="5"/>
        <w:ind w:left="162" w:right="184"/>
        <w:jc w:val="both"/>
        <w:rPr>
          <w:sz w:val="16"/>
        </w:rPr>
      </w:pPr>
      <w:r>
        <w:rPr/>
        <w:t>estadísticamente significativas en TAS2R38 y TAS1R2 de riesgo de caries y/o protección.</w:t>
      </w:r>
      <w:r>
        <w:rPr>
          <w:position w:val="11"/>
          <w:sz w:val="16"/>
        </w:rPr>
        <w:t>101</w:t>
      </w:r>
    </w:p>
    <w:p>
      <w:pPr>
        <w:pStyle w:val="BodyText"/>
        <w:spacing w:before="1"/>
        <w:rPr>
          <w:sz w:val="38"/>
        </w:rPr>
      </w:pPr>
    </w:p>
    <w:p>
      <w:pPr>
        <w:pStyle w:val="BodyText"/>
        <w:spacing w:line="360" w:lineRule="auto" w:before="1"/>
        <w:ind w:left="162" w:right="176"/>
        <w:jc w:val="both"/>
      </w:pPr>
      <w:r>
        <w:rPr/>
        <w:t>La GST es una familia de isoenzimas que actúan en la fase II del metabolismo de xenobióticos, es por esto que se han realizado diversos estudios acerca de su asociación con diversas enfermedades multifactoriales. En el caso de Davies, et  al. (2000), estudiaron la asociación entre el genotipo nulo de GST M1 y T1 con un aumento en el riego de leucemia mieloide y mielodisplasia en niños. Realizaron PCR para detectar los genotipos de GSTM1 y GSTT1 en 232 casos y 153 controles, reportaron que la frecuencia de GSTM1 nulo fue mayor en los casos (p=0.01), concluyendo que el genotipo nulo GSTM1 es un factor de riesgo para </w:t>
      </w:r>
      <w:r>
        <w:rPr>
          <w:spacing w:val="57"/>
        </w:rPr>
        <w:t> </w:t>
      </w:r>
      <w:r>
        <w:rPr/>
        <w:t>la</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45" w:lineRule="auto" w:before="69"/>
        <w:ind w:left="162" w:right="177"/>
        <w:jc w:val="both"/>
        <w:rPr>
          <w:sz w:val="16"/>
        </w:rPr>
      </w:pPr>
      <w:r>
        <w:rPr/>
        <w:t>leucemia mieloide en la infancia. </w:t>
      </w:r>
      <w:r>
        <w:rPr>
          <w:color w:val="212121"/>
        </w:rPr>
        <w:t>Así mismo Joseph et al. (2004), reportaron que los polimorfismos nulos de GSTM1 Y GSTT1 influencian en la susceptibilidad de la leucemia linfoblástica aguda en la infancia.</w:t>
      </w:r>
      <w:r>
        <w:rPr>
          <w:position w:val="11"/>
          <w:sz w:val="16"/>
        </w:rPr>
        <w:t>102, 103</w:t>
      </w:r>
    </w:p>
    <w:p>
      <w:pPr>
        <w:pStyle w:val="BodyText"/>
        <w:spacing w:before="3"/>
        <w:rPr>
          <w:sz w:val="36"/>
        </w:rPr>
      </w:pPr>
    </w:p>
    <w:p>
      <w:pPr>
        <w:pStyle w:val="BodyText"/>
        <w:spacing w:line="350" w:lineRule="auto"/>
        <w:ind w:left="162" w:right="181"/>
        <w:jc w:val="both"/>
        <w:rPr>
          <w:sz w:val="16"/>
        </w:rPr>
      </w:pPr>
      <w:r>
        <w:rPr/>
        <w:t>Brockstedt et al. (2002), investigaron la relación entre aductos de ADN y los polimorfismos genéticos de GSTT1, GSTM1, GSTP1 encontrando que los niveles de aductos fueron 45% mayor en individuos con las variantes de GSTP1b o GSTP1c (Ile-Ile) comparado con aquellos con el alelo silvestre. </w:t>
      </w:r>
      <w:r>
        <w:rPr>
          <w:position w:val="11"/>
          <w:sz w:val="16"/>
        </w:rPr>
        <w:t>104</w:t>
      </w:r>
    </w:p>
    <w:p>
      <w:pPr>
        <w:pStyle w:val="BodyText"/>
        <w:spacing w:before="9"/>
        <w:rPr>
          <w:sz w:val="35"/>
        </w:rPr>
      </w:pPr>
    </w:p>
    <w:p>
      <w:pPr>
        <w:pStyle w:val="BodyText"/>
        <w:spacing w:line="360" w:lineRule="auto"/>
        <w:ind w:left="162" w:right="176"/>
        <w:jc w:val="both"/>
      </w:pPr>
      <w:r>
        <w:rPr/>
        <w:t>Zhi-Jiang et al. (2011), realizaron una revisión de la literatura en búsqueda de estudios de casos-controles que examinaran la asociación entre los genotipos nulos de GSTM1, GSTT1 y cáncer oral, identificaron 28 estudios y el análisis de ellos mostraron que el genotipo nulo de GSTM1 está asociado con un mayor riesgo de cáncer oral en asiáticos, pero no en la raza caucásica y esta asociación puede ser modificada por el habito de fumar. El genotipo nulo de GSTT1 no   </w:t>
      </w:r>
      <w:r>
        <w:rPr>
          <w:spacing w:val="31"/>
        </w:rPr>
        <w:t> </w:t>
      </w:r>
      <w:r>
        <w:rPr/>
        <w:t>está</w:t>
      </w:r>
    </w:p>
    <w:p>
      <w:pPr>
        <w:pStyle w:val="BodyText"/>
        <w:spacing w:line="281" w:lineRule="exact"/>
        <w:ind w:left="162"/>
        <w:jc w:val="both"/>
        <w:rPr>
          <w:sz w:val="16"/>
        </w:rPr>
      </w:pPr>
      <w:r>
        <w:rPr/>
        <w:t>claramente asociado con el cáncer oral.</w:t>
      </w:r>
      <w:r>
        <w:rPr>
          <w:position w:val="11"/>
          <w:sz w:val="16"/>
        </w:rPr>
        <w:t>105</w:t>
      </w:r>
    </w:p>
    <w:p>
      <w:pPr>
        <w:pStyle w:val="BodyText"/>
        <w:rPr>
          <w:sz w:val="28"/>
        </w:rPr>
      </w:pPr>
    </w:p>
    <w:p>
      <w:pPr>
        <w:pStyle w:val="BodyText"/>
        <w:spacing w:line="350" w:lineRule="auto" w:before="230"/>
        <w:ind w:left="162" w:right="186"/>
        <w:jc w:val="both"/>
        <w:rPr>
          <w:sz w:val="16"/>
        </w:rPr>
      </w:pPr>
      <w:r>
        <w:rPr/>
        <w:t>Por otro lado Devasena, et al. (2011), realizaron un estudio de casos control para ver la posible asociación de variantes genéticas involucradas en el metabolismo  de xenobióticos con el riesgo de cáncer oral. Reportaron que los polimorfismos GSTM1 (-/-) y GSTT1 (-/-) están asociados con el cáncer</w:t>
      </w:r>
      <w:r>
        <w:rPr>
          <w:spacing w:val="-14"/>
        </w:rPr>
        <w:t> </w:t>
      </w:r>
      <w:r>
        <w:rPr/>
        <w:t>oral.</w:t>
      </w:r>
      <w:r>
        <w:rPr>
          <w:position w:val="11"/>
          <w:sz w:val="16"/>
        </w:rPr>
        <w:t>106</w:t>
      </w:r>
    </w:p>
    <w:p>
      <w:pPr>
        <w:pStyle w:val="BodyText"/>
        <w:spacing w:before="8"/>
        <w:rPr>
          <w:sz w:val="35"/>
        </w:rPr>
      </w:pPr>
    </w:p>
    <w:p>
      <w:pPr>
        <w:pStyle w:val="BodyText"/>
        <w:spacing w:line="360" w:lineRule="auto" w:before="1"/>
        <w:ind w:left="162" w:right="176"/>
        <w:jc w:val="both"/>
      </w:pPr>
      <w:r>
        <w:rPr/>
        <w:t>Iarmarcovai et al. (2008), realizaron una revisión de la literatura de estudios en población humana que abordan la relación entre los polimorfismos genéticos y la formación de micronúcleos (MN) y da una idea de cómo las variantes genéticas podrían modular el efecto de la exposición ambiental a agentes genotóxicos, factores del huésped (sexo, edad), las características del estilo de vida (tabaco, alcohol) y las enfermedades (enfermedad de la arteria coronaria, cáncer). Encontraron 62 estudios que midieron la frecuencia de MN tanto en linfocitos de sangre periférica como en células exfoliadas, después de una extensa búsqueda en la base de datos Medline / PubMed. De esta revisión concluyeron que los polimorfismos de GSTT1 y GSTM1 son de especial importancia en la   modulación</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31" w:lineRule="auto" w:before="69"/>
        <w:ind w:left="162" w:right="182"/>
        <w:jc w:val="both"/>
        <w:rPr>
          <w:sz w:val="16"/>
        </w:rPr>
      </w:pPr>
      <w:r>
        <w:rPr/>
        <w:t>de la frecuencia de daño cromosómico en personas expuestas a agentes genotóxicos y en poblaciones no expuestas.</w:t>
      </w:r>
      <w:r>
        <w:rPr>
          <w:position w:val="11"/>
          <w:sz w:val="16"/>
        </w:rPr>
        <w:t>107</w:t>
      </w:r>
    </w:p>
    <w:p>
      <w:pPr>
        <w:pStyle w:val="BodyText"/>
        <w:spacing w:before="10"/>
        <w:rPr>
          <w:sz w:val="37"/>
        </w:rPr>
      </w:pPr>
    </w:p>
    <w:p>
      <w:pPr>
        <w:pStyle w:val="BodyText"/>
        <w:spacing w:line="360" w:lineRule="auto"/>
        <w:ind w:left="162" w:right="179"/>
        <w:jc w:val="both"/>
      </w:pPr>
      <w:r>
        <w:rPr/>
        <w:t>También se han asociado los polimorfismos de GST con el metabolismo de los plaguicidas, como es el caso del estudio realizado por Singh et al. (2011), quienes examinaron a 115 trabajadores expuestos a plaguicidas organofosforados, evaluaron el daño al ADN asociado con los polimorfismos GSTT1, GSTM1, GSTP1. Los resultados mostraron que existía un mayor daño al ADN en aquellos trabajadores con el genotipo nulo de GSTM1 comparándolo con aquellos positivos al mismo polimorfismo. También observaron a un aumento del daño significativo cuando presentaban el genotipo GSTP1 (Ile-Ile) en comparación con las  variantes</w:t>
      </w:r>
    </w:p>
    <w:p>
      <w:pPr>
        <w:pStyle w:val="BodyText"/>
        <w:spacing w:line="281" w:lineRule="exact"/>
        <w:ind w:left="162"/>
        <w:jc w:val="both"/>
        <w:rPr>
          <w:sz w:val="16"/>
        </w:rPr>
      </w:pPr>
      <w:r>
        <w:rPr/>
        <w:t>heterocigas (Ile-Val) y silvestres (Val-Val).</w:t>
      </w:r>
      <w:r>
        <w:rPr>
          <w:position w:val="11"/>
          <w:sz w:val="16"/>
        </w:rPr>
        <w:t>93</w:t>
      </w:r>
    </w:p>
    <w:p>
      <w:pPr>
        <w:pStyle w:val="BodyText"/>
        <w:rPr>
          <w:sz w:val="28"/>
        </w:rPr>
      </w:pPr>
    </w:p>
    <w:p>
      <w:pPr>
        <w:pStyle w:val="BodyText"/>
        <w:spacing w:line="360" w:lineRule="auto" w:before="230"/>
        <w:ind w:left="162" w:right="181"/>
        <w:jc w:val="both"/>
      </w:pPr>
      <w:r>
        <w:rPr/>
        <w:t>Así mismo, el estudio de Liu et al. (2006), abordan el estudio de los polimorfismos genéticos involucrados en el metabolismo de xenobióticos relacionados con daño al DNA en trabajadores agrícolas expuestos a plaguicidas. Identificaron mediante PCR los genotipos CYP3A5, PON1, PON2, GSTM1, GSTT1 y GSTP1 y el daño al DNA fue evaluado con el ensayo cometa. Los resultados mostraron que las persona con mayor exposición a plaguicidas presentaron mayor daño al DNA y el modelo de regresión múltiple reveló que la edad, exposición a plaguicidas y los genotipos CYP3A5 (p=0.04) y GSTP1 (p=0.02) están asociados significativamente</w:t>
      </w:r>
    </w:p>
    <w:p>
      <w:pPr>
        <w:pStyle w:val="BodyText"/>
        <w:spacing w:line="281" w:lineRule="exact"/>
        <w:ind w:left="162"/>
        <w:jc w:val="both"/>
        <w:rPr>
          <w:sz w:val="16"/>
        </w:rPr>
      </w:pPr>
      <w:r>
        <w:rPr/>
        <w:t>con el aumento al daño al DNA. </w:t>
      </w:r>
      <w:r>
        <w:rPr>
          <w:position w:val="11"/>
          <w:sz w:val="16"/>
        </w:rPr>
        <w:t>108</w:t>
      </w:r>
    </w:p>
    <w:p>
      <w:pPr>
        <w:pStyle w:val="BodyText"/>
        <w:rPr>
          <w:sz w:val="28"/>
        </w:rPr>
      </w:pPr>
    </w:p>
    <w:p>
      <w:pPr>
        <w:pStyle w:val="BodyText"/>
        <w:spacing w:line="360" w:lineRule="auto" w:before="227"/>
        <w:ind w:left="162" w:right="175"/>
        <w:jc w:val="both"/>
      </w:pPr>
      <w:r>
        <w:rPr/>
        <w:t>En este estudio el 52.5% presentaron el polimorfismo nulo de GSTM1 (-/-), lo cual coincide con los datos reportados en poblacion coreana (53.8%), caucásica (53.5%) y japonesa (51.3%), con respecto al polimorfismo nulo GSTT1 (-/-) se presento en 71.2% de los individuos, este dato difiere de los datos en poblaciones caucásicas (14.7%), coreana (54.3%) y japonesa (54%). Con relación al polimorfismo GSTP1, en el presente estudio se identificó GSTP1b (exón 5): el 12.5% presentaron el alelo silvestre, 57.7% fueron heterocigotos (Ile/Val) y el 33.7% homocigotos, estos datos son similares a los obtenidos en poblacion sana colombiana:  13.3%  presentaron  el  alelo  silvestre  (Ile/Ile),  54.2%</w:t>
      </w:r>
      <w:r>
        <w:rPr>
          <w:spacing w:val="59"/>
        </w:rPr>
        <w:t> </w:t>
      </w:r>
      <w:r>
        <w:rPr/>
        <w:t>heterocigotos</w:t>
      </w:r>
    </w:p>
    <w:p>
      <w:pPr>
        <w:spacing w:after="0" w:line="360" w:lineRule="auto"/>
        <w:jc w:val="both"/>
        <w:sectPr>
          <w:pgSz w:w="12240" w:h="15840"/>
          <w:pgMar w:header="733" w:footer="1039" w:top="1020" w:bottom="1220" w:left="1540" w:right="1520"/>
        </w:sectPr>
      </w:pPr>
    </w:p>
    <w:p>
      <w:pPr>
        <w:pStyle w:val="BodyText"/>
        <w:rPr>
          <w:sz w:val="18"/>
        </w:rPr>
      </w:pPr>
    </w:p>
    <w:p>
      <w:pPr>
        <w:pStyle w:val="BodyText"/>
        <w:spacing w:line="350" w:lineRule="auto" w:before="69"/>
        <w:ind w:left="162" w:right="182"/>
        <w:jc w:val="both"/>
        <w:rPr>
          <w:sz w:val="16"/>
        </w:rPr>
      </w:pPr>
      <w:r>
        <w:rPr/>
        <w:t>(Ile/Val), 32.5% homocigotos (Val/Val). Es importante considerar, que la población mexicana es producto de un gran mestizaje, por lo cual la distribución de estos genes polimórficos, es diferente y única, comparada con otras partes del </w:t>
      </w:r>
      <w:r>
        <w:rPr>
          <w:position w:val="-10"/>
        </w:rPr>
        <w:t>mundo.</w:t>
      </w:r>
      <w:r>
        <w:rPr>
          <w:sz w:val="16"/>
        </w:rPr>
        <w:t>109, 110, 111</w:t>
      </w:r>
    </w:p>
    <w:p>
      <w:pPr>
        <w:pStyle w:val="BodyText"/>
        <w:spacing w:before="9"/>
        <w:rPr>
          <w:sz w:val="35"/>
        </w:rPr>
      </w:pPr>
    </w:p>
    <w:p>
      <w:pPr>
        <w:pStyle w:val="BodyText"/>
        <w:spacing w:line="360" w:lineRule="auto"/>
        <w:ind w:left="162" w:right="175"/>
        <w:jc w:val="both"/>
      </w:pPr>
      <w:r>
        <w:rPr/>
        <w:t>En resumen, aun cuando los polimorfismos estudiados en la presente investigación han sido abordados con otros propósitos por otros autores, al momento de la presente investigación no se tenía noticia de esfuerzo alguno para conocer la asociación de los polimorfismos GSTM1, GSTT1, GSTP1b y GSTP1c en pacientes con caries expuestos y no expuestos a plaguicidas. De tal forma que los datos aquí obtenidos abren un camino distinto en el ámbito odontológico a los abordados hasta el momento, e invitan a la búsqueda del conocimiento de la vinculación entre la carga génica determinada desde el momento de la concepción de cada individuo con la susceptibilidad que eventualmente tendrá a ciertos padecimientos.</w:t>
      </w:r>
    </w:p>
    <w:p>
      <w:pPr>
        <w:spacing w:after="0" w:line="360" w:lineRule="auto"/>
        <w:jc w:val="both"/>
        <w:sectPr>
          <w:pgSz w:w="12240" w:h="15840"/>
          <w:pgMar w:header="733" w:footer="1039" w:top="1020" w:bottom="1220" w:left="1540" w:right="1520"/>
        </w:sectPr>
      </w:pPr>
    </w:p>
    <w:p>
      <w:pPr>
        <w:pStyle w:val="BodyText"/>
        <w:spacing w:before="3"/>
        <w:rPr>
          <w:sz w:val="18"/>
        </w:rPr>
      </w:pPr>
    </w:p>
    <w:p>
      <w:pPr>
        <w:pStyle w:val="Heading1"/>
        <w:numPr>
          <w:ilvl w:val="0"/>
          <w:numId w:val="15"/>
        </w:numPr>
        <w:tabs>
          <w:tab w:pos="3665" w:val="left" w:leader="none"/>
        </w:tabs>
        <w:spacing w:line="240" w:lineRule="auto" w:before="65" w:after="0"/>
        <w:ind w:left="3664" w:right="0" w:hanging="423"/>
        <w:jc w:val="left"/>
      </w:pPr>
      <w:r>
        <w:rPr/>
        <w:t>CONCLUSIONES</w:t>
      </w:r>
    </w:p>
    <w:p>
      <w:pPr>
        <w:pStyle w:val="BodyText"/>
        <w:rPr>
          <w:b/>
          <w:sz w:val="28"/>
        </w:rPr>
      </w:pPr>
    </w:p>
    <w:p>
      <w:pPr>
        <w:pStyle w:val="ListParagraph"/>
        <w:numPr>
          <w:ilvl w:val="3"/>
          <w:numId w:val="31"/>
        </w:numPr>
        <w:tabs>
          <w:tab w:pos="882" w:val="left" w:leader="none"/>
        </w:tabs>
        <w:spacing w:line="360" w:lineRule="auto" w:before="202" w:after="0"/>
        <w:ind w:left="882" w:right="175" w:hanging="360"/>
        <w:jc w:val="both"/>
        <w:rPr>
          <w:sz w:val="24"/>
        </w:rPr>
      </w:pPr>
      <w:r>
        <w:rPr>
          <w:sz w:val="24"/>
        </w:rPr>
        <w:t>Los resultado obtenidos revelan que la presencia de los polimorfismos GSTM1 (+/+), GSTT1 (+/+), GSTP1b y GSTP1c (Ile/Ile) confieren menor susceptibilidad a la</w:t>
      </w:r>
      <w:r>
        <w:rPr>
          <w:spacing w:val="-10"/>
          <w:sz w:val="24"/>
        </w:rPr>
        <w:t> </w:t>
      </w:r>
      <w:r>
        <w:rPr>
          <w:sz w:val="24"/>
        </w:rPr>
        <w:t>caries.</w:t>
      </w:r>
    </w:p>
    <w:p>
      <w:pPr>
        <w:pStyle w:val="ListParagraph"/>
        <w:numPr>
          <w:ilvl w:val="3"/>
          <w:numId w:val="31"/>
        </w:numPr>
        <w:tabs>
          <w:tab w:pos="882" w:val="left" w:leader="none"/>
        </w:tabs>
        <w:spacing w:line="360" w:lineRule="auto" w:before="2" w:after="0"/>
        <w:ind w:left="882" w:right="178" w:hanging="360"/>
        <w:jc w:val="both"/>
        <w:rPr>
          <w:sz w:val="24"/>
        </w:rPr>
      </w:pPr>
      <w:r>
        <w:rPr>
          <w:sz w:val="24"/>
        </w:rPr>
        <w:t>En el caso de los hábitos de higiene bucal y dieta cariogénica no estuvieron asociados significativamente a una mayor frecuencia de</w:t>
      </w:r>
      <w:r>
        <w:rPr>
          <w:spacing w:val="-21"/>
          <w:sz w:val="24"/>
        </w:rPr>
        <w:t> </w:t>
      </w:r>
      <w:r>
        <w:rPr>
          <w:sz w:val="24"/>
        </w:rPr>
        <w:t>caries.</w:t>
      </w:r>
    </w:p>
    <w:p>
      <w:pPr>
        <w:pStyle w:val="ListParagraph"/>
        <w:numPr>
          <w:ilvl w:val="3"/>
          <w:numId w:val="31"/>
        </w:numPr>
        <w:tabs>
          <w:tab w:pos="882" w:val="left" w:leader="none"/>
        </w:tabs>
        <w:spacing w:line="360" w:lineRule="auto" w:before="2" w:after="0"/>
        <w:ind w:left="882" w:right="185" w:hanging="360"/>
        <w:jc w:val="both"/>
        <w:rPr>
          <w:sz w:val="24"/>
        </w:rPr>
      </w:pPr>
      <w:r>
        <w:rPr>
          <w:sz w:val="24"/>
        </w:rPr>
        <w:t>Con relación a la exposición a plaguicidas no se encontró asociación con la presencia de caries</w:t>
      </w:r>
      <w:r>
        <w:rPr>
          <w:spacing w:val="-7"/>
          <w:sz w:val="24"/>
        </w:rPr>
        <w:t> </w:t>
      </w:r>
      <w:r>
        <w:rPr>
          <w:sz w:val="24"/>
        </w:rPr>
        <w:t>dental.</w:t>
      </w:r>
    </w:p>
    <w:p>
      <w:pPr>
        <w:pStyle w:val="BodyText"/>
      </w:pPr>
    </w:p>
    <w:p>
      <w:pPr>
        <w:pStyle w:val="BodyText"/>
        <w:spacing w:line="360" w:lineRule="auto" w:before="142"/>
        <w:ind w:left="162" w:right="177"/>
        <w:jc w:val="both"/>
      </w:pPr>
      <w:r>
        <w:rPr/>
        <w:t>Por lo que el presente estudio demuestra el papel que juegan los polimorfismos de la GSTM1, GSTT1, GSTP1b y GSTP1c en el desarrollo de la caries dental, pudiendo ser utilizados como biomarcadores para la prevención de la caries.</w:t>
      </w:r>
    </w:p>
    <w:p>
      <w:pPr>
        <w:spacing w:after="0" w:line="360" w:lineRule="auto"/>
        <w:jc w:val="both"/>
        <w:sectPr>
          <w:pgSz w:w="12240" w:h="15840"/>
          <w:pgMar w:header="733" w:footer="1039" w:top="1020" w:bottom="1220" w:left="1540" w:right="1520"/>
        </w:sectPr>
      </w:pPr>
    </w:p>
    <w:p>
      <w:pPr>
        <w:pStyle w:val="BodyText"/>
        <w:spacing w:before="3"/>
        <w:rPr>
          <w:sz w:val="18"/>
        </w:rPr>
      </w:pPr>
    </w:p>
    <w:p>
      <w:pPr>
        <w:pStyle w:val="Heading1"/>
        <w:numPr>
          <w:ilvl w:val="0"/>
          <w:numId w:val="15"/>
        </w:numPr>
        <w:tabs>
          <w:tab w:pos="3821" w:val="left" w:leader="none"/>
        </w:tabs>
        <w:spacing w:line="240" w:lineRule="auto" w:before="65" w:after="0"/>
        <w:ind w:left="3820" w:right="0" w:hanging="499"/>
        <w:jc w:val="left"/>
      </w:pPr>
      <w:bookmarkStart w:name="_TOC_250001" w:id="40"/>
      <w:bookmarkEnd w:id="40"/>
      <w:r>
        <w:rPr/>
        <w:t>BIBLIOGRAFÍA</w:t>
      </w:r>
    </w:p>
    <w:p>
      <w:pPr>
        <w:pStyle w:val="BodyText"/>
        <w:rPr>
          <w:b/>
          <w:sz w:val="28"/>
        </w:rPr>
      </w:pPr>
    </w:p>
    <w:p>
      <w:pPr>
        <w:pStyle w:val="BodyText"/>
        <w:spacing w:before="8"/>
        <w:rPr>
          <w:b/>
          <w:sz w:val="26"/>
        </w:rPr>
      </w:pPr>
    </w:p>
    <w:p>
      <w:pPr>
        <w:pStyle w:val="ListParagraph"/>
        <w:numPr>
          <w:ilvl w:val="0"/>
          <w:numId w:val="32"/>
        </w:numPr>
        <w:tabs>
          <w:tab w:pos="446" w:val="left" w:leader="none"/>
        </w:tabs>
        <w:spacing w:line="360" w:lineRule="auto" w:before="1" w:after="0"/>
        <w:ind w:left="522" w:right="176" w:hanging="360"/>
        <w:jc w:val="both"/>
        <w:rPr>
          <w:sz w:val="22"/>
        </w:rPr>
      </w:pPr>
      <w:r>
        <w:rPr>
          <w:sz w:val="22"/>
        </w:rPr>
        <w:t>Menaker L, Morhart RE, Navia JM. Bases biológicas de la caries dental. 1°ed. Barcelona: Salvat Editores;</w:t>
      </w:r>
      <w:r>
        <w:rPr>
          <w:spacing w:val="-9"/>
          <w:sz w:val="22"/>
        </w:rPr>
        <w:t> </w:t>
      </w:r>
      <w:r>
        <w:rPr>
          <w:sz w:val="22"/>
        </w:rPr>
        <w:t>1986.</w:t>
      </w:r>
    </w:p>
    <w:p>
      <w:pPr>
        <w:pStyle w:val="ListParagraph"/>
        <w:numPr>
          <w:ilvl w:val="0"/>
          <w:numId w:val="32"/>
        </w:numPr>
        <w:tabs>
          <w:tab w:pos="446" w:val="left" w:leader="none"/>
        </w:tabs>
        <w:spacing w:line="360" w:lineRule="auto" w:before="3" w:after="0"/>
        <w:ind w:left="522" w:right="181" w:hanging="360"/>
        <w:jc w:val="both"/>
        <w:rPr>
          <w:sz w:val="22"/>
        </w:rPr>
      </w:pPr>
      <w:r>
        <w:rPr>
          <w:sz w:val="22"/>
        </w:rPr>
        <w:t>Organización Mundial de la Salud. Metodología y programa de prevención de las enfermedades buco-dentales. Serie de Informes Técnicos Número 173.OMS;</w:t>
      </w:r>
      <w:r>
        <w:rPr>
          <w:spacing w:val="-15"/>
          <w:sz w:val="22"/>
        </w:rPr>
        <w:t> </w:t>
      </w:r>
      <w:r>
        <w:rPr>
          <w:sz w:val="22"/>
        </w:rPr>
        <w:t>1984.</w:t>
      </w:r>
    </w:p>
    <w:p>
      <w:pPr>
        <w:pStyle w:val="ListParagraph"/>
        <w:numPr>
          <w:ilvl w:val="0"/>
          <w:numId w:val="32"/>
        </w:numPr>
        <w:tabs>
          <w:tab w:pos="522" w:val="left" w:leader="none"/>
        </w:tabs>
        <w:spacing w:line="360" w:lineRule="auto" w:before="5" w:after="0"/>
        <w:ind w:left="522" w:right="177" w:hanging="360"/>
        <w:jc w:val="both"/>
        <w:rPr>
          <w:sz w:val="22"/>
        </w:rPr>
      </w:pPr>
      <w:r>
        <w:rPr>
          <w:sz w:val="22"/>
        </w:rPr>
        <w:t>Köhler, W. (1974), </w:t>
      </w:r>
      <w:r>
        <w:rPr>
          <w:spacing w:val="3"/>
          <w:sz w:val="22"/>
        </w:rPr>
        <w:t>W. </w:t>
      </w:r>
      <w:r>
        <w:rPr>
          <w:sz w:val="22"/>
        </w:rPr>
        <w:t>D. MILLER (1853-1907), The Micro-Organisms of the Human Mouth (Unaltered Reprint of the Original Work Published in 1890 in Philadelphia). J. Basic Microbiol. 1974; 14 (1):</w:t>
      </w:r>
      <w:r>
        <w:rPr>
          <w:spacing w:val="-8"/>
          <w:sz w:val="22"/>
        </w:rPr>
        <w:t> </w:t>
      </w:r>
      <w:r>
        <w:rPr>
          <w:sz w:val="22"/>
        </w:rPr>
        <w:t>84.</w:t>
      </w:r>
    </w:p>
    <w:p>
      <w:pPr>
        <w:pStyle w:val="ListParagraph"/>
        <w:numPr>
          <w:ilvl w:val="0"/>
          <w:numId w:val="32"/>
        </w:numPr>
        <w:tabs>
          <w:tab w:pos="522" w:val="left" w:leader="none"/>
        </w:tabs>
        <w:spacing w:line="240" w:lineRule="auto" w:before="4" w:after="0"/>
        <w:ind w:left="522" w:right="0" w:hanging="360"/>
        <w:jc w:val="left"/>
        <w:rPr>
          <w:sz w:val="22"/>
        </w:rPr>
      </w:pPr>
      <w:r>
        <w:rPr>
          <w:sz w:val="22"/>
        </w:rPr>
        <w:t>Newburn E. Cariology.3°ed. San Francisco, USA. </w:t>
      </w:r>
      <w:r>
        <w:rPr>
          <w:color w:val="440000"/>
          <w:sz w:val="22"/>
          <w:shd w:fill="F9F9F9" w:color="auto" w:val="clear"/>
        </w:rPr>
        <w:t>Quintessence Publishing</w:t>
      </w:r>
      <w:r>
        <w:rPr>
          <w:sz w:val="22"/>
        </w:rPr>
        <w:t>;</w:t>
      </w:r>
      <w:r>
        <w:rPr>
          <w:spacing w:val="-13"/>
          <w:sz w:val="22"/>
        </w:rPr>
        <w:t> </w:t>
      </w:r>
      <w:r>
        <w:rPr>
          <w:sz w:val="22"/>
        </w:rPr>
        <w:t>1989.</w:t>
      </w:r>
    </w:p>
    <w:p>
      <w:pPr>
        <w:pStyle w:val="ListParagraph"/>
        <w:numPr>
          <w:ilvl w:val="0"/>
          <w:numId w:val="32"/>
        </w:numPr>
        <w:tabs>
          <w:tab w:pos="522" w:val="left" w:leader="none"/>
        </w:tabs>
        <w:spacing w:line="360" w:lineRule="auto" w:before="126" w:after="0"/>
        <w:ind w:left="522" w:right="182" w:hanging="360"/>
        <w:jc w:val="both"/>
        <w:rPr>
          <w:sz w:val="22"/>
        </w:rPr>
      </w:pPr>
      <w:r>
        <w:rPr>
          <w:sz w:val="22"/>
        </w:rPr>
        <w:t>Keyes PH. The infectious and transmissible nature of experimental dental caries. Findings and implications. Arch Oral Biol. 1960;</w:t>
      </w:r>
      <w:r>
        <w:rPr>
          <w:spacing w:val="-16"/>
          <w:sz w:val="22"/>
        </w:rPr>
        <w:t> </w:t>
      </w:r>
      <w:r>
        <w:rPr>
          <w:sz w:val="22"/>
        </w:rPr>
        <w:t>304-20.</w:t>
      </w:r>
    </w:p>
    <w:p>
      <w:pPr>
        <w:pStyle w:val="ListParagraph"/>
        <w:numPr>
          <w:ilvl w:val="0"/>
          <w:numId w:val="32"/>
        </w:numPr>
        <w:tabs>
          <w:tab w:pos="522" w:val="left" w:leader="none"/>
        </w:tabs>
        <w:spacing w:line="360" w:lineRule="auto" w:before="3" w:after="0"/>
        <w:ind w:left="522" w:right="180" w:hanging="360"/>
        <w:jc w:val="both"/>
        <w:rPr>
          <w:sz w:val="22"/>
        </w:rPr>
      </w:pPr>
      <w:r>
        <w:rPr>
          <w:sz w:val="22"/>
        </w:rPr>
        <w:t>Uribe-Echeverría J. Operatoria Dental Ciencia y Practica. 1ed. Madrid: Avances Medico-Dentales;</w:t>
      </w:r>
      <w:r>
        <w:rPr>
          <w:spacing w:val="-8"/>
          <w:sz w:val="22"/>
        </w:rPr>
        <w:t> </w:t>
      </w:r>
      <w:r>
        <w:rPr>
          <w:sz w:val="22"/>
        </w:rPr>
        <w:t>1990.</w:t>
      </w:r>
    </w:p>
    <w:p>
      <w:pPr>
        <w:pStyle w:val="ListParagraph"/>
        <w:numPr>
          <w:ilvl w:val="0"/>
          <w:numId w:val="32"/>
        </w:numPr>
        <w:tabs>
          <w:tab w:pos="522" w:val="left" w:leader="none"/>
        </w:tabs>
        <w:spacing w:line="360" w:lineRule="auto" w:before="3" w:after="0"/>
        <w:ind w:left="522" w:right="179" w:hanging="360"/>
        <w:jc w:val="both"/>
        <w:rPr>
          <w:sz w:val="22"/>
        </w:rPr>
      </w:pPr>
      <w:r>
        <w:rPr>
          <w:sz w:val="22"/>
        </w:rPr>
        <w:t>Bratthal D. Stjernswärd JR. Petersson GH. Assessment of caries risks in the clinic- a modern approach. En Wilson NHF, Roulet Jf, Fuzzi M. Advances in operative dentistry: challenges of the future. 1 ed. vol 1. UK: Quintessence Pub;</w:t>
      </w:r>
      <w:r>
        <w:rPr>
          <w:spacing w:val="-15"/>
          <w:sz w:val="22"/>
        </w:rPr>
        <w:t> </w:t>
      </w:r>
      <w:r>
        <w:rPr>
          <w:sz w:val="22"/>
        </w:rPr>
        <w:t>2001.</w:t>
      </w:r>
    </w:p>
    <w:p>
      <w:pPr>
        <w:pStyle w:val="ListParagraph"/>
        <w:numPr>
          <w:ilvl w:val="0"/>
          <w:numId w:val="32"/>
        </w:numPr>
        <w:tabs>
          <w:tab w:pos="522" w:val="left" w:leader="none"/>
        </w:tabs>
        <w:spacing w:line="240" w:lineRule="auto" w:before="3" w:after="0"/>
        <w:ind w:left="522" w:right="0" w:hanging="360"/>
        <w:jc w:val="left"/>
        <w:rPr>
          <w:sz w:val="22"/>
        </w:rPr>
      </w:pPr>
      <w:r>
        <w:rPr>
          <w:sz w:val="22"/>
        </w:rPr>
        <w:t>Freitas SFT. História social da cárie dentária. 1 ed. Bauru: EDUSC;</w:t>
      </w:r>
      <w:r>
        <w:rPr>
          <w:spacing w:val="-22"/>
          <w:sz w:val="22"/>
        </w:rPr>
        <w:t> </w:t>
      </w:r>
      <w:r>
        <w:rPr>
          <w:sz w:val="22"/>
        </w:rPr>
        <w:t>2001.</w:t>
      </w:r>
    </w:p>
    <w:p>
      <w:pPr>
        <w:pStyle w:val="ListParagraph"/>
        <w:numPr>
          <w:ilvl w:val="0"/>
          <w:numId w:val="32"/>
        </w:numPr>
        <w:tabs>
          <w:tab w:pos="522" w:val="left" w:leader="none"/>
        </w:tabs>
        <w:spacing w:line="360" w:lineRule="auto" w:before="126" w:after="0"/>
        <w:ind w:left="522" w:right="177" w:hanging="360"/>
        <w:jc w:val="both"/>
        <w:rPr>
          <w:sz w:val="22"/>
        </w:rPr>
      </w:pPr>
      <w:r>
        <w:rPr>
          <w:sz w:val="22"/>
        </w:rPr>
        <w:t>Secretaría de Salud. Programa Nacional de Salud 2001-2006. Estrategia: reducir los rezagos en salud que afectan a los pobres. Programa de Acción: Salud Bucal. México: SSA,</w:t>
      </w:r>
      <w:r>
        <w:rPr>
          <w:spacing w:val="-3"/>
          <w:sz w:val="22"/>
        </w:rPr>
        <w:t> </w:t>
      </w:r>
      <w:r>
        <w:rPr>
          <w:sz w:val="22"/>
        </w:rPr>
        <w:t>2006:97.</w:t>
      </w:r>
    </w:p>
    <w:p>
      <w:pPr>
        <w:pStyle w:val="ListParagraph"/>
        <w:numPr>
          <w:ilvl w:val="0"/>
          <w:numId w:val="32"/>
        </w:numPr>
        <w:tabs>
          <w:tab w:pos="522" w:val="left" w:leader="none"/>
        </w:tabs>
        <w:spacing w:line="360" w:lineRule="auto" w:before="3" w:after="0"/>
        <w:ind w:left="522" w:right="177" w:hanging="360"/>
        <w:jc w:val="both"/>
        <w:rPr>
          <w:sz w:val="22"/>
        </w:rPr>
      </w:pPr>
      <w:r>
        <w:rPr>
          <w:sz w:val="22"/>
        </w:rPr>
        <w:t>Centro Nacional de Vigilancia Epidemiológica y Control de Enfermedades. Encuesta Nacional Caries Dental 2001.México,DF: Programa de Salud Bucal,</w:t>
      </w:r>
      <w:r>
        <w:rPr>
          <w:spacing w:val="-21"/>
          <w:sz w:val="22"/>
        </w:rPr>
        <w:t> </w:t>
      </w:r>
      <w:r>
        <w:rPr>
          <w:sz w:val="22"/>
        </w:rPr>
        <w:t>2001.</w:t>
      </w:r>
    </w:p>
    <w:p>
      <w:pPr>
        <w:pStyle w:val="ListParagraph"/>
        <w:numPr>
          <w:ilvl w:val="0"/>
          <w:numId w:val="32"/>
        </w:numPr>
        <w:tabs>
          <w:tab w:pos="522" w:val="left" w:leader="none"/>
        </w:tabs>
        <w:spacing w:line="362" w:lineRule="auto" w:before="3" w:after="0"/>
        <w:ind w:left="522" w:right="180" w:hanging="360"/>
        <w:jc w:val="both"/>
        <w:rPr>
          <w:sz w:val="22"/>
        </w:rPr>
      </w:pPr>
      <w:r>
        <w:rPr>
          <w:sz w:val="22"/>
        </w:rPr>
        <w:t>Maupomé G. Prevalencia de caries en zonas rurales y periurbanas marginadas. Salud Pública Mex. 1993; 35(4):</w:t>
      </w:r>
      <w:r>
        <w:rPr>
          <w:spacing w:val="-7"/>
          <w:sz w:val="22"/>
        </w:rPr>
        <w:t> </w:t>
      </w:r>
      <w:r>
        <w:rPr>
          <w:sz w:val="22"/>
        </w:rPr>
        <w:t>357-367.</w:t>
      </w:r>
    </w:p>
    <w:p>
      <w:pPr>
        <w:pStyle w:val="ListParagraph"/>
        <w:numPr>
          <w:ilvl w:val="0"/>
          <w:numId w:val="32"/>
        </w:numPr>
        <w:tabs>
          <w:tab w:pos="522" w:val="left" w:leader="none"/>
        </w:tabs>
        <w:spacing w:line="360" w:lineRule="auto" w:before="1" w:after="0"/>
        <w:ind w:left="522" w:right="179" w:hanging="360"/>
        <w:jc w:val="both"/>
        <w:rPr>
          <w:sz w:val="22"/>
        </w:rPr>
      </w:pPr>
      <w:r>
        <w:rPr>
          <w:sz w:val="22"/>
        </w:rPr>
        <w:t>Rivera G, Martínez J, Hernández E. Caries dental e higiene bucal en adolescentes. Rev ADM 2006; 52(6):</w:t>
      </w:r>
      <w:r>
        <w:rPr>
          <w:spacing w:val="-7"/>
          <w:sz w:val="22"/>
        </w:rPr>
        <w:t> </w:t>
      </w:r>
      <w:r>
        <w:rPr>
          <w:sz w:val="22"/>
        </w:rPr>
        <w:t>231-234.</w:t>
      </w:r>
    </w:p>
    <w:p>
      <w:pPr>
        <w:pStyle w:val="ListParagraph"/>
        <w:numPr>
          <w:ilvl w:val="0"/>
          <w:numId w:val="32"/>
        </w:numPr>
        <w:tabs>
          <w:tab w:pos="522" w:val="left" w:leader="none"/>
        </w:tabs>
        <w:spacing w:line="240" w:lineRule="auto" w:before="4" w:after="0"/>
        <w:ind w:left="522" w:right="0" w:hanging="360"/>
        <w:jc w:val="left"/>
        <w:rPr>
          <w:sz w:val="22"/>
        </w:rPr>
      </w:pPr>
      <w:r>
        <w:rPr>
          <w:sz w:val="22"/>
        </w:rPr>
        <w:t>Barrios MG. Odontología: su fundamento biológico. 1ed. Bogotá: Ltda;</w:t>
      </w:r>
      <w:r>
        <w:rPr>
          <w:spacing w:val="-22"/>
          <w:sz w:val="22"/>
        </w:rPr>
        <w:t> </w:t>
      </w:r>
      <w:r>
        <w:rPr>
          <w:sz w:val="22"/>
        </w:rPr>
        <w:t>1991.</w:t>
      </w:r>
    </w:p>
    <w:p>
      <w:pPr>
        <w:pStyle w:val="ListParagraph"/>
        <w:numPr>
          <w:ilvl w:val="0"/>
          <w:numId w:val="32"/>
        </w:numPr>
        <w:tabs>
          <w:tab w:pos="522" w:val="left" w:leader="none"/>
        </w:tabs>
        <w:spacing w:line="360" w:lineRule="auto" w:before="126" w:after="0"/>
        <w:ind w:left="522" w:right="182" w:hanging="360"/>
        <w:jc w:val="both"/>
        <w:rPr>
          <w:sz w:val="22"/>
        </w:rPr>
      </w:pPr>
      <w:r>
        <w:rPr>
          <w:sz w:val="22"/>
        </w:rPr>
        <w:t>Anderson </w:t>
      </w:r>
      <w:r>
        <w:rPr>
          <w:spacing w:val="-2"/>
          <w:sz w:val="22"/>
        </w:rPr>
        <w:t>MH. </w:t>
      </w:r>
      <w:r>
        <w:rPr>
          <w:sz w:val="22"/>
        </w:rPr>
        <w:t>Current concepts of dental caries and its prevention. Oper Dent. 2001; 26:</w:t>
      </w:r>
      <w:r>
        <w:rPr>
          <w:spacing w:val="-2"/>
          <w:sz w:val="22"/>
        </w:rPr>
        <w:t> </w:t>
      </w:r>
      <w:r>
        <w:rPr>
          <w:sz w:val="22"/>
        </w:rPr>
        <w:t>11-18.</w:t>
      </w:r>
    </w:p>
    <w:p>
      <w:pPr>
        <w:pStyle w:val="ListParagraph"/>
        <w:numPr>
          <w:ilvl w:val="0"/>
          <w:numId w:val="32"/>
        </w:numPr>
        <w:tabs>
          <w:tab w:pos="522" w:val="left" w:leader="none"/>
        </w:tabs>
        <w:spacing w:line="240" w:lineRule="auto" w:before="3" w:after="0"/>
        <w:ind w:left="522" w:right="0" w:hanging="360"/>
        <w:jc w:val="left"/>
        <w:rPr>
          <w:sz w:val="22"/>
        </w:rPr>
      </w:pPr>
      <w:r>
        <w:rPr>
          <w:sz w:val="22"/>
        </w:rPr>
        <w:t>Marsh PD, Bradshaw DJ. Dental paque as biofilm. J Ind Microbiol. 1995; 15:</w:t>
      </w:r>
      <w:r>
        <w:rPr>
          <w:spacing w:val="-19"/>
          <w:sz w:val="22"/>
        </w:rPr>
        <w:t> </w:t>
      </w:r>
      <w:r>
        <w:rPr>
          <w:sz w:val="22"/>
        </w:rPr>
        <w:t>169-75.</w:t>
      </w:r>
    </w:p>
    <w:p>
      <w:pPr>
        <w:pStyle w:val="ListParagraph"/>
        <w:numPr>
          <w:ilvl w:val="0"/>
          <w:numId w:val="32"/>
        </w:numPr>
        <w:tabs>
          <w:tab w:pos="522" w:val="left" w:leader="none"/>
        </w:tabs>
        <w:spacing w:line="360" w:lineRule="auto" w:before="126" w:after="0"/>
        <w:ind w:left="522" w:right="180" w:hanging="360"/>
        <w:jc w:val="both"/>
        <w:rPr>
          <w:sz w:val="22"/>
        </w:rPr>
      </w:pPr>
      <w:r>
        <w:rPr>
          <w:sz w:val="22"/>
        </w:rPr>
        <w:t>Marsh PD, Nyvad B. The oral microflora and biofilms on the teeth. En: Fejereskov O, Kidd E. Dental caries: the disease and its clinical management. 1°ed. Copenhagen: Blackwell Munksgaard;</w:t>
      </w:r>
      <w:r>
        <w:rPr>
          <w:spacing w:val="-8"/>
          <w:sz w:val="22"/>
        </w:rPr>
        <w:t> </w:t>
      </w:r>
      <w:r>
        <w:rPr>
          <w:sz w:val="22"/>
        </w:rPr>
        <w:t>2003.</w:t>
      </w:r>
    </w:p>
    <w:p>
      <w:pPr>
        <w:spacing w:after="0" w:line="360" w:lineRule="auto"/>
        <w:jc w:val="both"/>
        <w:rPr>
          <w:sz w:val="22"/>
        </w:rPr>
        <w:sectPr>
          <w:pgSz w:w="12240" w:h="15840"/>
          <w:pgMar w:header="733" w:footer="1039" w:top="1020" w:bottom="1220" w:left="1540" w:right="1520"/>
        </w:sectPr>
      </w:pPr>
    </w:p>
    <w:p>
      <w:pPr>
        <w:pStyle w:val="BodyText"/>
        <w:spacing w:before="8"/>
        <w:rPr>
          <w:sz w:val="17"/>
        </w:rPr>
      </w:pPr>
    </w:p>
    <w:p>
      <w:pPr>
        <w:pStyle w:val="ListParagraph"/>
        <w:numPr>
          <w:ilvl w:val="0"/>
          <w:numId w:val="32"/>
        </w:numPr>
        <w:tabs>
          <w:tab w:pos="522" w:val="left" w:leader="none"/>
        </w:tabs>
        <w:spacing w:line="360" w:lineRule="auto" w:before="72" w:after="0"/>
        <w:ind w:left="522" w:right="176" w:hanging="360"/>
        <w:jc w:val="both"/>
        <w:rPr>
          <w:sz w:val="22"/>
        </w:rPr>
      </w:pPr>
      <w:r>
        <w:rPr>
          <w:sz w:val="22"/>
        </w:rPr>
        <w:t>Li YH, Tang N, Aspiras MB, Lau PCY, Loe JH, Ellen RP, Cvitkovitch DG. A quorum- sensing signaling system essential for genetic competence in Streptococcus mutans is involved in biofilm formation. J Bacteriol. 2002; 184:</w:t>
      </w:r>
      <w:r>
        <w:rPr>
          <w:spacing w:val="-19"/>
          <w:sz w:val="22"/>
        </w:rPr>
        <w:t> </w:t>
      </w:r>
      <w:r>
        <w:rPr>
          <w:sz w:val="22"/>
        </w:rPr>
        <w:t>2699-708.</w:t>
      </w:r>
    </w:p>
    <w:p>
      <w:pPr>
        <w:pStyle w:val="ListParagraph"/>
        <w:numPr>
          <w:ilvl w:val="0"/>
          <w:numId w:val="32"/>
        </w:numPr>
        <w:tabs>
          <w:tab w:pos="522" w:val="left" w:leader="none"/>
        </w:tabs>
        <w:spacing w:line="360" w:lineRule="auto" w:before="3" w:after="0"/>
        <w:ind w:left="522" w:right="182" w:hanging="360"/>
        <w:jc w:val="both"/>
        <w:rPr>
          <w:sz w:val="22"/>
        </w:rPr>
      </w:pPr>
      <w:r>
        <w:rPr>
          <w:sz w:val="22"/>
        </w:rPr>
        <w:t>Krasse B. A short review of pathogenesis. En: Caries Risk. 1°ed. Chicago: Quintessence;</w:t>
      </w:r>
      <w:r>
        <w:rPr>
          <w:spacing w:val="-3"/>
          <w:sz w:val="22"/>
        </w:rPr>
        <w:t> </w:t>
      </w:r>
      <w:r>
        <w:rPr>
          <w:sz w:val="22"/>
        </w:rPr>
        <w:t>1985.</w:t>
      </w:r>
    </w:p>
    <w:p>
      <w:pPr>
        <w:pStyle w:val="ListParagraph"/>
        <w:numPr>
          <w:ilvl w:val="0"/>
          <w:numId w:val="32"/>
        </w:numPr>
        <w:tabs>
          <w:tab w:pos="522" w:val="left" w:leader="none"/>
        </w:tabs>
        <w:spacing w:line="360" w:lineRule="auto" w:before="3" w:after="0"/>
        <w:ind w:left="522" w:right="183" w:hanging="360"/>
        <w:jc w:val="both"/>
        <w:rPr>
          <w:sz w:val="22"/>
        </w:rPr>
      </w:pPr>
      <w:r>
        <w:rPr>
          <w:sz w:val="22"/>
        </w:rPr>
        <w:t>Atkinson JC, </w:t>
      </w:r>
      <w:r>
        <w:rPr>
          <w:spacing w:val="3"/>
          <w:sz w:val="22"/>
        </w:rPr>
        <w:t>Wu </w:t>
      </w:r>
      <w:r>
        <w:rPr>
          <w:sz w:val="22"/>
        </w:rPr>
        <w:t>Aj. Salivary gland dysfunction: Causes symptoms, treatment. J Am Dent Assoc. 1994; 15:</w:t>
      </w:r>
      <w:r>
        <w:rPr>
          <w:spacing w:val="-8"/>
          <w:sz w:val="22"/>
        </w:rPr>
        <w:t> </w:t>
      </w:r>
      <w:r>
        <w:rPr>
          <w:sz w:val="22"/>
        </w:rPr>
        <w:t>409-16.</w:t>
      </w:r>
    </w:p>
    <w:p>
      <w:pPr>
        <w:pStyle w:val="ListParagraph"/>
        <w:numPr>
          <w:ilvl w:val="0"/>
          <w:numId w:val="32"/>
        </w:numPr>
        <w:tabs>
          <w:tab w:pos="522" w:val="left" w:leader="none"/>
        </w:tabs>
        <w:spacing w:line="240" w:lineRule="auto" w:before="3" w:after="0"/>
        <w:ind w:left="522" w:right="0" w:hanging="360"/>
        <w:jc w:val="left"/>
        <w:rPr>
          <w:sz w:val="22"/>
        </w:rPr>
      </w:pPr>
      <w:r>
        <w:rPr>
          <w:sz w:val="22"/>
        </w:rPr>
        <w:t>Jensen ME. Diet and dental caries. Dent Clin North Am. 1999; 43(4):</w:t>
      </w:r>
      <w:r>
        <w:rPr>
          <w:spacing w:val="-19"/>
          <w:sz w:val="22"/>
        </w:rPr>
        <w:t> </w:t>
      </w:r>
      <w:r>
        <w:rPr>
          <w:sz w:val="22"/>
        </w:rPr>
        <w:t>615-33.</w:t>
      </w:r>
    </w:p>
    <w:p>
      <w:pPr>
        <w:pStyle w:val="ListParagraph"/>
        <w:numPr>
          <w:ilvl w:val="0"/>
          <w:numId w:val="32"/>
        </w:numPr>
        <w:tabs>
          <w:tab w:pos="522" w:val="left" w:leader="none"/>
        </w:tabs>
        <w:spacing w:line="360" w:lineRule="auto" w:before="126" w:after="0"/>
        <w:ind w:left="522" w:right="183" w:hanging="360"/>
        <w:jc w:val="both"/>
        <w:rPr>
          <w:sz w:val="22"/>
        </w:rPr>
      </w:pPr>
      <w:r>
        <w:rPr>
          <w:sz w:val="22"/>
        </w:rPr>
        <w:t>Vignarajah S. A frequency survey of sugary foods and drinks consumption in school children and adolescent in a West Indian Island. Antigua Int Den J. 1997; 47(5):</w:t>
      </w:r>
      <w:r>
        <w:rPr>
          <w:spacing w:val="-18"/>
          <w:sz w:val="22"/>
        </w:rPr>
        <w:t> </w:t>
      </w:r>
      <w:r>
        <w:rPr>
          <w:sz w:val="22"/>
        </w:rPr>
        <w:t>293-7.</w:t>
      </w:r>
    </w:p>
    <w:p>
      <w:pPr>
        <w:pStyle w:val="ListParagraph"/>
        <w:numPr>
          <w:ilvl w:val="0"/>
          <w:numId w:val="32"/>
        </w:numPr>
        <w:tabs>
          <w:tab w:pos="522" w:val="left" w:leader="none"/>
        </w:tabs>
        <w:spacing w:line="362" w:lineRule="auto" w:before="4" w:after="0"/>
        <w:ind w:left="522" w:right="177" w:hanging="360"/>
        <w:jc w:val="both"/>
        <w:rPr>
          <w:sz w:val="22"/>
        </w:rPr>
      </w:pPr>
      <w:r>
        <w:rPr>
          <w:sz w:val="22"/>
        </w:rPr>
        <w:t>Axelsson P. Diagnosis and risk prediction of dental caries. 1 ed. Vol. 2. Carol Stream: Quintessence:</w:t>
      </w:r>
      <w:r>
        <w:rPr>
          <w:spacing w:val="-3"/>
          <w:sz w:val="22"/>
        </w:rPr>
        <w:t> </w:t>
      </w:r>
      <w:r>
        <w:rPr>
          <w:sz w:val="22"/>
        </w:rPr>
        <w:t>2000.</w:t>
      </w:r>
    </w:p>
    <w:p>
      <w:pPr>
        <w:pStyle w:val="ListParagraph"/>
        <w:numPr>
          <w:ilvl w:val="0"/>
          <w:numId w:val="32"/>
        </w:numPr>
        <w:tabs>
          <w:tab w:pos="522" w:val="left" w:leader="none"/>
        </w:tabs>
        <w:spacing w:line="360" w:lineRule="auto" w:before="1" w:after="0"/>
        <w:ind w:left="522" w:right="181" w:hanging="360"/>
        <w:jc w:val="both"/>
        <w:rPr>
          <w:sz w:val="22"/>
        </w:rPr>
      </w:pPr>
      <w:r>
        <w:rPr>
          <w:sz w:val="22"/>
        </w:rPr>
        <w:t>Atkinson JC, Baum BJ. Salivary enhancement: current status an future therapies. J Dent Educ. 2001; 65:</w:t>
      </w:r>
      <w:r>
        <w:rPr>
          <w:spacing w:val="-8"/>
          <w:sz w:val="22"/>
        </w:rPr>
        <w:t> </w:t>
      </w:r>
      <w:r>
        <w:rPr>
          <w:sz w:val="22"/>
        </w:rPr>
        <w:t>1096-1101.</w:t>
      </w:r>
    </w:p>
    <w:p>
      <w:pPr>
        <w:pStyle w:val="ListParagraph"/>
        <w:numPr>
          <w:ilvl w:val="0"/>
          <w:numId w:val="32"/>
        </w:numPr>
        <w:tabs>
          <w:tab w:pos="522" w:val="left" w:leader="none"/>
        </w:tabs>
        <w:spacing w:line="360" w:lineRule="auto" w:before="3" w:after="0"/>
        <w:ind w:left="522" w:right="181" w:hanging="360"/>
        <w:jc w:val="both"/>
        <w:rPr>
          <w:sz w:val="22"/>
        </w:rPr>
      </w:pPr>
      <w:r>
        <w:rPr>
          <w:sz w:val="22"/>
        </w:rPr>
        <w:t>Kidd EAM, Fejerskov O. What constitutes dental caries? Histopathology of carious enamel and dentin related to the action of cariogenic biofilms. J Dent Res. 2004; 83: c35-c38.</w:t>
      </w:r>
    </w:p>
    <w:p>
      <w:pPr>
        <w:pStyle w:val="ListParagraph"/>
        <w:numPr>
          <w:ilvl w:val="0"/>
          <w:numId w:val="32"/>
        </w:numPr>
        <w:tabs>
          <w:tab w:pos="522" w:val="left" w:leader="none"/>
        </w:tabs>
        <w:spacing w:line="360" w:lineRule="auto" w:before="3" w:after="0"/>
        <w:ind w:left="522" w:right="180" w:hanging="360"/>
        <w:jc w:val="both"/>
        <w:rPr>
          <w:sz w:val="22"/>
        </w:rPr>
      </w:pPr>
      <w:r>
        <w:rPr>
          <w:sz w:val="22"/>
        </w:rPr>
        <w:t>Van Nieuw AA, Veerman ECI. Saliva- the defender of the oral cavity. Oral Diseases. 2002; 8:</w:t>
      </w:r>
      <w:r>
        <w:rPr>
          <w:spacing w:val="-3"/>
          <w:sz w:val="22"/>
        </w:rPr>
        <w:t> </w:t>
      </w:r>
      <w:r>
        <w:rPr>
          <w:sz w:val="22"/>
        </w:rPr>
        <w:t>12-22.</w:t>
      </w:r>
    </w:p>
    <w:p>
      <w:pPr>
        <w:pStyle w:val="ListParagraph"/>
        <w:numPr>
          <w:ilvl w:val="0"/>
          <w:numId w:val="32"/>
        </w:numPr>
        <w:tabs>
          <w:tab w:pos="522" w:val="left" w:leader="none"/>
        </w:tabs>
        <w:spacing w:line="362" w:lineRule="auto" w:before="3" w:after="0"/>
        <w:ind w:left="522" w:right="177" w:hanging="360"/>
        <w:jc w:val="both"/>
        <w:rPr>
          <w:sz w:val="22"/>
        </w:rPr>
      </w:pPr>
      <w:r>
        <w:rPr>
          <w:sz w:val="22"/>
        </w:rPr>
        <w:t>Higashida B. Odontología preventiva. 1°ed. México: Mc Graw-Hill Interamericana: 2000.</w:t>
      </w:r>
    </w:p>
    <w:p>
      <w:pPr>
        <w:pStyle w:val="ListParagraph"/>
        <w:numPr>
          <w:ilvl w:val="0"/>
          <w:numId w:val="32"/>
        </w:numPr>
        <w:tabs>
          <w:tab w:pos="522" w:val="left" w:leader="none"/>
        </w:tabs>
        <w:spacing w:line="360" w:lineRule="auto" w:before="1" w:after="0"/>
        <w:ind w:left="522" w:right="184" w:hanging="360"/>
        <w:jc w:val="both"/>
        <w:rPr>
          <w:sz w:val="22"/>
        </w:rPr>
      </w:pPr>
      <w:r>
        <w:rPr>
          <w:sz w:val="22"/>
        </w:rPr>
        <w:t>Burt BA, Pai S. Sugar consumption and caries risk: a systematic review. J Dent Educ. 2001; 65:</w:t>
      </w:r>
      <w:r>
        <w:rPr>
          <w:spacing w:val="-5"/>
          <w:sz w:val="22"/>
        </w:rPr>
        <w:t> </w:t>
      </w:r>
      <w:r>
        <w:rPr>
          <w:sz w:val="22"/>
        </w:rPr>
        <w:t>1017-1023.</w:t>
      </w:r>
    </w:p>
    <w:p>
      <w:pPr>
        <w:pStyle w:val="ListParagraph"/>
        <w:numPr>
          <w:ilvl w:val="0"/>
          <w:numId w:val="32"/>
        </w:numPr>
        <w:tabs>
          <w:tab w:pos="522" w:val="left" w:leader="none"/>
        </w:tabs>
        <w:spacing w:line="360" w:lineRule="auto" w:before="3" w:after="0"/>
        <w:ind w:left="522" w:right="181" w:hanging="360"/>
        <w:jc w:val="both"/>
        <w:rPr>
          <w:sz w:val="22"/>
        </w:rPr>
      </w:pPr>
      <w:r>
        <w:rPr>
          <w:sz w:val="22"/>
        </w:rPr>
        <w:t>Jentsch H, Beetke E, Göcke R. Salivary analyses and caries increment over 4 years: approach by cluster analysis. Clin Oral Invest.  2004; 8:</w:t>
      </w:r>
      <w:r>
        <w:rPr>
          <w:spacing w:val="-12"/>
          <w:sz w:val="22"/>
        </w:rPr>
        <w:t> </w:t>
      </w:r>
      <w:r>
        <w:rPr>
          <w:sz w:val="22"/>
        </w:rPr>
        <w:t>156-160.</w:t>
      </w:r>
    </w:p>
    <w:p>
      <w:pPr>
        <w:pStyle w:val="ListParagraph"/>
        <w:numPr>
          <w:ilvl w:val="0"/>
          <w:numId w:val="32"/>
        </w:numPr>
        <w:tabs>
          <w:tab w:pos="522" w:val="left" w:leader="none"/>
        </w:tabs>
        <w:spacing w:line="360" w:lineRule="auto" w:before="3" w:after="0"/>
        <w:ind w:left="522" w:right="184" w:hanging="360"/>
        <w:jc w:val="both"/>
        <w:rPr>
          <w:sz w:val="22"/>
        </w:rPr>
      </w:pPr>
      <w:r>
        <w:rPr>
          <w:sz w:val="22"/>
        </w:rPr>
        <w:t>Arnold RR, Russell JE, Champion WJ, Brewer M, Gauthier JJ. Bactericidal activity of human lactoferrin: influence of physical conditions and metabolic state of target microorganisms. Infect. Immun. 1981: 32:</w:t>
      </w:r>
      <w:r>
        <w:rPr>
          <w:spacing w:val="-15"/>
          <w:sz w:val="22"/>
        </w:rPr>
        <w:t> </w:t>
      </w:r>
      <w:r>
        <w:rPr>
          <w:sz w:val="22"/>
        </w:rPr>
        <w:t>655-660.</w:t>
      </w:r>
    </w:p>
    <w:p>
      <w:pPr>
        <w:pStyle w:val="ListParagraph"/>
        <w:numPr>
          <w:ilvl w:val="0"/>
          <w:numId w:val="32"/>
        </w:numPr>
        <w:tabs>
          <w:tab w:pos="582" w:val="left" w:leader="none"/>
        </w:tabs>
        <w:spacing w:line="360" w:lineRule="auto" w:before="4" w:after="0"/>
        <w:ind w:left="522" w:right="182" w:hanging="360"/>
        <w:jc w:val="both"/>
        <w:rPr>
          <w:sz w:val="22"/>
        </w:rPr>
      </w:pPr>
      <w:r>
        <w:rPr>
          <w:sz w:val="22"/>
        </w:rPr>
        <w:t>Arnold RR, Russell JE, Champion </w:t>
      </w:r>
      <w:r>
        <w:rPr>
          <w:spacing w:val="2"/>
          <w:sz w:val="22"/>
        </w:rPr>
        <w:t>WJ, </w:t>
      </w:r>
      <w:r>
        <w:rPr>
          <w:sz w:val="22"/>
        </w:rPr>
        <w:t>Brewer M, Gauthier JJ. Bactericidal activity of human lactoferrin: differentiation from the status of iron deprivation. Infect Immun. 1982: 8;</w:t>
      </w:r>
      <w:r>
        <w:rPr>
          <w:spacing w:val="-4"/>
          <w:sz w:val="22"/>
        </w:rPr>
        <w:t> </w:t>
      </w:r>
      <w:r>
        <w:rPr>
          <w:sz w:val="22"/>
        </w:rPr>
        <w:t>475-486.</w:t>
      </w:r>
    </w:p>
    <w:p>
      <w:pPr>
        <w:pStyle w:val="ListParagraph"/>
        <w:numPr>
          <w:ilvl w:val="0"/>
          <w:numId w:val="32"/>
        </w:numPr>
        <w:tabs>
          <w:tab w:pos="585" w:val="left" w:leader="none"/>
        </w:tabs>
        <w:spacing w:line="360" w:lineRule="auto" w:before="3" w:after="0"/>
        <w:ind w:left="522" w:right="181" w:hanging="360"/>
        <w:jc w:val="both"/>
        <w:rPr>
          <w:sz w:val="22"/>
        </w:rPr>
      </w:pPr>
      <w:r>
        <w:rPr>
          <w:sz w:val="22"/>
        </w:rPr>
        <w:t>Marcotte H, Lavoie MC. Oral Microbial Ecology and the Role of Salivary Immunoglobulin A. Microbiol Mol Biol Rev. 1998; 62:</w:t>
      </w:r>
      <w:r>
        <w:rPr>
          <w:spacing w:val="-17"/>
          <w:sz w:val="22"/>
        </w:rPr>
        <w:t> </w:t>
      </w:r>
      <w:r>
        <w:rPr>
          <w:sz w:val="22"/>
        </w:rPr>
        <w:t>71-109.</w:t>
      </w:r>
    </w:p>
    <w:p>
      <w:pPr>
        <w:pStyle w:val="ListParagraph"/>
        <w:numPr>
          <w:ilvl w:val="0"/>
          <w:numId w:val="32"/>
        </w:numPr>
        <w:tabs>
          <w:tab w:pos="522" w:val="left" w:leader="none"/>
        </w:tabs>
        <w:spacing w:line="360" w:lineRule="auto" w:before="3" w:after="0"/>
        <w:ind w:left="522" w:right="185" w:hanging="360"/>
        <w:jc w:val="both"/>
        <w:rPr>
          <w:sz w:val="22"/>
        </w:rPr>
      </w:pPr>
      <w:r>
        <w:rPr>
          <w:sz w:val="22"/>
        </w:rPr>
        <w:t>Kilian M, Rolland K, Mestecky J. Interference of secretory immunoglobulin A with sorption of oral bacteria to hydroxyapatite. Infect. Immun 1981;</w:t>
      </w:r>
      <w:r>
        <w:rPr>
          <w:spacing w:val="-17"/>
          <w:sz w:val="22"/>
        </w:rPr>
        <w:t> </w:t>
      </w:r>
      <w:r>
        <w:rPr>
          <w:sz w:val="22"/>
        </w:rPr>
        <w:t>31:935-941.</w:t>
      </w:r>
    </w:p>
    <w:p>
      <w:pPr>
        <w:spacing w:after="0" w:line="360" w:lineRule="auto"/>
        <w:jc w:val="both"/>
        <w:rPr>
          <w:sz w:val="22"/>
        </w:rPr>
        <w:sectPr>
          <w:pgSz w:w="12240" w:h="15840"/>
          <w:pgMar w:header="733" w:footer="1039" w:top="1020" w:bottom="1220" w:left="1540" w:right="1520"/>
        </w:sectPr>
      </w:pPr>
    </w:p>
    <w:p>
      <w:pPr>
        <w:pStyle w:val="BodyText"/>
        <w:spacing w:before="8"/>
        <w:rPr>
          <w:sz w:val="17"/>
        </w:rPr>
      </w:pPr>
    </w:p>
    <w:p>
      <w:pPr>
        <w:pStyle w:val="ListParagraph"/>
        <w:numPr>
          <w:ilvl w:val="0"/>
          <w:numId w:val="32"/>
        </w:numPr>
        <w:tabs>
          <w:tab w:pos="522" w:val="left" w:leader="none"/>
        </w:tabs>
        <w:spacing w:line="360" w:lineRule="auto" w:before="72" w:after="0"/>
        <w:ind w:left="522" w:right="177" w:hanging="360"/>
        <w:jc w:val="both"/>
        <w:rPr>
          <w:sz w:val="22"/>
        </w:rPr>
      </w:pPr>
      <w:r>
        <w:rPr>
          <w:sz w:val="22"/>
        </w:rPr>
        <w:t>Reinholdt, J, Kilian M. Interference of IgA protease with the effect of secretory IgA on adherence of oral streptococci to saliva-coated hydroxyapatite. J Dent Res. 1987; 66: 492-497.</w:t>
      </w:r>
    </w:p>
    <w:p>
      <w:pPr>
        <w:pStyle w:val="ListParagraph"/>
        <w:numPr>
          <w:ilvl w:val="0"/>
          <w:numId w:val="32"/>
        </w:numPr>
        <w:tabs>
          <w:tab w:pos="582" w:val="left" w:leader="none"/>
        </w:tabs>
        <w:spacing w:line="360" w:lineRule="auto" w:before="3" w:after="0"/>
        <w:ind w:left="522" w:right="177" w:hanging="360"/>
        <w:jc w:val="both"/>
        <w:rPr>
          <w:sz w:val="22"/>
        </w:rPr>
      </w:pPr>
      <w:r>
        <w:rPr>
          <w:sz w:val="22"/>
        </w:rPr>
        <w:t>Liljemark WF, Bloomquist GC, Ofstehage CJ. Aggregation and adherence of Streptococcus sanguis: role of human salivary immunoglobulin A. Infect Immun. 1979; 26:</w:t>
      </w:r>
      <w:r>
        <w:rPr>
          <w:spacing w:val="-4"/>
          <w:sz w:val="22"/>
        </w:rPr>
        <w:t> </w:t>
      </w:r>
      <w:r>
        <w:rPr>
          <w:sz w:val="22"/>
        </w:rPr>
        <w:t>1004-1110.</w:t>
      </w:r>
    </w:p>
    <w:p>
      <w:pPr>
        <w:pStyle w:val="ListParagraph"/>
        <w:numPr>
          <w:ilvl w:val="0"/>
          <w:numId w:val="32"/>
        </w:numPr>
        <w:tabs>
          <w:tab w:pos="522" w:val="left" w:leader="none"/>
        </w:tabs>
        <w:spacing w:line="360" w:lineRule="auto" w:before="3" w:after="0"/>
        <w:ind w:left="522" w:right="182" w:hanging="360"/>
        <w:jc w:val="both"/>
        <w:rPr>
          <w:sz w:val="22"/>
        </w:rPr>
      </w:pPr>
      <w:r>
        <w:rPr>
          <w:sz w:val="22"/>
        </w:rPr>
        <w:t>Cole MF, Arnold RR, Rhodes JM, McGhee RJ. Immune dysfunction and dental caries. A preliminary report. J Dent Res 1977; 56:</w:t>
      </w:r>
      <w:r>
        <w:rPr>
          <w:spacing w:val="-14"/>
          <w:sz w:val="22"/>
        </w:rPr>
        <w:t> </w:t>
      </w:r>
      <w:r>
        <w:rPr>
          <w:sz w:val="22"/>
        </w:rPr>
        <w:t>198-204.</w:t>
      </w:r>
    </w:p>
    <w:p>
      <w:pPr>
        <w:pStyle w:val="ListParagraph"/>
        <w:numPr>
          <w:ilvl w:val="0"/>
          <w:numId w:val="32"/>
        </w:numPr>
        <w:tabs>
          <w:tab w:pos="582" w:val="left" w:leader="none"/>
        </w:tabs>
        <w:spacing w:line="360" w:lineRule="auto" w:before="3" w:after="0"/>
        <w:ind w:left="522" w:right="176" w:hanging="360"/>
        <w:jc w:val="both"/>
        <w:rPr>
          <w:sz w:val="22"/>
        </w:rPr>
      </w:pPr>
      <w:r>
        <w:rPr>
          <w:sz w:val="22"/>
        </w:rPr>
        <w:t>Robertson PB, Mackler FB, Wright ET, Levy MB. Periodontal status of patients with abnormalities of the immune system. II. Observations over a 2-year period. J Periodonto Res. 1980;</w:t>
      </w:r>
      <w:r>
        <w:rPr>
          <w:spacing w:val="-4"/>
          <w:sz w:val="22"/>
        </w:rPr>
        <w:t> </w:t>
      </w:r>
      <w:r>
        <w:rPr>
          <w:sz w:val="22"/>
        </w:rPr>
        <w:t>51:70-73.</w:t>
      </w:r>
    </w:p>
    <w:p>
      <w:pPr>
        <w:pStyle w:val="ListParagraph"/>
        <w:numPr>
          <w:ilvl w:val="0"/>
          <w:numId w:val="32"/>
        </w:numPr>
        <w:tabs>
          <w:tab w:pos="522" w:val="left" w:leader="none"/>
        </w:tabs>
        <w:spacing w:line="360" w:lineRule="auto" w:before="5" w:after="0"/>
        <w:ind w:left="522" w:right="185" w:hanging="360"/>
        <w:jc w:val="both"/>
        <w:rPr>
          <w:sz w:val="22"/>
        </w:rPr>
      </w:pPr>
      <w:r>
        <w:rPr>
          <w:sz w:val="22"/>
        </w:rPr>
        <w:t>Robertson PB, Wright TE, Mackler BF, Lenertz </w:t>
      </w:r>
      <w:r>
        <w:rPr>
          <w:spacing w:val="-2"/>
          <w:sz w:val="22"/>
        </w:rPr>
        <w:t>DM, </w:t>
      </w:r>
      <w:r>
        <w:rPr>
          <w:sz w:val="22"/>
        </w:rPr>
        <w:t>Levy BM. Periodontal status of patients with abnormalities of the immune system. J Periodont Res. 1978;</w:t>
      </w:r>
      <w:r>
        <w:rPr>
          <w:spacing w:val="-23"/>
          <w:sz w:val="22"/>
        </w:rPr>
        <w:t> </w:t>
      </w:r>
      <w:r>
        <w:rPr>
          <w:sz w:val="22"/>
        </w:rPr>
        <w:t>13:37-45.</w:t>
      </w:r>
    </w:p>
    <w:p>
      <w:pPr>
        <w:pStyle w:val="ListParagraph"/>
        <w:numPr>
          <w:ilvl w:val="0"/>
          <w:numId w:val="32"/>
        </w:numPr>
        <w:tabs>
          <w:tab w:pos="522" w:val="left" w:leader="none"/>
        </w:tabs>
        <w:spacing w:line="360" w:lineRule="auto" w:before="3" w:after="0"/>
        <w:ind w:left="522" w:right="178" w:hanging="360"/>
        <w:jc w:val="both"/>
        <w:rPr>
          <w:sz w:val="22"/>
        </w:rPr>
      </w:pPr>
      <w:r>
        <w:rPr>
          <w:sz w:val="22"/>
        </w:rPr>
        <w:t>Yazaki SC. Anti-</w:t>
      </w:r>
      <w:r>
        <w:rPr>
          <w:i/>
          <w:sz w:val="22"/>
        </w:rPr>
        <w:t>Streptococcus mutans </w:t>
      </w:r>
      <w:r>
        <w:rPr>
          <w:sz w:val="22"/>
        </w:rPr>
        <w:t>IgA in children with and without dental caries. Rev Oontol Univ Sao Paulo. 1999; 13:</w:t>
      </w:r>
      <w:r>
        <w:rPr>
          <w:spacing w:val="-14"/>
          <w:sz w:val="22"/>
        </w:rPr>
        <w:t> </w:t>
      </w:r>
      <w:r>
        <w:rPr>
          <w:sz w:val="22"/>
        </w:rPr>
        <w:t>211-7.</w:t>
      </w:r>
    </w:p>
    <w:p>
      <w:pPr>
        <w:pStyle w:val="ListParagraph"/>
        <w:numPr>
          <w:ilvl w:val="0"/>
          <w:numId w:val="32"/>
        </w:numPr>
        <w:tabs>
          <w:tab w:pos="522" w:val="left" w:leader="none"/>
        </w:tabs>
        <w:spacing w:line="360" w:lineRule="auto" w:before="3" w:after="0"/>
        <w:ind w:left="522" w:right="176" w:hanging="360"/>
        <w:jc w:val="both"/>
        <w:rPr>
          <w:sz w:val="22"/>
        </w:rPr>
      </w:pPr>
      <w:r>
        <w:rPr>
          <w:sz w:val="22"/>
        </w:rPr>
        <w:t>Conry JP, Messer LB, Boraas JC, Aeppli DP, BouchardTJ Jr. Dental caries and treatment characteristics in human twins reares apart. Arch Oral Biol. 1993; 83: 937- 43.</w:t>
      </w:r>
    </w:p>
    <w:p>
      <w:pPr>
        <w:pStyle w:val="ListParagraph"/>
        <w:numPr>
          <w:ilvl w:val="0"/>
          <w:numId w:val="32"/>
        </w:numPr>
        <w:tabs>
          <w:tab w:pos="522" w:val="left" w:leader="none"/>
        </w:tabs>
        <w:spacing w:line="360" w:lineRule="auto" w:before="3" w:after="0"/>
        <w:ind w:left="522" w:right="176" w:hanging="360"/>
        <w:jc w:val="both"/>
        <w:rPr>
          <w:sz w:val="22"/>
        </w:rPr>
      </w:pPr>
      <w:r>
        <w:rPr>
          <w:sz w:val="22"/>
        </w:rPr>
        <w:t>Slayton RL, Cooper ME, Marazita ML. Tuftelin, </w:t>
      </w:r>
      <w:r>
        <w:rPr>
          <w:i/>
          <w:sz w:val="22"/>
        </w:rPr>
        <w:t>mutans streptococci</w:t>
      </w:r>
      <w:r>
        <w:rPr>
          <w:sz w:val="22"/>
        </w:rPr>
        <w:t>, and dental caries susceptibility. J Dent Res. 2005; 84:</w:t>
      </w:r>
      <w:r>
        <w:rPr>
          <w:spacing w:val="-11"/>
          <w:sz w:val="22"/>
        </w:rPr>
        <w:t> </w:t>
      </w:r>
      <w:r>
        <w:rPr>
          <w:sz w:val="22"/>
        </w:rPr>
        <w:t>711-4.</w:t>
      </w:r>
    </w:p>
    <w:p>
      <w:pPr>
        <w:pStyle w:val="ListParagraph"/>
        <w:numPr>
          <w:ilvl w:val="0"/>
          <w:numId w:val="32"/>
        </w:numPr>
        <w:tabs>
          <w:tab w:pos="522" w:val="left" w:leader="none"/>
        </w:tabs>
        <w:spacing w:line="360" w:lineRule="auto" w:before="5" w:after="0"/>
        <w:ind w:left="522" w:right="181" w:hanging="360"/>
        <w:jc w:val="both"/>
        <w:rPr>
          <w:sz w:val="22"/>
        </w:rPr>
      </w:pPr>
      <w:r>
        <w:rPr>
          <w:sz w:val="22"/>
        </w:rPr>
        <w:t>Kang SW, Yoon I, Lee HW, Cho J. Association between AMELX polymorphisms and dental caries in Koreans. Oral Diseases. 2011; 17:</w:t>
      </w:r>
      <w:r>
        <w:rPr>
          <w:spacing w:val="-16"/>
          <w:sz w:val="22"/>
        </w:rPr>
        <w:t> </w:t>
      </w:r>
      <w:r>
        <w:rPr>
          <w:sz w:val="22"/>
        </w:rPr>
        <w:t>399-406.</w:t>
      </w:r>
    </w:p>
    <w:p>
      <w:pPr>
        <w:pStyle w:val="ListParagraph"/>
        <w:numPr>
          <w:ilvl w:val="0"/>
          <w:numId w:val="32"/>
        </w:numPr>
        <w:tabs>
          <w:tab w:pos="522" w:val="left" w:leader="none"/>
        </w:tabs>
        <w:spacing w:line="360" w:lineRule="auto" w:before="3" w:after="0"/>
        <w:ind w:left="522" w:right="183" w:hanging="360"/>
        <w:jc w:val="both"/>
        <w:rPr>
          <w:sz w:val="22"/>
        </w:rPr>
      </w:pPr>
      <w:r>
        <w:rPr>
          <w:sz w:val="22"/>
        </w:rPr>
        <w:t>Townsend GC, Aldred MJ, Bartold PM. Genetic aspects of dental disorders. Aust Dent J. 1998; 43:</w:t>
      </w:r>
      <w:r>
        <w:rPr>
          <w:spacing w:val="-5"/>
          <w:sz w:val="22"/>
        </w:rPr>
        <w:t> </w:t>
      </w:r>
      <w:r>
        <w:rPr>
          <w:sz w:val="22"/>
        </w:rPr>
        <w:t>269-86.</w:t>
      </w:r>
    </w:p>
    <w:p>
      <w:pPr>
        <w:pStyle w:val="ListParagraph"/>
        <w:numPr>
          <w:ilvl w:val="0"/>
          <w:numId w:val="32"/>
        </w:numPr>
        <w:tabs>
          <w:tab w:pos="522" w:val="left" w:leader="none"/>
        </w:tabs>
        <w:spacing w:line="360" w:lineRule="auto" w:before="3" w:after="0"/>
        <w:ind w:left="522" w:right="173" w:hanging="360"/>
        <w:jc w:val="both"/>
        <w:rPr>
          <w:sz w:val="22"/>
        </w:rPr>
      </w:pPr>
      <w:r>
        <w:rPr>
          <w:sz w:val="22"/>
        </w:rPr>
        <w:t>Könönen E, Jousimies-Somer H, Asikainene S. Relationship between oral gran- negative anaerobic bacteria in saliva of the mother and the colonization of her edentulous infant. Oral Microbio. Immuno. 1992; 7:</w:t>
      </w:r>
      <w:r>
        <w:rPr>
          <w:spacing w:val="-18"/>
          <w:sz w:val="22"/>
        </w:rPr>
        <w:t> </w:t>
      </w:r>
      <w:r>
        <w:rPr>
          <w:sz w:val="22"/>
        </w:rPr>
        <w:t>273-76.</w:t>
      </w:r>
    </w:p>
    <w:p>
      <w:pPr>
        <w:pStyle w:val="ListParagraph"/>
        <w:numPr>
          <w:ilvl w:val="0"/>
          <w:numId w:val="32"/>
        </w:numPr>
        <w:tabs>
          <w:tab w:pos="522" w:val="left" w:leader="none"/>
        </w:tabs>
        <w:spacing w:line="360" w:lineRule="auto" w:before="3" w:after="0"/>
        <w:ind w:left="522" w:right="184" w:hanging="360"/>
        <w:jc w:val="both"/>
        <w:rPr>
          <w:sz w:val="22"/>
        </w:rPr>
      </w:pPr>
      <w:r>
        <w:rPr>
          <w:sz w:val="22"/>
        </w:rPr>
        <w:t>Socransky SS, Manganiello SD. The oral microbiota of man from birth to senility. J. Periodontol. 1993; 38:</w:t>
      </w:r>
      <w:r>
        <w:rPr>
          <w:spacing w:val="-7"/>
          <w:sz w:val="22"/>
        </w:rPr>
        <w:t> </w:t>
      </w:r>
      <w:r>
        <w:rPr>
          <w:sz w:val="22"/>
        </w:rPr>
        <w:t>227-232.</w:t>
      </w:r>
    </w:p>
    <w:p>
      <w:pPr>
        <w:pStyle w:val="ListParagraph"/>
        <w:numPr>
          <w:ilvl w:val="0"/>
          <w:numId w:val="32"/>
        </w:numPr>
        <w:tabs>
          <w:tab w:pos="522" w:val="left" w:leader="none"/>
        </w:tabs>
        <w:spacing w:line="360" w:lineRule="auto" w:before="5" w:after="0"/>
        <w:ind w:left="522" w:right="182" w:hanging="360"/>
        <w:jc w:val="both"/>
        <w:rPr>
          <w:sz w:val="22"/>
        </w:rPr>
      </w:pPr>
      <w:r>
        <w:rPr>
          <w:sz w:val="22"/>
        </w:rPr>
        <w:t>Tabak LA, Structure and function of human salivary mucins. Crit Rev Oral Biol. Med 1990; 4:</w:t>
      </w:r>
      <w:r>
        <w:rPr>
          <w:spacing w:val="-3"/>
          <w:sz w:val="22"/>
        </w:rPr>
        <w:t> </w:t>
      </w:r>
      <w:r>
        <w:rPr>
          <w:sz w:val="22"/>
        </w:rPr>
        <w:t>229-34.</w:t>
      </w:r>
    </w:p>
    <w:p>
      <w:pPr>
        <w:pStyle w:val="ListParagraph"/>
        <w:numPr>
          <w:ilvl w:val="0"/>
          <w:numId w:val="32"/>
        </w:numPr>
        <w:tabs>
          <w:tab w:pos="522" w:val="left" w:leader="none"/>
        </w:tabs>
        <w:spacing w:line="360" w:lineRule="auto" w:before="3" w:after="0"/>
        <w:ind w:left="522" w:right="176" w:hanging="360"/>
        <w:jc w:val="both"/>
        <w:rPr>
          <w:sz w:val="22"/>
        </w:rPr>
      </w:pPr>
      <w:r>
        <w:rPr>
          <w:sz w:val="22"/>
        </w:rPr>
        <w:t>Marsh PD, Percival SR, Challacombe JS. The influence of denture-wearing and age on the oral microflora. J Dent Res. 1992: 71;</w:t>
      </w:r>
      <w:r>
        <w:rPr>
          <w:spacing w:val="-15"/>
          <w:sz w:val="22"/>
        </w:rPr>
        <w:t> </w:t>
      </w:r>
      <w:r>
        <w:rPr>
          <w:sz w:val="22"/>
        </w:rPr>
        <w:t>374-1381.</w:t>
      </w:r>
    </w:p>
    <w:p>
      <w:pPr>
        <w:pStyle w:val="ListParagraph"/>
        <w:numPr>
          <w:ilvl w:val="0"/>
          <w:numId w:val="32"/>
        </w:numPr>
        <w:tabs>
          <w:tab w:pos="522" w:val="left" w:leader="none"/>
        </w:tabs>
        <w:spacing w:line="360" w:lineRule="auto" w:before="3" w:after="0"/>
        <w:ind w:left="522" w:right="178" w:hanging="360"/>
        <w:jc w:val="both"/>
        <w:rPr>
          <w:sz w:val="22"/>
        </w:rPr>
      </w:pPr>
      <w:r>
        <w:rPr>
          <w:sz w:val="22"/>
        </w:rPr>
        <w:t>Percival RS, Challacombe JS, Marsh DP. Age related microbiological changes in the salivary and plaque microflora of healthy adults. J Med Microbiol. 1991; 35:</w:t>
      </w:r>
      <w:r>
        <w:rPr>
          <w:spacing w:val="-22"/>
          <w:sz w:val="22"/>
        </w:rPr>
        <w:t> </w:t>
      </w:r>
      <w:r>
        <w:rPr>
          <w:sz w:val="22"/>
        </w:rPr>
        <w:t>5-11.</w:t>
      </w:r>
    </w:p>
    <w:p>
      <w:pPr>
        <w:spacing w:after="0" w:line="360" w:lineRule="auto"/>
        <w:jc w:val="both"/>
        <w:rPr>
          <w:sz w:val="22"/>
        </w:rPr>
        <w:sectPr>
          <w:pgSz w:w="12240" w:h="15840"/>
          <w:pgMar w:header="733" w:footer="1039" w:top="1020" w:bottom="1220" w:left="1540" w:right="1520"/>
        </w:sectPr>
      </w:pPr>
    </w:p>
    <w:p>
      <w:pPr>
        <w:pStyle w:val="BodyText"/>
        <w:spacing w:before="8"/>
        <w:rPr>
          <w:sz w:val="17"/>
        </w:rPr>
      </w:pPr>
    </w:p>
    <w:p>
      <w:pPr>
        <w:pStyle w:val="ListParagraph"/>
        <w:numPr>
          <w:ilvl w:val="0"/>
          <w:numId w:val="32"/>
        </w:numPr>
        <w:tabs>
          <w:tab w:pos="522" w:val="left" w:leader="none"/>
        </w:tabs>
        <w:spacing w:line="360" w:lineRule="auto" w:before="72" w:after="0"/>
        <w:ind w:left="522" w:right="181" w:hanging="360"/>
        <w:jc w:val="both"/>
        <w:rPr>
          <w:sz w:val="22"/>
        </w:rPr>
      </w:pPr>
      <w:r>
        <w:rPr>
          <w:sz w:val="22"/>
        </w:rPr>
        <w:t>Percival RS, Challacombe JS, Marsh DP. Flow of resting whole and stimulates parotid saliva in relation to age and gender. J Dent Res. 1994; 73:</w:t>
      </w:r>
      <w:r>
        <w:rPr>
          <w:spacing w:val="-19"/>
          <w:sz w:val="22"/>
        </w:rPr>
        <w:t> </w:t>
      </w:r>
      <w:r>
        <w:rPr>
          <w:sz w:val="22"/>
        </w:rPr>
        <w:t>1416-1420.</w:t>
      </w:r>
    </w:p>
    <w:p>
      <w:pPr>
        <w:pStyle w:val="ListParagraph"/>
        <w:numPr>
          <w:ilvl w:val="0"/>
          <w:numId w:val="32"/>
        </w:numPr>
        <w:tabs>
          <w:tab w:pos="522" w:val="left" w:leader="none"/>
        </w:tabs>
        <w:spacing w:line="240" w:lineRule="auto" w:before="5" w:after="0"/>
        <w:ind w:left="522" w:right="0" w:hanging="360"/>
        <w:jc w:val="left"/>
        <w:rPr>
          <w:sz w:val="22"/>
        </w:rPr>
      </w:pPr>
      <w:r>
        <w:rPr>
          <w:sz w:val="22"/>
        </w:rPr>
        <w:t>Tenovuo J. Oral defense factors in the ederly. Endod Dent Trauma. 1992; 8:</w:t>
      </w:r>
      <w:r>
        <w:rPr>
          <w:spacing w:val="-18"/>
          <w:sz w:val="22"/>
        </w:rPr>
        <w:t> </w:t>
      </w:r>
      <w:r>
        <w:rPr>
          <w:sz w:val="22"/>
        </w:rPr>
        <w:t>93-8.</w:t>
      </w:r>
    </w:p>
    <w:p>
      <w:pPr>
        <w:pStyle w:val="ListParagraph"/>
        <w:numPr>
          <w:ilvl w:val="0"/>
          <w:numId w:val="32"/>
        </w:numPr>
        <w:tabs>
          <w:tab w:pos="522" w:val="left" w:leader="none"/>
        </w:tabs>
        <w:spacing w:line="360" w:lineRule="auto" w:before="126" w:after="0"/>
        <w:ind w:left="522" w:right="176" w:hanging="360"/>
        <w:jc w:val="both"/>
        <w:rPr>
          <w:sz w:val="22"/>
        </w:rPr>
      </w:pPr>
      <w:r>
        <w:rPr>
          <w:sz w:val="22"/>
        </w:rPr>
        <w:t>Wigen TI, Wang NJ. Maternal health and lifestyle, and caries experience in preschool children. A longitudinal study from pregnancy to age 5 yr. Eur J Oral Sci. 2011</w:t>
      </w:r>
      <w:r>
        <w:rPr>
          <w:b/>
          <w:sz w:val="22"/>
        </w:rPr>
        <w:t>; </w:t>
      </w:r>
      <w:r>
        <w:rPr>
          <w:sz w:val="22"/>
        </w:rPr>
        <w:t>119(6): 463-8.</w:t>
      </w:r>
    </w:p>
    <w:p>
      <w:pPr>
        <w:pStyle w:val="ListParagraph"/>
        <w:numPr>
          <w:ilvl w:val="0"/>
          <w:numId w:val="32"/>
        </w:numPr>
        <w:tabs>
          <w:tab w:pos="522" w:val="left" w:leader="none"/>
        </w:tabs>
        <w:spacing w:line="360" w:lineRule="auto" w:before="3" w:after="0"/>
        <w:ind w:left="522" w:right="179" w:hanging="360"/>
        <w:jc w:val="both"/>
        <w:rPr>
          <w:sz w:val="22"/>
        </w:rPr>
      </w:pPr>
      <w:r>
        <w:rPr>
          <w:sz w:val="22"/>
        </w:rPr>
        <w:t>Evans JJ, Wilkinson RA, Aickin </w:t>
      </w:r>
      <w:r>
        <w:rPr>
          <w:spacing w:val="-2"/>
          <w:sz w:val="22"/>
        </w:rPr>
        <w:t>RD. </w:t>
      </w:r>
      <w:r>
        <w:rPr>
          <w:sz w:val="22"/>
        </w:rPr>
        <w:t>Salivary estriol consentration during normal pregnancy, and comparison with plasma estriol. Clin Chem. 1984; 30:</w:t>
      </w:r>
      <w:r>
        <w:rPr>
          <w:spacing w:val="-18"/>
          <w:sz w:val="22"/>
        </w:rPr>
        <w:t> </w:t>
      </w:r>
      <w:r>
        <w:rPr>
          <w:sz w:val="22"/>
        </w:rPr>
        <w:t>120-21.</w:t>
      </w:r>
    </w:p>
    <w:p>
      <w:pPr>
        <w:pStyle w:val="ListParagraph"/>
        <w:numPr>
          <w:ilvl w:val="0"/>
          <w:numId w:val="32"/>
        </w:numPr>
        <w:tabs>
          <w:tab w:pos="522" w:val="left" w:leader="none"/>
        </w:tabs>
        <w:spacing w:line="360" w:lineRule="auto" w:before="3" w:after="0"/>
        <w:ind w:left="522" w:right="175" w:hanging="360"/>
        <w:jc w:val="both"/>
        <w:rPr>
          <w:sz w:val="22"/>
        </w:rPr>
      </w:pPr>
      <w:r>
        <w:rPr>
          <w:sz w:val="22"/>
        </w:rPr>
        <w:t>Lachelin GC, Mcgarrigle GHH. A comparison of saliva, plasma, unconjugated and plasma total estriol levels throughout. Br J Obstet Gynaecol. 1984; 91:</w:t>
      </w:r>
      <w:r>
        <w:rPr>
          <w:spacing w:val="-25"/>
          <w:sz w:val="22"/>
        </w:rPr>
        <w:t> </w:t>
      </w:r>
      <w:r>
        <w:rPr>
          <w:sz w:val="22"/>
        </w:rPr>
        <w:t>1203-9.</w:t>
      </w:r>
    </w:p>
    <w:p>
      <w:pPr>
        <w:pStyle w:val="ListParagraph"/>
        <w:numPr>
          <w:ilvl w:val="0"/>
          <w:numId w:val="32"/>
        </w:numPr>
        <w:tabs>
          <w:tab w:pos="522" w:val="left" w:leader="none"/>
        </w:tabs>
        <w:spacing w:line="362" w:lineRule="auto" w:before="4" w:after="0"/>
        <w:ind w:left="522" w:right="179" w:hanging="360"/>
        <w:jc w:val="both"/>
        <w:rPr>
          <w:sz w:val="22"/>
        </w:rPr>
      </w:pPr>
      <w:r>
        <w:rPr>
          <w:sz w:val="22"/>
        </w:rPr>
        <w:t>Zacharisen RD. The effect of elevated ovarian hormones on periodontal health: oral contraceptives and pregnancy. Women Health. 1993; 20:</w:t>
      </w:r>
      <w:r>
        <w:rPr>
          <w:spacing w:val="-16"/>
          <w:sz w:val="22"/>
        </w:rPr>
        <w:t> </w:t>
      </w:r>
      <w:r>
        <w:rPr>
          <w:sz w:val="22"/>
        </w:rPr>
        <w:t>21-30.</w:t>
      </w:r>
    </w:p>
    <w:p>
      <w:pPr>
        <w:pStyle w:val="ListParagraph"/>
        <w:numPr>
          <w:ilvl w:val="0"/>
          <w:numId w:val="32"/>
        </w:numPr>
        <w:tabs>
          <w:tab w:pos="522" w:val="left" w:leader="none"/>
        </w:tabs>
        <w:spacing w:line="360" w:lineRule="auto" w:before="1" w:after="0"/>
        <w:ind w:left="522" w:right="175" w:hanging="360"/>
        <w:jc w:val="both"/>
        <w:rPr>
          <w:sz w:val="22"/>
        </w:rPr>
      </w:pPr>
      <w:r>
        <w:rPr>
          <w:sz w:val="22"/>
        </w:rPr>
        <w:t>Kornman KS, Loesche JW. Effects of estradiol and progesterone on </w:t>
      </w:r>
      <w:r>
        <w:rPr>
          <w:i/>
          <w:sz w:val="22"/>
        </w:rPr>
        <w:t>Bacteroides </w:t>
      </w:r>
      <w:r>
        <w:rPr>
          <w:i/>
          <w:sz w:val="22"/>
        </w:rPr>
        <w:t>melaninogenicus </w:t>
      </w:r>
      <w:r>
        <w:rPr>
          <w:sz w:val="22"/>
        </w:rPr>
        <w:t>and </w:t>
      </w:r>
      <w:r>
        <w:rPr>
          <w:i/>
          <w:sz w:val="22"/>
        </w:rPr>
        <w:t>Bacteroides gingivalis</w:t>
      </w:r>
      <w:r>
        <w:rPr>
          <w:sz w:val="22"/>
        </w:rPr>
        <w:t>. Infect Immun. 1982; 35:</w:t>
      </w:r>
      <w:r>
        <w:rPr>
          <w:spacing w:val="-23"/>
          <w:sz w:val="22"/>
        </w:rPr>
        <w:t> </w:t>
      </w:r>
      <w:r>
        <w:rPr>
          <w:sz w:val="22"/>
        </w:rPr>
        <w:t>256-63.</w:t>
      </w:r>
    </w:p>
    <w:p>
      <w:pPr>
        <w:pStyle w:val="ListParagraph"/>
        <w:numPr>
          <w:ilvl w:val="0"/>
          <w:numId w:val="32"/>
        </w:numPr>
        <w:tabs>
          <w:tab w:pos="522" w:val="left" w:leader="none"/>
        </w:tabs>
        <w:spacing w:line="360" w:lineRule="auto" w:before="3" w:after="0"/>
        <w:ind w:left="522" w:right="181" w:hanging="360"/>
        <w:jc w:val="both"/>
        <w:rPr>
          <w:sz w:val="22"/>
        </w:rPr>
      </w:pPr>
      <w:r>
        <w:rPr>
          <w:sz w:val="22"/>
        </w:rPr>
        <w:t>Aligne AC, Moss EM, Auinger P, Weitzman M. Association of Pediatric Dental Caries With Passive Smoking. JAMA. 2003; 289(22):</w:t>
      </w:r>
      <w:r>
        <w:rPr>
          <w:spacing w:val="-12"/>
          <w:sz w:val="22"/>
        </w:rPr>
        <w:t> </w:t>
      </w:r>
      <w:r>
        <w:rPr>
          <w:sz w:val="22"/>
        </w:rPr>
        <w:t>2940.</w:t>
      </w:r>
    </w:p>
    <w:p>
      <w:pPr>
        <w:pStyle w:val="ListParagraph"/>
        <w:numPr>
          <w:ilvl w:val="0"/>
          <w:numId w:val="32"/>
        </w:numPr>
        <w:tabs>
          <w:tab w:pos="522" w:val="left" w:leader="none"/>
        </w:tabs>
        <w:spacing w:line="360" w:lineRule="auto" w:before="3" w:after="0"/>
        <w:ind w:left="522" w:right="179" w:hanging="360"/>
        <w:jc w:val="both"/>
        <w:rPr>
          <w:sz w:val="22"/>
        </w:rPr>
      </w:pPr>
      <w:r>
        <w:rPr>
          <w:sz w:val="22"/>
        </w:rPr>
        <w:t>Smoilar NI, Ketsman IN, Kolesnichenko AV, Solonko GM. Dental caries in preschoolers living in a rural locality. Stomatologiia. 1990; 69:</w:t>
      </w:r>
      <w:r>
        <w:rPr>
          <w:spacing w:val="-21"/>
          <w:sz w:val="22"/>
        </w:rPr>
        <w:t> </w:t>
      </w:r>
      <w:r>
        <w:rPr>
          <w:sz w:val="22"/>
        </w:rPr>
        <w:t>58-9.</w:t>
      </w:r>
    </w:p>
    <w:p>
      <w:pPr>
        <w:pStyle w:val="ListParagraph"/>
        <w:numPr>
          <w:ilvl w:val="0"/>
          <w:numId w:val="32"/>
        </w:numPr>
        <w:tabs>
          <w:tab w:pos="522" w:val="left" w:leader="none"/>
        </w:tabs>
        <w:spacing w:line="360" w:lineRule="auto" w:before="3" w:after="0"/>
        <w:ind w:left="522" w:right="183" w:hanging="360"/>
        <w:jc w:val="both"/>
        <w:rPr>
          <w:sz w:val="22"/>
        </w:rPr>
      </w:pPr>
      <w:r>
        <w:rPr>
          <w:sz w:val="22"/>
        </w:rPr>
        <w:t>Jan J, Reinert K. Dental caries in Faroese children exposed to polychlorinated biphenyls. Env Toxic Pharma. 2008;</w:t>
      </w:r>
      <w:r>
        <w:rPr>
          <w:spacing w:val="-13"/>
          <w:sz w:val="22"/>
        </w:rPr>
        <w:t> </w:t>
      </w:r>
      <w:r>
        <w:rPr>
          <w:sz w:val="22"/>
        </w:rPr>
        <w:t>25:188–19.</w:t>
      </w:r>
    </w:p>
    <w:p>
      <w:pPr>
        <w:pStyle w:val="ListParagraph"/>
        <w:numPr>
          <w:ilvl w:val="0"/>
          <w:numId w:val="32"/>
        </w:numPr>
        <w:tabs>
          <w:tab w:pos="522" w:val="left" w:leader="none"/>
        </w:tabs>
        <w:spacing w:line="360" w:lineRule="auto" w:before="5" w:after="0"/>
        <w:ind w:left="522" w:right="182" w:hanging="360"/>
        <w:jc w:val="both"/>
        <w:rPr>
          <w:sz w:val="22"/>
        </w:rPr>
      </w:pPr>
      <w:r>
        <w:rPr>
          <w:sz w:val="22"/>
        </w:rPr>
        <w:t>Barrancos MJ, Barrancos PJ. Operatoria Dental. 4°ed. Buenos Aires: Médica Panamericana;</w:t>
      </w:r>
      <w:r>
        <w:rPr>
          <w:spacing w:val="-4"/>
          <w:sz w:val="22"/>
        </w:rPr>
        <w:t> </w:t>
      </w:r>
      <w:r>
        <w:rPr>
          <w:sz w:val="22"/>
        </w:rPr>
        <w:t>2006.</w:t>
      </w:r>
    </w:p>
    <w:p>
      <w:pPr>
        <w:pStyle w:val="ListParagraph"/>
        <w:numPr>
          <w:ilvl w:val="0"/>
          <w:numId w:val="32"/>
        </w:numPr>
        <w:tabs>
          <w:tab w:pos="522" w:val="left" w:leader="none"/>
        </w:tabs>
        <w:spacing w:line="360" w:lineRule="auto" w:before="3" w:after="0"/>
        <w:ind w:left="522" w:right="177" w:hanging="360"/>
        <w:jc w:val="both"/>
        <w:rPr>
          <w:sz w:val="22"/>
        </w:rPr>
      </w:pPr>
      <w:r>
        <w:rPr>
          <w:sz w:val="22"/>
        </w:rPr>
        <w:t>Summit JB. Nomenclature and instrumentation. En: Schwartz R, Summit JB, Robbins JW. Fundamentals of operative dentistry. A contemporary approach. 2°ed. Illinois: Quintessence books;</w:t>
      </w:r>
      <w:r>
        <w:rPr>
          <w:spacing w:val="-6"/>
          <w:sz w:val="22"/>
        </w:rPr>
        <w:t> </w:t>
      </w:r>
      <w:r>
        <w:rPr>
          <w:sz w:val="22"/>
        </w:rPr>
        <w:t>2001:113-148.</w:t>
      </w:r>
    </w:p>
    <w:p>
      <w:pPr>
        <w:pStyle w:val="ListParagraph"/>
        <w:numPr>
          <w:ilvl w:val="0"/>
          <w:numId w:val="32"/>
        </w:numPr>
        <w:tabs>
          <w:tab w:pos="522" w:val="left" w:leader="none"/>
        </w:tabs>
        <w:spacing w:line="360" w:lineRule="auto" w:before="3" w:after="0"/>
        <w:ind w:left="522" w:right="181" w:hanging="360"/>
        <w:jc w:val="both"/>
        <w:rPr>
          <w:sz w:val="22"/>
        </w:rPr>
      </w:pPr>
      <w:r>
        <w:rPr>
          <w:sz w:val="22"/>
        </w:rPr>
        <w:t>Lanata EJ. Operatoria dental estética y adhesión. 1°ed. Buenos Aires: Grupo guía; 2003:</w:t>
      </w:r>
      <w:r>
        <w:rPr>
          <w:spacing w:val="-2"/>
          <w:sz w:val="22"/>
        </w:rPr>
        <w:t> </w:t>
      </w:r>
      <w:r>
        <w:rPr>
          <w:sz w:val="22"/>
        </w:rPr>
        <w:t>33-38.</w:t>
      </w:r>
    </w:p>
    <w:p>
      <w:pPr>
        <w:pStyle w:val="ListParagraph"/>
        <w:numPr>
          <w:ilvl w:val="0"/>
          <w:numId w:val="32"/>
        </w:numPr>
        <w:tabs>
          <w:tab w:pos="522" w:val="left" w:leader="none"/>
        </w:tabs>
        <w:spacing w:line="360" w:lineRule="auto" w:before="3" w:after="0"/>
        <w:ind w:left="522" w:right="179" w:hanging="360"/>
        <w:jc w:val="both"/>
        <w:rPr>
          <w:sz w:val="22"/>
        </w:rPr>
      </w:pPr>
      <w:r>
        <w:rPr>
          <w:sz w:val="22"/>
        </w:rPr>
        <w:t>Whitehead SA, Wilson NHF. Restorative decision-making behavior with magnification. Quintessence Int.</w:t>
      </w:r>
      <w:r>
        <w:rPr>
          <w:spacing w:val="-8"/>
          <w:sz w:val="22"/>
        </w:rPr>
        <w:t> </w:t>
      </w:r>
      <w:r>
        <w:rPr>
          <w:sz w:val="22"/>
        </w:rPr>
        <w:t>1992;23:667-71.</w:t>
      </w:r>
    </w:p>
    <w:p>
      <w:pPr>
        <w:pStyle w:val="ListParagraph"/>
        <w:numPr>
          <w:ilvl w:val="0"/>
          <w:numId w:val="32"/>
        </w:numPr>
        <w:tabs>
          <w:tab w:pos="522" w:val="left" w:leader="none"/>
        </w:tabs>
        <w:spacing w:line="360" w:lineRule="auto" w:before="5" w:after="0"/>
        <w:ind w:left="522" w:right="182" w:hanging="360"/>
        <w:jc w:val="both"/>
        <w:rPr>
          <w:sz w:val="22"/>
        </w:rPr>
      </w:pPr>
      <w:r>
        <w:rPr>
          <w:sz w:val="22"/>
        </w:rPr>
        <w:t>Organización Mundial de la Salud (OMS) Consecuencias Sanitaria del Empleo de Plaguicidas en la Agricultura. Ginebra, Suiza, 1992;</w:t>
      </w:r>
      <w:r>
        <w:rPr>
          <w:spacing w:val="-17"/>
          <w:sz w:val="22"/>
        </w:rPr>
        <w:t> </w:t>
      </w:r>
      <w:r>
        <w:rPr>
          <w:sz w:val="22"/>
        </w:rPr>
        <w:t>128.</w:t>
      </w:r>
    </w:p>
    <w:p>
      <w:pPr>
        <w:pStyle w:val="ListParagraph"/>
        <w:numPr>
          <w:ilvl w:val="0"/>
          <w:numId w:val="32"/>
        </w:numPr>
        <w:tabs>
          <w:tab w:pos="522" w:val="left" w:leader="none"/>
        </w:tabs>
        <w:spacing w:line="240" w:lineRule="auto" w:before="3" w:after="0"/>
        <w:ind w:left="522" w:right="0" w:hanging="360"/>
        <w:jc w:val="left"/>
        <w:rPr>
          <w:sz w:val="22"/>
        </w:rPr>
      </w:pPr>
      <w:r>
        <w:rPr>
          <w:sz w:val="22"/>
        </w:rPr>
        <w:t>Córdoba PD. Toxicología. Colombia: Manual Moderno;</w:t>
      </w:r>
      <w:r>
        <w:rPr>
          <w:spacing w:val="-13"/>
          <w:sz w:val="22"/>
        </w:rPr>
        <w:t> </w:t>
      </w:r>
      <w:r>
        <w:rPr>
          <w:sz w:val="22"/>
        </w:rPr>
        <w:t>2001.</w:t>
      </w:r>
    </w:p>
    <w:p>
      <w:pPr>
        <w:pStyle w:val="ListParagraph"/>
        <w:numPr>
          <w:ilvl w:val="0"/>
          <w:numId w:val="32"/>
        </w:numPr>
        <w:tabs>
          <w:tab w:pos="585" w:val="left" w:leader="none"/>
        </w:tabs>
        <w:spacing w:line="360" w:lineRule="auto" w:before="126" w:after="0"/>
        <w:ind w:left="522" w:right="178" w:hanging="360"/>
        <w:jc w:val="both"/>
        <w:rPr>
          <w:sz w:val="22"/>
        </w:rPr>
      </w:pPr>
      <w:r>
        <w:rPr>
          <w:sz w:val="22"/>
        </w:rPr>
        <w:t>Martínez VC, Gómez AS, Villalobos PR, Waliszewski S, Calderón SME, Félix GR, Alvarez TA. Genotoxic biomonitoring of agricultural workers exposed to pesticides in the north of Sinaloa state, Mexico. Enviromental International.  2009; 35:</w:t>
      </w:r>
      <w:r>
        <w:rPr>
          <w:spacing w:val="-25"/>
          <w:sz w:val="22"/>
        </w:rPr>
        <w:t> </w:t>
      </w:r>
      <w:r>
        <w:rPr>
          <w:sz w:val="22"/>
        </w:rPr>
        <w:t>1155-59.</w:t>
      </w:r>
    </w:p>
    <w:p>
      <w:pPr>
        <w:spacing w:after="0" w:line="360" w:lineRule="auto"/>
        <w:jc w:val="both"/>
        <w:rPr>
          <w:sz w:val="22"/>
        </w:rPr>
        <w:sectPr>
          <w:pgSz w:w="12240" w:h="15840"/>
          <w:pgMar w:header="733" w:footer="1039" w:top="1020" w:bottom="1220" w:left="1540" w:right="1520"/>
        </w:sectPr>
      </w:pPr>
    </w:p>
    <w:p>
      <w:pPr>
        <w:pStyle w:val="BodyText"/>
        <w:spacing w:before="8"/>
        <w:rPr>
          <w:sz w:val="17"/>
        </w:rPr>
      </w:pPr>
    </w:p>
    <w:p>
      <w:pPr>
        <w:pStyle w:val="ListParagraph"/>
        <w:numPr>
          <w:ilvl w:val="0"/>
          <w:numId w:val="32"/>
        </w:numPr>
        <w:tabs>
          <w:tab w:pos="522" w:val="left" w:leader="none"/>
        </w:tabs>
        <w:spacing w:line="360" w:lineRule="auto" w:before="72" w:after="0"/>
        <w:ind w:left="522" w:right="177" w:hanging="360"/>
        <w:jc w:val="both"/>
        <w:rPr>
          <w:sz w:val="22"/>
        </w:rPr>
      </w:pPr>
      <w:r>
        <w:rPr>
          <w:sz w:val="22"/>
        </w:rPr>
        <w:t>Bolognesi C, Perrone E, Landini E. Micronucleus monitoring of a floriculturist population front western Liguria Italy. Mutagenesis. 2002; 17:</w:t>
      </w:r>
      <w:r>
        <w:rPr>
          <w:spacing w:val="-14"/>
          <w:sz w:val="22"/>
        </w:rPr>
        <w:t> </w:t>
      </w:r>
      <w:r>
        <w:rPr>
          <w:sz w:val="22"/>
        </w:rPr>
        <w:t>391-7.</w:t>
      </w:r>
    </w:p>
    <w:p>
      <w:pPr>
        <w:pStyle w:val="ListParagraph"/>
        <w:numPr>
          <w:ilvl w:val="0"/>
          <w:numId w:val="32"/>
        </w:numPr>
        <w:tabs>
          <w:tab w:pos="582" w:val="left" w:leader="none"/>
        </w:tabs>
        <w:spacing w:line="360" w:lineRule="auto" w:before="5" w:after="0"/>
        <w:ind w:left="522" w:right="183" w:hanging="360"/>
        <w:jc w:val="both"/>
        <w:rPr>
          <w:sz w:val="22"/>
        </w:rPr>
      </w:pPr>
      <w:r>
        <w:rPr>
          <w:sz w:val="22"/>
        </w:rPr>
        <w:t>Flack G, Hiroven A, Scarpato R, Saarikoski S, Migliore L, Norppa H. Micronuclei in blood lymphocytes and genetic polymorphism GSTM1, GSTT1 and NAT2 in pesticide exposed greenhouse workers. Mutat Res. 1999; 441:</w:t>
      </w:r>
      <w:r>
        <w:rPr>
          <w:spacing w:val="-10"/>
          <w:sz w:val="22"/>
        </w:rPr>
        <w:t> </w:t>
      </w:r>
      <w:r>
        <w:rPr>
          <w:sz w:val="22"/>
        </w:rPr>
        <w:t>225-37.</w:t>
      </w:r>
    </w:p>
    <w:p>
      <w:pPr>
        <w:pStyle w:val="ListParagraph"/>
        <w:numPr>
          <w:ilvl w:val="0"/>
          <w:numId w:val="32"/>
        </w:numPr>
        <w:tabs>
          <w:tab w:pos="522" w:val="left" w:leader="none"/>
        </w:tabs>
        <w:spacing w:line="360" w:lineRule="auto" w:before="3" w:after="0"/>
        <w:ind w:left="522" w:right="183" w:hanging="360"/>
        <w:jc w:val="both"/>
        <w:rPr>
          <w:sz w:val="22"/>
        </w:rPr>
      </w:pPr>
      <w:r>
        <w:rPr>
          <w:sz w:val="22"/>
        </w:rPr>
        <w:t>Tardiff GR, Lohman MHP, Wogan NG. Methods to assess DNA damage and repair. 1°ed. John Wiley &amp; Sons: UK;</w:t>
      </w:r>
      <w:r>
        <w:rPr>
          <w:spacing w:val="-6"/>
          <w:sz w:val="22"/>
        </w:rPr>
        <w:t> </w:t>
      </w:r>
      <w:r>
        <w:rPr>
          <w:sz w:val="22"/>
        </w:rPr>
        <w:t>1994.</w:t>
      </w:r>
    </w:p>
    <w:p>
      <w:pPr>
        <w:pStyle w:val="ListParagraph"/>
        <w:numPr>
          <w:ilvl w:val="0"/>
          <w:numId w:val="32"/>
        </w:numPr>
        <w:tabs>
          <w:tab w:pos="522" w:val="left" w:leader="none"/>
        </w:tabs>
        <w:spacing w:line="360" w:lineRule="auto" w:before="3" w:after="0"/>
        <w:ind w:left="522" w:right="181" w:hanging="360"/>
        <w:jc w:val="both"/>
        <w:rPr>
          <w:sz w:val="22"/>
        </w:rPr>
      </w:pPr>
      <w:r>
        <w:rPr>
          <w:sz w:val="22"/>
        </w:rPr>
        <w:t>Reigart R, Roberts J. Recognition and Management of Pesticide Poisonings. Chapter IV EPA‟s Office of Pesticide Programs, 1999;</w:t>
      </w:r>
      <w:r>
        <w:rPr>
          <w:spacing w:val="-41"/>
          <w:sz w:val="22"/>
        </w:rPr>
        <w:t> </w:t>
      </w:r>
      <w:r>
        <w:rPr>
          <w:sz w:val="22"/>
        </w:rPr>
        <w:t>34-6.</w:t>
      </w:r>
    </w:p>
    <w:p>
      <w:pPr>
        <w:pStyle w:val="ListParagraph"/>
        <w:numPr>
          <w:ilvl w:val="0"/>
          <w:numId w:val="32"/>
        </w:numPr>
        <w:tabs>
          <w:tab w:pos="522" w:val="left" w:leader="none"/>
        </w:tabs>
        <w:spacing w:line="360" w:lineRule="auto" w:before="3" w:after="0"/>
        <w:ind w:left="522" w:right="181" w:hanging="360"/>
        <w:jc w:val="both"/>
        <w:rPr>
          <w:sz w:val="22"/>
        </w:rPr>
      </w:pPr>
      <w:r>
        <w:rPr>
          <w:sz w:val="22"/>
        </w:rPr>
        <w:t>Ceballos G, List R, Garduño G, Lopez CR, Muñozcno QJ, Colldo E, San Román EJ.  La diversidad biológica del Estado de México. 1°ed. Secretaria del medio ambiente: México;</w:t>
      </w:r>
      <w:r>
        <w:rPr>
          <w:spacing w:val="-2"/>
          <w:sz w:val="22"/>
        </w:rPr>
        <w:t> </w:t>
      </w:r>
      <w:r>
        <w:rPr>
          <w:sz w:val="22"/>
        </w:rPr>
        <w:t>2009.</w:t>
      </w:r>
    </w:p>
    <w:p>
      <w:pPr>
        <w:pStyle w:val="ListParagraph"/>
        <w:numPr>
          <w:ilvl w:val="0"/>
          <w:numId w:val="32"/>
        </w:numPr>
        <w:tabs>
          <w:tab w:pos="522" w:val="left" w:leader="none"/>
        </w:tabs>
        <w:spacing w:line="360" w:lineRule="auto" w:before="3" w:after="0"/>
        <w:ind w:left="522" w:right="180" w:hanging="360"/>
        <w:jc w:val="both"/>
        <w:rPr>
          <w:sz w:val="22"/>
        </w:rPr>
      </w:pPr>
      <w:r>
        <w:rPr>
          <w:sz w:val="22"/>
        </w:rPr>
        <w:t>INEGI: Instituto Nacional de Estadística, Geografía e Informática. México:  INEGI; 2010.</w:t>
      </w:r>
    </w:p>
    <w:p>
      <w:pPr>
        <w:pStyle w:val="ListParagraph"/>
        <w:numPr>
          <w:ilvl w:val="0"/>
          <w:numId w:val="32"/>
        </w:numPr>
        <w:tabs>
          <w:tab w:pos="522" w:val="left" w:leader="none"/>
        </w:tabs>
        <w:spacing w:line="360" w:lineRule="auto" w:before="3" w:after="0"/>
        <w:ind w:left="522" w:right="180" w:hanging="360"/>
        <w:jc w:val="both"/>
        <w:rPr>
          <w:sz w:val="22"/>
        </w:rPr>
      </w:pPr>
      <w:r>
        <w:rPr>
          <w:sz w:val="22"/>
        </w:rPr>
        <w:t>Varona M, Cárdenas O, Crane C, Rocha S, Cuervo G, Vargas J. Alteraciones citogenéticas en trabajadoras con riesgo ocupacional de exposición a plaguicidas en cultivos de flores en Bogotá. Biomédica. 2003; 23:</w:t>
      </w:r>
      <w:r>
        <w:rPr>
          <w:spacing w:val="-15"/>
          <w:sz w:val="22"/>
        </w:rPr>
        <w:t> </w:t>
      </w:r>
      <w:r>
        <w:rPr>
          <w:sz w:val="22"/>
        </w:rPr>
        <w:t>141-152.</w:t>
      </w:r>
    </w:p>
    <w:p>
      <w:pPr>
        <w:pStyle w:val="ListParagraph"/>
        <w:numPr>
          <w:ilvl w:val="0"/>
          <w:numId w:val="32"/>
        </w:numPr>
        <w:tabs>
          <w:tab w:pos="522" w:val="left" w:leader="none"/>
          <w:tab w:pos="1760" w:val="left" w:leader="none"/>
          <w:tab w:pos="3044" w:val="left" w:leader="none"/>
          <w:tab w:pos="4163" w:val="left" w:leader="none"/>
          <w:tab w:pos="5422" w:val="left" w:leader="none"/>
          <w:tab w:pos="6981" w:val="left" w:leader="none"/>
          <w:tab w:pos="8692" w:val="left" w:leader="none"/>
        </w:tabs>
        <w:spacing w:line="360" w:lineRule="auto" w:before="3" w:after="0"/>
        <w:ind w:left="522" w:right="179" w:hanging="360"/>
        <w:jc w:val="left"/>
        <w:rPr>
          <w:sz w:val="22"/>
        </w:rPr>
      </w:pPr>
      <w:r>
        <w:rPr>
          <w:sz w:val="22"/>
        </w:rPr>
        <w:t>Cuenca P, Ramírez V. Mutagénesis ambiental y el uso de biomarcadores para  predecir el riesgo de cáncer. Rev. biol. trop [revista en la Internet]. 2004 Sep [citado 2012</w:t>
        <w:tab/>
        <w:t>Mayo</w:t>
        <w:tab/>
        <w:t>13];</w:t>
        <w:tab/>
        <w:t>52(3):</w:t>
        <w:tab/>
        <w:t>585-590.</w:t>
        <w:tab/>
        <w:t>Disponible</w:t>
        <w:tab/>
        <w:t>en: </w:t>
      </w:r>
      <w:hyperlink r:id="rId22">
        <w:r>
          <w:rPr>
            <w:sz w:val="22"/>
          </w:rPr>
          <w:t>http://www.scielo.sa.cr/scielo.php?script=sci_arttext&amp;pid=S0034-</w:t>
        </w:r>
      </w:hyperlink>
      <w:r>
        <w:rPr>
          <w:sz w:val="22"/>
        </w:rPr>
        <w:t> 77442004000300020&amp;lng=es.</w:t>
      </w:r>
    </w:p>
    <w:p>
      <w:pPr>
        <w:pStyle w:val="ListParagraph"/>
        <w:numPr>
          <w:ilvl w:val="0"/>
          <w:numId w:val="32"/>
        </w:numPr>
        <w:tabs>
          <w:tab w:pos="522" w:val="left" w:leader="none"/>
        </w:tabs>
        <w:spacing w:line="360" w:lineRule="auto" w:before="3" w:after="0"/>
        <w:ind w:left="522" w:right="183" w:hanging="360"/>
        <w:jc w:val="both"/>
        <w:rPr>
          <w:sz w:val="22"/>
        </w:rPr>
      </w:pPr>
      <w:r>
        <w:rPr>
          <w:sz w:val="22"/>
        </w:rPr>
        <w:t>Coles B, Ketterer B. The role of human glutathione and glutathione transferases in chemical carcinogenesis: Crit Rev Biochem Mol Biol. 1990; 25:</w:t>
      </w:r>
      <w:r>
        <w:rPr>
          <w:spacing w:val="-18"/>
          <w:sz w:val="22"/>
        </w:rPr>
        <w:t> </w:t>
      </w:r>
      <w:r>
        <w:rPr>
          <w:sz w:val="22"/>
        </w:rPr>
        <w:t>47.</w:t>
      </w:r>
    </w:p>
    <w:p>
      <w:pPr>
        <w:pStyle w:val="ListParagraph"/>
        <w:numPr>
          <w:ilvl w:val="0"/>
          <w:numId w:val="32"/>
        </w:numPr>
        <w:tabs>
          <w:tab w:pos="522" w:val="left" w:leader="none"/>
        </w:tabs>
        <w:spacing w:line="240" w:lineRule="auto" w:before="3" w:after="0"/>
        <w:ind w:left="522" w:right="0" w:hanging="360"/>
        <w:jc w:val="left"/>
        <w:rPr>
          <w:sz w:val="22"/>
        </w:rPr>
      </w:pPr>
      <w:r>
        <w:rPr>
          <w:sz w:val="22"/>
        </w:rPr>
        <w:t>Devlin MT. Bioquímica. 5°ed. USA: Reverté;</w:t>
      </w:r>
      <w:r>
        <w:rPr>
          <w:spacing w:val="-16"/>
          <w:sz w:val="22"/>
        </w:rPr>
        <w:t> </w:t>
      </w:r>
      <w:r>
        <w:rPr>
          <w:sz w:val="22"/>
        </w:rPr>
        <w:t>2004.</w:t>
      </w:r>
    </w:p>
    <w:p>
      <w:pPr>
        <w:pStyle w:val="ListParagraph"/>
        <w:numPr>
          <w:ilvl w:val="0"/>
          <w:numId w:val="32"/>
        </w:numPr>
        <w:tabs>
          <w:tab w:pos="522" w:val="left" w:leader="none"/>
        </w:tabs>
        <w:spacing w:line="360" w:lineRule="auto" w:before="126" w:after="0"/>
        <w:ind w:left="522" w:right="184" w:hanging="360"/>
        <w:jc w:val="both"/>
        <w:rPr>
          <w:sz w:val="22"/>
        </w:rPr>
      </w:pPr>
      <w:r>
        <w:rPr>
          <w:sz w:val="22"/>
        </w:rPr>
        <w:t>Tang J, Cao Y, Rose LR, Brimeld AA, Dai D, Goldstein AJ, Hodgson E. Metabolism of chlorpyrifos by human cytochrome P450 isoforms and human, mouse, and rat liver microsomes, Drug Metab. Dispos. 2001; 29:</w:t>
      </w:r>
      <w:r>
        <w:rPr>
          <w:spacing w:val="-15"/>
          <w:sz w:val="22"/>
        </w:rPr>
        <w:t> </w:t>
      </w:r>
      <w:r>
        <w:rPr>
          <w:sz w:val="22"/>
        </w:rPr>
        <w:t>1201-120.</w:t>
      </w:r>
    </w:p>
    <w:p>
      <w:pPr>
        <w:pStyle w:val="ListParagraph"/>
        <w:numPr>
          <w:ilvl w:val="0"/>
          <w:numId w:val="32"/>
        </w:numPr>
        <w:tabs>
          <w:tab w:pos="522" w:val="left" w:leader="none"/>
        </w:tabs>
        <w:spacing w:line="362" w:lineRule="auto" w:before="4" w:after="0"/>
        <w:ind w:left="522" w:right="177" w:hanging="360"/>
        <w:jc w:val="both"/>
        <w:rPr>
          <w:sz w:val="22"/>
        </w:rPr>
      </w:pPr>
      <w:r>
        <w:rPr>
          <w:sz w:val="22"/>
        </w:rPr>
        <w:t>Mutch E, Williams MF, Diazinon, chlorpyrifos and parathion are metabolized by multiple cytochromes P450 in human liver, Toxicology. 2006; 224:</w:t>
      </w:r>
      <w:r>
        <w:rPr>
          <w:spacing w:val="-20"/>
          <w:sz w:val="22"/>
        </w:rPr>
        <w:t> </w:t>
      </w:r>
      <w:r>
        <w:rPr>
          <w:sz w:val="22"/>
        </w:rPr>
        <w:t>2232.</w:t>
      </w:r>
    </w:p>
    <w:p>
      <w:pPr>
        <w:pStyle w:val="ListParagraph"/>
        <w:numPr>
          <w:ilvl w:val="0"/>
          <w:numId w:val="32"/>
        </w:numPr>
        <w:tabs>
          <w:tab w:pos="522" w:val="left" w:leader="none"/>
        </w:tabs>
        <w:spacing w:line="360" w:lineRule="auto" w:before="1" w:after="0"/>
        <w:ind w:left="522" w:right="175" w:hanging="360"/>
        <w:jc w:val="both"/>
        <w:rPr>
          <w:sz w:val="22"/>
        </w:rPr>
      </w:pPr>
      <w:r>
        <w:rPr>
          <w:sz w:val="22"/>
        </w:rPr>
        <w:t>Fujioka K, Casida EJ. Glutathione S-transferase conjugation of organophosphorus pesticides yields S-phospho-, S-aryl-, and S-alkylglutathione derivatives. Chem </w:t>
      </w:r>
      <w:r>
        <w:rPr>
          <w:spacing w:val="-3"/>
          <w:sz w:val="22"/>
        </w:rPr>
        <w:t>Res </w:t>
      </w:r>
      <w:r>
        <w:rPr>
          <w:sz w:val="22"/>
        </w:rPr>
        <w:t>Toxicol. 2007; 20:</w:t>
      </w:r>
      <w:r>
        <w:rPr>
          <w:spacing w:val="-8"/>
          <w:sz w:val="22"/>
        </w:rPr>
        <w:t> </w:t>
      </w:r>
      <w:r>
        <w:rPr>
          <w:sz w:val="22"/>
        </w:rPr>
        <w:t>1211-1217.</w:t>
      </w:r>
    </w:p>
    <w:p>
      <w:pPr>
        <w:pStyle w:val="ListParagraph"/>
        <w:numPr>
          <w:ilvl w:val="0"/>
          <w:numId w:val="32"/>
        </w:numPr>
        <w:tabs>
          <w:tab w:pos="522" w:val="left" w:leader="none"/>
        </w:tabs>
        <w:spacing w:line="360" w:lineRule="auto" w:before="3" w:after="0"/>
        <w:ind w:left="522" w:right="176" w:hanging="360"/>
        <w:jc w:val="both"/>
        <w:rPr>
          <w:sz w:val="22"/>
        </w:rPr>
      </w:pPr>
      <w:r>
        <w:rPr>
          <w:sz w:val="22"/>
        </w:rPr>
        <w:t>Sirgo G, Pérez JL, Renes E, Rubio M, Paredes S, García A, Hernández E, Morales P, Del  Rey  M,    Perales  N.  Role  of  plasminogen  activator  inhibitor-1  (PAI-1) </w:t>
      </w:r>
      <w:r>
        <w:rPr>
          <w:spacing w:val="35"/>
          <w:sz w:val="22"/>
        </w:rPr>
        <w:t> </w:t>
      </w:r>
      <w:r>
        <w:rPr>
          <w:sz w:val="22"/>
        </w:rPr>
        <w:t>4G/5G</w:t>
      </w:r>
    </w:p>
    <w:p>
      <w:pPr>
        <w:spacing w:after="0" w:line="360" w:lineRule="auto"/>
        <w:jc w:val="both"/>
        <w:rPr>
          <w:sz w:val="22"/>
        </w:rPr>
        <w:sectPr>
          <w:pgSz w:w="12240" w:h="15840"/>
          <w:pgMar w:header="733" w:footer="1039" w:top="1020" w:bottom="1220" w:left="1540" w:right="1520"/>
        </w:sectPr>
      </w:pPr>
    </w:p>
    <w:p>
      <w:pPr>
        <w:pStyle w:val="BodyText"/>
        <w:spacing w:before="8"/>
        <w:rPr>
          <w:sz w:val="17"/>
        </w:rPr>
      </w:pPr>
    </w:p>
    <w:p>
      <w:pPr>
        <w:spacing w:line="360" w:lineRule="auto" w:before="72"/>
        <w:ind w:left="521" w:right="178" w:firstLine="0"/>
        <w:jc w:val="both"/>
        <w:rPr>
          <w:sz w:val="22"/>
        </w:rPr>
      </w:pPr>
      <w:r>
        <w:rPr>
          <w:sz w:val="22"/>
        </w:rPr>
        <w:t>promoter polymorphism in cardiac surgery outcome: ventricular dysfunction, mortality, postoperative complications and functional recovery. Investigación Cardiovascular. 2004; 7: 116-130.</w:t>
      </w:r>
    </w:p>
    <w:p>
      <w:pPr>
        <w:pStyle w:val="ListParagraph"/>
        <w:numPr>
          <w:ilvl w:val="0"/>
          <w:numId w:val="32"/>
        </w:numPr>
        <w:tabs>
          <w:tab w:pos="522" w:val="left" w:leader="none"/>
        </w:tabs>
        <w:spacing w:line="360" w:lineRule="auto" w:before="3" w:after="0"/>
        <w:ind w:left="522" w:right="178" w:hanging="360"/>
        <w:jc w:val="both"/>
        <w:rPr>
          <w:sz w:val="22"/>
        </w:rPr>
      </w:pPr>
      <w:r>
        <w:rPr>
          <w:sz w:val="22"/>
        </w:rPr>
        <w:t>Checa CM. Polimorfismos genéticos: Importancia y aplicaciones. Instituto Nac Enferm Resp Méx. 2007; 20(3):</w:t>
      </w:r>
      <w:r>
        <w:rPr>
          <w:spacing w:val="-10"/>
          <w:sz w:val="22"/>
        </w:rPr>
        <w:t> </w:t>
      </w:r>
      <w:r>
        <w:rPr>
          <w:sz w:val="22"/>
        </w:rPr>
        <w:t>213-221.</w:t>
      </w:r>
    </w:p>
    <w:p>
      <w:pPr>
        <w:pStyle w:val="ListParagraph"/>
        <w:numPr>
          <w:ilvl w:val="0"/>
          <w:numId w:val="32"/>
        </w:numPr>
        <w:tabs>
          <w:tab w:pos="522" w:val="left" w:leader="none"/>
        </w:tabs>
        <w:spacing w:line="360" w:lineRule="auto" w:before="3" w:after="0"/>
        <w:ind w:left="522" w:right="176" w:hanging="360"/>
        <w:jc w:val="both"/>
        <w:rPr>
          <w:sz w:val="22"/>
        </w:rPr>
      </w:pPr>
      <w:r>
        <w:rPr>
          <w:sz w:val="22"/>
        </w:rPr>
        <w:t>Lozano GE, Reza GO, Urtiz EN, López GD and Vertiz HA. Genetics polymorphisms associated to type 2 diabetes mellitus. Rev  Mex Cienc Farma.  2010; 41 (4):</w:t>
      </w:r>
      <w:r>
        <w:rPr>
          <w:spacing w:val="-20"/>
          <w:sz w:val="22"/>
        </w:rPr>
        <w:t> </w:t>
      </w:r>
      <w:r>
        <w:rPr>
          <w:sz w:val="22"/>
        </w:rPr>
        <w:t>7-17.</w:t>
      </w:r>
    </w:p>
    <w:p>
      <w:pPr>
        <w:pStyle w:val="ListParagraph"/>
        <w:numPr>
          <w:ilvl w:val="0"/>
          <w:numId w:val="32"/>
        </w:numPr>
        <w:tabs>
          <w:tab w:pos="522" w:val="left" w:leader="none"/>
        </w:tabs>
        <w:spacing w:line="360" w:lineRule="auto" w:before="3" w:after="0"/>
        <w:ind w:left="522" w:right="177" w:hanging="360"/>
        <w:jc w:val="both"/>
        <w:rPr>
          <w:sz w:val="22"/>
        </w:rPr>
      </w:pPr>
      <w:r>
        <w:rPr>
          <w:sz w:val="22"/>
        </w:rPr>
        <w:t>Eaton LD, Bammler T. Concise review of the glutathione S-transferases and their significance to toxicology. Tox Sc. 1999; 49:</w:t>
      </w:r>
      <w:r>
        <w:rPr>
          <w:spacing w:val="-18"/>
          <w:sz w:val="22"/>
        </w:rPr>
        <w:t> </w:t>
      </w:r>
      <w:r>
        <w:rPr>
          <w:sz w:val="22"/>
        </w:rPr>
        <w:t>156-64.</w:t>
      </w:r>
    </w:p>
    <w:p>
      <w:pPr>
        <w:pStyle w:val="ListParagraph"/>
        <w:numPr>
          <w:ilvl w:val="0"/>
          <w:numId w:val="32"/>
        </w:numPr>
        <w:tabs>
          <w:tab w:pos="522" w:val="left" w:leader="none"/>
        </w:tabs>
        <w:spacing w:line="360" w:lineRule="auto" w:before="3" w:after="0"/>
        <w:ind w:left="522" w:right="173" w:hanging="360"/>
        <w:jc w:val="both"/>
        <w:rPr>
          <w:sz w:val="22"/>
        </w:rPr>
      </w:pPr>
      <w:r>
        <w:rPr>
          <w:sz w:val="22"/>
        </w:rPr>
        <w:t>Bolt </w:t>
      </w:r>
      <w:r>
        <w:rPr>
          <w:spacing w:val="-2"/>
          <w:sz w:val="22"/>
        </w:rPr>
        <w:t>HM, </w:t>
      </w:r>
      <w:r>
        <w:rPr>
          <w:sz w:val="22"/>
        </w:rPr>
        <w:t>Thier R. Relevance of the deletion polymorphisms of the glutathione </w:t>
      </w:r>
      <w:r>
        <w:rPr>
          <w:spacing w:val="2"/>
          <w:sz w:val="22"/>
        </w:rPr>
        <w:t>S- </w:t>
      </w:r>
      <w:r>
        <w:rPr>
          <w:sz w:val="22"/>
        </w:rPr>
        <w:t>transferases GSTT1 and GSTM1 in pharmacology and toxicology. Current Drug Metabolism. 2006;</w:t>
      </w:r>
      <w:r>
        <w:rPr>
          <w:spacing w:val="-7"/>
          <w:sz w:val="22"/>
        </w:rPr>
        <w:t> </w:t>
      </w:r>
      <w:r>
        <w:rPr>
          <w:sz w:val="22"/>
        </w:rPr>
        <w:t>7:613-628.</w:t>
      </w:r>
    </w:p>
    <w:p>
      <w:pPr>
        <w:pStyle w:val="ListParagraph"/>
        <w:numPr>
          <w:ilvl w:val="0"/>
          <w:numId w:val="32"/>
        </w:numPr>
        <w:tabs>
          <w:tab w:pos="522" w:val="left" w:leader="none"/>
        </w:tabs>
        <w:spacing w:line="360" w:lineRule="auto" w:before="3" w:after="0"/>
        <w:ind w:left="522" w:right="176" w:hanging="360"/>
        <w:jc w:val="both"/>
        <w:rPr>
          <w:sz w:val="22"/>
        </w:rPr>
      </w:pPr>
      <w:r>
        <w:rPr>
          <w:sz w:val="22"/>
        </w:rPr>
        <w:t>Hayes JD, Fanagan JU, Jowsey IR. Glutathione transferases. Ann Rev Pharmacol Toxicol</w:t>
      </w:r>
      <w:r>
        <w:rPr>
          <w:i/>
          <w:sz w:val="22"/>
        </w:rPr>
        <w:t>. </w:t>
      </w:r>
      <w:r>
        <w:rPr>
          <w:sz w:val="22"/>
        </w:rPr>
        <w:t>2005</w:t>
      </w:r>
      <w:r>
        <w:rPr>
          <w:i/>
          <w:sz w:val="22"/>
        </w:rPr>
        <w:t>; </w:t>
      </w:r>
      <w:r>
        <w:rPr>
          <w:sz w:val="22"/>
        </w:rPr>
        <w:t>45:</w:t>
      </w:r>
      <w:r>
        <w:rPr>
          <w:spacing w:val="-9"/>
          <w:sz w:val="22"/>
        </w:rPr>
        <w:t> </w:t>
      </w:r>
      <w:r>
        <w:rPr>
          <w:sz w:val="22"/>
        </w:rPr>
        <w:t>51-88.</w:t>
      </w:r>
    </w:p>
    <w:p>
      <w:pPr>
        <w:pStyle w:val="ListParagraph"/>
        <w:numPr>
          <w:ilvl w:val="0"/>
          <w:numId w:val="32"/>
        </w:numPr>
        <w:tabs>
          <w:tab w:pos="522" w:val="left" w:leader="none"/>
        </w:tabs>
        <w:spacing w:line="360" w:lineRule="auto" w:before="3" w:after="0"/>
        <w:ind w:left="522" w:right="176" w:hanging="360"/>
        <w:jc w:val="both"/>
        <w:rPr>
          <w:sz w:val="22"/>
        </w:rPr>
      </w:pPr>
      <w:r>
        <w:rPr>
          <w:sz w:val="22"/>
        </w:rPr>
        <w:t>Wilce MC and Parker MW. Structure and function of glutathione S-transferases. Biochim Biophys. 1994;</w:t>
      </w:r>
      <w:r>
        <w:rPr>
          <w:spacing w:val="-6"/>
          <w:sz w:val="22"/>
        </w:rPr>
        <w:t> </w:t>
      </w:r>
      <w:r>
        <w:rPr>
          <w:sz w:val="22"/>
        </w:rPr>
        <w:t>1:18.</w:t>
      </w:r>
    </w:p>
    <w:p>
      <w:pPr>
        <w:pStyle w:val="ListParagraph"/>
        <w:numPr>
          <w:ilvl w:val="0"/>
          <w:numId w:val="32"/>
        </w:numPr>
        <w:tabs>
          <w:tab w:pos="522" w:val="left" w:leader="none"/>
        </w:tabs>
        <w:spacing w:line="360" w:lineRule="auto" w:before="3" w:after="0"/>
        <w:ind w:left="522" w:right="177" w:hanging="360"/>
        <w:jc w:val="both"/>
        <w:rPr>
          <w:sz w:val="22"/>
        </w:rPr>
      </w:pPr>
      <w:r>
        <w:rPr>
          <w:sz w:val="22"/>
        </w:rPr>
        <w:t>Ikeda H, Serria MS, Kakisaki I, Hatayama I, Satoh K, Tsuchida S, Muramatsu M,  Nishin S, Sakai M. Activation of mouse Pi-class glutathione S-transferase gene by Nrf2 (NF-E2-related factor 2) and androgen. Biochem J. 2002; 364: 563-</w:t>
      </w:r>
      <w:r>
        <w:rPr>
          <w:spacing w:val="-19"/>
          <w:sz w:val="22"/>
        </w:rPr>
        <w:t> </w:t>
      </w:r>
      <w:r>
        <w:rPr>
          <w:sz w:val="22"/>
        </w:rPr>
        <w:t>570.</w:t>
      </w:r>
    </w:p>
    <w:p>
      <w:pPr>
        <w:pStyle w:val="ListParagraph"/>
        <w:numPr>
          <w:ilvl w:val="0"/>
          <w:numId w:val="32"/>
        </w:numPr>
        <w:tabs>
          <w:tab w:pos="522" w:val="left" w:leader="none"/>
        </w:tabs>
        <w:spacing w:line="360" w:lineRule="auto" w:before="3" w:after="0"/>
        <w:ind w:left="522" w:right="178" w:hanging="360"/>
        <w:jc w:val="both"/>
        <w:rPr>
          <w:sz w:val="22"/>
        </w:rPr>
      </w:pPr>
      <w:r>
        <w:rPr>
          <w:sz w:val="22"/>
        </w:rPr>
        <w:t>Oliveira AL, Rodríguez FO, Santos RE, Aoki T, Rocha </w:t>
      </w:r>
      <w:r>
        <w:rPr>
          <w:spacing w:val="-2"/>
          <w:sz w:val="22"/>
        </w:rPr>
        <w:t>MN, </w:t>
      </w:r>
      <w:r>
        <w:rPr>
          <w:sz w:val="22"/>
        </w:rPr>
        <w:t>Longui CA and Melo MB. GSTT1, GSTM1, and GSTP1 polymorphisms and chemotherapy response in locally advanced breast cancer. Gene Molec Res. 2010; 9(2):</w:t>
      </w:r>
      <w:r>
        <w:rPr>
          <w:spacing w:val="-11"/>
          <w:sz w:val="22"/>
        </w:rPr>
        <w:t> </w:t>
      </w:r>
      <w:r>
        <w:rPr>
          <w:sz w:val="22"/>
        </w:rPr>
        <w:t>1045-1053.</w:t>
      </w:r>
    </w:p>
    <w:p>
      <w:pPr>
        <w:pStyle w:val="ListParagraph"/>
        <w:numPr>
          <w:ilvl w:val="0"/>
          <w:numId w:val="32"/>
        </w:numPr>
        <w:tabs>
          <w:tab w:pos="522" w:val="left" w:leader="none"/>
        </w:tabs>
        <w:spacing w:line="360" w:lineRule="auto" w:before="3" w:after="0"/>
        <w:ind w:left="522" w:right="174" w:hanging="360"/>
        <w:jc w:val="both"/>
        <w:rPr>
          <w:sz w:val="22"/>
        </w:rPr>
      </w:pPr>
      <w:r>
        <w:rPr>
          <w:sz w:val="22"/>
        </w:rPr>
        <w:t>Laffon BL, Pérez CB, Méndez FJ. Influencia de determinados polimorfismos de enzimas metabólicas en la genotoxicidad del estireno. Premio Alcalíber de la Real Academia Nacional de Farmacia. 2004; 70:</w:t>
      </w:r>
      <w:r>
        <w:rPr>
          <w:spacing w:val="-8"/>
          <w:sz w:val="22"/>
        </w:rPr>
        <w:t> </w:t>
      </w:r>
      <w:r>
        <w:rPr>
          <w:sz w:val="22"/>
        </w:rPr>
        <w:t>95-123.</w:t>
      </w:r>
    </w:p>
    <w:p>
      <w:pPr>
        <w:pStyle w:val="ListParagraph"/>
        <w:numPr>
          <w:ilvl w:val="0"/>
          <w:numId w:val="32"/>
        </w:numPr>
        <w:tabs>
          <w:tab w:pos="522" w:val="left" w:leader="none"/>
        </w:tabs>
        <w:spacing w:line="360" w:lineRule="auto" w:before="3" w:after="0"/>
        <w:ind w:left="522" w:right="179" w:hanging="360"/>
        <w:jc w:val="both"/>
        <w:rPr>
          <w:sz w:val="22"/>
        </w:rPr>
      </w:pPr>
      <w:r>
        <w:rPr>
          <w:sz w:val="22"/>
        </w:rPr>
        <w:t>Castillo CJ, Contreras SC, Poblano RB, Posada RP y García JR. Actividad en la enzima Glutation S-transferasa T1 en floricultores expuestos a plaguicidas. Bioquímica. 2007; 32:</w:t>
      </w:r>
      <w:r>
        <w:rPr>
          <w:spacing w:val="-9"/>
          <w:sz w:val="22"/>
        </w:rPr>
        <w:t> </w:t>
      </w:r>
      <w:r>
        <w:rPr>
          <w:sz w:val="22"/>
        </w:rPr>
        <w:t>138.</w:t>
      </w:r>
    </w:p>
    <w:p>
      <w:pPr>
        <w:pStyle w:val="ListParagraph"/>
        <w:numPr>
          <w:ilvl w:val="0"/>
          <w:numId w:val="32"/>
        </w:numPr>
        <w:tabs>
          <w:tab w:pos="522" w:val="left" w:leader="none"/>
        </w:tabs>
        <w:spacing w:line="360" w:lineRule="auto" w:before="4" w:after="0"/>
        <w:ind w:left="522" w:right="176" w:hanging="360"/>
        <w:jc w:val="both"/>
        <w:rPr>
          <w:sz w:val="22"/>
        </w:rPr>
      </w:pPr>
      <w:r>
        <w:rPr>
          <w:sz w:val="22"/>
        </w:rPr>
        <w:t>Ali-Osman F, Akande O, Antoun G, Mao JX and Buolamwini J. Molecular cloning, characterization, and expression in </w:t>
      </w:r>
      <w:r>
        <w:rPr>
          <w:i/>
          <w:sz w:val="22"/>
        </w:rPr>
        <w:t>Escherichia coli </w:t>
      </w:r>
      <w:r>
        <w:rPr>
          <w:sz w:val="22"/>
        </w:rPr>
        <w:t>of full-length cDNAs of three human Glutathione </w:t>
      </w:r>
      <w:r>
        <w:rPr>
          <w:i/>
          <w:sz w:val="22"/>
        </w:rPr>
        <w:t>S</w:t>
      </w:r>
      <w:r>
        <w:rPr>
          <w:sz w:val="22"/>
        </w:rPr>
        <w:t>-Transferase Pi gene variants. J Biol Chem. 1997; 272(15): 10004–10012.</w:t>
      </w:r>
    </w:p>
    <w:p>
      <w:pPr>
        <w:pStyle w:val="ListParagraph"/>
        <w:numPr>
          <w:ilvl w:val="0"/>
          <w:numId w:val="32"/>
        </w:numPr>
        <w:tabs>
          <w:tab w:pos="522" w:val="left" w:leader="none"/>
        </w:tabs>
        <w:spacing w:line="360" w:lineRule="auto" w:before="3" w:after="0"/>
        <w:ind w:left="522" w:right="178" w:hanging="360"/>
        <w:jc w:val="both"/>
        <w:rPr>
          <w:sz w:val="22"/>
        </w:rPr>
      </w:pPr>
      <w:r>
        <w:rPr>
          <w:sz w:val="22"/>
        </w:rPr>
        <w:t>Leite JL, Morari CE, Granja F, Campos MG, Guilhen CA and Laura S. Ward SL. Influence of the glutathione s-transferase gene polymorphisms on the susceptibility to basal cell skin carcinoma. Rev Méd Chile. 2007</w:t>
      </w:r>
      <w:r>
        <w:rPr>
          <w:i/>
          <w:sz w:val="22"/>
        </w:rPr>
        <w:t>; </w:t>
      </w:r>
      <w:r>
        <w:rPr>
          <w:sz w:val="22"/>
        </w:rPr>
        <w:t>135:</w:t>
      </w:r>
      <w:r>
        <w:rPr>
          <w:spacing w:val="-15"/>
          <w:sz w:val="22"/>
        </w:rPr>
        <w:t> </w:t>
      </w:r>
      <w:r>
        <w:rPr>
          <w:sz w:val="22"/>
        </w:rPr>
        <w:t>301-306.</w:t>
      </w:r>
    </w:p>
    <w:p>
      <w:pPr>
        <w:spacing w:after="0" w:line="360" w:lineRule="auto"/>
        <w:jc w:val="both"/>
        <w:rPr>
          <w:sz w:val="22"/>
        </w:rPr>
        <w:sectPr>
          <w:pgSz w:w="12240" w:h="15840"/>
          <w:pgMar w:header="733" w:footer="1039" w:top="1020" w:bottom="1220" w:left="1540" w:right="1520"/>
        </w:sectPr>
      </w:pPr>
    </w:p>
    <w:p>
      <w:pPr>
        <w:pStyle w:val="BodyText"/>
        <w:spacing w:before="8"/>
        <w:rPr>
          <w:sz w:val="17"/>
        </w:rPr>
      </w:pPr>
    </w:p>
    <w:p>
      <w:pPr>
        <w:pStyle w:val="ListParagraph"/>
        <w:numPr>
          <w:ilvl w:val="0"/>
          <w:numId w:val="32"/>
        </w:numPr>
        <w:tabs>
          <w:tab w:pos="542" w:val="left" w:leader="none"/>
        </w:tabs>
        <w:spacing w:line="360" w:lineRule="auto" w:before="72" w:after="0"/>
        <w:ind w:left="542" w:right="175" w:hanging="360"/>
        <w:jc w:val="both"/>
        <w:rPr>
          <w:sz w:val="22"/>
        </w:rPr>
      </w:pPr>
      <w:r>
        <w:rPr>
          <w:sz w:val="22"/>
        </w:rPr>
        <w:t>Azofeifa A. Uso de marcadores moleculares en plantas; Aplicaciones en frutales del trópico. Agro Mesoam.  2006; 17 (2):</w:t>
      </w:r>
      <w:r>
        <w:rPr>
          <w:spacing w:val="-11"/>
          <w:sz w:val="22"/>
        </w:rPr>
        <w:t> </w:t>
      </w:r>
      <w:r>
        <w:rPr>
          <w:sz w:val="22"/>
        </w:rPr>
        <w:t>221-242.</w:t>
      </w:r>
    </w:p>
    <w:p>
      <w:pPr>
        <w:pStyle w:val="ListParagraph"/>
        <w:numPr>
          <w:ilvl w:val="0"/>
          <w:numId w:val="32"/>
        </w:numPr>
        <w:tabs>
          <w:tab w:pos="542" w:val="left" w:leader="none"/>
        </w:tabs>
        <w:spacing w:line="360" w:lineRule="auto" w:before="5" w:after="0"/>
        <w:ind w:left="542" w:right="176" w:hanging="360"/>
        <w:jc w:val="both"/>
        <w:rPr>
          <w:sz w:val="22"/>
        </w:rPr>
      </w:pPr>
      <w:r>
        <w:rPr>
          <w:sz w:val="22"/>
        </w:rPr>
        <w:t>Strachan T and Read A. 1999. Human Molecular Genetics 2. Wiley-Liss. New York. Chapter</w:t>
      </w:r>
      <w:r>
        <w:rPr>
          <w:spacing w:val="-1"/>
          <w:sz w:val="22"/>
        </w:rPr>
        <w:t> </w:t>
      </w:r>
      <w:r>
        <w:rPr>
          <w:sz w:val="22"/>
        </w:rPr>
        <w:t>2.</w:t>
      </w:r>
    </w:p>
    <w:p>
      <w:pPr>
        <w:pStyle w:val="ListParagraph"/>
        <w:numPr>
          <w:ilvl w:val="0"/>
          <w:numId w:val="32"/>
        </w:numPr>
        <w:tabs>
          <w:tab w:pos="466" w:val="left" w:leader="none"/>
        </w:tabs>
        <w:spacing w:line="360" w:lineRule="auto" w:before="3" w:after="0"/>
        <w:ind w:left="465" w:right="181" w:hanging="360"/>
        <w:jc w:val="both"/>
        <w:rPr>
          <w:sz w:val="22"/>
        </w:rPr>
      </w:pPr>
      <w:r>
        <w:rPr>
          <w:sz w:val="22"/>
        </w:rPr>
        <w:t>Singh S, Kumar V, Sing P, Thakur S, Dev Banerjee B, Singh RR, et al. Genetic polymorphisms of GSTM1, GSTT1, GSTP1 and susceptibility to DNA damage in workers occupationally exposed to organophosphate pesticides. J Mr Gen Tox. 2011; 725:36-42.</w:t>
      </w:r>
    </w:p>
    <w:p>
      <w:pPr>
        <w:pStyle w:val="ListParagraph"/>
        <w:numPr>
          <w:ilvl w:val="0"/>
          <w:numId w:val="32"/>
        </w:numPr>
        <w:tabs>
          <w:tab w:pos="466" w:val="left" w:leader="none"/>
        </w:tabs>
        <w:spacing w:line="360" w:lineRule="auto" w:before="3" w:after="0"/>
        <w:ind w:left="465" w:right="176" w:hanging="360"/>
        <w:jc w:val="both"/>
        <w:rPr>
          <w:sz w:val="22"/>
        </w:rPr>
      </w:pPr>
      <w:r>
        <w:rPr>
          <w:sz w:val="22"/>
        </w:rPr>
        <w:t>Castillo J, Tenorio-Vieyra L, Quintana-Carabia I, García-Fábila M, Juan ER-S, Madrigal- Bujaidar E. Determination of DNA Damage in Floricultorists exposed to Mixtures of Pesticides.  J Biomed  Biotech.</w:t>
      </w:r>
      <w:r>
        <w:rPr>
          <w:spacing w:val="-8"/>
          <w:sz w:val="22"/>
        </w:rPr>
        <w:t> </w:t>
      </w:r>
      <w:r>
        <w:rPr>
          <w:sz w:val="22"/>
        </w:rPr>
        <w:t>2006;1-12.</w:t>
      </w:r>
    </w:p>
    <w:p>
      <w:pPr>
        <w:pStyle w:val="ListParagraph"/>
        <w:numPr>
          <w:ilvl w:val="0"/>
          <w:numId w:val="32"/>
        </w:numPr>
        <w:tabs>
          <w:tab w:pos="466" w:val="left" w:leader="none"/>
        </w:tabs>
        <w:spacing w:line="360" w:lineRule="auto" w:before="5" w:after="0"/>
        <w:ind w:left="465" w:right="252" w:hanging="360"/>
        <w:jc w:val="left"/>
        <w:rPr>
          <w:sz w:val="22"/>
        </w:rPr>
      </w:pPr>
      <w:r>
        <w:rPr>
          <w:sz w:val="22"/>
        </w:rPr>
        <w:t>Resultados del Sistema de Vigilancia Epidemiológica de patologías Bucales SIVEPAB- 2010. Disponible en: </w:t>
      </w:r>
      <w:hyperlink r:id="rId23">
        <w:r>
          <w:rPr>
            <w:spacing w:val="-1"/>
            <w:sz w:val="22"/>
          </w:rPr>
          <w:t>http://cenavece.salud.gob.mx/programas/interior/saludbucal/descargas/pdf/sivepab201</w:t>
        </w:r>
      </w:hyperlink>
      <w:r>
        <w:rPr>
          <w:spacing w:val="-1"/>
          <w:sz w:val="22"/>
        </w:rPr>
        <w:t> </w:t>
      </w:r>
      <w:r>
        <w:rPr>
          <w:sz w:val="22"/>
        </w:rPr>
        <w:t>0_completo.pdf.  Acceso el 06 de marzo del</w:t>
      </w:r>
      <w:r>
        <w:rPr>
          <w:spacing w:val="-9"/>
          <w:sz w:val="22"/>
        </w:rPr>
        <w:t> </w:t>
      </w:r>
      <w:r>
        <w:rPr>
          <w:sz w:val="22"/>
        </w:rPr>
        <w:t>2012.</w:t>
      </w:r>
    </w:p>
    <w:p>
      <w:pPr>
        <w:pStyle w:val="ListParagraph"/>
        <w:numPr>
          <w:ilvl w:val="0"/>
          <w:numId w:val="32"/>
        </w:numPr>
        <w:tabs>
          <w:tab w:pos="466" w:val="left" w:leader="none"/>
        </w:tabs>
        <w:spacing w:line="360" w:lineRule="auto" w:before="3" w:after="0"/>
        <w:ind w:left="465" w:right="180" w:hanging="360"/>
        <w:jc w:val="both"/>
        <w:rPr>
          <w:sz w:val="22"/>
        </w:rPr>
      </w:pPr>
      <w:r>
        <w:rPr>
          <w:sz w:val="22"/>
        </w:rPr>
        <w:t>Irigoyen ME, Zepeda MA, Sánchez L, Molina N. Prevalencia e incidencia de caries dental y hábitos de higiene bucal en un grupo de escolares del sur de la Ciudad de México: estudio de seguimiento longitudinal. Rev ADM, 2001; </w:t>
      </w:r>
      <w:r>
        <w:rPr>
          <w:i/>
          <w:sz w:val="22"/>
        </w:rPr>
        <w:t>53</w:t>
      </w:r>
      <w:r>
        <w:rPr>
          <w:sz w:val="22"/>
        </w:rPr>
        <w:t>(3):</w:t>
      </w:r>
      <w:r>
        <w:rPr>
          <w:spacing w:val="-19"/>
          <w:sz w:val="22"/>
        </w:rPr>
        <w:t> </w:t>
      </w:r>
      <w:r>
        <w:rPr>
          <w:sz w:val="22"/>
        </w:rPr>
        <w:t>98-104.</w:t>
      </w:r>
    </w:p>
    <w:p>
      <w:pPr>
        <w:pStyle w:val="ListParagraph"/>
        <w:numPr>
          <w:ilvl w:val="0"/>
          <w:numId w:val="32"/>
        </w:numPr>
        <w:tabs>
          <w:tab w:pos="466" w:val="left" w:leader="none"/>
        </w:tabs>
        <w:spacing w:line="360" w:lineRule="auto" w:before="3" w:after="0"/>
        <w:ind w:left="465" w:right="182" w:hanging="360"/>
        <w:jc w:val="both"/>
        <w:rPr>
          <w:sz w:val="22"/>
        </w:rPr>
      </w:pPr>
      <w:r>
        <w:rPr>
          <w:sz w:val="22"/>
        </w:rPr>
        <w:t>Deshpande A, Deshpande N. Similar caries pattern in monozygotic twins: Role of  nature and/or nurture. Euro  Gen Dent. 2012; 1:</w:t>
      </w:r>
      <w:r>
        <w:rPr>
          <w:spacing w:val="-16"/>
          <w:sz w:val="22"/>
        </w:rPr>
        <w:t> </w:t>
      </w:r>
      <w:r>
        <w:rPr>
          <w:sz w:val="22"/>
        </w:rPr>
        <w:t>104-108.</w:t>
      </w:r>
    </w:p>
    <w:p>
      <w:pPr>
        <w:pStyle w:val="ListParagraph"/>
        <w:numPr>
          <w:ilvl w:val="0"/>
          <w:numId w:val="32"/>
        </w:numPr>
        <w:tabs>
          <w:tab w:pos="466" w:val="left" w:leader="none"/>
        </w:tabs>
        <w:spacing w:line="360" w:lineRule="auto" w:before="5" w:after="0"/>
        <w:ind w:left="465" w:right="177" w:hanging="360"/>
        <w:jc w:val="both"/>
        <w:rPr>
          <w:sz w:val="22"/>
        </w:rPr>
      </w:pPr>
      <w:r>
        <w:rPr>
          <w:sz w:val="22"/>
        </w:rPr>
        <w:t>Townsend GC, Richards LC, Brown T, Burgess VB. Twin zygosity determination on the basis of dental morphology. J Forensic Odontostomatol</w:t>
      </w:r>
      <w:r>
        <w:rPr>
          <w:spacing w:val="-16"/>
          <w:sz w:val="22"/>
        </w:rPr>
        <w:t> </w:t>
      </w:r>
      <w:r>
        <w:rPr>
          <w:sz w:val="22"/>
        </w:rPr>
        <w:t>1988;6:1-15</w:t>
      </w:r>
    </w:p>
    <w:p>
      <w:pPr>
        <w:pStyle w:val="ListParagraph"/>
        <w:numPr>
          <w:ilvl w:val="0"/>
          <w:numId w:val="32"/>
        </w:numPr>
        <w:tabs>
          <w:tab w:pos="466" w:val="left" w:leader="none"/>
        </w:tabs>
        <w:spacing w:line="360" w:lineRule="auto" w:before="3" w:after="0"/>
        <w:ind w:left="465" w:right="175" w:hanging="360"/>
        <w:jc w:val="both"/>
        <w:rPr>
          <w:sz w:val="22"/>
        </w:rPr>
      </w:pPr>
      <w:r>
        <w:rPr>
          <w:sz w:val="22"/>
        </w:rPr>
        <w:t>Bretz WA, Corby PM, Schork NJ, Robinson MT, Coelho M, Costa S, </w:t>
      </w:r>
      <w:r>
        <w:rPr>
          <w:i/>
          <w:sz w:val="22"/>
        </w:rPr>
        <w:t>et al</w:t>
      </w:r>
      <w:r>
        <w:rPr>
          <w:sz w:val="22"/>
        </w:rPr>
        <w:t>. Longitudinal analysis of heritability for dental caries traits. J Dent Res, 2005; 84:</w:t>
      </w:r>
      <w:r>
        <w:rPr>
          <w:spacing w:val="-23"/>
          <w:sz w:val="22"/>
        </w:rPr>
        <w:t> </w:t>
      </w:r>
      <w:r>
        <w:rPr>
          <w:sz w:val="22"/>
        </w:rPr>
        <w:t>1047-51.</w:t>
      </w:r>
    </w:p>
    <w:p>
      <w:pPr>
        <w:pStyle w:val="ListParagraph"/>
        <w:numPr>
          <w:ilvl w:val="0"/>
          <w:numId w:val="32"/>
        </w:numPr>
        <w:tabs>
          <w:tab w:pos="610" w:val="left" w:leader="none"/>
        </w:tabs>
        <w:spacing w:line="360" w:lineRule="auto" w:before="3" w:after="0"/>
        <w:ind w:left="465" w:right="175" w:hanging="360"/>
        <w:jc w:val="both"/>
        <w:rPr>
          <w:sz w:val="22"/>
        </w:rPr>
      </w:pPr>
      <w:r>
        <w:rPr>
          <w:sz w:val="22"/>
        </w:rPr>
        <w:t>Conry JP, Messer LB, Boraas JC, Aeppli DP, Bouchard TJ Jr. Dental caries and treatment characteristics in human twins reared apart. Arch Oral Biol, 1993; 38:</w:t>
      </w:r>
      <w:r>
        <w:rPr>
          <w:spacing w:val="-25"/>
          <w:sz w:val="22"/>
        </w:rPr>
        <w:t> </w:t>
      </w:r>
      <w:r>
        <w:rPr>
          <w:sz w:val="22"/>
        </w:rPr>
        <w:t>937-43.</w:t>
      </w:r>
    </w:p>
    <w:p>
      <w:pPr>
        <w:pStyle w:val="ListParagraph"/>
        <w:numPr>
          <w:ilvl w:val="0"/>
          <w:numId w:val="32"/>
        </w:numPr>
        <w:tabs>
          <w:tab w:pos="610" w:val="left" w:leader="none"/>
        </w:tabs>
        <w:spacing w:line="360" w:lineRule="auto" w:before="3" w:after="0"/>
        <w:ind w:left="465" w:right="184" w:hanging="360"/>
        <w:jc w:val="both"/>
        <w:rPr>
          <w:sz w:val="22"/>
        </w:rPr>
      </w:pPr>
      <w:r>
        <w:rPr>
          <w:sz w:val="22"/>
        </w:rPr>
        <w:t>Wendell S, Wang X, Brown M, Cooper ME, DeSensi RS, Weyant RJ, Crout R, et al. Taste genes associated with dental caries. J Dent Res, 2010; 89(11):</w:t>
      </w:r>
      <w:r>
        <w:rPr>
          <w:spacing w:val="-21"/>
          <w:sz w:val="22"/>
        </w:rPr>
        <w:t> </w:t>
      </w:r>
      <w:r>
        <w:rPr>
          <w:sz w:val="22"/>
        </w:rPr>
        <w:t>1198–1202.</w:t>
      </w:r>
    </w:p>
    <w:p>
      <w:pPr>
        <w:pStyle w:val="ListParagraph"/>
        <w:numPr>
          <w:ilvl w:val="0"/>
          <w:numId w:val="32"/>
        </w:numPr>
        <w:tabs>
          <w:tab w:pos="610" w:val="left" w:leader="none"/>
        </w:tabs>
        <w:spacing w:line="360" w:lineRule="auto" w:before="4" w:after="0"/>
        <w:ind w:left="465" w:right="175" w:hanging="360"/>
        <w:jc w:val="both"/>
        <w:rPr>
          <w:sz w:val="22"/>
        </w:rPr>
      </w:pPr>
      <w:r>
        <w:rPr>
          <w:sz w:val="22"/>
        </w:rPr>
        <w:t>Davies SM, Robison LL, Buckley JD, et al: Glutathione S-transferase polymorphisms in children with myeloid leukemia: A Children's Cancer Group study. Cancer Epidemiol Biomarkers Prev, 2000; 9:</w:t>
      </w:r>
      <w:r>
        <w:rPr>
          <w:spacing w:val="-10"/>
          <w:sz w:val="22"/>
        </w:rPr>
        <w:t> </w:t>
      </w:r>
      <w:r>
        <w:rPr>
          <w:sz w:val="22"/>
        </w:rPr>
        <w:t>563-566.</w:t>
      </w:r>
    </w:p>
    <w:p>
      <w:pPr>
        <w:pStyle w:val="ListParagraph"/>
        <w:numPr>
          <w:ilvl w:val="0"/>
          <w:numId w:val="32"/>
        </w:numPr>
        <w:tabs>
          <w:tab w:pos="610" w:val="left" w:leader="none"/>
        </w:tabs>
        <w:spacing w:line="360" w:lineRule="auto" w:before="3" w:after="0"/>
        <w:ind w:left="465" w:right="175" w:hanging="360"/>
        <w:jc w:val="both"/>
        <w:rPr>
          <w:sz w:val="22"/>
        </w:rPr>
      </w:pPr>
      <w:r>
        <w:rPr>
          <w:sz w:val="22"/>
        </w:rPr>
        <w:t>Joseph T, Kusumakumary P, Chacko P, Abraham A, Radhakrishna PM. Genetic polymorphism of </w:t>
      </w:r>
      <w:r>
        <w:rPr>
          <w:i/>
          <w:sz w:val="22"/>
        </w:rPr>
        <w:t>CYP1A1</w:t>
      </w:r>
      <w:r>
        <w:rPr>
          <w:sz w:val="22"/>
        </w:rPr>
        <w:t>, </w:t>
      </w:r>
      <w:r>
        <w:rPr>
          <w:i/>
          <w:sz w:val="22"/>
        </w:rPr>
        <w:t>CYP2D6</w:t>
      </w:r>
      <w:r>
        <w:rPr>
          <w:sz w:val="22"/>
        </w:rPr>
        <w:t>, </w:t>
      </w:r>
      <w:r>
        <w:rPr>
          <w:i/>
          <w:sz w:val="22"/>
        </w:rPr>
        <w:t>GSTM1 </w:t>
      </w:r>
      <w:r>
        <w:rPr>
          <w:sz w:val="22"/>
        </w:rPr>
        <w:t>and </w:t>
      </w:r>
      <w:r>
        <w:rPr>
          <w:i/>
          <w:sz w:val="22"/>
        </w:rPr>
        <w:t>GSTT1 </w:t>
      </w:r>
      <w:r>
        <w:rPr>
          <w:sz w:val="22"/>
        </w:rPr>
        <w:t>and susceptibility to acute lymphoblastic leukaemia in Indian children. Pediatr. Blood Cancer, 2004; 43:</w:t>
      </w:r>
      <w:r>
        <w:rPr>
          <w:spacing w:val="-22"/>
          <w:sz w:val="22"/>
        </w:rPr>
        <w:t> </w:t>
      </w:r>
      <w:r>
        <w:rPr>
          <w:sz w:val="22"/>
        </w:rPr>
        <w:t>560–567.</w:t>
      </w:r>
    </w:p>
    <w:p>
      <w:pPr>
        <w:spacing w:after="0" w:line="360" w:lineRule="auto"/>
        <w:jc w:val="both"/>
        <w:rPr>
          <w:sz w:val="22"/>
        </w:rPr>
        <w:sectPr>
          <w:pgSz w:w="12240" w:h="15840"/>
          <w:pgMar w:header="733" w:footer="1039" w:top="1020" w:bottom="1220" w:left="1520" w:right="1520"/>
        </w:sectPr>
      </w:pPr>
    </w:p>
    <w:p>
      <w:pPr>
        <w:pStyle w:val="BodyText"/>
        <w:spacing w:before="8"/>
        <w:rPr>
          <w:sz w:val="17"/>
        </w:rPr>
      </w:pPr>
    </w:p>
    <w:p>
      <w:pPr>
        <w:pStyle w:val="ListParagraph"/>
        <w:numPr>
          <w:ilvl w:val="0"/>
          <w:numId w:val="32"/>
        </w:numPr>
        <w:tabs>
          <w:tab w:pos="610" w:val="left" w:leader="none"/>
        </w:tabs>
        <w:spacing w:line="360" w:lineRule="auto" w:before="72" w:after="0"/>
        <w:ind w:left="465" w:right="174" w:hanging="360"/>
        <w:jc w:val="both"/>
        <w:rPr>
          <w:sz w:val="22"/>
        </w:rPr>
      </w:pPr>
      <w:r>
        <w:rPr>
          <w:sz w:val="22"/>
        </w:rPr>
        <w:t>Brockstedt U, Krajinovic M, Richer C, Mathonnet G, Sinnett D, Pfau </w:t>
      </w:r>
      <w:r>
        <w:rPr>
          <w:spacing w:val="3"/>
          <w:sz w:val="22"/>
        </w:rPr>
        <w:t>W, </w:t>
      </w:r>
      <w:r>
        <w:rPr>
          <w:sz w:val="22"/>
        </w:rPr>
        <w:t>et al. Analyses of bulky DNA adduct levels in human breast tissue and genetic polymorphisms </w:t>
      </w:r>
      <w:r>
        <w:rPr>
          <w:spacing w:val="-3"/>
          <w:sz w:val="22"/>
        </w:rPr>
        <w:t>of </w:t>
      </w:r>
      <w:r>
        <w:rPr>
          <w:sz w:val="22"/>
        </w:rPr>
        <w:t>cytochromes P450 (CYPs), myeloperoxidase (MPO), quinone oxidoreductase (NQO1), and glutathione S-transferases (GSTs). Mutat. Res. 2002; 516,</w:t>
      </w:r>
      <w:r>
        <w:rPr>
          <w:spacing w:val="-19"/>
          <w:sz w:val="22"/>
        </w:rPr>
        <w:t> </w:t>
      </w:r>
      <w:r>
        <w:rPr>
          <w:sz w:val="22"/>
        </w:rPr>
        <w:t>41–47.</w:t>
      </w:r>
    </w:p>
    <w:p>
      <w:pPr>
        <w:pStyle w:val="ListParagraph"/>
        <w:numPr>
          <w:ilvl w:val="0"/>
          <w:numId w:val="32"/>
        </w:numPr>
        <w:tabs>
          <w:tab w:pos="610" w:val="left" w:leader="none"/>
        </w:tabs>
        <w:spacing w:line="360" w:lineRule="auto" w:before="3" w:after="0"/>
        <w:ind w:left="465" w:right="177" w:hanging="360"/>
        <w:jc w:val="both"/>
        <w:rPr>
          <w:sz w:val="22"/>
        </w:rPr>
      </w:pPr>
      <w:r>
        <w:rPr>
          <w:sz w:val="22"/>
        </w:rPr>
        <w:t>Zhi-Jiang Zhang, Genmig Zhao, Guo-Xin Jiang, Yiging Song. Xiaohui Xu, Jin Ma. Glutathione S-Tranferase M1 (GSTM1) and Glutathione S-Tranferase T1 (GSTT1) Null Polymorphisms, Smoking, and Their Interaction in Oral Cancer: A Huge Review and Meta-Analysis. Am. J. Epidemiol, 2011; 173 (8):</w:t>
      </w:r>
      <w:r>
        <w:rPr>
          <w:spacing w:val="-15"/>
          <w:sz w:val="22"/>
        </w:rPr>
        <w:t> </w:t>
      </w:r>
      <w:r>
        <w:rPr>
          <w:sz w:val="22"/>
        </w:rPr>
        <w:t>847-857.</w:t>
      </w:r>
    </w:p>
    <w:p>
      <w:pPr>
        <w:pStyle w:val="ListParagraph"/>
        <w:numPr>
          <w:ilvl w:val="0"/>
          <w:numId w:val="32"/>
        </w:numPr>
        <w:tabs>
          <w:tab w:pos="610" w:val="left" w:leader="none"/>
        </w:tabs>
        <w:spacing w:line="360" w:lineRule="auto" w:before="3" w:after="0"/>
        <w:ind w:left="465" w:right="175" w:hanging="360"/>
        <w:jc w:val="both"/>
        <w:rPr>
          <w:sz w:val="22"/>
        </w:rPr>
      </w:pPr>
      <w:r>
        <w:rPr>
          <w:sz w:val="22"/>
        </w:rPr>
        <w:t>Devasena A, Pranay MC, Sadhana K, Rajani AB, Manoj BM. Susceptibility to oral cancer by genetic polymorphisms at CYP1A1, GSTM1 and GSTT1 loci among Indians, tobacco exposure as a risk modulator. Carcinogenesis. 2007; 28,</w:t>
      </w:r>
      <w:r>
        <w:rPr>
          <w:spacing w:val="-13"/>
          <w:sz w:val="22"/>
        </w:rPr>
        <w:t> </w:t>
      </w:r>
      <w:r>
        <w:rPr>
          <w:sz w:val="22"/>
        </w:rPr>
        <w:t>1455-62</w:t>
      </w:r>
    </w:p>
    <w:p>
      <w:pPr>
        <w:pStyle w:val="ListParagraph"/>
        <w:numPr>
          <w:ilvl w:val="0"/>
          <w:numId w:val="32"/>
        </w:numPr>
        <w:tabs>
          <w:tab w:pos="610" w:val="left" w:leader="none"/>
        </w:tabs>
        <w:spacing w:line="360" w:lineRule="auto" w:before="5" w:after="0"/>
        <w:ind w:left="465" w:right="176" w:hanging="360"/>
        <w:jc w:val="both"/>
        <w:rPr>
          <w:sz w:val="22"/>
        </w:rPr>
      </w:pPr>
      <w:r>
        <w:rPr>
          <w:sz w:val="22"/>
        </w:rPr>
        <w:t>Iarmarcovai G, Bonassi S, Botta A, Baan RA, Orsière T. Genetic polymorphisms and micronucleus formation: A review of the literature. Mut  Res/Rev Mut Res. 2008; 658  (3);</w:t>
      </w:r>
      <w:r>
        <w:rPr>
          <w:spacing w:val="-4"/>
          <w:sz w:val="22"/>
        </w:rPr>
        <w:t> </w:t>
      </w:r>
      <w:r>
        <w:rPr>
          <w:sz w:val="22"/>
        </w:rPr>
        <w:t>215-233.</w:t>
      </w:r>
    </w:p>
    <w:p>
      <w:pPr>
        <w:pStyle w:val="ListParagraph"/>
        <w:numPr>
          <w:ilvl w:val="0"/>
          <w:numId w:val="32"/>
        </w:numPr>
        <w:tabs>
          <w:tab w:pos="610" w:val="left" w:leader="none"/>
        </w:tabs>
        <w:spacing w:line="360" w:lineRule="auto" w:before="3" w:after="0"/>
        <w:ind w:left="465" w:right="174" w:hanging="360"/>
        <w:jc w:val="both"/>
        <w:rPr>
          <w:sz w:val="22"/>
        </w:rPr>
      </w:pPr>
      <w:r>
        <w:rPr>
          <w:sz w:val="22"/>
        </w:rPr>
        <w:t>Liu YJ, Huang PL, Chang YF, Chen YH, Chiou YH, Xu ZL, Wong RH.  GSTP1  Genetic Polymorphism Is Associated with a Higher Risk of DNA Damage in Pesticide- Exposed Fruit Growers. Cancer Epidemiol Biom Prev,</w:t>
      </w:r>
      <w:r>
        <w:rPr>
          <w:spacing w:val="-20"/>
          <w:sz w:val="22"/>
        </w:rPr>
        <w:t> </w:t>
      </w:r>
      <w:r>
        <w:rPr>
          <w:sz w:val="22"/>
        </w:rPr>
        <w:t>2006;15(4):659-666</w:t>
      </w:r>
    </w:p>
    <w:p>
      <w:pPr>
        <w:pStyle w:val="ListParagraph"/>
        <w:numPr>
          <w:ilvl w:val="0"/>
          <w:numId w:val="32"/>
        </w:numPr>
        <w:tabs>
          <w:tab w:pos="610" w:val="left" w:leader="none"/>
        </w:tabs>
        <w:spacing w:line="360" w:lineRule="auto" w:before="3" w:after="0"/>
        <w:ind w:left="465" w:right="177" w:hanging="360"/>
        <w:jc w:val="both"/>
        <w:rPr>
          <w:sz w:val="22"/>
        </w:rPr>
      </w:pPr>
      <w:r>
        <w:rPr>
          <w:sz w:val="22"/>
        </w:rPr>
        <w:t>Cho HJ, Lee SY, Ki CS, Kim JW. GSTM1, GSTT1 and GSTP1 Polymorphisms in the Korean Population.   J Korean Med Sci. 2005; 20(6):</w:t>
      </w:r>
      <w:r>
        <w:rPr>
          <w:spacing w:val="-12"/>
          <w:sz w:val="22"/>
        </w:rPr>
        <w:t> </w:t>
      </w:r>
      <w:r>
        <w:rPr>
          <w:sz w:val="22"/>
        </w:rPr>
        <w:t>1089-1092.</w:t>
      </w:r>
    </w:p>
    <w:p>
      <w:pPr>
        <w:pStyle w:val="ListParagraph"/>
        <w:numPr>
          <w:ilvl w:val="0"/>
          <w:numId w:val="32"/>
        </w:numPr>
        <w:tabs>
          <w:tab w:pos="610" w:val="left" w:leader="none"/>
        </w:tabs>
        <w:spacing w:line="360" w:lineRule="auto" w:before="3" w:after="0"/>
        <w:ind w:left="465" w:right="173" w:hanging="360"/>
        <w:jc w:val="both"/>
        <w:rPr>
          <w:sz w:val="22"/>
        </w:rPr>
      </w:pPr>
      <w:r>
        <w:rPr>
          <w:sz w:val="22"/>
        </w:rPr>
        <w:t>Chen CL, Liu Q, Relling MV. Simultaneous characterization of glutathione S- transferase M1 and T1 polymorphisms by polymerase chain reaction in  American whites and blacks. Pharmacogenetics 1996; 6:</w:t>
      </w:r>
      <w:r>
        <w:rPr>
          <w:spacing w:val="-14"/>
          <w:sz w:val="22"/>
        </w:rPr>
        <w:t> </w:t>
      </w:r>
      <w:r>
        <w:rPr>
          <w:sz w:val="22"/>
        </w:rPr>
        <w:t>187–191.</w:t>
      </w:r>
    </w:p>
    <w:p>
      <w:pPr>
        <w:pStyle w:val="ListParagraph"/>
        <w:numPr>
          <w:ilvl w:val="0"/>
          <w:numId w:val="32"/>
        </w:numPr>
        <w:tabs>
          <w:tab w:pos="610" w:val="left" w:leader="none"/>
        </w:tabs>
        <w:spacing w:line="360" w:lineRule="auto" w:before="3" w:after="0"/>
        <w:ind w:left="465" w:right="176" w:hanging="360"/>
        <w:jc w:val="both"/>
        <w:rPr>
          <w:sz w:val="22"/>
        </w:rPr>
      </w:pPr>
      <w:r>
        <w:rPr>
          <w:sz w:val="22"/>
        </w:rPr>
        <w:t>Naoe T, Takeyama K, Yokozawa T, Kiyoi H, Seto M, Uike N, Ino T, et al. Analysis of genetic polymorphism in NQ01, GSTM1, GSTT1, and CYP3A4 in 469 Japanese patients with therapy-related leukemic/myelodysplastic syndrome and de novo acute myeloid leukemia. Clin Cancer Res 2000; 6:</w:t>
      </w:r>
      <w:r>
        <w:rPr>
          <w:spacing w:val="-17"/>
          <w:sz w:val="22"/>
        </w:rPr>
        <w:t> </w:t>
      </w:r>
      <w:r>
        <w:rPr>
          <w:sz w:val="22"/>
        </w:rPr>
        <w:t>4091–4095.</w:t>
      </w:r>
    </w:p>
    <w:p>
      <w:pPr>
        <w:pStyle w:val="ListParagraph"/>
        <w:numPr>
          <w:ilvl w:val="0"/>
          <w:numId w:val="32"/>
        </w:numPr>
        <w:tabs>
          <w:tab w:pos="610" w:val="left" w:leader="none"/>
        </w:tabs>
        <w:spacing w:line="360" w:lineRule="auto" w:before="3" w:after="0"/>
        <w:ind w:left="465" w:right="176" w:hanging="360"/>
        <w:jc w:val="both"/>
        <w:rPr>
          <w:sz w:val="22"/>
        </w:rPr>
      </w:pPr>
      <w:r>
        <w:rPr>
          <w:sz w:val="22"/>
        </w:rPr>
        <w:t>World Health Organization. The World Oral Health Report 2003: continuous improvement of oral health in the 21st century - the approach of the WHO Global Oral Health Programme. Geneva, WHO,</w:t>
      </w:r>
      <w:r>
        <w:rPr>
          <w:spacing w:val="-10"/>
          <w:sz w:val="22"/>
        </w:rPr>
        <w:t> </w:t>
      </w:r>
      <w:r>
        <w:rPr>
          <w:sz w:val="22"/>
        </w:rPr>
        <w:t>2003.</w:t>
      </w:r>
    </w:p>
    <w:p>
      <w:pPr>
        <w:spacing w:after="0" w:line="360" w:lineRule="auto"/>
        <w:jc w:val="both"/>
        <w:rPr>
          <w:sz w:val="22"/>
        </w:rPr>
        <w:sectPr>
          <w:pgSz w:w="12240" w:h="15840"/>
          <w:pgMar w:header="733" w:footer="1039" w:top="1020" w:bottom="1220" w:left="1520" w:right="1520"/>
        </w:sectPr>
      </w:pPr>
    </w:p>
    <w:p>
      <w:pPr>
        <w:pStyle w:val="BodyText"/>
        <w:rPr>
          <w:sz w:val="20"/>
        </w:rPr>
      </w:pPr>
    </w:p>
    <w:p>
      <w:pPr>
        <w:pStyle w:val="BodyText"/>
        <w:rPr>
          <w:sz w:val="20"/>
        </w:rPr>
      </w:pPr>
    </w:p>
    <w:p>
      <w:pPr>
        <w:pStyle w:val="BodyText"/>
        <w:spacing w:before="4"/>
        <w:rPr>
          <w:sz w:val="23"/>
        </w:rPr>
      </w:pPr>
    </w:p>
    <w:p>
      <w:pPr>
        <w:pStyle w:val="Heading1"/>
        <w:numPr>
          <w:ilvl w:val="0"/>
          <w:numId w:val="15"/>
        </w:numPr>
        <w:tabs>
          <w:tab w:pos="4281" w:val="left" w:leader="none"/>
        </w:tabs>
        <w:spacing w:line="240" w:lineRule="auto" w:before="65" w:after="0"/>
        <w:ind w:left="4280" w:right="0" w:hanging="580"/>
        <w:jc w:val="left"/>
      </w:pPr>
      <w:bookmarkStart w:name="_TOC_250000" w:id="41"/>
      <w:bookmarkEnd w:id="41"/>
      <w:r>
        <w:rPr/>
        <w:t>ANEXOS</w:t>
      </w:r>
    </w:p>
    <w:p>
      <w:pPr>
        <w:pStyle w:val="Heading2"/>
        <w:spacing w:before="250"/>
        <w:ind w:right="126"/>
        <w:jc w:val="left"/>
      </w:pPr>
      <w:r>
        <w:rPr/>
        <w:t>1.  Carta de Consentimiento Informado</w:t>
      </w:r>
    </w:p>
    <w:p>
      <w:pPr>
        <w:pStyle w:val="BodyText"/>
        <w:spacing w:before="7"/>
        <w:rPr>
          <w:b/>
          <w:sz w:val="20"/>
        </w:rPr>
      </w:pPr>
    </w:p>
    <w:p>
      <w:pPr>
        <w:spacing w:before="0"/>
        <w:ind w:left="3613" w:right="1144" w:hanging="1244"/>
        <w:jc w:val="left"/>
        <w:rPr>
          <w:b/>
          <w:sz w:val="22"/>
        </w:rPr>
      </w:pPr>
      <w:r>
        <w:rPr/>
        <w:drawing>
          <wp:anchor distT="0" distB="0" distL="0" distR="0" allowOverlap="1" layoutInCell="1" locked="0" behindDoc="0" simplePos="0" relativeHeight="1288">
            <wp:simplePos x="0" y="0"/>
            <wp:positionH relativeFrom="page">
              <wp:posOffset>1061085</wp:posOffset>
            </wp:positionH>
            <wp:positionV relativeFrom="paragraph">
              <wp:posOffset>5434</wp:posOffset>
            </wp:positionV>
            <wp:extent cx="677545" cy="605790"/>
            <wp:effectExtent l="0" t="0" r="0" b="0"/>
            <wp:wrapNone/>
            <wp:docPr id="9" name="image10.jpeg" descr=""/>
            <wp:cNvGraphicFramePr>
              <a:graphicFrameLocks noChangeAspect="1"/>
            </wp:cNvGraphicFramePr>
            <a:graphic>
              <a:graphicData uri="http://schemas.openxmlformats.org/drawingml/2006/picture">
                <pic:pic>
                  <pic:nvPicPr>
                    <pic:cNvPr id="10" name="image10.jpeg"/>
                    <pic:cNvPicPr/>
                  </pic:nvPicPr>
                  <pic:blipFill>
                    <a:blip r:embed="rId24" cstate="print"/>
                    <a:stretch>
                      <a:fillRect/>
                    </a:stretch>
                  </pic:blipFill>
                  <pic:spPr>
                    <a:xfrm>
                      <a:off x="0" y="0"/>
                      <a:ext cx="677545" cy="605790"/>
                    </a:xfrm>
                    <a:prstGeom prst="rect">
                      <a:avLst/>
                    </a:prstGeom>
                  </pic:spPr>
                </pic:pic>
              </a:graphicData>
            </a:graphic>
          </wp:anchor>
        </w:drawing>
      </w:r>
      <w:r>
        <w:rPr>
          <w:b/>
          <w:sz w:val="22"/>
        </w:rPr>
        <w:t>UNIVERSIDAD AUTÓNOMA DEL ESTADO DE MÉXICO FACULTAD DE ODONTOLOGÍA</w:t>
      </w:r>
    </w:p>
    <w:p>
      <w:pPr>
        <w:spacing w:before="1"/>
        <w:ind w:left="3582" w:right="1639" w:hanging="718"/>
        <w:jc w:val="left"/>
        <w:rPr>
          <w:b/>
          <w:sz w:val="22"/>
        </w:rPr>
      </w:pPr>
      <w:r>
        <w:rPr>
          <w:b/>
          <w:sz w:val="22"/>
        </w:rPr>
        <w:t>MAESTRÍA EN CIENCIAS ODONTOLÓGICAS CONSENTIMIENTO INFORMADO</w:t>
      </w:r>
    </w:p>
    <w:p>
      <w:pPr>
        <w:spacing w:before="1"/>
        <w:ind w:left="2915" w:right="126" w:firstLine="0"/>
        <w:jc w:val="left"/>
        <w:rPr>
          <w:b/>
          <w:sz w:val="22"/>
        </w:rPr>
      </w:pPr>
      <w:r>
        <w:rPr>
          <w:b/>
          <w:sz w:val="22"/>
        </w:rPr>
        <w:t>PARA PARTICIPANTES DE INVESTIGACIÓN</w:t>
      </w:r>
    </w:p>
    <w:p>
      <w:pPr>
        <w:pStyle w:val="BodyText"/>
        <w:spacing w:before="10"/>
        <w:rPr>
          <w:b/>
          <w:sz w:val="19"/>
        </w:rPr>
      </w:pPr>
    </w:p>
    <w:p>
      <w:pPr>
        <w:spacing w:line="362" w:lineRule="auto" w:before="0"/>
        <w:ind w:left="162" w:right="126" w:firstLine="0"/>
        <w:jc w:val="left"/>
        <w:rPr>
          <w:b/>
          <w:sz w:val="20"/>
        </w:rPr>
      </w:pPr>
      <w:r>
        <w:rPr>
          <w:sz w:val="20"/>
        </w:rPr>
        <w:t>Título de la investigación: </w:t>
      </w:r>
      <w:r>
        <w:rPr>
          <w:b/>
          <w:sz w:val="20"/>
          <w:u w:val="thick"/>
        </w:rPr>
        <w:t>Detección de los polimorfismos del gen Glutatión S-transferasa en individuos con caries expuestos ocupacionalmente a plaguicidas</w:t>
      </w:r>
    </w:p>
    <w:p>
      <w:pPr>
        <w:pStyle w:val="BodyText"/>
        <w:spacing w:before="3"/>
        <w:rPr>
          <w:b/>
          <w:sz w:val="11"/>
        </w:rPr>
      </w:pPr>
    </w:p>
    <w:p>
      <w:pPr>
        <w:spacing w:line="276" w:lineRule="auto" w:before="74"/>
        <w:ind w:left="162" w:right="180" w:firstLine="0"/>
        <w:jc w:val="both"/>
        <w:rPr>
          <w:sz w:val="20"/>
        </w:rPr>
      </w:pPr>
      <w:r>
        <w:rPr>
          <w:sz w:val="20"/>
        </w:rPr>
        <w:t>A usted se le está invitando a participar en este estudio de investigación médica. Antes de decidir  si participa o no, debe conocer y comprender cada uno de los siguientes apartados. Este proceso se conoce como consentimiento informado. Siéntase con absoluta libertad para preguntar sobre cualquier aspecto que le ayude a aclarar sus dudas al</w:t>
      </w:r>
      <w:r>
        <w:rPr>
          <w:spacing w:val="-16"/>
          <w:sz w:val="20"/>
        </w:rPr>
        <w:t> </w:t>
      </w:r>
      <w:r>
        <w:rPr>
          <w:sz w:val="20"/>
        </w:rPr>
        <w:t>respecto.</w:t>
      </w:r>
    </w:p>
    <w:p>
      <w:pPr>
        <w:pStyle w:val="BodyText"/>
        <w:spacing w:before="6"/>
        <w:rPr>
          <w:sz w:val="17"/>
        </w:rPr>
      </w:pPr>
    </w:p>
    <w:p>
      <w:pPr>
        <w:spacing w:line="276" w:lineRule="auto" w:before="0"/>
        <w:ind w:left="162" w:right="189" w:firstLine="0"/>
        <w:jc w:val="both"/>
        <w:rPr>
          <w:sz w:val="20"/>
        </w:rPr>
      </w:pPr>
      <w:r>
        <w:rPr>
          <w:sz w:val="20"/>
        </w:rPr>
        <w:t>Una vez que haya comprendido el estudio y si usted desea participar, entonces se le pedirá que firme este formato de consentimiento.</w:t>
      </w:r>
    </w:p>
    <w:p>
      <w:pPr>
        <w:pStyle w:val="BodyText"/>
        <w:spacing w:before="6"/>
        <w:rPr>
          <w:sz w:val="17"/>
        </w:rPr>
      </w:pPr>
    </w:p>
    <w:p>
      <w:pPr>
        <w:spacing w:before="0"/>
        <w:ind w:left="162" w:right="0" w:firstLine="0"/>
        <w:jc w:val="both"/>
        <w:rPr>
          <w:sz w:val="20"/>
        </w:rPr>
      </w:pPr>
      <w:r>
        <w:rPr>
          <w:sz w:val="20"/>
        </w:rPr>
        <w:t>Este proyecto de investigación consiste en:</w:t>
      </w:r>
    </w:p>
    <w:p>
      <w:pPr>
        <w:pStyle w:val="BodyText"/>
        <w:spacing w:before="2"/>
        <w:rPr>
          <w:sz w:val="20"/>
        </w:rPr>
      </w:pPr>
    </w:p>
    <w:p>
      <w:pPr>
        <w:spacing w:line="360" w:lineRule="auto" w:before="0"/>
        <w:ind w:left="870" w:right="740" w:firstLine="0"/>
        <w:jc w:val="both"/>
        <w:rPr>
          <w:sz w:val="18"/>
        </w:rPr>
      </w:pPr>
      <w:r>
        <w:rPr>
          <w:sz w:val="18"/>
        </w:rPr>
        <w:t>Se estudiará el Labio y Paladar Hendido por que es una de las malformaciones congénitas más significativas que afectan al ser humano, debido a la frecuencia con la que esta aparece  y su complejidad ya que se trata de un proceso multifactorial, siendo una  condición  progresiva, costosa y que provoca diversos efectos sobre la salud de las personas, se infecta el diente y se forman cavidades, provocando dolor y de no tratarse a tiempo se tendrá que extraer el diente. Estudios realizados anteriormente han reportado que la contaminación ambiental influye en el surgimiento y evolución de la caries. En contraste se han evaluado los efectos de los plaguicidas sobre la salud como son: daño agudo y persistente en el sistema nervioso, respiratorio y endocrino; teniendo también capacidad de actuar como mutagénicos y carcinógenos. Debido a que cada individuo posee una carga genética diferente, la repuesta a tóxicos también difiere de persona a</w:t>
      </w:r>
      <w:r>
        <w:rPr>
          <w:spacing w:val="-23"/>
          <w:sz w:val="18"/>
        </w:rPr>
        <w:t> </w:t>
      </w:r>
      <w:r>
        <w:rPr>
          <w:sz w:val="18"/>
        </w:rPr>
        <w:t>persona.</w:t>
      </w:r>
    </w:p>
    <w:p>
      <w:pPr>
        <w:spacing w:before="122"/>
        <w:ind w:left="162" w:right="0" w:firstLine="0"/>
        <w:jc w:val="both"/>
        <w:rPr>
          <w:sz w:val="20"/>
        </w:rPr>
      </w:pPr>
      <w:r>
        <w:rPr>
          <w:sz w:val="20"/>
        </w:rPr>
        <w:t>Procedimientos del estudio:</w:t>
      </w:r>
    </w:p>
    <w:p>
      <w:pPr>
        <w:pStyle w:val="BodyText"/>
        <w:spacing w:before="6"/>
        <w:rPr>
          <w:sz w:val="20"/>
        </w:rPr>
      </w:pPr>
    </w:p>
    <w:p>
      <w:pPr>
        <w:spacing w:line="276" w:lineRule="auto" w:before="0"/>
        <w:ind w:left="162" w:right="188" w:firstLine="0"/>
        <w:jc w:val="both"/>
        <w:rPr>
          <w:sz w:val="20"/>
        </w:rPr>
      </w:pPr>
      <w:r>
        <w:rPr>
          <w:sz w:val="20"/>
        </w:rPr>
        <w:t>Si usted accede a participar en este estudio, se le pedirá responder a un cuestionario acerca de sus hábitos higiénicos dietético, se realizará la detección de caries en todos los dientes y se tomará una muestra de</w:t>
      </w:r>
      <w:r>
        <w:rPr>
          <w:spacing w:val="-11"/>
          <w:sz w:val="20"/>
        </w:rPr>
        <w:t> </w:t>
      </w:r>
      <w:r>
        <w:rPr>
          <w:sz w:val="20"/>
        </w:rPr>
        <w:t>sangre.</w:t>
      </w:r>
    </w:p>
    <w:p>
      <w:pPr>
        <w:pStyle w:val="BodyText"/>
        <w:spacing w:before="6"/>
        <w:rPr>
          <w:sz w:val="17"/>
        </w:rPr>
      </w:pPr>
    </w:p>
    <w:p>
      <w:pPr>
        <w:spacing w:before="0"/>
        <w:ind w:left="162" w:right="0" w:firstLine="0"/>
        <w:jc w:val="both"/>
        <w:rPr>
          <w:sz w:val="20"/>
        </w:rPr>
      </w:pPr>
      <w:r>
        <w:rPr>
          <w:sz w:val="20"/>
        </w:rPr>
        <w:t>La muestra de sangre se utilizara para dos propósitos:</w:t>
      </w:r>
    </w:p>
    <w:p>
      <w:pPr>
        <w:pStyle w:val="BodyText"/>
        <w:rPr>
          <w:sz w:val="20"/>
        </w:rPr>
      </w:pPr>
    </w:p>
    <w:p>
      <w:pPr>
        <w:pStyle w:val="ListParagraph"/>
        <w:numPr>
          <w:ilvl w:val="0"/>
          <w:numId w:val="33"/>
        </w:numPr>
        <w:tabs>
          <w:tab w:pos="383" w:val="left" w:leader="none"/>
        </w:tabs>
        <w:spacing w:line="240" w:lineRule="auto" w:before="1" w:after="0"/>
        <w:ind w:left="382" w:right="0" w:hanging="220"/>
        <w:jc w:val="both"/>
        <w:rPr>
          <w:sz w:val="20"/>
        </w:rPr>
      </w:pPr>
      <w:r>
        <w:rPr>
          <w:sz w:val="20"/>
        </w:rPr>
        <w:t>Detectar la presencia de plaguicidas en la</w:t>
      </w:r>
      <w:r>
        <w:rPr>
          <w:spacing w:val="-18"/>
          <w:sz w:val="20"/>
        </w:rPr>
        <w:t> </w:t>
      </w:r>
      <w:r>
        <w:rPr>
          <w:sz w:val="20"/>
        </w:rPr>
        <w:t>sangre.</w:t>
      </w:r>
    </w:p>
    <w:p>
      <w:pPr>
        <w:pStyle w:val="ListParagraph"/>
        <w:numPr>
          <w:ilvl w:val="0"/>
          <w:numId w:val="33"/>
        </w:numPr>
        <w:tabs>
          <w:tab w:pos="383" w:val="left" w:leader="none"/>
        </w:tabs>
        <w:spacing w:line="240" w:lineRule="auto" w:before="115" w:after="0"/>
        <w:ind w:left="382" w:right="0" w:hanging="220"/>
        <w:jc w:val="both"/>
        <w:rPr>
          <w:sz w:val="20"/>
        </w:rPr>
      </w:pPr>
      <w:r>
        <w:rPr>
          <w:sz w:val="20"/>
        </w:rPr>
        <w:t>Identificar tres genes que participan en la desintoxicación de los</w:t>
      </w:r>
      <w:r>
        <w:rPr>
          <w:spacing w:val="-16"/>
          <w:sz w:val="20"/>
        </w:rPr>
        <w:t> </w:t>
      </w:r>
      <w:r>
        <w:rPr>
          <w:sz w:val="20"/>
        </w:rPr>
        <w:t>plaguicidas.</w:t>
      </w:r>
    </w:p>
    <w:p>
      <w:pPr>
        <w:pStyle w:val="BodyText"/>
        <w:spacing w:before="3"/>
        <w:rPr>
          <w:sz w:val="20"/>
        </w:rPr>
      </w:pPr>
    </w:p>
    <w:p>
      <w:pPr>
        <w:spacing w:before="0"/>
        <w:ind w:left="162" w:right="0" w:firstLine="0"/>
        <w:jc w:val="both"/>
        <w:rPr>
          <w:sz w:val="20"/>
        </w:rPr>
      </w:pPr>
      <w:r>
        <w:rPr>
          <w:sz w:val="20"/>
        </w:rPr>
        <w:t>Es importante que usted esté enterado que el material que se utilizará es nuevo y estéril.</w:t>
      </w:r>
    </w:p>
    <w:p>
      <w:pPr>
        <w:spacing w:after="0"/>
        <w:jc w:val="both"/>
        <w:rPr>
          <w:sz w:val="20"/>
        </w:rPr>
        <w:sectPr>
          <w:pgSz w:w="12240" w:h="15840"/>
          <w:pgMar w:header="733" w:footer="1039" w:top="1020" w:bottom="1220" w:left="1540" w:right="1520"/>
        </w:sectPr>
      </w:pPr>
    </w:p>
    <w:p>
      <w:pPr>
        <w:pStyle w:val="BodyText"/>
        <w:rPr>
          <w:sz w:val="20"/>
        </w:rPr>
      </w:pPr>
    </w:p>
    <w:p>
      <w:pPr>
        <w:pStyle w:val="BodyText"/>
        <w:rPr>
          <w:sz w:val="20"/>
        </w:rPr>
      </w:pPr>
    </w:p>
    <w:p>
      <w:pPr>
        <w:pStyle w:val="BodyText"/>
        <w:spacing w:before="3"/>
        <w:rPr>
          <w:sz w:val="18"/>
        </w:rPr>
      </w:pPr>
    </w:p>
    <w:p>
      <w:pPr>
        <w:spacing w:before="74"/>
        <w:ind w:left="162" w:right="0" w:firstLine="0"/>
        <w:jc w:val="both"/>
        <w:rPr>
          <w:sz w:val="20"/>
        </w:rPr>
      </w:pPr>
      <w:r>
        <w:rPr>
          <w:sz w:val="20"/>
        </w:rPr>
        <w:t>Posibles riesgos:</w:t>
      </w:r>
    </w:p>
    <w:p>
      <w:pPr>
        <w:pStyle w:val="BodyText"/>
        <w:spacing w:before="1"/>
        <w:rPr>
          <w:sz w:val="20"/>
        </w:rPr>
      </w:pPr>
    </w:p>
    <w:p>
      <w:pPr>
        <w:pStyle w:val="ListParagraph"/>
        <w:numPr>
          <w:ilvl w:val="1"/>
          <w:numId w:val="33"/>
        </w:numPr>
        <w:tabs>
          <w:tab w:pos="1174" w:val="left" w:leader="none"/>
          <w:tab w:pos="1175" w:val="left" w:leader="none"/>
        </w:tabs>
        <w:spacing w:line="273" w:lineRule="auto" w:before="0" w:after="0"/>
        <w:ind w:left="1174" w:right="206" w:hanging="360"/>
        <w:jc w:val="left"/>
        <w:rPr>
          <w:sz w:val="20"/>
        </w:rPr>
      </w:pPr>
      <w:r>
        <w:rPr>
          <w:sz w:val="20"/>
        </w:rPr>
        <w:t>Al hacer la toma de muestra, debido a la inserción de la aguja para extraer sangre, algunas personas sienten ligero</w:t>
      </w:r>
      <w:r>
        <w:rPr>
          <w:spacing w:val="-15"/>
          <w:sz w:val="20"/>
        </w:rPr>
        <w:t> </w:t>
      </w:r>
      <w:r>
        <w:rPr>
          <w:sz w:val="20"/>
        </w:rPr>
        <w:t>dolor.</w:t>
      </w:r>
    </w:p>
    <w:p>
      <w:pPr>
        <w:pStyle w:val="ListParagraph"/>
        <w:numPr>
          <w:ilvl w:val="1"/>
          <w:numId w:val="33"/>
        </w:numPr>
        <w:tabs>
          <w:tab w:pos="1174" w:val="left" w:leader="none"/>
          <w:tab w:pos="1175" w:val="left" w:leader="none"/>
        </w:tabs>
        <w:spacing w:line="240" w:lineRule="auto" w:before="1" w:after="0"/>
        <w:ind w:left="1174" w:right="0" w:hanging="360"/>
        <w:jc w:val="left"/>
        <w:rPr>
          <w:sz w:val="20"/>
        </w:rPr>
      </w:pPr>
      <w:r>
        <w:rPr>
          <w:sz w:val="20"/>
        </w:rPr>
        <w:t>El paciente puede presentar un moretón después de la toma de</w:t>
      </w:r>
      <w:r>
        <w:rPr>
          <w:spacing w:val="-19"/>
          <w:sz w:val="20"/>
        </w:rPr>
        <w:t> </w:t>
      </w:r>
      <w:r>
        <w:rPr>
          <w:sz w:val="20"/>
        </w:rPr>
        <w:t>sangre.</w:t>
      </w:r>
    </w:p>
    <w:p>
      <w:pPr>
        <w:pStyle w:val="BodyText"/>
        <w:spacing w:before="3"/>
        <w:rPr>
          <w:sz w:val="28"/>
        </w:rPr>
      </w:pPr>
    </w:p>
    <w:p>
      <w:pPr>
        <w:spacing w:line="276" w:lineRule="auto" w:before="0"/>
        <w:ind w:left="162" w:right="199" w:firstLine="0"/>
        <w:jc w:val="both"/>
        <w:rPr>
          <w:sz w:val="20"/>
        </w:rPr>
      </w:pPr>
      <w:r>
        <w:rPr>
          <w:sz w:val="20"/>
        </w:rPr>
        <w:t>La participación en este estudio es estrictamente voluntaria. La información que se recoja será confidencial y no se usará para ningún otro propósito fuera de los de esta investigación. Sus respuestas al cuestionario serán codificadas usando un número de identificación y por lo tanto, serán anónimas.</w:t>
      </w:r>
    </w:p>
    <w:p>
      <w:pPr>
        <w:pStyle w:val="BodyText"/>
        <w:spacing w:before="6"/>
        <w:rPr>
          <w:sz w:val="17"/>
        </w:rPr>
      </w:pPr>
    </w:p>
    <w:p>
      <w:pPr>
        <w:spacing w:line="484" w:lineRule="auto" w:before="0"/>
        <w:ind w:left="162" w:right="363" w:firstLine="0"/>
        <w:jc w:val="left"/>
        <w:rPr>
          <w:sz w:val="20"/>
        </w:rPr>
      </w:pPr>
      <w:r>
        <w:rPr/>
        <w:pict>
          <v:line style="position:absolute;mso-position-horizontal-relative:page;mso-position-vertical-relative:paragraph;z-index:1312;mso-wrap-distance-left:0;mso-wrap-distance-right:0" from="133.350006pt,52.789906pt" to="531.000006pt,52.789906pt" stroked="true" strokeweight="1.5pt" strokecolor="#000000">
            <w10:wrap type="topAndBottom"/>
          </v:line>
        </w:pict>
      </w:r>
      <w:r>
        <w:rPr>
          <w:sz w:val="20"/>
        </w:rPr>
        <w:t>Cualquier duda que tenga, siéntase en libertad de expresarla de manera que quede satisfecho. De antemano le agradecemos su participación.</w:t>
      </w:r>
    </w:p>
    <w:p>
      <w:pPr>
        <w:pStyle w:val="BodyText"/>
        <w:spacing w:before="2"/>
        <w:rPr>
          <w:sz w:val="25"/>
        </w:rPr>
      </w:pPr>
    </w:p>
    <w:p>
      <w:pPr>
        <w:spacing w:line="276" w:lineRule="auto" w:before="1"/>
        <w:ind w:left="162" w:right="206" w:firstLine="0"/>
        <w:jc w:val="both"/>
        <w:rPr>
          <w:i/>
          <w:sz w:val="20"/>
        </w:rPr>
      </w:pPr>
      <w:r>
        <w:rPr>
          <w:i/>
          <w:sz w:val="20"/>
        </w:rPr>
        <w:t>Acepto participar voluntariamente en esta investigación. He sido informado (a) del objetivo de este </w:t>
      </w:r>
      <w:r>
        <w:rPr>
          <w:i/>
          <w:sz w:val="20"/>
        </w:rPr>
        <w:t>estudio.</w:t>
      </w:r>
    </w:p>
    <w:p>
      <w:pPr>
        <w:pStyle w:val="BodyText"/>
        <w:spacing w:before="6"/>
        <w:rPr>
          <w:i/>
          <w:sz w:val="17"/>
        </w:rPr>
      </w:pPr>
    </w:p>
    <w:p>
      <w:pPr>
        <w:spacing w:line="276" w:lineRule="auto" w:before="0"/>
        <w:ind w:left="162" w:right="207" w:firstLine="0"/>
        <w:jc w:val="both"/>
        <w:rPr>
          <w:i/>
          <w:sz w:val="20"/>
        </w:rPr>
      </w:pPr>
      <w:r>
        <w:rPr>
          <w:i/>
          <w:sz w:val="20"/>
        </w:rPr>
        <w:t>Me han indicado también que tendré que responder un cuestionario, me realizarán un diagnostico </w:t>
      </w:r>
      <w:r>
        <w:rPr>
          <w:i/>
          <w:sz w:val="20"/>
        </w:rPr>
        <w:t>de caries, y me tomarán una muestra de sangre.</w:t>
      </w:r>
    </w:p>
    <w:p>
      <w:pPr>
        <w:pStyle w:val="BodyText"/>
        <w:spacing w:before="6"/>
        <w:rPr>
          <w:i/>
          <w:sz w:val="17"/>
        </w:rPr>
      </w:pPr>
    </w:p>
    <w:p>
      <w:pPr>
        <w:spacing w:line="276" w:lineRule="auto" w:before="0"/>
        <w:ind w:left="162" w:right="202" w:firstLine="0"/>
        <w:jc w:val="both"/>
        <w:rPr>
          <w:i/>
          <w:sz w:val="20"/>
        </w:rPr>
      </w:pPr>
      <w:r>
        <w:rPr>
          <w:i/>
          <w:sz w:val="20"/>
        </w:rPr>
        <w:t>Reconozco que la información que yo provea en el curso de esta investigación es estrictamente </w:t>
      </w:r>
      <w:r>
        <w:rPr>
          <w:i/>
          <w:sz w:val="20"/>
        </w:rPr>
        <w:t>confidencial y no será usada para ningún otro propósito fuera de los de este estudio sin mi consentimiento. He sido informado de que puedo hacer preguntas sobre el proyecto en cualquier momento y que puedo retirarme del mismo cuando así lo decida, sin que esto acarree perjuicio alguno para mi persona.</w:t>
      </w:r>
    </w:p>
    <w:p>
      <w:pPr>
        <w:pStyle w:val="BodyText"/>
        <w:spacing w:before="6"/>
        <w:rPr>
          <w:i/>
          <w:sz w:val="17"/>
        </w:rPr>
      </w:pPr>
    </w:p>
    <w:p>
      <w:pPr>
        <w:spacing w:before="0"/>
        <w:ind w:left="162" w:right="0" w:firstLine="0"/>
        <w:jc w:val="both"/>
        <w:rPr>
          <w:i/>
          <w:sz w:val="20"/>
        </w:rPr>
      </w:pPr>
      <w:r>
        <w:rPr>
          <w:i/>
          <w:sz w:val="20"/>
        </w:rPr>
        <w:t>Entiendo  que puedo pedir información sobre los resultados de este estudio cuando esté concluido.</w:t>
      </w:r>
    </w:p>
    <w:p>
      <w:pPr>
        <w:pStyle w:val="BodyText"/>
        <w:spacing w:before="5"/>
        <w:rPr>
          <w:i/>
          <w:sz w:val="20"/>
        </w:rPr>
      </w:pPr>
    </w:p>
    <w:p>
      <w:pPr>
        <w:spacing w:before="0"/>
        <w:ind w:left="162" w:right="0" w:firstLine="0"/>
        <w:jc w:val="both"/>
        <w:rPr>
          <w:sz w:val="20"/>
        </w:rPr>
      </w:pPr>
      <w:r>
        <w:rPr>
          <w:sz w:val="20"/>
        </w:rPr>
        <w:t>Responsables de la investigación:</w:t>
      </w:r>
    </w:p>
    <w:p>
      <w:pPr>
        <w:pStyle w:val="BodyText"/>
        <w:spacing w:before="5"/>
        <w:rPr>
          <w:sz w:val="20"/>
        </w:rPr>
      </w:pPr>
    </w:p>
    <w:p>
      <w:pPr>
        <w:pStyle w:val="ListParagraph"/>
        <w:numPr>
          <w:ilvl w:val="1"/>
          <w:numId w:val="34"/>
        </w:numPr>
        <w:tabs>
          <w:tab w:pos="616" w:val="left" w:leader="none"/>
          <w:tab w:pos="4410" w:val="left" w:leader="none"/>
        </w:tabs>
        <w:spacing w:line="484" w:lineRule="auto" w:before="0" w:after="0"/>
        <w:ind w:left="162" w:right="3312" w:firstLine="0"/>
        <w:jc w:val="left"/>
        <w:rPr>
          <w:sz w:val="20"/>
        </w:rPr>
      </w:pPr>
      <w:r>
        <w:rPr>
          <w:sz w:val="20"/>
        </w:rPr>
        <w:t>Mariana Gabriela</w:t>
      </w:r>
      <w:r>
        <w:rPr>
          <w:spacing w:val="-5"/>
          <w:sz w:val="20"/>
        </w:rPr>
        <w:t> </w:t>
      </w:r>
      <w:r>
        <w:rPr>
          <w:sz w:val="20"/>
        </w:rPr>
        <w:t>Lecourtois</w:t>
      </w:r>
      <w:r>
        <w:rPr>
          <w:spacing w:val="-1"/>
          <w:sz w:val="20"/>
        </w:rPr>
        <w:t> </w:t>
      </w:r>
      <w:r>
        <w:rPr>
          <w:sz w:val="20"/>
        </w:rPr>
        <w:t>Amézquita</w:t>
        <w:tab/>
        <w:t>cel.</w:t>
      </w:r>
      <w:r>
        <w:rPr>
          <w:spacing w:val="-9"/>
          <w:sz w:val="20"/>
        </w:rPr>
        <w:t> </w:t>
      </w:r>
      <w:r>
        <w:rPr>
          <w:sz w:val="20"/>
        </w:rPr>
        <w:t>7222457582</w:t>
      </w:r>
      <w:r>
        <w:rPr>
          <w:w w:val="99"/>
          <w:sz w:val="20"/>
        </w:rPr>
        <w:t> </w:t>
      </w:r>
      <w:r>
        <w:rPr>
          <w:sz w:val="20"/>
        </w:rPr>
        <w:t>Dr. en E. P. Alberto Salgado</w:t>
      </w:r>
      <w:r>
        <w:rPr>
          <w:spacing w:val="-14"/>
          <w:sz w:val="20"/>
        </w:rPr>
        <w:t> </w:t>
      </w:r>
      <w:r>
        <w:rPr>
          <w:sz w:val="20"/>
        </w:rPr>
        <w:t>Valdés</w:t>
      </w:r>
    </w:p>
    <w:p>
      <w:pPr>
        <w:spacing w:before="5"/>
        <w:ind w:left="162" w:right="0" w:firstLine="0"/>
        <w:jc w:val="both"/>
        <w:rPr>
          <w:sz w:val="20"/>
        </w:rPr>
      </w:pPr>
      <w:r>
        <w:rPr>
          <w:sz w:val="20"/>
        </w:rPr>
        <w:t>Dra. en C.Q.B Julieta Castillo Cadena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7"/>
        </w:rPr>
      </w:pPr>
      <w:r>
        <w:rPr/>
        <w:pict>
          <v:line style="position:absolute;mso-position-horizontal-relative:page;mso-position-vertical-relative:paragraph;z-index:1336;mso-wrap-distance-left:0;mso-wrap-distance-right:0" from="85.103996pt,12.247951pt" to="223.946403pt,12.247951pt" stroked="true" strokeweight=".627480pt" strokecolor="#000000">
            <w10:wrap type="topAndBottom"/>
          </v:line>
        </w:pict>
      </w:r>
      <w:r>
        <w:rPr/>
        <w:pict>
          <v:line style="position:absolute;mso-position-horizontal-relative:page;mso-position-vertical-relative:paragraph;z-index:1360;mso-wrap-distance-left:0;mso-wrap-distance-right:0" from="248.975891pt,12.247951pt" to="371.155217pt,12.247951pt" stroked="true" strokeweight=".627480pt" strokecolor="#000000">
            <w10:wrap type="topAndBottom"/>
          </v:line>
        </w:pict>
      </w:r>
      <w:r>
        <w:rPr/>
        <w:pict>
          <v:line style="position:absolute;mso-position-horizontal-relative:page;mso-position-vertical-relative:paragraph;z-index:1384;mso-wrap-distance-left:0;mso-wrap-distance-right:0" from="401.702545pt,12.247951pt" to="496.09347pt,12.247951pt" stroked="true" strokeweight=".627480pt" strokecolor="#000000">
            <w10:wrap type="topAndBottom"/>
          </v:line>
        </w:pict>
      </w:r>
    </w:p>
    <w:p>
      <w:pPr>
        <w:pStyle w:val="BodyText"/>
        <w:spacing w:before="5"/>
        <w:rPr>
          <w:sz w:val="11"/>
        </w:rPr>
      </w:pPr>
    </w:p>
    <w:p>
      <w:pPr>
        <w:tabs>
          <w:tab w:pos="3702" w:val="left" w:leader="none"/>
          <w:tab w:pos="7058" w:val="left" w:leader="none"/>
        </w:tabs>
        <w:spacing w:before="73"/>
        <w:ind w:left="603" w:right="363" w:firstLine="0"/>
        <w:jc w:val="left"/>
        <w:rPr>
          <w:sz w:val="22"/>
        </w:rPr>
      </w:pPr>
      <w:r>
        <w:rPr>
          <w:sz w:val="20"/>
        </w:rPr>
        <w:t>Firma</w:t>
      </w:r>
      <w:r>
        <w:rPr>
          <w:spacing w:val="-2"/>
          <w:sz w:val="20"/>
        </w:rPr>
        <w:t> </w:t>
      </w:r>
      <w:r>
        <w:rPr>
          <w:sz w:val="20"/>
        </w:rPr>
        <w:t>del</w:t>
      </w:r>
      <w:r>
        <w:rPr>
          <w:spacing w:val="-3"/>
          <w:sz w:val="20"/>
        </w:rPr>
        <w:t> </w:t>
      </w:r>
      <w:r>
        <w:rPr>
          <w:sz w:val="20"/>
        </w:rPr>
        <w:t>participante</w:t>
        <w:tab/>
        <w:t>Firma</w:t>
      </w:r>
      <w:r>
        <w:rPr>
          <w:spacing w:val="-3"/>
          <w:sz w:val="20"/>
        </w:rPr>
        <w:t> </w:t>
      </w:r>
      <w:r>
        <w:rPr>
          <w:sz w:val="20"/>
        </w:rPr>
        <w:t>del</w:t>
      </w:r>
      <w:r>
        <w:rPr>
          <w:spacing w:val="-4"/>
          <w:sz w:val="20"/>
        </w:rPr>
        <w:t> </w:t>
      </w:r>
      <w:r>
        <w:rPr>
          <w:sz w:val="20"/>
        </w:rPr>
        <w:t>investigador</w:t>
        <w:tab/>
        <w:t>Firma</w:t>
      </w:r>
      <w:r>
        <w:rPr>
          <w:spacing w:val="-1"/>
          <w:sz w:val="20"/>
        </w:rPr>
        <w:t> </w:t>
      </w:r>
      <w:r>
        <w:rPr>
          <w:sz w:val="22"/>
        </w:rPr>
        <w:t>testigo</w:t>
      </w:r>
    </w:p>
    <w:p>
      <w:pPr>
        <w:spacing w:after="0"/>
        <w:jc w:val="left"/>
        <w:rPr>
          <w:sz w:val="22"/>
        </w:rPr>
        <w:sectPr>
          <w:pgSz w:w="12240" w:h="15840"/>
          <w:pgMar w:header="733" w:footer="1039" w:top="1020" w:bottom="1220" w:left="1540" w:right="1500"/>
        </w:sectPr>
      </w:pPr>
    </w:p>
    <w:p>
      <w:pPr>
        <w:pStyle w:val="BodyText"/>
        <w:rPr>
          <w:sz w:val="20"/>
        </w:rPr>
      </w:pPr>
    </w:p>
    <w:p>
      <w:pPr>
        <w:pStyle w:val="BodyText"/>
        <w:rPr>
          <w:sz w:val="20"/>
        </w:rPr>
      </w:pPr>
    </w:p>
    <w:p>
      <w:pPr>
        <w:pStyle w:val="BodyText"/>
        <w:spacing w:before="1"/>
        <w:rPr>
          <w:sz w:val="23"/>
        </w:rPr>
      </w:pPr>
    </w:p>
    <w:p>
      <w:pPr>
        <w:pStyle w:val="Heading2"/>
        <w:numPr>
          <w:ilvl w:val="0"/>
          <w:numId w:val="35"/>
        </w:numPr>
        <w:tabs>
          <w:tab w:pos="453" w:val="left" w:leader="none"/>
        </w:tabs>
        <w:spacing w:line="240" w:lineRule="auto" w:before="70" w:after="0"/>
        <w:ind w:left="452" w:right="0" w:hanging="290"/>
        <w:jc w:val="left"/>
      </w:pPr>
      <w:r>
        <w:rPr/>
        <w:drawing>
          <wp:anchor distT="0" distB="0" distL="0" distR="0" allowOverlap="1" layoutInCell="1" locked="0" behindDoc="0" simplePos="0" relativeHeight="1408">
            <wp:simplePos x="0" y="0"/>
            <wp:positionH relativeFrom="page">
              <wp:posOffset>1076325</wp:posOffset>
            </wp:positionH>
            <wp:positionV relativeFrom="paragraph">
              <wp:posOffset>255471</wp:posOffset>
            </wp:positionV>
            <wp:extent cx="780414" cy="695325"/>
            <wp:effectExtent l="0" t="0" r="0" b="0"/>
            <wp:wrapNone/>
            <wp:docPr id="11" name="image11.jpeg" descr=""/>
            <wp:cNvGraphicFramePr>
              <a:graphicFrameLocks noChangeAspect="1"/>
            </wp:cNvGraphicFramePr>
            <a:graphic>
              <a:graphicData uri="http://schemas.openxmlformats.org/drawingml/2006/picture">
                <pic:pic>
                  <pic:nvPicPr>
                    <pic:cNvPr id="12" name="image11.jpeg"/>
                    <pic:cNvPicPr/>
                  </pic:nvPicPr>
                  <pic:blipFill>
                    <a:blip r:embed="rId25" cstate="print"/>
                    <a:stretch>
                      <a:fillRect/>
                    </a:stretch>
                  </pic:blipFill>
                  <pic:spPr>
                    <a:xfrm>
                      <a:off x="0" y="0"/>
                      <a:ext cx="780414" cy="695325"/>
                    </a:xfrm>
                    <a:prstGeom prst="rect">
                      <a:avLst/>
                    </a:prstGeom>
                  </pic:spPr>
                </pic:pic>
              </a:graphicData>
            </a:graphic>
          </wp:anchor>
        </w:drawing>
      </w:r>
      <w:r>
        <w:rPr/>
        <w:t>Cuestionario</w:t>
      </w:r>
    </w:p>
    <w:p>
      <w:pPr>
        <w:pStyle w:val="BodyText"/>
        <w:spacing w:before="7"/>
        <w:rPr>
          <w:b/>
          <w:sz w:val="20"/>
        </w:rPr>
      </w:pPr>
    </w:p>
    <w:p>
      <w:pPr>
        <w:spacing w:before="0"/>
        <w:ind w:left="1755" w:right="1775" w:firstLine="0"/>
        <w:jc w:val="center"/>
        <w:rPr>
          <w:b/>
          <w:sz w:val="22"/>
        </w:rPr>
      </w:pPr>
      <w:r>
        <w:rPr>
          <w:b/>
          <w:sz w:val="22"/>
        </w:rPr>
        <w:t>UNIVERSIDAD AUTÓNOMA DEL ESTADO DE MÉXICO FACULTAD DE ODONTOLOGÍA</w:t>
      </w:r>
    </w:p>
    <w:p>
      <w:pPr>
        <w:spacing w:line="252" w:lineRule="exact" w:before="0"/>
        <w:ind w:left="735" w:right="758" w:firstLine="0"/>
        <w:jc w:val="center"/>
        <w:rPr>
          <w:b/>
          <w:sz w:val="22"/>
        </w:rPr>
      </w:pPr>
      <w:r>
        <w:rPr>
          <w:b/>
          <w:sz w:val="22"/>
        </w:rPr>
        <w:t>MAESTRÍA EN CIENCIAS ODONTOLÓGICAS</w:t>
      </w:r>
    </w:p>
    <w:p>
      <w:pPr>
        <w:pStyle w:val="BodyText"/>
        <w:spacing w:before="10"/>
        <w:rPr>
          <w:b/>
          <w:sz w:val="13"/>
        </w:rPr>
      </w:pPr>
    </w:p>
    <w:p>
      <w:pPr>
        <w:spacing w:after="0"/>
        <w:rPr>
          <w:sz w:val="13"/>
        </w:rPr>
        <w:sectPr>
          <w:pgSz w:w="12240" w:h="15840"/>
          <w:pgMar w:header="733" w:footer="1039" w:top="1020" w:bottom="1220" w:left="1540" w:right="1520"/>
        </w:sectPr>
      </w:pPr>
    </w:p>
    <w:p>
      <w:pPr>
        <w:tabs>
          <w:tab w:pos="1586" w:val="left" w:leader="none"/>
        </w:tabs>
        <w:spacing w:line="229" w:lineRule="exact" w:before="74"/>
        <w:ind w:left="162" w:right="0" w:firstLine="0"/>
        <w:jc w:val="left"/>
        <w:rPr>
          <w:sz w:val="20"/>
        </w:rPr>
      </w:pPr>
      <w:r>
        <w:rPr>
          <w:sz w:val="20"/>
        </w:rPr>
        <w:t>FOLIO:</w:t>
      </w:r>
      <w:r>
        <w:rPr>
          <w:spacing w:val="-1"/>
          <w:sz w:val="20"/>
        </w:rPr>
        <w:t> </w:t>
      </w:r>
      <w:r>
        <w:rPr>
          <w:w w:val="99"/>
          <w:sz w:val="20"/>
          <w:u w:val="single"/>
        </w:rPr>
        <w:t> </w:t>
      </w:r>
      <w:r>
        <w:rPr>
          <w:sz w:val="20"/>
          <w:u w:val="single"/>
        </w:rPr>
        <w:tab/>
      </w:r>
    </w:p>
    <w:p>
      <w:pPr>
        <w:tabs>
          <w:tab w:pos="3499" w:val="left" w:leader="none"/>
        </w:tabs>
        <w:spacing w:line="229" w:lineRule="exact" w:before="0"/>
        <w:ind w:left="162" w:right="0" w:firstLine="0"/>
        <w:jc w:val="left"/>
        <w:rPr>
          <w:sz w:val="20"/>
        </w:rPr>
      </w:pPr>
      <w:r>
        <w:rPr>
          <w:sz w:val="20"/>
        </w:rPr>
        <w:t>Ocupación:</w:t>
      </w:r>
      <w:r>
        <w:rPr>
          <w:spacing w:val="-1"/>
          <w:sz w:val="20"/>
        </w:rPr>
        <w:t> </w:t>
      </w:r>
      <w:r>
        <w:rPr>
          <w:w w:val="99"/>
          <w:sz w:val="20"/>
          <w:u w:val="single"/>
        </w:rPr>
        <w:t> </w:t>
      </w:r>
      <w:r>
        <w:rPr>
          <w:sz w:val="20"/>
          <w:u w:val="single"/>
        </w:rPr>
        <w:tab/>
      </w:r>
    </w:p>
    <w:p>
      <w:pPr>
        <w:tabs>
          <w:tab w:pos="1193" w:val="left" w:leader="none"/>
          <w:tab w:pos="1502" w:val="left" w:leader="none"/>
          <w:tab w:pos="1583" w:val="left" w:leader="none"/>
          <w:tab w:pos="2022" w:val="left" w:leader="none"/>
        </w:tabs>
        <w:spacing w:before="74"/>
        <w:ind w:left="155" w:right="372" w:firstLine="38"/>
        <w:jc w:val="left"/>
        <w:rPr>
          <w:sz w:val="20"/>
        </w:rPr>
      </w:pPr>
      <w:r>
        <w:rPr/>
        <w:br w:type="column"/>
      </w:r>
      <w:r>
        <w:rPr>
          <w:sz w:val="20"/>
        </w:rPr>
        <w:t>Fecha:</w:t>
      </w:r>
      <w:r>
        <w:rPr>
          <w:sz w:val="20"/>
          <w:u w:val="single"/>
        </w:rPr>
        <w:t> </w:t>
        <w:tab/>
      </w:r>
      <w:r>
        <w:rPr>
          <w:sz w:val="20"/>
        </w:rPr>
        <w:t>/</w:t>
      </w:r>
      <w:r>
        <w:rPr>
          <w:sz w:val="20"/>
          <w:u w:val="single"/>
        </w:rPr>
        <w:t> </w:t>
        <w:tab/>
        <w:tab/>
      </w:r>
      <w:r>
        <w:rPr>
          <w:sz w:val="20"/>
        </w:rPr>
        <w:t>/</w:t>
      </w:r>
      <w:r>
        <w:rPr>
          <w:sz w:val="20"/>
          <w:u w:val="single"/>
        </w:rPr>
        <w:tab/>
      </w:r>
      <w:r>
        <w:rPr>
          <w:sz w:val="20"/>
        </w:rPr>
        <w:t> Edad:</w:t>
      </w:r>
      <w:r>
        <w:rPr>
          <w:w w:val="99"/>
          <w:sz w:val="20"/>
          <w:u w:val="single"/>
        </w:rPr>
        <w:t> </w:t>
      </w:r>
      <w:r>
        <w:rPr>
          <w:sz w:val="20"/>
          <w:u w:val="single"/>
        </w:rPr>
        <w:tab/>
        <w:tab/>
      </w:r>
    </w:p>
    <w:p>
      <w:pPr>
        <w:spacing w:after="0"/>
        <w:jc w:val="left"/>
        <w:rPr>
          <w:sz w:val="20"/>
        </w:rPr>
        <w:sectPr>
          <w:type w:val="continuous"/>
          <w:pgSz w:w="12240" w:h="15840"/>
          <w:pgMar w:top="760" w:bottom="280" w:left="1540" w:right="1520"/>
          <w:cols w:num="2" w:equalWidth="0">
            <w:col w:w="3500" w:space="3283"/>
            <w:col w:w="2397"/>
          </w:cols>
        </w:sectPr>
      </w:pPr>
    </w:p>
    <w:p>
      <w:pPr>
        <w:tabs>
          <w:tab w:pos="1404" w:val="left" w:leader="none"/>
          <w:tab w:pos="2176" w:val="left" w:leader="none"/>
          <w:tab w:pos="6041" w:val="left" w:leader="none"/>
          <w:tab w:pos="8970" w:val="left" w:leader="none"/>
        </w:tabs>
        <w:spacing w:before="0"/>
        <w:ind w:left="162" w:right="126" w:firstLine="0"/>
        <w:jc w:val="left"/>
        <w:rPr>
          <w:sz w:val="20"/>
        </w:rPr>
      </w:pPr>
      <w:r>
        <w:rPr>
          <w:sz w:val="20"/>
        </w:rPr>
        <w:t>Sexo:</w:t>
      </w:r>
      <w:r>
        <w:rPr>
          <w:spacing w:val="-3"/>
          <w:sz w:val="20"/>
        </w:rPr>
        <w:t> </w:t>
      </w:r>
      <w:r>
        <w:rPr>
          <w:spacing w:val="3"/>
          <w:sz w:val="20"/>
        </w:rPr>
        <w:t>F</w:t>
      </w:r>
      <w:r>
        <w:rPr>
          <w:spacing w:val="3"/>
          <w:sz w:val="20"/>
          <w:u w:val="single"/>
        </w:rPr>
        <w:t> </w:t>
        <w:tab/>
      </w:r>
      <w:r>
        <w:rPr>
          <w:sz w:val="20"/>
        </w:rPr>
        <w:t>M</w:t>
      </w:r>
      <w:r>
        <w:rPr>
          <w:sz w:val="20"/>
          <w:u w:val="single"/>
        </w:rPr>
        <w:tab/>
      </w:r>
      <w:r>
        <w:rPr>
          <w:sz w:val="20"/>
        </w:rPr>
        <w:t>Lugar</w:t>
      </w:r>
      <w:r>
        <w:rPr>
          <w:spacing w:val="-1"/>
          <w:sz w:val="20"/>
        </w:rPr>
        <w:t> </w:t>
      </w:r>
      <w:r>
        <w:rPr>
          <w:sz w:val="20"/>
        </w:rPr>
        <w:t>De</w:t>
      </w:r>
      <w:r>
        <w:rPr>
          <w:spacing w:val="-2"/>
          <w:sz w:val="20"/>
        </w:rPr>
        <w:t> </w:t>
      </w:r>
      <w:r>
        <w:rPr>
          <w:sz w:val="20"/>
        </w:rPr>
        <w:t>Residencia:</w:t>
      </w:r>
      <w:r>
        <w:rPr>
          <w:sz w:val="20"/>
          <w:u w:val="single"/>
        </w:rPr>
        <w:t> </w:t>
        <w:tab/>
      </w:r>
      <w:r>
        <w:rPr>
          <w:sz w:val="20"/>
        </w:rPr>
        <w:t>Nacionalidad:</w:t>
      </w:r>
      <w:r>
        <w:rPr>
          <w:w w:val="99"/>
          <w:sz w:val="20"/>
          <w:u w:val="single"/>
        </w:rPr>
        <w:t> </w:t>
      </w:r>
      <w:r>
        <w:rPr>
          <w:sz w:val="20"/>
          <w:u w:val="single"/>
        </w:rPr>
        <w:tab/>
      </w:r>
    </w:p>
    <w:p>
      <w:pPr>
        <w:tabs>
          <w:tab w:pos="4231" w:val="left" w:leader="none"/>
          <w:tab w:pos="8349" w:val="left" w:leader="none"/>
        </w:tabs>
        <w:spacing w:before="0"/>
        <w:ind w:left="162" w:right="126" w:firstLine="0"/>
        <w:jc w:val="left"/>
        <w:rPr>
          <w:sz w:val="20"/>
        </w:rPr>
      </w:pPr>
      <w:r>
        <w:rPr>
          <w:sz w:val="20"/>
        </w:rPr>
        <w:t>Nacionalidad</w:t>
      </w:r>
      <w:r>
        <w:rPr>
          <w:spacing w:val="-1"/>
          <w:sz w:val="20"/>
        </w:rPr>
        <w:t> </w:t>
      </w:r>
      <w:r>
        <w:rPr>
          <w:sz w:val="20"/>
        </w:rPr>
        <w:t>de</w:t>
      </w:r>
      <w:r>
        <w:rPr>
          <w:spacing w:val="-2"/>
          <w:sz w:val="20"/>
        </w:rPr>
        <w:t> </w:t>
      </w:r>
      <w:r>
        <w:rPr>
          <w:sz w:val="20"/>
        </w:rPr>
        <w:t>Padre:</w:t>
      </w:r>
      <w:r>
        <w:rPr>
          <w:sz w:val="20"/>
          <w:u w:val="single"/>
        </w:rPr>
        <w:tab/>
      </w:r>
      <w:r>
        <w:rPr>
          <w:sz w:val="20"/>
        </w:rPr>
        <w:t>Nacionalidad de</w:t>
      </w:r>
      <w:r>
        <w:rPr>
          <w:spacing w:val="3"/>
          <w:sz w:val="20"/>
        </w:rPr>
        <w:t> </w:t>
      </w:r>
      <w:r>
        <w:rPr>
          <w:sz w:val="20"/>
        </w:rPr>
        <w:t>Madre:</w:t>
      </w:r>
      <w:r>
        <w:rPr>
          <w:w w:val="99"/>
          <w:sz w:val="20"/>
          <w:u w:val="single"/>
        </w:rPr>
        <w:t> </w:t>
      </w:r>
      <w:r>
        <w:rPr>
          <w:sz w:val="20"/>
          <w:u w:val="single"/>
        </w:rPr>
        <w:tab/>
      </w:r>
    </w:p>
    <w:p>
      <w:pPr>
        <w:pStyle w:val="BodyText"/>
        <w:spacing w:before="7"/>
        <w:rPr>
          <w:sz w:val="13"/>
        </w:rPr>
      </w:pPr>
    </w:p>
    <w:p>
      <w:pPr>
        <w:pStyle w:val="ListParagraph"/>
        <w:numPr>
          <w:ilvl w:val="1"/>
          <w:numId w:val="35"/>
        </w:numPr>
        <w:tabs>
          <w:tab w:pos="882" w:val="left" w:leader="none"/>
          <w:tab w:pos="5379" w:val="left" w:leader="none"/>
          <w:tab w:pos="6301" w:val="left" w:leader="none"/>
        </w:tabs>
        <w:spacing w:line="240" w:lineRule="auto" w:before="74" w:after="0"/>
        <w:ind w:left="882" w:right="0" w:hanging="360"/>
        <w:jc w:val="left"/>
        <w:rPr>
          <w:sz w:val="20"/>
        </w:rPr>
      </w:pPr>
      <w:r>
        <w:rPr>
          <w:sz w:val="20"/>
        </w:rPr>
        <w:t>¿Ha usado servicios de salud</w:t>
      </w:r>
      <w:r>
        <w:rPr>
          <w:spacing w:val="-7"/>
          <w:sz w:val="20"/>
        </w:rPr>
        <w:t> </w:t>
      </w:r>
      <w:r>
        <w:rPr>
          <w:sz w:val="20"/>
        </w:rPr>
        <w:t>bucodental?</w:t>
      </w:r>
      <w:r>
        <w:rPr>
          <w:spacing w:val="4"/>
          <w:sz w:val="20"/>
        </w:rPr>
        <w:t> </w:t>
      </w:r>
      <w:r>
        <w:rPr>
          <w:sz w:val="20"/>
        </w:rPr>
        <w:t>Si</w:t>
      </w:r>
      <w:r>
        <w:rPr>
          <w:sz w:val="20"/>
          <w:u w:val="single"/>
        </w:rPr>
        <w:tab/>
      </w:r>
      <w:r>
        <w:rPr>
          <w:sz w:val="20"/>
        </w:rPr>
        <w:t>No</w:t>
      </w:r>
      <w:r>
        <w:rPr>
          <w:w w:val="99"/>
          <w:sz w:val="20"/>
          <w:u w:val="single"/>
        </w:rPr>
        <w:t> </w:t>
      </w:r>
      <w:r>
        <w:rPr>
          <w:sz w:val="20"/>
          <w:u w:val="single"/>
        </w:rPr>
        <w:tab/>
      </w:r>
    </w:p>
    <w:p>
      <w:pPr>
        <w:tabs>
          <w:tab w:pos="6319" w:val="left" w:leader="none"/>
        </w:tabs>
        <w:spacing w:line="228" w:lineRule="exact" w:before="0"/>
        <w:ind w:left="1866" w:right="126" w:firstLine="0"/>
        <w:jc w:val="left"/>
        <w:rPr>
          <w:sz w:val="20"/>
        </w:rPr>
      </w:pPr>
      <w:r>
        <w:rPr>
          <w:sz w:val="20"/>
        </w:rPr>
        <w:t>Cuantas veces en el último</w:t>
      </w:r>
      <w:r>
        <w:rPr>
          <w:spacing w:val="-5"/>
          <w:sz w:val="20"/>
        </w:rPr>
        <w:t> </w:t>
      </w:r>
      <w:r>
        <w:rPr>
          <w:sz w:val="20"/>
        </w:rPr>
        <w:t>año:</w:t>
      </w:r>
      <w:r>
        <w:rPr>
          <w:sz w:val="20"/>
          <w:u w:val="single"/>
        </w:rPr>
        <w:t> </w:t>
        <w:tab/>
      </w:r>
    </w:p>
    <w:p>
      <w:pPr>
        <w:pStyle w:val="ListParagraph"/>
        <w:numPr>
          <w:ilvl w:val="1"/>
          <w:numId w:val="35"/>
        </w:numPr>
        <w:tabs>
          <w:tab w:pos="882" w:val="left" w:leader="none"/>
          <w:tab w:pos="2652" w:val="left" w:leader="none"/>
        </w:tabs>
        <w:spacing w:line="278" w:lineRule="auto" w:before="3" w:after="0"/>
        <w:ind w:left="882" w:right="4297" w:hanging="360"/>
        <w:jc w:val="left"/>
        <w:rPr>
          <w:sz w:val="20"/>
        </w:rPr>
      </w:pPr>
      <w:r>
        <w:rPr>
          <w:sz w:val="20"/>
        </w:rPr>
        <w:t>¿Cuántas veces al día se cepilla los</w:t>
      </w:r>
      <w:r>
        <w:rPr>
          <w:spacing w:val="-13"/>
          <w:sz w:val="20"/>
        </w:rPr>
        <w:t> </w:t>
      </w:r>
      <w:r>
        <w:rPr>
          <w:sz w:val="20"/>
        </w:rPr>
        <w:t>dientes? Ninguna</w:t>
      </w:r>
      <w:r>
        <w:rPr>
          <w:spacing w:val="-4"/>
          <w:sz w:val="20"/>
        </w:rPr>
        <w:t> </w:t>
      </w:r>
      <w:r>
        <w:rPr>
          <w:sz w:val="20"/>
        </w:rPr>
        <w:t>vez</w:t>
      </w:r>
      <w:r>
        <w:rPr>
          <w:spacing w:val="-1"/>
          <w:sz w:val="20"/>
        </w:rPr>
        <w:t> </w:t>
      </w:r>
      <w:r>
        <w:rPr>
          <w:w w:val="99"/>
          <w:sz w:val="20"/>
          <w:u w:val="single"/>
        </w:rPr>
        <w:t> </w:t>
      </w:r>
      <w:r>
        <w:rPr>
          <w:sz w:val="20"/>
          <w:u w:val="single"/>
        </w:rPr>
        <w:tab/>
      </w:r>
    </w:p>
    <w:p>
      <w:pPr>
        <w:pStyle w:val="ListParagraph"/>
        <w:numPr>
          <w:ilvl w:val="2"/>
          <w:numId w:val="35"/>
        </w:numPr>
        <w:tabs>
          <w:tab w:pos="1049" w:val="left" w:leader="none"/>
          <w:tab w:pos="2018" w:val="left" w:leader="none"/>
        </w:tabs>
        <w:spacing w:line="228" w:lineRule="exact" w:before="0" w:after="0"/>
        <w:ind w:left="882" w:right="0" w:firstLine="0"/>
        <w:jc w:val="left"/>
        <w:rPr>
          <w:sz w:val="20"/>
        </w:rPr>
      </w:pPr>
      <w:r>
        <w:rPr>
          <w:sz w:val="20"/>
        </w:rPr>
        <w:t>vez</w:t>
      </w:r>
      <w:r>
        <w:rPr>
          <w:spacing w:val="-2"/>
          <w:sz w:val="20"/>
        </w:rPr>
        <w:t> </w:t>
      </w:r>
      <w:r>
        <w:rPr>
          <w:w w:val="99"/>
          <w:sz w:val="20"/>
          <w:u w:val="single"/>
        </w:rPr>
        <w:t> </w:t>
      </w:r>
      <w:r>
        <w:rPr>
          <w:sz w:val="20"/>
          <w:u w:val="single"/>
        </w:rPr>
        <w:tab/>
      </w:r>
    </w:p>
    <w:p>
      <w:pPr>
        <w:pStyle w:val="ListParagraph"/>
        <w:numPr>
          <w:ilvl w:val="2"/>
          <w:numId w:val="35"/>
        </w:numPr>
        <w:tabs>
          <w:tab w:pos="1049" w:val="left" w:leader="none"/>
          <w:tab w:pos="2229" w:val="left" w:leader="none"/>
        </w:tabs>
        <w:spacing w:line="276" w:lineRule="auto" w:before="34" w:after="0"/>
        <w:ind w:left="882" w:right="6926" w:firstLine="0"/>
        <w:jc w:val="left"/>
        <w:rPr>
          <w:sz w:val="20"/>
        </w:rPr>
      </w:pPr>
      <w:r>
        <w:rPr>
          <w:sz w:val="20"/>
        </w:rPr>
        <w:t>veces</w:t>
      </w:r>
      <w:r>
        <w:rPr>
          <w:sz w:val="20"/>
          <w:u w:val="single"/>
        </w:rPr>
        <w:tab/>
      </w:r>
      <w:r>
        <w:rPr>
          <w:sz w:val="20"/>
        </w:rPr>
        <w:t> 3 o</w:t>
      </w:r>
      <w:r>
        <w:rPr>
          <w:spacing w:val="-1"/>
          <w:sz w:val="20"/>
        </w:rPr>
        <w:t> </w:t>
      </w:r>
      <w:r>
        <w:rPr>
          <w:sz w:val="20"/>
        </w:rPr>
        <w:t>mas </w:t>
      </w:r>
      <w:r>
        <w:rPr>
          <w:w w:val="99"/>
          <w:sz w:val="20"/>
          <w:u w:val="single"/>
        </w:rPr>
        <w:t> </w:t>
      </w:r>
      <w:r>
        <w:rPr>
          <w:sz w:val="20"/>
          <w:u w:val="single"/>
        </w:rPr>
        <w:tab/>
      </w:r>
      <w:r>
        <w:rPr>
          <w:w w:val="8"/>
          <w:sz w:val="20"/>
          <w:u w:val="single"/>
        </w:rPr>
        <w:t> </w:t>
      </w:r>
    </w:p>
    <w:p>
      <w:pPr>
        <w:spacing w:after="0" w:line="276" w:lineRule="auto"/>
        <w:jc w:val="left"/>
        <w:rPr>
          <w:sz w:val="20"/>
        </w:rPr>
        <w:sectPr>
          <w:type w:val="continuous"/>
          <w:pgSz w:w="12240" w:h="15840"/>
          <w:pgMar w:top="760" w:bottom="280" w:left="1540" w:right="1520"/>
        </w:sectPr>
      </w:pPr>
    </w:p>
    <w:p>
      <w:pPr>
        <w:tabs>
          <w:tab w:pos="3308" w:val="left" w:leader="none"/>
        </w:tabs>
        <w:spacing w:line="276" w:lineRule="auto" w:before="0"/>
        <w:ind w:left="881" w:right="0" w:hanging="12"/>
        <w:jc w:val="left"/>
        <w:rPr>
          <w:sz w:val="20"/>
        </w:rPr>
      </w:pPr>
      <w:r>
        <w:rPr>
          <w:sz w:val="20"/>
        </w:rPr>
        <w:t>¿Utiliza hilo</w:t>
      </w:r>
      <w:r>
        <w:rPr>
          <w:spacing w:val="-6"/>
          <w:sz w:val="20"/>
        </w:rPr>
        <w:t> </w:t>
      </w:r>
      <w:r>
        <w:rPr>
          <w:sz w:val="20"/>
        </w:rPr>
        <w:t>dental?</w:t>
      </w:r>
      <w:r>
        <w:rPr>
          <w:spacing w:val="-1"/>
          <w:sz w:val="20"/>
        </w:rPr>
        <w:t> </w:t>
      </w:r>
      <w:r>
        <w:rPr>
          <w:sz w:val="20"/>
        </w:rPr>
        <w:t>si</w:t>
      </w:r>
      <w:r>
        <w:rPr>
          <w:w w:val="99"/>
          <w:sz w:val="20"/>
          <w:u w:val="single"/>
        </w:rPr>
        <w:t> </w:t>
      </w:r>
      <w:r>
        <w:rPr>
          <w:sz w:val="20"/>
          <w:u w:val="single"/>
        </w:rPr>
        <w:tab/>
      </w:r>
      <w:r>
        <w:rPr>
          <w:sz w:val="20"/>
        </w:rPr>
        <w:t> Frecuencia:</w:t>
      </w:r>
    </w:p>
    <w:p>
      <w:pPr>
        <w:tabs>
          <w:tab w:pos="2174" w:val="left" w:leader="none"/>
          <w:tab w:pos="2441" w:val="left" w:leader="none"/>
        </w:tabs>
        <w:spacing w:line="276" w:lineRule="auto" w:before="3"/>
        <w:ind w:left="881" w:right="865" w:firstLine="0"/>
        <w:jc w:val="left"/>
        <w:rPr>
          <w:sz w:val="20"/>
        </w:rPr>
      </w:pPr>
      <w:r>
        <w:rPr>
          <w:sz w:val="20"/>
        </w:rPr>
        <w:t>Diario</w:t>
      </w:r>
      <w:r>
        <w:rPr>
          <w:sz w:val="20"/>
          <w:u w:val="single"/>
        </w:rPr>
        <w:tab/>
      </w:r>
      <w:r>
        <w:rPr>
          <w:sz w:val="20"/>
        </w:rPr>
        <w:t> Semanal</w:t>
      </w:r>
      <w:r>
        <w:rPr>
          <w:spacing w:val="-2"/>
          <w:sz w:val="20"/>
        </w:rPr>
        <w:t> </w:t>
      </w:r>
      <w:r>
        <w:rPr>
          <w:w w:val="99"/>
          <w:sz w:val="20"/>
          <w:u w:val="single"/>
        </w:rPr>
        <w:t> </w:t>
      </w:r>
      <w:r>
        <w:rPr>
          <w:sz w:val="20"/>
          <w:u w:val="single"/>
        </w:rPr>
        <w:tab/>
        <w:tab/>
      </w:r>
    </w:p>
    <w:p>
      <w:pPr>
        <w:pStyle w:val="ListParagraph"/>
        <w:numPr>
          <w:ilvl w:val="1"/>
          <w:numId w:val="35"/>
        </w:numPr>
        <w:tabs>
          <w:tab w:pos="882" w:val="left" w:leader="none"/>
          <w:tab w:pos="1719" w:val="left" w:leader="none"/>
        </w:tabs>
        <w:spacing w:line="276" w:lineRule="auto" w:before="0" w:after="0"/>
        <w:ind w:left="882" w:right="237" w:hanging="360"/>
        <w:jc w:val="left"/>
        <w:rPr>
          <w:sz w:val="20"/>
        </w:rPr>
      </w:pPr>
      <w:r>
        <w:rPr>
          <w:sz w:val="20"/>
        </w:rPr>
        <w:t>¿Utiliza enjuague</w:t>
      </w:r>
      <w:r>
        <w:rPr>
          <w:spacing w:val="-10"/>
          <w:sz w:val="20"/>
        </w:rPr>
        <w:t> </w:t>
      </w:r>
      <w:r>
        <w:rPr>
          <w:sz w:val="20"/>
        </w:rPr>
        <w:t>bucal? Si </w:t>
      </w:r>
      <w:r>
        <w:rPr>
          <w:w w:val="99"/>
          <w:sz w:val="20"/>
          <w:u w:val="single"/>
        </w:rPr>
        <w:t> </w:t>
      </w:r>
      <w:r>
        <w:rPr>
          <w:sz w:val="20"/>
          <w:u w:val="single"/>
        </w:rPr>
        <w:tab/>
      </w:r>
    </w:p>
    <w:p>
      <w:pPr>
        <w:tabs>
          <w:tab w:pos="1685" w:val="left" w:leader="none"/>
        </w:tabs>
        <w:spacing w:before="0"/>
        <w:ind w:left="881" w:right="0" w:firstLine="0"/>
        <w:jc w:val="left"/>
        <w:rPr>
          <w:sz w:val="20"/>
        </w:rPr>
      </w:pPr>
      <w:r>
        <w:rPr>
          <w:sz w:val="20"/>
        </w:rPr>
        <w:t>No</w:t>
      </w:r>
      <w:r>
        <w:rPr>
          <w:spacing w:val="-1"/>
          <w:sz w:val="20"/>
        </w:rPr>
        <w:t> </w:t>
      </w:r>
      <w:r>
        <w:rPr>
          <w:w w:val="99"/>
          <w:sz w:val="20"/>
          <w:u w:val="single"/>
        </w:rPr>
        <w:t> </w:t>
      </w:r>
      <w:r>
        <w:rPr>
          <w:sz w:val="20"/>
          <w:u w:val="single"/>
        </w:rPr>
        <w:tab/>
      </w:r>
    </w:p>
    <w:p>
      <w:pPr>
        <w:tabs>
          <w:tab w:pos="1236" w:val="left" w:leader="none"/>
        </w:tabs>
        <w:spacing w:before="0"/>
        <w:ind w:left="522" w:right="0" w:firstLine="0"/>
        <w:jc w:val="left"/>
        <w:rPr>
          <w:sz w:val="20"/>
        </w:rPr>
      </w:pPr>
      <w:r>
        <w:rPr/>
        <w:br w:type="column"/>
      </w:r>
      <w:r>
        <w:rPr>
          <w:sz w:val="20"/>
        </w:rPr>
        <w:t>no</w:t>
      </w:r>
      <w:r>
        <w:rPr>
          <w:w w:val="99"/>
          <w:sz w:val="20"/>
          <w:u w:val="single"/>
        </w:rPr>
        <w:t> </w:t>
      </w:r>
      <w:r>
        <w:rPr>
          <w:sz w:val="20"/>
          <w:u w:val="single"/>
        </w:rPr>
        <w:tab/>
      </w:r>
    </w:p>
    <w:p>
      <w:pPr>
        <w:spacing w:after="0"/>
        <w:jc w:val="left"/>
        <w:rPr>
          <w:sz w:val="20"/>
        </w:rPr>
        <w:sectPr>
          <w:type w:val="continuous"/>
          <w:pgSz w:w="12240" w:h="15840"/>
          <w:pgMar w:top="760" w:bottom="280" w:left="1540" w:right="1520"/>
          <w:cols w:num="2" w:equalWidth="0">
            <w:col w:w="3309" w:space="579"/>
            <w:col w:w="5292"/>
          </w:cols>
        </w:sectPr>
      </w:pPr>
    </w:p>
    <w:p>
      <w:pPr>
        <w:pStyle w:val="BodyText"/>
        <w:spacing w:before="8"/>
        <w:rPr>
          <w:sz w:val="19"/>
        </w:rPr>
      </w:pPr>
    </w:p>
    <w:p>
      <w:pPr>
        <w:pStyle w:val="ListParagraph"/>
        <w:numPr>
          <w:ilvl w:val="1"/>
          <w:numId w:val="35"/>
        </w:numPr>
        <w:tabs>
          <w:tab w:pos="882" w:val="left" w:leader="none"/>
        </w:tabs>
        <w:spacing w:line="240" w:lineRule="auto" w:before="74" w:after="0"/>
        <w:ind w:left="882" w:right="0" w:hanging="360"/>
        <w:jc w:val="left"/>
        <w:rPr>
          <w:sz w:val="20"/>
        </w:rPr>
      </w:pPr>
      <w:r>
        <w:rPr>
          <w:sz w:val="20"/>
        </w:rPr>
        <w:t>Dieta cariogénica (frecuencia de</w:t>
      </w:r>
      <w:r>
        <w:rPr>
          <w:spacing w:val="-12"/>
          <w:sz w:val="20"/>
        </w:rPr>
        <w:t> </w:t>
      </w:r>
      <w:r>
        <w:rPr>
          <w:sz w:val="20"/>
        </w:rPr>
        <w:t>consumo)</w:t>
      </w:r>
    </w:p>
    <w:p>
      <w:pPr>
        <w:pStyle w:val="ListParagraph"/>
        <w:numPr>
          <w:ilvl w:val="0"/>
          <w:numId w:val="36"/>
        </w:numPr>
        <w:tabs>
          <w:tab w:pos="1156" w:val="left" w:leader="none"/>
        </w:tabs>
        <w:spacing w:line="240" w:lineRule="auto" w:before="32" w:after="0"/>
        <w:ind w:left="1578" w:right="0" w:hanging="708"/>
        <w:jc w:val="left"/>
        <w:rPr>
          <w:sz w:val="20"/>
        </w:rPr>
      </w:pPr>
      <w:r>
        <w:rPr>
          <w:sz w:val="20"/>
        </w:rPr>
        <w:t>Dulces</w:t>
      </w:r>
    </w:p>
    <w:p>
      <w:pPr>
        <w:tabs>
          <w:tab w:pos="3315" w:val="left" w:leader="none"/>
        </w:tabs>
        <w:spacing w:before="32"/>
        <w:ind w:left="1578" w:right="126" w:firstLine="0"/>
        <w:jc w:val="left"/>
        <w:rPr>
          <w:sz w:val="20"/>
        </w:rPr>
      </w:pPr>
      <w:r>
        <w:rPr>
          <w:sz w:val="20"/>
        </w:rPr>
        <w:t>Diariamente </w:t>
      </w:r>
      <w:r>
        <w:rPr>
          <w:w w:val="99"/>
          <w:sz w:val="20"/>
          <w:u w:val="single"/>
        </w:rPr>
        <w:t> </w:t>
      </w:r>
      <w:r>
        <w:rPr>
          <w:sz w:val="20"/>
          <w:u w:val="single"/>
        </w:rPr>
        <w:tab/>
      </w:r>
    </w:p>
    <w:p>
      <w:pPr>
        <w:tabs>
          <w:tab w:pos="3993" w:val="left" w:leader="none"/>
          <w:tab w:pos="4251" w:val="left" w:leader="none"/>
          <w:tab w:pos="4671" w:val="left" w:leader="none"/>
          <w:tab w:pos="4793" w:val="left" w:leader="none"/>
        </w:tabs>
        <w:spacing w:line="360" w:lineRule="auto" w:before="115"/>
        <w:ind w:left="1578" w:right="4384" w:firstLine="0"/>
        <w:jc w:val="left"/>
        <w:rPr>
          <w:sz w:val="20"/>
        </w:rPr>
      </w:pPr>
      <w:r>
        <w:rPr>
          <w:sz w:val="20"/>
        </w:rPr>
        <w:t>3 o más veces a</w:t>
      </w:r>
      <w:r>
        <w:rPr>
          <w:spacing w:val="-6"/>
          <w:sz w:val="20"/>
        </w:rPr>
        <w:t> </w:t>
      </w:r>
      <w:r>
        <w:rPr>
          <w:sz w:val="20"/>
        </w:rPr>
        <w:t>la</w:t>
      </w:r>
      <w:r>
        <w:rPr>
          <w:spacing w:val="-2"/>
          <w:sz w:val="20"/>
        </w:rPr>
        <w:t> </w:t>
      </w:r>
      <w:r>
        <w:rPr>
          <w:sz w:val="20"/>
        </w:rPr>
        <w:t>semana</w:t>
      </w:r>
      <w:r>
        <w:rPr>
          <w:spacing w:val="1"/>
          <w:sz w:val="20"/>
        </w:rPr>
        <w:t> </w:t>
      </w:r>
      <w:r>
        <w:rPr>
          <w:w w:val="99"/>
          <w:sz w:val="20"/>
          <w:u w:val="single"/>
        </w:rPr>
        <w:t> </w:t>
      </w:r>
      <w:r>
        <w:rPr>
          <w:sz w:val="20"/>
          <w:u w:val="single"/>
        </w:rPr>
        <w:tab/>
        <w:tab/>
      </w:r>
      <w:r>
        <w:rPr>
          <w:sz w:val="20"/>
        </w:rPr>
        <w:t> </w:t>
      </w:r>
      <w:r>
        <w:rPr>
          <w:sz w:val="20"/>
        </w:rPr>
        <w:t>1-2 veces a</w:t>
      </w:r>
      <w:r>
        <w:rPr>
          <w:spacing w:val="-6"/>
          <w:sz w:val="20"/>
        </w:rPr>
        <w:t> </w:t>
      </w:r>
      <w:r>
        <w:rPr>
          <w:sz w:val="20"/>
        </w:rPr>
        <w:t>la</w:t>
      </w:r>
      <w:r>
        <w:rPr>
          <w:spacing w:val="-3"/>
          <w:sz w:val="20"/>
        </w:rPr>
        <w:t> </w:t>
      </w:r>
      <w:r>
        <w:rPr>
          <w:sz w:val="20"/>
        </w:rPr>
        <w:t>semana</w:t>
      </w:r>
      <w:r>
        <w:rPr>
          <w:spacing w:val="1"/>
          <w:sz w:val="20"/>
        </w:rPr>
        <w:t> </w:t>
      </w:r>
      <w:r>
        <w:rPr>
          <w:w w:val="99"/>
          <w:sz w:val="20"/>
          <w:u w:val="single"/>
        </w:rPr>
        <w:t> </w:t>
      </w:r>
      <w:r>
        <w:rPr>
          <w:sz w:val="20"/>
          <w:u w:val="single"/>
        </w:rPr>
        <w:tab/>
        <w:tab/>
      </w:r>
      <w:r>
        <w:rPr>
          <w:sz w:val="20"/>
        </w:rPr>
        <w:t> </w:t>
      </w:r>
      <w:r>
        <w:rPr>
          <w:sz w:val="20"/>
        </w:rPr>
        <w:t>Menos de 1 vez a</w:t>
      </w:r>
      <w:r>
        <w:rPr>
          <w:spacing w:val="-6"/>
          <w:sz w:val="20"/>
        </w:rPr>
        <w:t> </w:t>
      </w:r>
      <w:r>
        <w:rPr>
          <w:sz w:val="20"/>
        </w:rPr>
        <w:t>la</w:t>
      </w:r>
      <w:r>
        <w:rPr>
          <w:spacing w:val="-3"/>
          <w:sz w:val="20"/>
        </w:rPr>
        <w:t> </w:t>
      </w:r>
      <w:r>
        <w:rPr>
          <w:sz w:val="20"/>
        </w:rPr>
        <w:t>semana</w:t>
      </w:r>
      <w:r>
        <w:rPr>
          <w:spacing w:val="2"/>
          <w:sz w:val="20"/>
        </w:rPr>
        <w:t> </w:t>
      </w:r>
      <w:r>
        <w:rPr>
          <w:w w:val="99"/>
          <w:sz w:val="20"/>
          <w:u w:val="single"/>
        </w:rPr>
        <w:t> </w:t>
      </w:r>
      <w:r>
        <w:rPr>
          <w:sz w:val="20"/>
          <w:u w:val="single"/>
        </w:rPr>
        <w:tab/>
        <w:tab/>
        <w:tab/>
      </w:r>
      <w:r>
        <w:rPr>
          <w:sz w:val="20"/>
        </w:rPr>
        <w:t> </w:t>
      </w:r>
      <w:r>
        <w:rPr>
          <w:sz w:val="20"/>
        </w:rPr>
        <w:t>Nunca o casi</w:t>
      </w:r>
      <w:r>
        <w:rPr>
          <w:spacing w:val="-8"/>
          <w:sz w:val="20"/>
        </w:rPr>
        <w:t> </w:t>
      </w:r>
      <w:r>
        <w:rPr>
          <w:sz w:val="20"/>
        </w:rPr>
        <w:t>nunca</w:t>
      </w:r>
      <w:r>
        <w:rPr>
          <w:spacing w:val="-1"/>
          <w:sz w:val="20"/>
        </w:rPr>
        <w:t> </w:t>
      </w:r>
      <w:r>
        <w:rPr>
          <w:w w:val="99"/>
          <w:sz w:val="20"/>
          <w:u w:val="single"/>
        </w:rPr>
        <w:t> </w:t>
      </w:r>
      <w:r>
        <w:rPr>
          <w:sz w:val="20"/>
          <w:u w:val="single"/>
        </w:rPr>
        <w:tab/>
      </w:r>
    </w:p>
    <w:p>
      <w:pPr>
        <w:pStyle w:val="ListParagraph"/>
        <w:numPr>
          <w:ilvl w:val="0"/>
          <w:numId w:val="36"/>
        </w:numPr>
        <w:tabs>
          <w:tab w:pos="1156" w:val="left" w:leader="none"/>
        </w:tabs>
        <w:spacing w:line="240" w:lineRule="auto" w:before="5" w:after="0"/>
        <w:ind w:left="1155" w:right="0" w:hanging="285"/>
        <w:jc w:val="left"/>
        <w:rPr>
          <w:sz w:val="20"/>
        </w:rPr>
      </w:pPr>
      <w:r>
        <w:rPr>
          <w:sz w:val="20"/>
        </w:rPr>
        <w:t>Refrescos</w:t>
      </w:r>
      <w:r>
        <w:rPr>
          <w:spacing w:val="-8"/>
          <w:sz w:val="20"/>
        </w:rPr>
        <w:t> </w:t>
      </w:r>
      <w:r>
        <w:rPr>
          <w:sz w:val="20"/>
        </w:rPr>
        <w:t>azucarados</w:t>
      </w:r>
    </w:p>
    <w:p>
      <w:pPr>
        <w:tabs>
          <w:tab w:pos="3205" w:val="left" w:leader="none"/>
        </w:tabs>
        <w:spacing w:before="30"/>
        <w:ind w:left="1578" w:right="126" w:firstLine="0"/>
        <w:jc w:val="left"/>
        <w:rPr>
          <w:sz w:val="20"/>
        </w:rPr>
      </w:pPr>
      <w:r>
        <w:rPr>
          <w:sz w:val="20"/>
        </w:rPr>
        <w:t>Diariamente</w:t>
      </w:r>
      <w:r>
        <w:rPr>
          <w:spacing w:val="-1"/>
          <w:sz w:val="20"/>
        </w:rPr>
        <w:t> </w:t>
      </w:r>
      <w:r>
        <w:rPr>
          <w:w w:val="99"/>
          <w:sz w:val="20"/>
          <w:u w:val="single"/>
        </w:rPr>
        <w:t> </w:t>
      </w:r>
      <w:r>
        <w:rPr>
          <w:sz w:val="20"/>
          <w:u w:val="single"/>
        </w:rPr>
        <w:tab/>
      </w:r>
    </w:p>
    <w:p>
      <w:pPr>
        <w:tabs>
          <w:tab w:pos="3994" w:val="left" w:leader="none"/>
          <w:tab w:pos="4251" w:val="left" w:leader="none"/>
          <w:tab w:pos="4671" w:val="left" w:leader="none"/>
          <w:tab w:pos="4793" w:val="left" w:leader="none"/>
        </w:tabs>
        <w:spacing w:line="360" w:lineRule="auto" w:before="115"/>
        <w:ind w:left="1578" w:right="4384" w:firstLine="0"/>
        <w:jc w:val="left"/>
        <w:rPr>
          <w:sz w:val="20"/>
        </w:rPr>
      </w:pPr>
      <w:r>
        <w:rPr>
          <w:sz w:val="20"/>
        </w:rPr>
        <w:t>3 o más veces a</w:t>
      </w:r>
      <w:r>
        <w:rPr>
          <w:spacing w:val="-6"/>
          <w:sz w:val="20"/>
        </w:rPr>
        <w:t> </w:t>
      </w:r>
      <w:r>
        <w:rPr>
          <w:sz w:val="20"/>
        </w:rPr>
        <w:t>la</w:t>
      </w:r>
      <w:r>
        <w:rPr>
          <w:spacing w:val="-2"/>
          <w:sz w:val="20"/>
        </w:rPr>
        <w:t> </w:t>
      </w:r>
      <w:r>
        <w:rPr>
          <w:sz w:val="20"/>
        </w:rPr>
        <w:t>semana</w:t>
      </w:r>
      <w:r>
        <w:rPr>
          <w:spacing w:val="1"/>
          <w:sz w:val="20"/>
        </w:rPr>
        <w:t> </w:t>
      </w:r>
      <w:r>
        <w:rPr>
          <w:w w:val="99"/>
          <w:sz w:val="20"/>
          <w:u w:val="single"/>
        </w:rPr>
        <w:t> </w:t>
      </w:r>
      <w:r>
        <w:rPr>
          <w:sz w:val="20"/>
          <w:u w:val="single"/>
        </w:rPr>
        <w:tab/>
        <w:tab/>
      </w:r>
      <w:r>
        <w:rPr>
          <w:sz w:val="20"/>
        </w:rPr>
        <w:t> </w:t>
      </w:r>
      <w:r>
        <w:rPr>
          <w:sz w:val="20"/>
        </w:rPr>
        <w:t>1-2 veces a</w:t>
      </w:r>
      <w:r>
        <w:rPr>
          <w:spacing w:val="-6"/>
          <w:sz w:val="20"/>
        </w:rPr>
        <w:t> </w:t>
      </w:r>
      <w:r>
        <w:rPr>
          <w:sz w:val="20"/>
        </w:rPr>
        <w:t>la</w:t>
      </w:r>
      <w:r>
        <w:rPr>
          <w:spacing w:val="-3"/>
          <w:sz w:val="20"/>
        </w:rPr>
        <w:t> </w:t>
      </w:r>
      <w:r>
        <w:rPr>
          <w:sz w:val="20"/>
        </w:rPr>
        <w:t>semana</w:t>
      </w:r>
      <w:r>
        <w:rPr>
          <w:spacing w:val="1"/>
          <w:sz w:val="20"/>
        </w:rPr>
        <w:t> </w:t>
      </w:r>
      <w:r>
        <w:rPr>
          <w:w w:val="99"/>
          <w:sz w:val="20"/>
          <w:u w:val="single"/>
        </w:rPr>
        <w:t> </w:t>
      </w:r>
      <w:r>
        <w:rPr>
          <w:sz w:val="20"/>
          <w:u w:val="single"/>
        </w:rPr>
        <w:tab/>
        <w:tab/>
      </w:r>
      <w:r>
        <w:rPr>
          <w:sz w:val="20"/>
        </w:rPr>
        <w:t> </w:t>
      </w:r>
      <w:r>
        <w:rPr>
          <w:sz w:val="20"/>
        </w:rPr>
        <w:t>Menos de 1 vez a</w:t>
      </w:r>
      <w:r>
        <w:rPr>
          <w:spacing w:val="-4"/>
          <w:sz w:val="20"/>
        </w:rPr>
        <w:t> </w:t>
      </w:r>
      <w:r>
        <w:rPr>
          <w:sz w:val="20"/>
        </w:rPr>
        <w:t>la</w:t>
      </w:r>
      <w:r>
        <w:rPr>
          <w:spacing w:val="-3"/>
          <w:sz w:val="20"/>
        </w:rPr>
        <w:t> </w:t>
      </w:r>
      <w:r>
        <w:rPr>
          <w:sz w:val="20"/>
        </w:rPr>
        <w:t>semana </w:t>
      </w:r>
      <w:r>
        <w:rPr>
          <w:w w:val="99"/>
          <w:sz w:val="20"/>
          <w:u w:val="single"/>
        </w:rPr>
        <w:t> </w:t>
      </w:r>
      <w:r>
        <w:rPr>
          <w:sz w:val="20"/>
          <w:u w:val="single"/>
        </w:rPr>
        <w:tab/>
        <w:tab/>
        <w:tab/>
      </w:r>
      <w:r>
        <w:rPr>
          <w:sz w:val="20"/>
        </w:rPr>
        <w:t> </w:t>
      </w:r>
      <w:r>
        <w:rPr>
          <w:sz w:val="20"/>
        </w:rPr>
        <w:t>Nunca o casi</w:t>
      </w:r>
      <w:r>
        <w:rPr>
          <w:spacing w:val="-8"/>
          <w:sz w:val="20"/>
        </w:rPr>
        <w:t> </w:t>
      </w:r>
      <w:r>
        <w:rPr>
          <w:sz w:val="20"/>
        </w:rPr>
        <w:t>nunca</w:t>
      </w:r>
      <w:r>
        <w:rPr>
          <w:spacing w:val="1"/>
          <w:sz w:val="20"/>
        </w:rPr>
        <w:t> </w:t>
      </w:r>
      <w:r>
        <w:rPr>
          <w:w w:val="99"/>
          <w:sz w:val="20"/>
          <w:u w:val="single"/>
        </w:rPr>
        <w:t> </w:t>
      </w:r>
      <w:r>
        <w:rPr>
          <w:sz w:val="20"/>
          <w:u w:val="single"/>
        </w:rPr>
        <w:tab/>
      </w:r>
    </w:p>
    <w:p>
      <w:pPr>
        <w:pStyle w:val="ListParagraph"/>
        <w:numPr>
          <w:ilvl w:val="0"/>
          <w:numId w:val="36"/>
        </w:numPr>
        <w:tabs>
          <w:tab w:pos="1156" w:val="left" w:leader="none"/>
          <w:tab w:pos="3315" w:val="left" w:leader="none"/>
        </w:tabs>
        <w:spacing w:line="271" w:lineRule="auto" w:before="5" w:after="0"/>
        <w:ind w:left="1578" w:right="4913" w:hanging="708"/>
        <w:jc w:val="left"/>
        <w:rPr>
          <w:sz w:val="20"/>
        </w:rPr>
      </w:pPr>
      <w:r>
        <w:rPr>
          <w:sz w:val="20"/>
        </w:rPr>
        <w:t>Refrigerios (comida entre</w:t>
      </w:r>
      <w:r>
        <w:rPr>
          <w:spacing w:val="-9"/>
          <w:sz w:val="20"/>
        </w:rPr>
        <w:t> </w:t>
      </w:r>
      <w:r>
        <w:rPr>
          <w:sz w:val="20"/>
        </w:rPr>
        <w:t>comidas) Diariamente</w:t>
      </w:r>
      <w:r>
        <w:rPr>
          <w:spacing w:val="-1"/>
          <w:sz w:val="20"/>
        </w:rPr>
        <w:t> </w:t>
      </w:r>
      <w:r>
        <w:rPr>
          <w:w w:val="99"/>
          <w:sz w:val="20"/>
          <w:u w:val="single"/>
        </w:rPr>
        <w:t> </w:t>
      </w:r>
      <w:r>
        <w:rPr>
          <w:sz w:val="20"/>
          <w:u w:val="single"/>
        </w:rPr>
        <w:tab/>
      </w:r>
    </w:p>
    <w:p>
      <w:pPr>
        <w:tabs>
          <w:tab w:pos="4196" w:val="left" w:leader="none"/>
          <w:tab w:pos="4781" w:val="left" w:leader="none"/>
        </w:tabs>
        <w:spacing w:line="360" w:lineRule="auto" w:before="86"/>
        <w:ind w:left="1578" w:right="4384" w:firstLine="0"/>
        <w:jc w:val="left"/>
        <w:rPr>
          <w:sz w:val="20"/>
        </w:rPr>
      </w:pPr>
      <w:r>
        <w:rPr>
          <w:sz w:val="20"/>
        </w:rPr>
        <w:t>3 o más veces a</w:t>
      </w:r>
      <w:r>
        <w:rPr>
          <w:spacing w:val="-6"/>
          <w:sz w:val="20"/>
        </w:rPr>
        <w:t> </w:t>
      </w:r>
      <w:r>
        <w:rPr>
          <w:sz w:val="20"/>
        </w:rPr>
        <w:t>la</w:t>
      </w:r>
      <w:r>
        <w:rPr>
          <w:spacing w:val="-2"/>
          <w:sz w:val="20"/>
        </w:rPr>
        <w:t> </w:t>
      </w:r>
      <w:r>
        <w:rPr>
          <w:sz w:val="20"/>
        </w:rPr>
        <w:t>semana</w:t>
      </w:r>
      <w:r>
        <w:rPr>
          <w:spacing w:val="1"/>
          <w:sz w:val="20"/>
        </w:rPr>
        <w:t> </w:t>
      </w:r>
      <w:r>
        <w:rPr>
          <w:w w:val="99"/>
          <w:sz w:val="20"/>
          <w:u w:val="single"/>
        </w:rPr>
        <w:t> </w:t>
      </w:r>
      <w:r>
        <w:rPr>
          <w:sz w:val="20"/>
          <w:u w:val="single"/>
        </w:rPr>
        <w:tab/>
        <w:tab/>
      </w:r>
      <w:r>
        <w:rPr>
          <w:sz w:val="20"/>
        </w:rPr>
        <w:t> </w:t>
      </w:r>
      <w:r>
        <w:rPr>
          <w:sz w:val="20"/>
        </w:rPr>
        <w:t>1-2 veces a</w:t>
      </w:r>
      <w:r>
        <w:rPr>
          <w:spacing w:val="-5"/>
          <w:sz w:val="20"/>
        </w:rPr>
        <w:t> </w:t>
      </w:r>
      <w:r>
        <w:rPr>
          <w:sz w:val="20"/>
        </w:rPr>
        <w:t>la</w:t>
      </w:r>
      <w:r>
        <w:rPr>
          <w:spacing w:val="-2"/>
          <w:sz w:val="20"/>
        </w:rPr>
        <w:t> </w:t>
      </w:r>
      <w:r>
        <w:rPr>
          <w:sz w:val="20"/>
        </w:rPr>
        <w:t>semana</w:t>
      </w:r>
      <w:r>
        <w:rPr>
          <w:w w:val="99"/>
          <w:sz w:val="20"/>
          <w:u w:val="single"/>
        </w:rPr>
        <w:t> </w:t>
      </w:r>
      <w:r>
        <w:rPr>
          <w:sz w:val="20"/>
          <w:u w:val="single"/>
        </w:rPr>
        <w:tab/>
      </w:r>
      <w:r>
        <w:rPr>
          <w:sz w:val="20"/>
        </w:rPr>
        <w:t> </w:t>
      </w:r>
      <w:r>
        <w:rPr>
          <w:sz w:val="20"/>
        </w:rPr>
        <w:t>Menos de 1 vez a la</w:t>
      </w:r>
      <w:r>
        <w:rPr>
          <w:spacing w:val="-9"/>
          <w:sz w:val="20"/>
        </w:rPr>
        <w:t> </w:t>
      </w:r>
      <w:r>
        <w:rPr>
          <w:sz w:val="20"/>
        </w:rPr>
        <w:t>semana</w:t>
      </w:r>
      <w:r>
        <w:rPr>
          <w:spacing w:val="2"/>
          <w:sz w:val="20"/>
        </w:rPr>
        <w:t> </w:t>
      </w:r>
      <w:r>
        <w:rPr>
          <w:w w:val="99"/>
          <w:sz w:val="20"/>
          <w:u w:val="single"/>
        </w:rPr>
        <w:t> </w:t>
      </w:r>
      <w:r>
        <w:rPr>
          <w:sz w:val="20"/>
          <w:u w:val="single"/>
        </w:rPr>
        <w:tab/>
      </w:r>
    </w:p>
    <w:p>
      <w:pPr>
        <w:tabs>
          <w:tab w:pos="3994" w:val="left" w:leader="none"/>
        </w:tabs>
        <w:spacing w:before="4"/>
        <w:ind w:left="1578" w:right="126" w:firstLine="0"/>
        <w:jc w:val="left"/>
        <w:rPr>
          <w:sz w:val="20"/>
        </w:rPr>
      </w:pPr>
      <w:r>
        <w:rPr>
          <w:sz w:val="20"/>
        </w:rPr>
        <w:t>Nunca o casi</w:t>
      </w:r>
      <w:r>
        <w:rPr>
          <w:spacing w:val="-8"/>
          <w:sz w:val="20"/>
        </w:rPr>
        <w:t> </w:t>
      </w:r>
      <w:r>
        <w:rPr>
          <w:sz w:val="20"/>
        </w:rPr>
        <w:t>nunca</w:t>
      </w:r>
      <w:r>
        <w:rPr>
          <w:spacing w:val="1"/>
          <w:sz w:val="20"/>
        </w:rPr>
        <w:t> </w:t>
      </w:r>
      <w:r>
        <w:rPr>
          <w:w w:val="99"/>
          <w:sz w:val="20"/>
          <w:u w:val="single"/>
        </w:rPr>
        <w:t> </w:t>
      </w:r>
      <w:r>
        <w:rPr>
          <w:sz w:val="20"/>
          <w:u w:val="single"/>
        </w:rPr>
        <w:tab/>
      </w:r>
    </w:p>
    <w:p>
      <w:pPr>
        <w:spacing w:after="0"/>
        <w:jc w:val="left"/>
        <w:rPr>
          <w:sz w:val="20"/>
        </w:rPr>
        <w:sectPr>
          <w:type w:val="continuous"/>
          <w:pgSz w:w="12240" w:h="15840"/>
          <w:pgMar w:top="760" w:bottom="280" w:left="1540" w:right="1520"/>
        </w:sectPr>
      </w:pPr>
    </w:p>
    <w:p>
      <w:pPr>
        <w:pStyle w:val="BodyText"/>
        <w:spacing w:before="8"/>
        <w:rPr>
          <w:sz w:val="17"/>
        </w:rPr>
      </w:pPr>
    </w:p>
    <w:p>
      <w:pPr>
        <w:pStyle w:val="ListParagraph"/>
        <w:numPr>
          <w:ilvl w:val="1"/>
          <w:numId w:val="35"/>
        </w:numPr>
        <w:tabs>
          <w:tab w:pos="882" w:val="left" w:leader="none"/>
        </w:tabs>
        <w:spacing w:line="240" w:lineRule="auto" w:before="74" w:after="0"/>
        <w:ind w:left="882" w:right="0" w:hanging="360"/>
        <w:jc w:val="left"/>
        <w:rPr>
          <w:sz w:val="20"/>
        </w:rPr>
      </w:pPr>
      <w:r>
        <w:rPr>
          <w:sz w:val="20"/>
        </w:rPr>
        <w:t>Grado de</w:t>
      </w:r>
      <w:r>
        <w:rPr>
          <w:spacing w:val="-7"/>
          <w:sz w:val="20"/>
        </w:rPr>
        <w:t> </w:t>
      </w:r>
      <w:r>
        <w:rPr>
          <w:sz w:val="20"/>
        </w:rPr>
        <w:t>escolaridad:</w:t>
      </w:r>
    </w:p>
    <w:p>
      <w:pPr>
        <w:tabs>
          <w:tab w:pos="2937" w:val="left" w:leader="none"/>
          <w:tab w:pos="2981" w:val="left" w:leader="none"/>
          <w:tab w:pos="3038" w:val="left" w:leader="none"/>
          <w:tab w:pos="3249" w:val="left" w:leader="none"/>
          <w:tab w:pos="3280" w:val="left" w:leader="none"/>
          <w:tab w:pos="3313" w:val="left" w:leader="none"/>
        </w:tabs>
        <w:spacing w:line="360" w:lineRule="auto" w:before="34"/>
        <w:ind w:left="1578" w:right="5425" w:firstLine="0"/>
        <w:jc w:val="left"/>
        <w:rPr>
          <w:sz w:val="20"/>
        </w:rPr>
      </w:pPr>
      <w:r>
        <w:rPr>
          <w:sz w:val="20"/>
        </w:rPr>
        <w:t>Primaria</w:t>
      </w:r>
      <w:r>
        <w:rPr>
          <w:sz w:val="20"/>
          <w:u w:val="single"/>
        </w:rPr>
        <w:t> </w:t>
        <w:tab/>
        <w:tab/>
      </w:r>
      <w:r>
        <w:rPr>
          <w:sz w:val="20"/>
        </w:rPr>
        <w:t>años Secundaria</w:t>
      </w:r>
      <w:r>
        <w:rPr>
          <w:sz w:val="20"/>
          <w:u w:val="single"/>
        </w:rPr>
        <w:t> </w:t>
        <w:tab/>
        <w:tab/>
        <w:tab/>
        <w:tab/>
      </w:r>
      <w:r>
        <w:rPr>
          <w:sz w:val="20"/>
        </w:rPr>
        <w:t>años Bachillerato</w:t>
      </w:r>
      <w:r>
        <w:rPr>
          <w:sz w:val="20"/>
          <w:u w:val="single"/>
        </w:rPr>
        <w:t> </w:t>
        <w:tab/>
        <w:tab/>
        <w:tab/>
        <w:tab/>
        <w:tab/>
      </w:r>
      <w:r>
        <w:rPr>
          <w:sz w:val="20"/>
        </w:rPr>
        <w:t>años Licenciatura</w:t>
      </w:r>
      <w:r>
        <w:rPr>
          <w:sz w:val="20"/>
          <w:u w:val="single"/>
        </w:rPr>
        <w:t> </w:t>
        <w:tab/>
        <w:tab/>
        <w:tab/>
        <w:tab/>
        <w:tab/>
        <w:tab/>
      </w:r>
      <w:r>
        <w:rPr>
          <w:sz w:val="20"/>
        </w:rPr>
        <w:t>años Tecnico</w:t>
      </w:r>
      <w:r>
        <w:rPr>
          <w:sz w:val="20"/>
          <w:u w:val="single"/>
        </w:rPr>
        <w:t> </w:t>
        <w:tab/>
      </w:r>
      <w:r>
        <w:rPr>
          <w:sz w:val="20"/>
        </w:rPr>
        <w:t>años Posgrado</w:t>
      </w:r>
      <w:r>
        <w:rPr>
          <w:sz w:val="20"/>
          <w:u w:val="single"/>
        </w:rPr>
        <w:t> </w:t>
        <w:tab/>
        <w:tab/>
        <w:tab/>
      </w:r>
      <w:r>
        <w:rPr>
          <w:sz w:val="20"/>
        </w:rPr>
        <w:t>años</w:t>
      </w:r>
    </w:p>
    <w:p>
      <w:pPr>
        <w:pStyle w:val="ListParagraph"/>
        <w:numPr>
          <w:ilvl w:val="0"/>
          <w:numId w:val="37"/>
        </w:numPr>
        <w:tabs>
          <w:tab w:pos="568" w:val="left" w:leader="none"/>
        </w:tabs>
        <w:spacing w:line="240" w:lineRule="auto" w:before="6" w:after="0"/>
        <w:ind w:left="567" w:right="0" w:hanging="221"/>
        <w:jc w:val="left"/>
        <w:rPr>
          <w:sz w:val="20"/>
        </w:rPr>
      </w:pPr>
      <w:r>
        <w:rPr>
          <w:sz w:val="20"/>
        </w:rPr>
        <w:t>Emplea algún tipo de plaguicida en su trabajo o</w:t>
      </w:r>
      <w:r>
        <w:rPr>
          <w:spacing w:val="-15"/>
          <w:sz w:val="20"/>
        </w:rPr>
        <w:t> </w:t>
      </w:r>
      <w:r>
        <w:rPr>
          <w:sz w:val="20"/>
        </w:rPr>
        <w:t>casa:</w:t>
      </w:r>
    </w:p>
    <w:p>
      <w:pPr>
        <w:pStyle w:val="BodyText"/>
        <w:rPr>
          <w:sz w:val="20"/>
        </w:rPr>
      </w:pPr>
    </w:p>
    <w:p>
      <w:pPr>
        <w:tabs>
          <w:tab w:pos="1553" w:val="left" w:leader="none"/>
          <w:tab w:pos="1783" w:val="left" w:leader="none"/>
        </w:tabs>
        <w:spacing w:line="360" w:lineRule="auto" w:before="1"/>
        <w:ind w:left="881" w:right="7394" w:hanging="12"/>
        <w:jc w:val="left"/>
        <w:rPr>
          <w:sz w:val="20"/>
        </w:rPr>
      </w:pPr>
      <w:r>
        <w:rPr>
          <w:sz w:val="20"/>
        </w:rPr>
        <w:t>No</w:t>
      </w:r>
      <w:r>
        <w:rPr>
          <w:sz w:val="20"/>
          <w:u w:val="single"/>
        </w:rPr>
        <w:tab/>
        <w:tab/>
      </w:r>
      <w:r>
        <w:rPr>
          <w:sz w:val="20"/>
        </w:rPr>
        <w:t> Si</w:t>
      </w:r>
      <w:r>
        <w:rPr>
          <w:w w:val="99"/>
          <w:sz w:val="20"/>
          <w:u w:val="single"/>
        </w:rPr>
        <w:t> </w:t>
      </w:r>
      <w:r>
        <w:rPr>
          <w:sz w:val="20"/>
          <w:u w:val="single"/>
        </w:rPr>
        <w:tab/>
      </w:r>
    </w:p>
    <w:p>
      <w:pPr>
        <w:tabs>
          <w:tab w:pos="4818" w:val="left" w:leader="none"/>
        </w:tabs>
        <w:spacing w:before="4"/>
        <w:ind w:left="1102" w:right="126" w:firstLine="0"/>
        <w:jc w:val="left"/>
        <w:rPr>
          <w:sz w:val="20"/>
        </w:rPr>
      </w:pPr>
      <w:r>
        <w:rPr>
          <w:sz w:val="20"/>
        </w:rPr>
        <w:t>¿Cuál o</w:t>
      </w:r>
      <w:r>
        <w:rPr>
          <w:spacing w:val="-6"/>
          <w:sz w:val="20"/>
        </w:rPr>
        <w:t> </w:t>
      </w:r>
      <w:r>
        <w:rPr>
          <w:sz w:val="20"/>
        </w:rPr>
        <w:t>cuáles?</w:t>
      </w:r>
      <w:r>
        <w:rPr>
          <w:w w:val="99"/>
          <w:sz w:val="20"/>
          <w:u w:val="single"/>
        </w:rPr>
        <w:t> </w:t>
      </w:r>
      <w:r>
        <w:rPr>
          <w:sz w:val="20"/>
          <w:u w:val="single"/>
        </w:rPr>
        <w:tab/>
      </w:r>
    </w:p>
    <w:p>
      <w:pPr>
        <w:tabs>
          <w:tab w:pos="4790" w:val="left" w:leader="none"/>
        </w:tabs>
        <w:spacing w:before="116"/>
        <w:ind w:left="992" w:right="126" w:firstLine="0"/>
        <w:jc w:val="left"/>
        <w:rPr>
          <w:sz w:val="20"/>
        </w:rPr>
      </w:pPr>
      <w:r>
        <w:rPr>
          <w:sz w:val="20"/>
        </w:rPr>
        <w:t>¿Cuánto tiempo al</w:t>
      </w:r>
      <w:r>
        <w:rPr>
          <w:spacing w:val="-2"/>
          <w:sz w:val="20"/>
        </w:rPr>
        <w:t> </w:t>
      </w:r>
      <w:r>
        <w:rPr>
          <w:sz w:val="20"/>
        </w:rPr>
        <w:t>día?</w:t>
      </w:r>
      <w:r>
        <w:rPr>
          <w:w w:val="99"/>
          <w:sz w:val="20"/>
          <w:u w:val="single"/>
        </w:rPr>
        <w:t> </w:t>
      </w:r>
      <w:r>
        <w:rPr>
          <w:sz w:val="20"/>
          <w:u w:val="single"/>
        </w:rPr>
        <w:tab/>
      </w:r>
    </w:p>
    <w:p>
      <w:pPr>
        <w:tabs>
          <w:tab w:pos="8607" w:val="left" w:leader="none"/>
        </w:tabs>
        <w:spacing w:before="113"/>
        <w:ind w:left="1090" w:right="126" w:firstLine="0"/>
        <w:jc w:val="left"/>
        <w:rPr>
          <w:sz w:val="20"/>
        </w:rPr>
      </w:pPr>
      <w:r>
        <w:rPr>
          <w:sz w:val="20"/>
        </w:rPr>
        <w:t>¿Desde hace cuánto tiempo se encuentra</w:t>
      </w:r>
      <w:r>
        <w:rPr>
          <w:spacing w:val="-16"/>
          <w:sz w:val="20"/>
        </w:rPr>
        <w:t> </w:t>
      </w:r>
      <w:r>
        <w:rPr>
          <w:sz w:val="20"/>
        </w:rPr>
        <w:t>expuesto?</w:t>
      </w:r>
      <w:r>
        <w:rPr>
          <w:w w:val="99"/>
          <w:sz w:val="20"/>
          <w:u w:val="single"/>
        </w:rPr>
        <w:t> </w:t>
      </w:r>
      <w:r>
        <w:rPr>
          <w:sz w:val="20"/>
          <w:u w:val="single"/>
        </w:rPr>
        <w:tab/>
      </w:r>
    </w:p>
    <w:p>
      <w:pPr>
        <w:pStyle w:val="BodyText"/>
        <w:rPr>
          <w:sz w:val="20"/>
        </w:rPr>
      </w:pPr>
    </w:p>
    <w:p>
      <w:pPr>
        <w:pStyle w:val="BodyText"/>
        <w:spacing w:before="1"/>
        <w:rPr>
          <w:sz w:val="20"/>
        </w:rPr>
      </w:pPr>
    </w:p>
    <w:p>
      <w:pPr>
        <w:spacing w:before="0"/>
        <w:ind w:left="162" w:right="126" w:firstLine="0"/>
        <w:jc w:val="left"/>
        <w:rPr>
          <w:sz w:val="20"/>
        </w:rPr>
      </w:pPr>
      <w:r>
        <w:rPr>
          <w:sz w:val="20"/>
        </w:rPr>
        <w:t>SIGUIENTE RUBRO LLENAR SOLO EN CASO DE QUE SU OCUPACION SEA FLORICULTOR:</w:t>
      </w:r>
    </w:p>
    <w:p>
      <w:pPr>
        <w:pStyle w:val="ListParagraph"/>
        <w:numPr>
          <w:ilvl w:val="1"/>
          <w:numId w:val="37"/>
        </w:numPr>
        <w:tabs>
          <w:tab w:pos="1242" w:val="left" w:leader="none"/>
          <w:tab w:pos="8789" w:val="left" w:leader="none"/>
        </w:tabs>
        <w:spacing w:line="240" w:lineRule="auto" w:before="115" w:after="0"/>
        <w:ind w:left="1242" w:right="0" w:hanging="360"/>
        <w:jc w:val="left"/>
        <w:rPr>
          <w:sz w:val="20"/>
        </w:rPr>
      </w:pPr>
      <w:r>
        <w:rPr>
          <w:sz w:val="20"/>
        </w:rPr>
        <w:t>¿Cuántos años tiene dedicándose a la</w:t>
      </w:r>
      <w:r>
        <w:rPr>
          <w:spacing w:val="-16"/>
          <w:sz w:val="20"/>
        </w:rPr>
        <w:t> </w:t>
      </w:r>
      <w:r>
        <w:rPr>
          <w:sz w:val="20"/>
        </w:rPr>
        <w:t>floricultura?</w:t>
      </w:r>
      <w:r>
        <w:rPr>
          <w:w w:val="99"/>
          <w:sz w:val="20"/>
          <w:u w:val="single"/>
        </w:rPr>
        <w:t> </w:t>
      </w:r>
      <w:r>
        <w:rPr>
          <w:sz w:val="20"/>
          <w:u w:val="single"/>
        </w:rPr>
        <w:tab/>
      </w:r>
    </w:p>
    <w:p>
      <w:pPr>
        <w:pStyle w:val="ListParagraph"/>
        <w:numPr>
          <w:ilvl w:val="1"/>
          <w:numId w:val="37"/>
        </w:numPr>
        <w:tabs>
          <w:tab w:pos="1242" w:val="left" w:leader="none"/>
        </w:tabs>
        <w:spacing w:line="240" w:lineRule="auto" w:before="113" w:after="0"/>
        <w:ind w:left="1242" w:right="0" w:hanging="360"/>
        <w:jc w:val="left"/>
        <w:rPr>
          <w:sz w:val="20"/>
        </w:rPr>
      </w:pPr>
      <w:r>
        <w:rPr>
          <w:sz w:val="20"/>
        </w:rPr>
        <w:t>¿Qué actividades</w:t>
      </w:r>
      <w:r>
        <w:rPr>
          <w:spacing w:val="-11"/>
          <w:sz w:val="20"/>
        </w:rPr>
        <w:t> </w:t>
      </w:r>
      <w:r>
        <w:rPr>
          <w:sz w:val="20"/>
        </w:rPr>
        <w:t>realiza?</w:t>
      </w:r>
    </w:p>
    <w:p>
      <w:pPr>
        <w:tabs>
          <w:tab w:pos="1390" w:val="left" w:leader="none"/>
          <w:tab w:pos="2578" w:val="left" w:leader="none"/>
          <w:tab w:pos="4525" w:val="left" w:leader="none"/>
          <w:tab w:pos="5704" w:val="left" w:leader="none"/>
          <w:tab w:pos="7183" w:val="left" w:leader="none"/>
        </w:tabs>
        <w:spacing w:before="115"/>
        <w:ind w:left="1057" w:right="0" w:firstLine="0"/>
        <w:jc w:val="center"/>
        <w:rPr>
          <w:sz w:val="20"/>
        </w:rPr>
      </w:pPr>
      <w:r>
        <w:rPr>
          <w:w w:val="99"/>
          <w:sz w:val="20"/>
          <w:u w:val="single"/>
        </w:rPr>
        <w:t> </w:t>
      </w:r>
      <w:r>
        <w:rPr>
          <w:sz w:val="20"/>
          <w:u w:val="single"/>
        </w:rPr>
        <w:tab/>
      </w:r>
      <w:r>
        <w:rPr>
          <w:sz w:val="20"/>
        </w:rPr>
        <w:t>Siembra</w:t>
      </w:r>
      <w:r>
        <w:rPr>
          <w:sz w:val="20"/>
          <w:u w:val="single"/>
        </w:rPr>
        <w:t> </w:t>
        <w:tab/>
      </w:r>
      <w:r>
        <w:rPr>
          <w:sz w:val="20"/>
        </w:rPr>
        <w:t>Corte    </w:t>
      </w:r>
      <w:r>
        <w:rPr>
          <w:spacing w:val="54"/>
          <w:sz w:val="20"/>
        </w:rPr>
        <w:t> </w:t>
      </w:r>
      <w:r>
        <w:rPr>
          <w:sz w:val="20"/>
        </w:rPr>
        <w:t>Bonche</w:t>
      </w:r>
      <w:r>
        <w:rPr>
          <w:sz w:val="20"/>
          <w:u w:val="single"/>
        </w:rPr>
        <w:t> </w:t>
        <w:tab/>
      </w:r>
      <w:r>
        <w:rPr>
          <w:sz w:val="20"/>
        </w:rPr>
        <w:t>Fumigar</w:t>
      </w:r>
      <w:r>
        <w:rPr>
          <w:sz w:val="20"/>
          <w:u w:val="single"/>
        </w:rPr>
        <w:t> </w:t>
        <w:tab/>
      </w:r>
      <w:r>
        <w:rPr>
          <w:sz w:val="20"/>
        </w:rPr>
        <w:t>Desbotonar</w:t>
      </w:r>
      <w:r>
        <w:rPr>
          <w:sz w:val="20"/>
          <w:u w:val="single"/>
        </w:rPr>
        <w:t> </w:t>
        <w:tab/>
      </w:r>
      <w:r>
        <w:rPr>
          <w:sz w:val="20"/>
        </w:rPr>
        <w:t>Otro</w:t>
      </w:r>
    </w:p>
    <w:p>
      <w:pPr>
        <w:pStyle w:val="ListParagraph"/>
        <w:numPr>
          <w:ilvl w:val="1"/>
          <w:numId w:val="37"/>
        </w:numPr>
        <w:tabs>
          <w:tab w:pos="1242" w:val="left" w:leader="none"/>
        </w:tabs>
        <w:spacing w:line="240" w:lineRule="auto" w:before="115" w:after="0"/>
        <w:ind w:left="1242" w:right="0" w:hanging="360"/>
        <w:jc w:val="left"/>
        <w:rPr>
          <w:sz w:val="20"/>
        </w:rPr>
      </w:pPr>
      <w:r>
        <w:rPr>
          <w:sz w:val="20"/>
        </w:rPr>
        <w:t>¿Cuáles compuestos ha</w:t>
      </w:r>
      <w:r>
        <w:rPr>
          <w:spacing w:val="-9"/>
          <w:sz w:val="20"/>
        </w:rPr>
        <w:t> </w:t>
      </w:r>
      <w:r>
        <w:rPr>
          <w:sz w:val="20"/>
        </w:rPr>
        <w:t>aplicado?</w:t>
      </w:r>
    </w:p>
    <w:p>
      <w:pPr>
        <w:spacing w:before="115"/>
        <w:ind w:left="1155" w:right="126" w:firstLine="0"/>
        <w:jc w:val="left"/>
        <w:rPr>
          <w:sz w:val="20"/>
        </w:rPr>
      </w:pPr>
      <w:r>
        <w:rPr>
          <w:w w:val="99"/>
          <w:sz w:val="20"/>
          <w:u w:val="single"/>
        </w:rPr>
        <w:t> </w:t>
      </w:r>
      <w:r>
        <w:rPr>
          <w:sz w:val="20"/>
          <w:u w:val="single"/>
        </w:rPr>
        <w:t>   </w:t>
      </w:r>
      <w:r>
        <w:rPr>
          <w:sz w:val="20"/>
        </w:rPr>
        <w:t>Lannate     Tamaron     Tecto     Agrimec     Nuvacron     Furadan      Ridomil gold</w:t>
      </w:r>
    </w:p>
    <w:p>
      <w:pPr>
        <w:spacing w:before="113"/>
        <w:ind w:left="1155" w:right="126" w:firstLine="0"/>
        <w:jc w:val="left"/>
        <w:rPr>
          <w:sz w:val="20"/>
        </w:rPr>
      </w:pPr>
      <w:r>
        <w:rPr>
          <w:w w:val="99"/>
          <w:sz w:val="20"/>
          <w:u w:val="single"/>
        </w:rPr>
        <w:t> </w:t>
      </w:r>
      <w:r>
        <w:rPr>
          <w:sz w:val="20"/>
          <w:u w:val="single"/>
        </w:rPr>
        <w:t>   </w:t>
      </w:r>
      <w:r>
        <w:rPr>
          <w:sz w:val="20"/>
        </w:rPr>
        <w:t>Manzate 200     Benlate     Tal star     Fungicel     Pentaclor 600F     Curacron 500  FC</w:t>
      </w:r>
    </w:p>
    <w:p>
      <w:pPr>
        <w:tabs>
          <w:tab w:pos="5420" w:val="left" w:leader="none"/>
        </w:tabs>
        <w:spacing w:before="115"/>
        <w:ind w:left="1155" w:right="126" w:firstLine="0"/>
        <w:jc w:val="left"/>
        <w:rPr>
          <w:sz w:val="20"/>
        </w:rPr>
      </w:pPr>
      <w:r>
        <w:rPr>
          <w:w w:val="99"/>
          <w:sz w:val="20"/>
          <w:u w:val="single"/>
        </w:rPr>
        <w:t> </w:t>
      </w:r>
      <w:r>
        <w:rPr>
          <w:sz w:val="20"/>
          <w:u w:val="single"/>
        </w:rPr>
        <w:t>  </w:t>
      </w:r>
      <w:r>
        <w:rPr>
          <w:spacing w:val="-2"/>
          <w:sz w:val="20"/>
          <w:u w:val="single"/>
        </w:rPr>
        <w:t> </w:t>
      </w:r>
      <w:r>
        <w:rPr>
          <w:sz w:val="20"/>
        </w:rPr>
        <w:t>Omite     </w:t>
      </w:r>
      <w:r>
        <w:rPr>
          <w:sz w:val="20"/>
        </w:rPr>
        <w:t>Cascade</w:t>
      </w:r>
      <w:r>
        <w:rPr>
          <w:spacing w:val="-44"/>
          <w:sz w:val="20"/>
        </w:rPr>
        <w:t> </w:t>
      </w:r>
      <w:r>
        <w:rPr>
          <w:sz w:val="20"/>
        </w:rPr>
        <w:t>Otros</w:t>
      </w:r>
      <w:r>
        <w:rPr>
          <w:w w:val="99"/>
          <w:sz w:val="20"/>
          <w:u w:val="single"/>
        </w:rPr>
        <w:t> </w:t>
      </w:r>
      <w:r>
        <w:rPr>
          <w:sz w:val="20"/>
          <w:u w:val="single"/>
        </w:rPr>
        <w:tab/>
      </w:r>
    </w:p>
    <w:p>
      <w:pPr>
        <w:pStyle w:val="ListParagraph"/>
        <w:numPr>
          <w:ilvl w:val="1"/>
          <w:numId w:val="37"/>
        </w:numPr>
        <w:tabs>
          <w:tab w:pos="1242" w:val="left" w:leader="none"/>
          <w:tab w:pos="8955" w:val="left" w:leader="none"/>
        </w:tabs>
        <w:spacing w:line="240" w:lineRule="auto" w:before="115" w:after="0"/>
        <w:ind w:left="1242" w:right="0" w:hanging="360"/>
        <w:jc w:val="left"/>
        <w:rPr>
          <w:sz w:val="20"/>
        </w:rPr>
      </w:pPr>
      <w:r>
        <w:rPr>
          <w:sz w:val="20"/>
        </w:rPr>
        <w:t>¿Usted prepara los plaguicidas para</w:t>
      </w:r>
      <w:r>
        <w:rPr>
          <w:spacing w:val="-15"/>
          <w:sz w:val="20"/>
        </w:rPr>
        <w:t> </w:t>
      </w:r>
      <w:r>
        <w:rPr>
          <w:sz w:val="20"/>
        </w:rPr>
        <w:t>aplicarlos?</w:t>
      </w:r>
      <w:r>
        <w:rPr>
          <w:w w:val="99"/>
          <w:sz w:val="20"/>
          <w:u w:val="single"/>
        </w:rPr>
        <w:t> </w:t>
      </w:r>
      <w:r>
        <w:rPr>
          <w:sz w:val="20"/>
          <w:u w:val="single"/>
        </w:rPr>
        <w:tab/>
      </w:r>
    </w:p>
    <w:p>
      <w:pPr>
        <w:pStyle w:val="ListParagraph"/>
        <w:numPr>
          <w:ilvl w:val="1"/>
          <w:numId w:val="37"/>
        </w:numPr>
        <w:tabs>
          <w:tab w:pos="1242" w:val="left" w:leader="none"/>
          <w:tab w:pos="8935" w:val="left" w:leader="none"/>
        </w:tabs>
        <w:spacing w:line="240" w:lineRule="auto" w:before="115" w:after="0"/>
        <w:ind w:left="1242" w:right="0" w:hanging="360"/>
        <w:jc w:val="left"/>
        <w:rPr>
          <w:sz w:val="20"/>
        </w:rPr>
      </w:pPr>
      <w:r>
        <w:rPr>
          <w:sz w:val="20"/>
        </w:rPr>
        <w:t>¿Cada cuando los</w:t>
      </w:r>
      <w:r>
        <w:rPr>
          <w:spacing w:val="-10"/>
          <w:sz w:val="20"/>
        </w:rPr>
        <w:t> </w:t>
      </w:r>
      <w:r>
        <w:rPr>
          <w:sz w:val="20"/>
        </w:rPr>
        <w:t>aplica?</w:t>
      </w:r>
      <w:r>
        <w:rPr>
          <w:w w:val="99"/>
          <w:sz w:val="20"/>
          <w:u w:val="single"/>
        </w:rPr>
        <w:t> </w:t>
      </w:r>
      <w:r>
        <w:rPr>
          <w:sz w:val="20"/>
          <w:u w:val="single"/>
        </w:rPr>
        <w:tab/>
      </w:r>
    </w:p>
    <w:p>
      <w:pPr>
        <w:spacing w:after="0" w:line="240" w:lineRule="auto"/>
        <w:jc w:val="left"/>
        <w:rPr>
          <w:sz w:val="20"/>
        </w:rPr>
        <w:sectPr>
          <w:pgSz w:w="12240" w:h="15840"/>
          <w:pgMar w:header="733" w:footer="1039" w:top="1020" w:bottom="1220" w:left="1540" w:right="1520"/>
        </w:sectPr>
      </w:pPr>
    </w:p>
    <w:p>
      <w:pPr>
        <w:pStyle w:val="ListParagraph"/>
        <w:numPr>
          <w:ilvl w:val="1"/>
          <w:numId w:val="37"/>
        </w:numPr>
        <w:tabs>
          <w:tab w:pos="1242" w:val="left" w:leader="none"/>
          <w:tab w:pos="5118" w:val="left" w:leader="none"/>
          <w:tab w:pos="5977" w:val="left" w:leader="none"/>
        </w:tabs>
        <w:spacing w:line="240" w:lineRule="auto" w:before="113" w:after="0"/>
        <w:ind w:left="1242" w:right="0" w:hanging="360"/>
        <w:jc w:val="left"/>
        <w:rPr>
          <w:sz w:val="20"/>
        </w:rPr>
      </w:pPr>
      <w:r>
        <w:rPr>
          <w:sz w:val="20"/>
        </w:rPr>
        <w:t>¿Utiliza equipo de protección</w:t>
      </w:r>
      <w:r>
        <w:rPr>
          <w:spacing w:val="-1"/>
          <w:sz w:val="20"/>
        </w:rPr>
        <w:t> </w:t>
      </w:r>
      <w:r>
        <w:rPr>
          <w:sz w:val="20"/>
        </w:rPr>
        <w:t>y</w:t>
      </w:r>
      <w:r>
        <w:rPr>
          <w:spacing w:val="-5"/>
          <w:sz w:val="20"/>
        </w:rPr>
        <w:t> </w:t>
      </w:r>
      <w:r>
        <w:rPr>
          <w:sz w:val="20"/>
        </w:rPr>
        <w:t>cuáles?</w:t>
        <w:tab/>
        <w:t>No</w:t>
      </w:r>
      <w:r>
        <w:rPr>
          <w:w w:val="99"/>
          <w:sz w:val="20"/>
          <w:u w:val="single"/>
        </w:rPr>
        <w:t> </w:t>
      </w:r>
      <w:r>
        <w:rPr>
          <w:sz w:val="20"/>
          <w:u w:val="single"/>
        </w:rPr>
        <w:tab/>
      </w:r>
    </w:p>
    <w:p>
      <w:pPr>
        <w:tabs>
          <w:tab w:pos="1683" w:val="left" w:leader="none"/>
          <w:tab w:pos="2941" w:val="left" w:leader="none"/>
          <w:tab w:pos="3919" w:val="left" w:leader="none"/>
          <w:tab w:pos="5322" w:val="left" w:leader="none"/>
          <w:tab w:pos="6412" w:val="left" w:leader="none"/>
        </w:tabs>
        <w:spacing w:before="115"/>
        <w:ind w:left="1241" w:right="0" w:firstLine="0"/>
        <w:jc w:val="left"/>
        <w:rPr>
          <w:sz w:val="20"/>
        </w:rPr>
      </w:pPr>
      <w:r>
        <w:rPr>
          <w:w w:val="99"/>
          <w:sz w:val="20"/>
          <w:u w:val="single"/>
        </w:rPr>
        <w:t> </w:t>
      </w:r>
      <w:r>
        <w:rPr>
          <w:sz w:val="20"/>
          <w:u w:val="single"/>
        </w:rPr>
        <w:tab/>
      </w:r>
      <w:r>
        <w:rPr>
          <w:sz w:val="20"/>
        </w:rPr>
        <w:t>Guantes</w:t>
      </w:r>
      <w:r>
        <w:rPr>
          <w:sz w:val="20"/>
          <w:u w:val="single"/>
        </w:rPr>
        <w:t> </w:t>
        <w:tab/>
      </w:r>
      <w:r>
        <w:rPr>
          <w:sz w:val="20"/>
        </w:rPr>
        <w:t>Mandil</w:t>
      </w:r>
      <w:r>
        <w:rPr>
          <w:sz w:val="20"/>
          <w:u w:val="single"/>
        </w:rPr>
        <w:t> </w:t>
        <w:tab/>
      </w:r>
      <w:r>
        <w:rPr>
          <w:sz w:val="20"/>
        </w:rPr>
        <w:t>Mascarilla</w:t>
      </w:r>
      <w:r>
        <w:rPr>
          <w:sz w:val="20"/>
          <w:u w:val="single"/>
        </w:rPr>
        <w:t> </w:t>
        <w:tab/>
      </w:r>
      <w:r>
        <w:rPr>
          <w:sz w:val="20"/>
        </w:rPr>
        <w:t>Overol</w:t>
      </w:r>
      <w:r>
        <w:rPr>
          <w:sz w:val="20"/>
          <w:u w:val="single"/>
        </w:rPr>
        <w:t> </w:t>
        <w:tab/>
      </w:r>
      <w:r>
        <w:rPr>
          <w:w w:val="95"/>
          <w:sz w:val="20"/>
        </w:rPr>
        <w:t>Botas</w:t>
      </w:r>
    </w:p>
    <w:p>
      <w:pPr>
        <w:tabs>
          <w:tab w:pos="1172" w:val="left" w:leader="none"/>
        </w:tabs>
        <w:spacing w:before="113"/>
        <w:ind w:left="280" w:right="0" w:firstLine="0"/>
        <w:jc w:val="left"/>
        <w:rPr>
          <w:sz w:val="20"/>
        </w:rPr>
      </w:pPr>
      <w:r>
        <w:rPr/>
        <w:br w:type="column"/>
      </w:r>
      <w:r>
        <w:rPr>
          <w:sz w:val="20"/>
        </w:rPr>
        <w:t>Si</w:t>
      </w:r>
      <w:r>
        <w:rPr>
          <w:w w:val="99"/>
          <w:sz w:val="20"/>
          <w:u w:val="single"/>
        </w:rPr>
        <w:t> </w:t>
      </w:r>
      <w:r>
        <w:rPr>
          <w:sz w:val="20"/>
          <w:u w:val="single"/>
        </w:rPr>
        <w:tab/>
      </w:r>
    </w:p>
    <w:p>
      <w:pPr>
        <w:spacing w:after="0"/>
        <w:jc w:val="left"/>
        <w:rPr>
          <w:sz w:val="20"/>
        </w:rPr>
        <w:sectPr>
          <w:type w:val="continuous"/>
          <w:pgSz w:w="12240" w:h="15840"/>
          <w:pgMar w:top="760" w:bottom="280" w:left="1540" w:right="1520"/>
          <w:cols w:num="2" w:equalWidth="0">
            <w:col w:w="6923" w:space="40"/>
            <w:col w:w="2217"/>
          </w:cols>
        </w:sectPr>
      </w:pPr>
    </w:p>
    <w:p>
      <w:pPr>
        <w:pStyle w:val="BodyText"/>
        <w:rPr>
          <w:sz w:val="18"/>
        </w:rPr>
      </w:pPr>
    </w:p>
    <w:p>
      <w:pPr>
        <w:pStyle w:val="Heading2"/>
        <w:numPr>
          <w:ilvl w:val="0"/>
          <w:numId w:val="35"/>
        </w:numPr>
        <w:tabs>
          <w:tab w:pos="491" w:val="left" w:leader="none"/>
        </w:tabs>
        <w:spacing w:line="240" w:lineRule="auto" w:before="69" w:after="0"/>
        <w:ind w:left="490" w:right="0" w:hanging="268"/>
        <w:jc w:val="left"/>
      </w:pPr>
      <w:r>
        <w:rPr/>
        <w:t>Formato para registro de</w:t>
      </w:r>
      <w:r>
        <w:rPr>
          <w:spacing w:val="-10"/>
        </w:rPr>
        <w:t> </w:t>
      </w:r>
      <w:r>
        <w:rPr/>
        <w:t>caries</w:t>
      </w:r>
    </w:p>
    <w:p>
      <w:pPr>
        <w:pStyle w:val="BodyText"/>
        <w:rPr>
          <w:b/>
        </w:rPr>
      </w:pPr>
    </w:p>
    <w:p>
      <w:pPr>
        <w:pStyle w:val="BodyText"/>
        <w:spacing w:before="6"/>
        <w:rPr>
          <w:b/>
          <w:sz w:val="28"/>
        </w:rPr>
      </w:pPr>
    </w:p>
    <w:p>
      <w:pPr>
        <w:tabs>
          <w:tab w:pos="1646" w:val="left" w:leader="none"/>
        </w:tabs>
        <w:spacing w:before="0"/>
        <w:ind w:left="222" w:right="0" w:firstLine="0"/>
        <w:jc w:val="left"/>
        <w:rPr>
          <w:sz w:val="20"/>
        </w:rPr>
      </w:pPr>
      <w:r>
        <w:rPr>
          <w:sz w:val="20"/>
        </w:rPr>
        <w:t>FOLIO:</w:t>
      </w:r>
      <w:r>
        <w:rPr>
          <w:spacing w:val="-1"/>
          <w:sz w:val="20"/>
        </w:rPr>
        <w:t> </w:t>
      </w:r>
      <w:r>
        <w:rPr>
          <w:w w:val="99"/>
          <w:sz w:val="20"/>
          <w:u w:val="single"/>
        </w:rPr>
        <w:t> </w:t>
      </w:r>
      <w:r>
        <w:rPr>
          <w:sz w:val="20"/>
          <w:u w:val="single"/>
        </w:rPr>
        <w:tab/>
      </w:r>
    </w:p>
    <w:p>
      <w:pPr>
        <w:tabs>
          <w:tab w:pos="1342" w:val="left" w:leader="none"/>
          <w:tab w:pos="1730" w:val="left" w:leader="none"/>
          <w:tab w:pos="2169" w:val="left" w:leader="none"/>
        </w:tabs>
        <w:spacing w:before="36"/>
        <w:ind w:left="222" w:right="0" w:firstLine="0"/>
        <w:jc w:val="left"/>
        <w:rPr>
          <w:sz w:val="20"/>
        </w:rPr>
      </w:pPr>
      <w:r>
        <w:rPr>
          <w:sz w:val="20"/>
        </w:rPr>
        <w:t>FECHA:</w:t>
      </w:r>
      <w:r>
        <w:rPr>
          <w:sz w:val="20"/>
          <w:u w:val="single"/>
        </w:rPr>
        <w:t> </w:t>
        <w:tab/>
      </w:r>
      <w:r>
        <w:rPr>
          <w:sz w:val="20"/>
        </w:rPr>
        <w:t>/</w:t>
      </w:r>
      <w:r>
        <w:rPr>
          <w:sz w:val="20"/>
          <w:u w:val="single"/>
        </w:rPr>
        <w:t> </w:t>
        <w:tab/>
      </w:r>
      <w:r>
        <w:rPr>
          <w:sz w:val="20"/>
        </w:rPr>
        <w:t>/</w:t>
      </w:r>
      <w:r>
        <w:rPr>
          <w:sz w:val="20"/>
          <w:u w:val="single"/>
        </w:rPr>
        <w:t> </w:t>
        <w:tab/>
      </w:r>
    </w:p>
    <w:p>
      <w:pPr>
        <w:pStyle w:val="BodyText"/>
        <w:rPr>
          <w:sz w:val="20"/>
        </w:rPr>
      </w:pPr>
    </w:p>
    <w:p>
      <w:pPr>
        <w:pStyle w:val="BodyText"/>
        <w:spacing w:before="7"/>
        <w:rPr>
          <w:sz w:val="27"/>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0"/>
        <w:gridCol w:w="593"/>
        <w:gridCol w:w="590"/>
        <w:gridCol w:w="591"/>
        <w:gridCol w:w="590"/>
        <w:gridCol w:w="593"/>
        <w:gridCol w:w="590"/>
        <w:gridCol w:w="590"/>
        <w:gridCol w:w="591"/>
        <w:gridCol w:w="593"/>
        <w:gridCol w:w="590"/>
        <w:gridCol w:w="590"/>
        <w:gridCol w:w="591"/>
        <w:gridCol w:w="593"/>
        <w:gridCol w:w="590"/>
        <w:gridCol w:w="590"/>
      </w:tblGrid>
      <w:tr>
        <w:trPr>
          <w:trHeight w:val="322" w:hRule="exact"/>
        </w:trPr>
        <w:tc>
          <w:tcPr>
            <w:tcW w:w="590" w:type="dxa"/>
          </w:tcPr>
          <w:p>
            <w:pPr>
              <w:pStyle w:val="TableParagraph"/>
              <w:spacing w:line="206" w:lineRule="exact"/>
              <w:ind w:left="170" w:right="170"/>
              <w:jc w:val="center"/>
              <w:rPr>
                <w:sz w:val="18"/>
              </w:rPr>
            </w:pPr>
            <w:r>
              <w:rPr>
                <w:sz w:val="18"/>
              </w:rPr>
              <w:t>18</w:t>
            </w:r>
          </w:p>
        </w:tc>
        <w:tc>
          <w:tcPr>
            <w:tcW w:w="593" w:type="dxa"/>
          </w:tcPr>
          <w:p>
            <w:pPr>
              <w:pStyle w:val="TableParagraph"/>
              <w:spacing w:line="206" w:lineRule="exact"/>
              <w:ind w:left="171" w:right="171"/>
              <w:jc w:val="center"/>
              <w:rPr>
                <w:sz w:val="18"/>
              </w:rPr>
            </w:pPr>
            <w:r>
              <w:rPr>
                <w:sz w:val="18"/>
              </w:rPr>
              <w:t>17</w:t>
            </w:r>
          </w:p>
        </w:tc>
        <w:tc>
          <w:tcPr>
            <w:tcW w:w="590" w:type="dxa"/>
          </w:tcPr>
          <w:p>
            <w:pPr>
              <w:pStyle w:val="TableParagraph"/>
              <w:spacing w:line="206" w:lineRule="exact"/>
              <w:ind w:left="168" w:right="170"/>
              <w:jc w:val="center"/>
              <w:rPr>
                <w:sz w:val="18"/>
              </w:rPr>
            </w:pPr>
            <w:r>
              <w:rPr>
                <w:sz w:val="18"/>
              </w:rPr>
              <w:t>16</w:t>
            </w:r>
          </w:p>
        </w:tc>
        <w:tc>
          <w:tcPr>
            <w:tcW w:w="591" w:type="dxa"/>
          </w:tcPr>
          <w:p>
            <w:pPr>
              <w:pStyle w:val="TableParagraph"/>
              <w:spacing w:line="206" w:lineRule="exact"/>
              <w:ind w:left="167" w:right="170"/>
              <w:jc w:val="center"/>
              <w:rPr>
                <w:sz w:val="18"/>
              </w:rPr>
            </w:pPr>
            <w:r>
              <w:rPr>
                <w:sz w:val="18"/>
              </w:rPr>
              <w:t>15</w:t>
            </w:r>
          </w:p>
        </w:tc>
        <w:tc>
          <w:tcPr>
            <w:tcW w:w="590" w:type="dxa"/>
          </w:tcPr>
          <w:p>
            <w:pPr>
              <w:pStyle w:val="TableParagraph"/>
              <w:spacing w:line="206" w:lineRule="exact"/>
              <w:ind w:left="169" w:right="169"/>
              <w:jc w:val="center"/>
              <w:rPr>
                <w:sz w:val="18"/>
              </w:rPr>
            </w:pPr>
            <w:r>
              <w:rPr>
                <w:sz w:val="18"/>
              </w:rPr>
              <w:t>14</w:t>
            </w:r>
          </w:p>
        </w:tc>
        <w:tc>
          <w:tcPr>
            <w:tcW w:w="593" w:type="dxa"/>
          </w:tcPr>
          <w:p>
            <w:pPr>
              <w:pStyle w:val="TableParagraph"/>
              <w:spacing w:line="206" w:lineRule="exact"/>
              <w:ind w:left="171" w:right="171"/>
              <w:jc w:val="center"/>
              <w:rPr>
                <w:sz w:val="18"/>
              </w:rPr>
            </w:pPr>
            <w:r>
              <w:rPr>
                <w:sz w:val="18"/>
              </w:rPr>
              <w:t>13</w:t>
            </w:r>
          </w:p>
        </w:tc>
        <w:tc>
          <w:tcPr>
            <w:tcW w:w="590" w:type="dxa"/>
          </w:tcPr>
          <w:p>
            <w:pPr>
              <w:pStyle w:val="TableParagraph"/>
              <w:spacing w:line="206" w:lineRule="exact"/>
              <w:ind w:left="168" w:right="170"/>
              <w:jc w:val="center"/>
              <w:rPr>
                <w:sz w:val="18"/>
              </w:rPr>
            </w:pPr>
            <w:r>
              <w:rPr>
                <w:sz w:val="18"/>
              </w:rPr>
              <w:t>12</w:t>
            </w:r>
          </w:p>
        </w:tc>
        <w:tc>
          <w:tcPr>
            <w:tcW w:w="590" w:type="dxa"/>
          </w:tcPr>
          <w:p>
            <w:pPr>
              <w:pStyle w:val="TableParagraph"/>
              <w:spacing w:line="206" w:lineRule="exact"/>
              <w:ind w:left="168" w:right="170"/>
              <w:jc w:val="center"/>
              <w:rPr>
                <w:sz w:val="18"/>
              </w:rPr>
            </w:pPr>
            <w:r>
              <w:rPr>
                <w:sz w:val="18"/>
              </w:rPr>
              <w:t>11</w:t>
            </w:r>
          </w:p>
        </w:tc>
        <w:tc>
          <w:tcPr>
            <w:tcW w:w="591" w:type="dxa"/>
          </w:tcPr>
          <w:p>
            <w:pPr>
              <w:pStyle w:val="TableParagraph"/>
              <w:spacing w:line="206" w:lineRule="exact"/>
              <w:ind w:left="170" w:right="170"/>
              <w:jc w:val="center"/>
              <w:rPr>
                <w:sz w:val="18"/>
              </w:rPr>
            </w:pPr>
            <w:r>
              <w:rPr>
                <w:sz w:val="18"/>
              </w:rPr>
              <w:t>21</w:t>
            </w:r>
          </w:p>
        </w:tc>
        <w:tc>
          <w:tcPr>
            <w:tcW w:w="593" w:type="dxa"/>
          </w:tcPr>
          <w:p>
            <w:pPr>
              <w:pStyle w:val="TableParagraph"/>
              <w:spacing w:line="206" w:lineRule="exact"/>
              <w:ind w:left="171" w:right="171"/>
              <w:jc w:val="center"/>
              <w:rPr>
                <w:sz w:val="18"/>
              </w:rPr>
            </w:pPr>
            <w:r>
              <w:rPr>
                <w:sz w:val="18"/>
              </w:rPr>
              <w:t>22</w:t>
            </w:r>
          </w:p>
        </w:tc>
        <w:tc>
          <w:tcPr>
            <w:tcW w:w="590" w:type="dxa"/>
          </w:tcPr>
          <w:p>
            <w:pPr>
              <w:pStyle w:val="TableParagraph"/>
              <w:spacing w:line="206" w:lineRule="exact"/>
              <w:ind w:left="168" w:right="170"/>
              <w:jc w:val="center"/>
              <w:rPr>
                <w:sz w:val="18"/>
              </w:rPr>
            </w:pPr>
            <w:r>
              <w:rPr>
                <w:sz w:val="18"/>
              </w:rPr>
              <w:t>23</w:t>
            </w:r>
          </w:p>
        </w:tc>
        <w:tc>
          <w:tcPr>
            <w:tcW w:w="590" w:type="dxa"/>
          </w:tcPr>
          <w:p>
            <w:pPr>
              <w:pStyle w:val="TableParagraph"/>
              <w:spacing w:line="206" w:lineRule="exact"/>
              <w:ind w:left="168" w:right="170"/>
              <w:jc w:val="center"/>
              <w:rPr>
                <w:sz w:val="18"/>
              </w:rPr>
            </w:pPr>
            <w:r>
              <w:rPr>
                <w:sz w:val="18"/>
              </w:rPr>
              <w:t>24</w:t>
            </w:r>
          </w:p>
        </w:tc>
        <w:tc>
          <w:tcPr>
            <w:tcW w:w="591" w:type="dxa"/>
          </w:tcPr>
          <w:p>
            <w:pPr>
              <w:pStyle w:val="TableParagraph"/>
              <w:spacing w:line="206" w:lineRule="exact"/>
              <w:ind w:left="169" w:right="169"/>
              <w:jc w:val="center"/>
              <w:rPr>
                <w:sz w:val="18"/>
              </w:rPr>
            </w:pPr>
            <w:r>
              <w:rPr>
                <w:sz w:val="18"/>
              </w:rPr>
              <w:t>25</w:t>
            </w:r>
          </w:p>
        </w:tc>
        <w:tc>
          <w:tcPr>
            <w:tcW w:w="593" w:type="dxa"/>
          </w:tcPr>
          <w:p>
            <w:pPr>
              <w:pStyle w:val="TableParagraph"/>
              <w:spacing w:line="206" w:lineRule="exact"/>
              <w:ind w:left="171" w:right="171"/>
              <w:jc w:val="center"/>
              <w:rPr>
                <w:sz w:val="18"/>
              </w:rPr>
            </w:pPr>
            <w:r>
              <w:rPr>
                <w:sz w:val="18"/>
              </w:rPr>
              <w:t>26</w:t>
            </w:r>
          </w:p>
        </w:tc>
        <w:tc>
          <w:tcPr>
            <w:tcW w:w="590" w:type="dxa"/>
          </w:tcPr>
          <w:p>
            <w:pPr>
              <w:pStyle w:val="TableParagraph"/>
              <w:spacing w:line="206" w:lineRule="exact"/>
              <w:ind w:left="168" w:right="170"/>
              <w:jc w:val="center"/>
              <w:rPr>
                <w:sz w:val="18"/>
              </w:rPr>
            </w:pPr>
            <w:r>
              <w:rPr>
                <w:sz w:val="18"/>
              </w:rPr>
              <w:t>27</w:t>
            </w:r>
          </w:p>
        </w:tc>
        <w:tc>
          <w:tcPr>
            <w:tcW w:w="590" w:type="dxa"/>
          </w:tcPr>
          <w:p>
            <w:pPr>
              <w:pStyle w:val="TableParagraph"/>
              <w:spacing w:line="206" w:lineRule="exact"/>
              <w:ind w:left="169" w:right="169"/>
              <w:jc w:val="center"/>
              <w:rPr>
                <w:sz w:val="18"/>
              </w:rPr>
            </w:pPr>
            <w:r>
              <w:rPr>
                <w:sz w:val="18"/>
              </w:rPr>
              <w:t>28</w:t>
            </w:r>
          </w:p>
        </w:tc>
      </w:tr>
      <w:tr>
        <w:trPr>
          <w:trHeight w:val="437" w:hRule="exact"/>
        </w:trPr>
        <w:tc>
          <w:tcPr>
            <w:tcW w:w="590" w:type="dxa"/>
          </w:tcPr>
          <w:p>
            <w:pPr/>
          </w:p>
        </w:tc>
        <w:tc>
          <w:tcPr>
            <w:tcW w:w="593" w:type="dxa"/>
          </w:tcPr>
          <w:p>
            <w:pPr/>
          </w:p>
        </w:tc>
        <w:tc>
          <w:tcPr>
            <w:tcW w:w="590" w:type="dxa"/>
          </w:tcPr>
          <w:p>
            <w:pPr/>
          </w:p>
        </w:tc>
        <w:tc>
          <w:tcPr>
            <w:tcW w:w="591" w:type="dxa"/>
          </w:tcPr>
          <w:p>
            <w:pPr/>
          </w:p>
        </w:tc>
        <w:tc>
          <w:tcPr>
            <w:tcW w:w="590" w:type="dxa"/>
          </w:tcPr>
          <w:p>
            <w:pPr/>
          </w:p>
        </w:tc>
        <w:tc>
          <w:tcPr>
            <w:tcW w:w="593" w:type="dxa"/>
          </w:tcPr>
          <w:p>
            <w:pPr/>
          </w:p>
        </w:tc>
        <w:tc>
          <w:tcPr>
            <w:tcW w:w="590" w:type="dxa"/>
          </w:tcPr>
          <w:p>
            <w:pPr/>
          </w:p>
        </w:tc>
        <w:tc>
          <w:tcPr>
            <w:tcW w:w="590" w:type="dxa"/>
          </w:tcPr>
          <w:p>
            <w:pPr/>
          </w:p>
        </w:tc>
        <w:tc>
          <w:tcPr>
            <w:tcW w:w="591" w:type="dxa"/>
          </w:tcPr>
          <w:p>
            <w:pPr/>
          </w:p>
        </w:tc>
        <w:tc>
          <w:tcPr>
            <w:tcW w:w="593" w:type="dxa"/>
          </w:tcPr>
          <w:p>
            <w:pPr/>
          </w:p>
        </w:tc>
        <w:tc>
          <w:tcPr>
            <w:tcW w:w="590" w:type="dxa"/>
          </w:tcPr>
          <w:p>
            <w:pPr/>
          </w:p>
        </w:tc>
        <w:tc>
          <w:tcPr>
            <w:tcW w:w="590" w:type="dxa"/>
          </w:tcPr>
          <w:p>
            <w:pPr/>
          </w:p>
        </w:tc>
        <w:tc>
          <w:tcPr>
            <w:tcW w:w="591" w:type="dxa"/>
          </w:tcPr>
          <w:p>
            <w:pPr/>
          </w:p>
        </w:tc>
        <w:tc>
          <w:tcPr>
            <w:tcW w:w="593" w:type="dxa"/>
          </w:tcPr>
          <w:p>
            <w:pPr/>
          </w:p>
        </w:tc>
        <w:tc>
          <w:tcPr>
            <w:tcW w:w="590" w:type="dxa"/>
          </w:tcPr>
          <w:p>
            <w:pPr/>
          </w:p>
        </w:tc>
        <w:tc>
          <w:tcPr>
            <w:tcW w:w="590" w:type="dxa"/>
          </w:tcPr>
          <w:p>
            <w:pPr/>
          </w:p>
        </w:tc>
      </w:tr>
      <w:tr>
        <w:trPr>
          <w:trHeight w:val="418" w:hRule="exact"/>
        </w:trPr>
        <w:tc>
          <w:tcPr>
            <w:tcW w:w="590" w:type="dxa"/>
          </w:tcPr>
          <w:p>
            <w:pPr>
              <w:pStyle w:val="TableParagraph"/>
              <w:spacing w:before="1"/>
              <w:ind w:left="170" w:right="170"/>
              <w:jc w:val="center"/>
              <w:rPr>
                <w:sz w:val="18"/>
              </w:rPr>
            </w:pPr>
            <w:r>
              <w:rPr>
                <w:sz w:val="18"/>
              </w:rPr>
              <w:t>48</w:t>
            </w:r>
          </w:p>
        </w:tc>
        <w:tc>
          <w:tcPr>
            <w:tcW w:w="593" w:type="dxa"/>
          </w:tcPr>
          <w:p>
            <w:pPr>
              <w:pStyle w:val="TableParagraph"/>
              <w:spacing w:before="1"/>
              <w:ind w:left="171" w:right="171"/>
              <w:jc w:val="center"/>
              <w:rPr>
                <w:sz w:val="18"/>
              </w:rPr>
            </w:pPr>
            <w:r>
              <w:rPr>
                <w:sz w:val="18"/>
              </w:rPr>
              <w:t>47</w:t>
            </w:r>
          </w:p>
        </w:tc>
        <w:tc>
          <w:tcPr>
            <w:tcW w:w="590" w:type="dxa"/>
          </w:tcPr>
          <w:p>
            <w:pPr>
              <w:pStyle w:val="TableParagraph"/>
              <w:spacing w:before="1"/>
              <w:ind w:left="168" w:right="170"/>
              <w:jc w:val="center"/>
              <w:rPr>
                <w:sz w:val="18"/>
              </w:rPr>
            </w:pPr>
            <w:r>
              <w:rPr>
                <w:sz w:val="18"/>
              </w:rPr>
              <w:t>46</w:t>
            </w:r>
          </w:p>
        </w:tc>
        <w:tc>
          <w:tcPr>
            <w:tcW w:w="591" w:type="dxa"/>
          </w:tcPr>
          <w:p>
            <w:pPr>
              <w:pStyle w:val="TableParagraph"/>
              <w:spacing w:before="1"/>
              <w:ind w:left="167" w:right="170"/>
              <w:jc w:val="center"/>
              <w:rPr>
                <w:sz w:val="18"/>
              </w:rPr>
            </w:pPr>
            <w:r>
              <w:rPr>
                <w:sz w:val="18"/>
              </w:rPr>
              <w:t>45</w:t>
            </w:r>
          </w:p>
        </w:tc>
        <w:tc>
          <w:tcPr>
            <w:tcW w:w="590" w:type="dxa"/>
          </w:tcPr>
          <w:p>
            <w:pPr>
              <w:pStyle w:val="TableParagraph"/>
              <w:spacing w:before="1"/>
              <w:ind w:left="169" w:right="169"/>
              <w:jc w:val="center"/>
              <w:rPr>
                <w:sz w:val="18"/>
              </w:rPr>
            </w:pPr>
            <w:r>
              <w:rPr>
                <w:sz w:val="18"/>
              </w:rPr>
              <w:t>44</w:t>
            </w:r>
          </w:p>
        </w:tc>
        <w:tc>
          <w:tcPr>
            <w:tcW w:w="593" w:type="dxa"/>
          </w:tcPr>
          <w:p>
            <w:pPr>
              <w:pStyle w:val="TableParagraph"/>
              <w:spacing w:before="1"/>
              <w:ind w:left="171" w:right="171"/>
              <w:jc w:val="center"/>
              <w:rPr>
                <w:sz w:val="18"/>
              </w:rPr>
            </w:pPr>
            <w:r>
              <w:rPr>
                <w:sz w:val="18"/>
              </w:rPr>
              <w:t>43</w:t>
            </w:r>
          </w:p>
        </w:tc>
        <w:tc>
          <w:tcPr>
            <w:tcW w:w="590" w:type="dxa"/>
          </w:tcPr>
          <w:p>
            <w:pPr>
              <w:pStyle w:val="TableParagraph"/>
              <w:spacing w:before="1"/>
              <w:ind w:left="168" w:right="170"/>
              <w:jc w:val="center"/>
              <w:rPr>
                <w:sz w:val="18"/>
              </w:rPr>
            </w:pPr>
            <w:r>
              <w:rPr>
                <w:sz w:val="18"/>
              </w:rPr>
              <w:t>42</w:t>
            </w:r>
          </w:p>
        </w:tc>
        <w:tc>
          <w:tcPr>
            <w:tcW w:w="590" w:type="dxa"/>
          </w:tcPr>
          <w:p>
            <w:pPr>
              <w:pStyle w:val="TableParagraph"/>
              <w:spacing w:before="1"/>
              <w:ind w:left="168" w:right="170"/>
              <w:jc w:val="center"/>
              <w:rPr>
                <w:sz w:val="18"/>
              </w:rPr>
            </w:pPr>
            <w:r>
              <w:rPr>
                <w:sz w:val="18"/>
              </w:rPr>
              <w:t>41</w:t>
            </w:r>
          </w:p>
        </w:tc>
        <w:tc>
          <w:tcPr>
            <w:tcW w:w="591" w:type="dxa"/>
          </w:tcPr>
          <w:p>
            <w:pPr>
              <w:pStyle w:val="TableParagraph"/>
              <w:spacing w:before="1"/>
              <w:ind w:left="170" w:right="170"/>
              <w:jc w:val="center"/>
              <w:rPr>
                <w:sz w:val="18"/>
              </w:rPr>
            </w:pPr>
            <w:r>
              <w:rPr>
                <w:sz w:val="18"/>
              </w:rPr>
              <w:t>31</w:t>
            </w:r>
          </w:p>
        </w:tc>
        <w:tc>
          <w:tcPr>
            <w:tcW w:w="593" w:type="dxa"/>
          </w:tcPr>
          <w:p>
            <w:pPr>
              <w:pStyle w:val="TableParagraph"/>
              <w:spacing w:before="1"/>
              <w:ind w:left="171" w:right="171"/>
              <w:jc w:val="center"/>
              <w:rPr>
                <w:sz w:val="18"/>
              </w:rPr>
            </w:pPr>
            <w:r>
              <w:rPr>
                <w:sz w:val="18"/>
              </w:rPr>
              <w:t>32</w:t>
            </w:r>
          </w:p>
        </w:tc>
        <w:tc>
          <w:tcPr>
            <w:tcW w:w="590" w:type="dxa"/>
          </w:tcPr>
          <w:p>
            <w:pPr>
              <w:pStyle w:val="TableParagraph"/>
              <w:spacing w:before="1"/>
              <w:ind w:left="168" w:right="170"/>
              <w:jc w:val="center"/>
              <w:rPr>
                <w:sz w:val="18"/>
              </w:rPr>
            </w:pPr>
            <w:r>
              <w:rPr>
                <w:sz w:val="18"/>
              </w:rPr>
              <w:t>33</w:t>
            </w:r>
          </w:p>
        </w:tc>
        <w:tc>
          <w:tcPr>
            <w:tcW w:w="590" w:type="dxa"/>
          </w:tcPr>
          <w:p>
            <w:pPr>
              <w:pStyle w:val="TableParagraph"/>
              <w:spacing w:before="1"/>
              <w:ind w:left="168" w:right="170"/>
              <w:jc w:val="center"/>
              <w:rPr>
                <w:sz w:val="18"/>
              </w:rPr>
            </w:pPr>
            <w:r>
              <w:rPr>
                <w:sz w:val="18"/>
              </w:rPr>
              <w:t>34</w:t>
            </w:r>
          </w:p>
        </w:tc>
        <w:tc>
          <w:tcPr>
            <w:tcW w:w="591" w:type="dxa"/>
          </w:tcPr>
          <w:p>
            <w:pPr>
              <w:pStyle w:val="TableParagraph"/>
              <w:spacing w:before="1"/>
              <w:ind w:left="169" w:right="169"/>
              <w:jc w:val="center"/>
              <w:rPr>
                <w:sz w:val="18"/>
              </w:rPr>
            </w:pPr>
            <w:r>
              <w:rPr>
                <w:sz w:val="18"/>
              </w:rPr>
              <w:t>35</w:t>
            </w:r>
          </w:p>
        </w:tc>
        <w:tc>
          <w:tcPr>
            <w:tcW w:w="593" w:type="dxa"/>
          </w:tcPr>
          <w:p>
            <w:pPr>
              <w:pStyle w:val="TableParagraph"/>
              <w:spacing w:before="1"/>
              <w:ind w:left="171" w:right="171"/>
              <w:jc w:val="center"/>
              <w:rPr>
                <w:sz w:val="18"/>
              </w:rPr>
            </w:pPr>
            <w:r>
              <w:rPr>
                <w:sz w:val="18"/>
              </w:rPr>
              <w:t>36</w:t>
            </w:r>
          </w:p>
        </w:tc>
        <w:tc>
          <w:tcPr>
            <w:tcW w:w="590" w:type="dxa"/>
          </w:tcPr>
          <w:p>
            <w:pPr>
              <w:pStyle w:val="TableParagraph"/>
              <w:spacing w:before="1"/>
              <w:ind w:left="168" w:right="170"/>
              <w:jc w:val="center"/>
              <w:rPr>
                <w:sz w:val="18"/>
              </w:rPr>
            </w:pPr>
            <w:r>
              <w:rPr>
                <w:sz w:val="18"/>
              </w:rPr>
              <w:t>37</w:t>
            </w:r>
          </w:p>
        </w:tc>
        <w:tc>
          <w:tcPr>
            <w:tcW w:w="590" w:type="dxa"/>
          </w:tcPr>
          <w:p>
            <w:pPr>
              <w:pStyle w:val="TableParagraph"/>
              <w:spacing w:before="1"/>
              <w:ind w:left="169" w:right="169"/>
              <w:jc w:val="center"/>
              <w:rPr>
                <w:sz w:val="18"/>
              </w:rPr>
            </w:pPr>
            <w:r>
              <w:rPr>
                <w:sz w:val="18"/>
              </w:rPr>
              <w:t>38</w:t>
            </w:r>
          </w:p>
        </w:tc>
      </w:tr>
      <w:tr>
        <w:trPr>
          <w:trHeight w:val="439" w:hRule="exact"/>
        </w:trPr>
        <w:tc>
          <w:tcPr>
            <w:tcW w:w="590" w:type="dxa"/>
          </w:tcPr>
          <w:p>
            <w:pPr/>
          </w:p>
        </w:tc>
        <w:tc>
          <w:tcPr>
            <w:tcW w:w="593" w:type="dxa"/>
          </w:tcPr>
          <w:p>
            <w:pPr/>
          </w:p>
        </w:tc>
        <w:tc>
          <w:tcPr>
            <w:tcW w:w="590" w:type="dxa"/>
          </w:tcPr>
          <w:p>
            <w:pPr/>
          </w:p>
        </w:tc>
        <w:tc>
          <w:tcPr>
            <w:tcW w:w="591" w:type="dxa"/>
          </w:tcPr>
          <w:p>
            <w:pPr/>
          </w:p>
        </w:tc>
        <w:tc>
          <w:tcPr>
            <w:tcW w:w="590" w:type="dxa"/>
          </w:tcPr>
          <w:p>
            <w:pPr/>
          </w:p>
        </w:tc>
        <w:tc>
          <w:tcPr>
            <w:tcW w:w="593" w:type="dxa"/>
          </w:tcPr>
          <w:p>
            <w:pPr/>
          </w:p>
        </w:tc>
        <w:tc>
          <w:tcPr>
            <w:tcW w:w="590" w:type="dxa"/>
          </w:tcPr>
          <w:p>
            <w:pPr/>
          </w:p>
        </w:tc>
        <w:tc>
          <w:tcPr>
            <w:tcW w:w="590" w:type="dxa"/>
          </w:tcPr>
          <w:p>
            <w:pPr/>
          </w:p>
        </w:tc>
        <w:tc>
          <w:tcPr>
            <w:tcW w:w="591" w:type="dxa"/>
          </w:tcPr>
          <w:p>
            <w:pPr/>
          </w:p>
        </w:tc>
        <w:tc>
          <w:tcPr>
            <w:tcW w:w="593" w:type="dxa"/>
          </w:tcPr>
          <w:p>
            <w:pPr/>
          </w:p>
        </w:tc>
        <w:tc>
          <w:tcPr>
            <w:tcW w:w="590" w:type="dxa"/>
          </w:tcPr>
          <w:p>
            <w:pPr/>
          </w:p>
        </w:tc>
        <w:tc>
          <w:tcPr>
            <w:tcW w:w="590" w:type="dxa"/>
          </w:tcPr>
          <w:p>
            <w:pPr/>
          </w:p>
        </w:tc>
        <w:tc>
          <w:tcPr>
            <w:tcW w:w="591" w:type="dxa"/>
          </w:tcPr>
          <w:p>
            <w:pPr/>
          </w:p>
        </w:tc>
        <w:tc>
          <w:tcPr>
            <w:tcW w:w="593" w:type="dxa"/>
          </w:tcPr>
          <w:p>
            <w:pPr/>
          </w:p>
        </w:tc>
        <w:tc>
          <w:tcPr>
            <w:tcW w:w="590" w:type="dxa"/>
          </w:tcPr>
          <w:p>
            <w:pPr/>
          </w:p>
        </w:tc>
        <w:tc>
          <w:tcPr>
            <w:tcW w:w="590" w:type="dxa"/>
          </w:tcPr>
          <w:p>
            <w:pPr/>
          </w:p>
        </w:tc>
      </w:tr>
    </w:tbl>
    <w:p>
      <w:pPr>
        <w:pStyle w:val="BodyText"/>
        <w:spacing w:before="5"/>
        <w:rPr>
          <w:sz w:val="23"/>
        </w:rPr>
      </w:pPr>
    </w:p>
    <w:p>
      <w:pPr>
        <w:tabs>
          <w:tab w:pos="2304" w:val="left" w:leader="none"/>
        </w:tabs>
        <w:spacing w:before="74"/>
        <w:ind w:left="222" w:right="0" w:firstLine="0"/>
        <w:jc w:val="left"/>
        <w:rPr>
          <w:sz w:val="20"/>
        </w:rPr>
      </w:pPr>
      <w:r>
        <w:rPr>
          <w:sz w:val="20"/>
        </w:rPr>
        <w:t>TOTAL:</w:t>
      </w:r>
      <w:r>
        <w:rPr>
          <w:w w:val="99"/>
          <w:sz w:val="20"/>
          <w:u w:val="single"/>
        </w:rPr>
        <w:t> </w:t>
      </w:r>
      <w:r>
        <w:rPr>
          <w:sz w:val="20"/>
          <w:u w:val="single"/>
        </w:rPr>
        <w:tab/>
      </w:r>
    </w:p>
    <w:p>
      <w:pPr>
        <w:spacing w:after="0"/>
        <w:jc w:val="left"/>
        <w:rPr>
          <w:sz w:val="20"/>
        </w:rPr>
        <w:sectPr>
          <w:pgSz w:w="12240" w:h="15840"/>
          <w:pgMar w:header="733" w:footer="1039" w:top="1020" w:bottom="1220" w:left="1480" w:right="1060"/>
        </w:sectPr>
      </w:pPr>
    </w:p>
    <w:p>
      <w:pPr>
        <w:pStyle w:val="BodyText"/>
        <w:rPr>
          <w:sz w:val="18"/>
        </w:rPr>
      </w:pPr>
    </w:p>
    <w:p>
      <w:pPr>
        <w:pStyle w:val="Heading2"/>
        <w:numPr>
          <w:ilvl w:val="0"/>
          <w:numId w:val="35"/>
        </w:numPr>
        <w:tabs>
          <w:tab w:pos="431" w:val="left" w:leader="none"/>
        </w:tabs>
        <w:spacing w:line="240" w:lineRule="auto" w:before="69" w:after="0"/>
        <w:ind w:left="430" w:right="0" w:hanging="268"/>
        <w:jc w:val="left"/>
      </w:pPr>
      <w:r>
        <w:rPr/>
        <w:t>Resultados del Genotipo y Número de Órganos Cariados del</w:t>
      </w:r>
      <w:r>
        <w:rPr>
          <w:spacing w:val="-17"/>
        </w:rPr>
        <w:t> </w:t>
      </w:r>
      <w:r>
        <w:rPr/>
        <w:t>Grupo</w:t>
      </w:r>
    </w:p>
    <w:p>
      <w:pPr>
        <w:pStyle w:val="BodyText"/>
        <w:spacing w:before="1"/>
        <w:rPr>
          <w:b/>
          <w:sz w:val="21"/>
        </w:rPr>
      </w:pPr>
    </w:p>
    <w:p>
      <w:pPr>
        <w:pStyle w:val="ListParagraph"/>
        <w:numPr>
          <w:ilvl w:val="2"/>
          <w:numId w:val="34"/>
        </w:numPr>
        <w:tabs>
          <w:tab w:pos="446" w:val="left" w:leader="none"/>
        </w:tabs>
        <w:spacing w:line="240" w:lineRule="auto" w:before="1" w:after="0"/>
        <w:ind w:left="445" w:right="0" w:hanging="142"/>
        <w:jc w:val="left"/>
        <w:rPr>
          <w:sz w:val="24"/>
        </w:rPr>
      </w:pPr>
      <w:r>
        <w:rPr>
          <w:sz w:val="24"/>
        </w:rPr>
        <w:t>Grupo</w:t>
      </w:r>
      <w:r>
        <w:rPr>
          <w:spacing w:val="-5"/>
          <w:sz w:val="24"/>
        </w:rPr>
        <w:t> </w:t>
      </w:r>
      <w:r>
        <w:rPr>
          <w:sz w:val="24"/>
        </w:rPr>
        <w:t>Expuesto</w:t>
      </w:r>
    </w:p>
    <w:p>
      <w:pPr>
        <w:pStyle w:val="BodyText"/>
        <w:spacing w:before="10"/>
        <w:rPr>
          <w:sz w:val="20"/>
        </w:rPr>
      </w:pPr>
    </w:p>
    <w:tbl>
      <w:tblPr>
        <w:tblW w:w="0" w:type="auto"/>
        <w:jc w:val="left"/>
        <w:tblInd w:w="160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50"/>
        <w:gridCol w:w="1046"/>
        <w:gridCol w:w="974"/>
        <w:gridCol w:w="915"/>
        <w:gridCol w:w="967"/>
        <w:gridCol w:w="984"/>
      </w:tblGrid>
      <w:tr>
        <w:trPr>
          <w:trHeight w:val="307" w:hRule="exact"/>
        </w:trPr>
        <w:tc>
          <w:tcPr>
            <w:tcW w:w="5936" w:type="dxa"/>
            <w:gridSpan w:val="6"/>
            <w:tcBorders>
              <w:left w:val="nil"/>
              <w:right w:val="nil"/>
            </w:tcBorders>
          </w:tcPr>
          <w:p>
            <w:pPr>
              <w:pStyle w:val="TableParagraph"/>
              <w:spacing w:line="230" w:lineRule="exact"/>
              <w:ind w:left="3692"/>
              <w:rPr>
                <w:sz w:val="20"/>
              </w:rPr>
            </w:pPr>
            <w:r>
              <w:rPr>
                <w:sz w:val="20"/>
              </w:rPr>
              <w:t>GSTP1</w:t>
            </w:r>
          </w:p>
        </w:tc>
      </w:tr>
      <w:tr>
        <w:trPr>
          <w:trHeight w:val="277" w:hRule="exact"/>
        </w:trPr>
        <w:tc>
          <w:tcPr>
            <w:tcW w:w="1050" w:type="dxa"/>
            <w:tcBorders>
              <w:left w:val="nil"/>
              <w:bottom w:val="nil"/>
              <w:right w:val="nil"/>
            </w:tcBorders>
          </w:tcPr>
          <w:p>
            <w:pPr>
              <w:pStyle w:val="TableParagraph"/>
              <w:tabs>
                <w:tab w:pos="1222" w:val="left" w:leader="none"/>
              </w:tabs>
              <w:spacing w:line="227" w:lineRule="exact"/>
              <w:ind w:left="10" w:right="-172"/>
              <w:rPr>
                <w:sz w:val="20"/>
              </w:rPr>
            </w:pPr>
            <w:r>
              <w:rPr>
                <w:w w:val="99"/>
                <w:sz w:val="20"/>
                <w:u w:val="single"/>
              </w:rPr>
              <w:t> </w:t>
            </w:r>
            <w:r>
              <w:rPr>
                <w:sz w:val="20"/>
                <w:u w:val="single"/>
              </w:rPr>
              <w:t>  </w:t>
            </w:r>
            <w:r>
              <w:rPr>
                <w:spacing w:val="14"/>
                <w:sz w:val="20"/>
                <w:u w:val="single"/>
              </w:rPr>
              <w:t> </w:t>
            </w:r>
            <w:r>
              <w:rPr>
                <w:sz w:val="20"/>
                <w:u w:val="single"/>
              </w:rPr>
              <w:t>#</w:t>
            </w:r>
            <w:r>
              <w:rPr>
                <w:spacing w:val="-4"/>
                <w:sz w:val="20"/>
                <w:u w:val="single"/>
              </w:rPr>
              <w:t> </w:t>
            </w:r>
            <w:r>
              <w:rPr>
                <w:sz w:val="20"/>
                <w:u w:val="single"/>
              </w:rPr>
              <w:t>Caso</w:t>
              <w:tab/>
            </w:r>
          </w:p>
        </w:tc>
        <w:tc>
          <w:tcPr>
            <w:tcW w:w="1046" w:type="dxa"/>
            <w:tcBorders>
              <w:left w:val="nil"/>
              <w:bottom w:val="nil"/>
              <w:right w:val="nil"/>
            </w:tcBorders>
          </w:tcPr>
          <w:p>
            <w:pPr>
              <w:pStyle w:val="TableParagraph"/>
              <w:tabs>
                <w:tab w:pos="1230" w:val="left" w:leader="none"/>
              </w:tabs>
              <w:spacing w:line="227" w:lineRule="exact"/>
              <w:ind w:left="171" w:right="-185"/>
              <w:rPr>
                <w:sz w:val="20"/>
              </w:rPr>
            </w:pPr>
            <w:r>
              <w:rPr>
                <w:sz w:val="20"/>
                <w:u w:val="single"/>
              </w:rPr>
              <w:t>GSTM1</w:t>
              <w:tab/>
            </w:r>
          </w:p>
        </w:tc>
        <w:tc>
          <w:tcPr>
            <w:tcW w:w="974" w:type="dxa"/>
            <w:tcBorders>
              <w:left w:val="nil"/>
              <w:bottom w:val="nil"/>
              <w:right w:val="nil"/>
            </w:tcBorders>
          </w:tcPr>
          <w:p>
            <w:pPr>
              <w:pStyle w:val="TableParagraph"/>
              <w:tabs>
                <w:tab w:pos="1118" w:val="left" w:leader="none"/>
              </w:tabs>
              <w:spacing w:line="227" w:lineRule="exact"/>
              <w:ind w:left="184" w:right="-145"/>
              <w:rPr>
                <w:sz w:val="20"/>
              </w:rPr>
            </w:pPr>
            <w:r>
              <w:rPr>
                <w:sz w:val="20"/>
                <w:u w:val="single"/>
              </w:rPr>
              <w:t>GSTT1</w:t>
              <w:tab/>
            </w:r>
          </w:p>
        </w:tc>
        <w:tc>
          <w:tcPr>
            <w:tcW w:w="915" w:type="dxa"/>
            <w:tcBorders>
              <w:left w:val="nil"/>
              <w:bottom w:val="nil"/>
              <w:right w:val="nil"/>
            </w:tcBorders>
          </w:tcPr>
          <w:p>
            <w:pPr>
              <w:pStyle w:val="TableParagraph"/>
              <w:tabs>
                <w:tab w:pos="1066" w:val="left" w:leader="none"/>
              </w:tabs>
              <w:spacing w:line="227" w:lineRule="exact"/>
              <w:ind w:left="144" w:right="-152"/>
              <w:rPr>
                <w:sz w:val="20"/>
              </w:rPr>
            </w:pPr>
            <w:r>
              <w:rPr>
                <w:sz w:val="20"/>
                <w:u w:val="single"/>
              </w:rPr>
              <w:t>Exón</w:t>
            </w:r>
            <w:r>
              <w:rPr>
                <w:spacing w:val="-4"/>
                <w:sz w:val="20"/>
                <w:u w:val="single"/>
              </w:rPr>
              <w:t> </w:t>
            </w:r>
            <w:r>
              <w:rPr>
                <w:sz w:val="20"/>
                <w:u w:val="single"/>
              </w:rPr>
              <w:t>5</w:t>
              <w:tab/>
            </w:r>
          </w:p>
        </w:tc>
        <w:tc>
          <w:tcPr>
            <w:tcW w:w="967" w:type="dxa"/>
            <w:tcBorders>
              <w:left w:val="nil"/>
              <w:bottom w:val="nil"/>
              <w:right w:val="nil"/>
            </w:tcBorders>
          </w:tcPr>
          <w:p>
            <w:pPr>
              <w:pStyle w:val="TableParagraph"/>
              <w:tabs>
                <w:tab w:pos="1163" w:val="left" w:leader="none"/>
              </w:tabs>
              <w:spacing w:line="227" w:lineRule="exact"/>
              <w:ind w:left="151" w:right="-197"/>
              <w:rPr>
                <w:sz w:val="20"/>
              </w:rPr>
            </w:pPr>
            <w:r>
              <w:rPr>
                <w:sz w:val="20"/>
                <w:u w:val="single"/>
              </w:rPr>
              <w:t>Exón</w:t>
            </w:r>
            <w:r>
              <w:rPr>
                <w:spacing w:val="-4"/>
                <w:sz w:val="20"/>
                <w:u w:val="single"/>
              </w:rPr>
              <w:t> </w:t>
            </w:r>
            <w:r>
              <w:rPr>
                <w:sz w:val="20"/>
                <w:u w:val="single"/>
              </w:rPr>
              <w:t>6</w:t>
              <w:tab/>
            </w:r>
          </w:p>
        </w:tc>
        <w:tc>
          <w:tcPr>
            <w:tcW w:w="984" w:type="dxa"/>
            <w:tcBorders>
              <w:left w:val="nil"/>
              <w:bottom w:val="nil"/>
              <w:right w:val="nil"/>
            </w:tcBorders>
          </w:tcPr>
          <w:p>
            <w:pPr>
              <w:pStyle w:val="TableParagraph"/>
              <w:tabs>
                <w:tab w:pos="990" w:val="left" w:leader="none"/>
              </w:tabs>
              <w:spacing w:line="227" w:lineRule="exact"/>
              <w:ind w:left="196" w:right="-8"/>
              <w:rPr>
                <w:sz w:val="20"/>
              </w:rPr>
            </w:pPr>
            <w:r>
              <w:rPr>
                <w:sz w:val="20"/>
                <w:u w:val="single"/>
              </w:rPr>
              <w:t>Caries</w:t>
              <w:tab/>
            </w:r>
          </w:p>
        </w:tc>
      </w:tr>
      <w:tr>
        <w:trPr>
          <w:trHeight w:val="288" w:hRule="exact"/>
        </w:trPr>
        <w:tc>
          <w:tcPr>
            <w:tcW w:w="1050" w:type="dxa"/>
            <w:tcBorders>
              <w:top w:val="nil"/>
              <w:left w:val="nil"/>
              <w:bottom w:val="nil"/>
              <w:right w:val="nil"/>
            </w:tcBorders>
          </w:tcPr>
          <w:p>
            <w:pPr>
              <w:pStyle w:val="TableParagraph"/>
              <w:spacing w:before="18"/>
              <w:ind w:left="78"/>
              <w:jc w:val="center"/>
              <w:rPr>
                <w:sz w:val="20"/>
              </w:rPr>
            </w:pPr>
            <w:r>
              <w:rPr>
                <w:w w:val="99"/>
                <w:sz w:val="20"/>
              </w:rPr>
              <w:t>1</w:t>
            </w:r>
          </w:p>
        </w:tc>
        <w:tc>
          <w:tcPr>
            <w:tcW w:w="1046" w:type="dxa"/>
            <w:tcBorders>
              <w:top w:val="nil"/>
              <w:left w:val="nil"/>
              <w:bottom w:val="nil"/>
              <w:right w:val="nil"/>
            </w:tcBorders>
          </w:tcPr>
          <w:p>
            <w:pPr>
              <w:pStyle w:val="TableParagraph"/>
              <w:spacing w:before="18"/>
              <w:ind w:left="71"/>
              <w:jc w:val="center"/>
              <w:rPr>
                <w:sz w:val="20"/>
              </w:rPr>
            </w:pPr>
            <w:r>
              <w:rPr>
                <w:w w:val="99"/>
                <w:sz w:val="20"/>
              </w:rPr>
              <w:t>+</w:t>
            </w:r>
          </w:p>
        </w:tc>
        <w:tc>
          <w:tcPr>
            <w:tcW w:w="974" w:type="dxa"/>
            <w:tcBorders>
              <w:top w:val="nil"/>
              <w:left w:val="nil"/>
              <w:bottom w:val="nil"/>
              <w:right w:val="nil"/>
            </w:tcBorders>
          </w:tcPr>
          <w:p>
            <w:pPr>
              <w:pStyle w:val="TableParagraph"/>
              <w:spacing w:before="18"/>
              <w:ind w:left="39"/>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a/a</w:t>
            </w:r>
          </w:p>
        </w:tc>
        <w:tc>
          <w:tcPr>
            <w:tcW w:w="967" w:type="dxa"/>
            <w:tcBorders>
              <w:top w:val="nil"/>
              <w:left w:val="nil"/>
              <w:bottom w:val="nil"/>
              <w:right w:val="nil"/>
            </w:tcBorders>
          </w:tcPr>
          <w:p>
            <w:pPr>
              <w:pStyle w:val="TableParagraph"/>
              <w:spacing w:before="18"/>
              <w:ind w:left="321" w:right="-197"/>
              <w:rPr>
                <w:sz w:val="20"/>
              </w:rPr>
            </w:pPr>
            <w:r>
              <w:rPr>
                <w:sz w:val="20"/>
              </w:rPr>
              <w:t>a/a</w:t>
            </w:r>
          </w:p>
        </w:tc>
        <w:tc>
          <w:tcPr>
            <w:tcW w:w="984" w:type="dxa"/>
            <w:tcBorders>
              <w:top w:val="nil"/>
              <w:left w:val="nil"/>
              <w:bottom w:val="nil"/>
              <w:right w:val="nil"/>
            </w:tcBorders>
          </w:tcPr>
          <w:p>
            <w:pPr>
              <w:pStyle w:val="TableParagraph"/>
              <w:spacing w:before="18"/>
              <w:ind w:right="12"/>
              <w:jc w:val="center"/>
              <w:rPr>
                <w:sz w:val="20"/>
              </w:rPr>
            </w:pPr>
            <w:r>
              <w:rPr>
                <w:w w:val="99"/>
                <w:sz w:val="20"/>
              </w:rPr>
              <w:t>0</w:t>
            </w:r>
          </w:p>
        </w:tc>
      </w:tr>
      <w:tr>
        <w:trPr>
          <w:trHeight w:val="287" w:hRule="exact"/>
        </w:trPr>
        <w:tc>
          <w:tcPr>
            <w:tcW w:w="1050" w:type="dxa"/>
            <w:tcBorders>
              <w:top w:val="nil"/>
              <w:left w:val="nil"/>
              <w:bottom w:val="nil"/>
              <w:right w:val="nil"/>
            </w:tcBorders>
          </w:tcPr>
          <w:p>
            <w:pPr>
              <w:pStyle w:val="TableParagraph"/>
              <w:spacing w:before="18"/>
              <w:ind w:left="78"/>
              <w:jc w:val="center"/>
              <w:rPr>
                <w:sz w:val="20"/>
              </w:rPr>
            </w:pPr>
            <w:r>
              <w:rPr>
                <w:w w:val="99"/>
                <w:sz w:val="20"/>
              </w:rPr>
              <w:t>2</w:t>
            </w:r>
          </w:p>
        </w:tc>
        <w:tc>
          <w:tcPr>
            <w:tcW w:w="1046" w:type="dxa"/>
            <w:tcBorders>
              <w:top w:val="nil"/>
              <w:left w:val="nil"/>
              <w:bottom w:val="nil"/>
              <w:right w:val="nil"/>
            </w:tcBorders>
          </w:tcPr>
          <w:p>
            <w:pPr>
              <w:pStyle w:val="TableParagraph"/>
              <w:spacing w:before="18"/>
              <w:ind w:left="71"/>
              <w:jc w:val="center"/>
              <w:rPr>
                <w:sz w:val="20"/>
              </w:rPr>
            </w:pPr>
            <w:r>
              <w:rPr>
                <w:w w:val="99"/>
                <w:sz w:val="20"/>
              </w:rPr>
              <w:t>+</w:t>
            </w:r>
          </w:p>
        </w:tc>
        <w:tc>
          <w:tcPr>
            <w:tcW w:w="974" w:type="dxa"/>
            <w:tcBorders>
              <w:top w:val="nil"/>
              <w:left w:val="nil"/>
              <w:bottom w:val="nil"/>
              <w:right w:val="nil"/>
            </w:tcBorders>
          </w:tcPr>
          <w:p>
            <w:pPr>
              <w:pStyle w:val="TableParagraph"/>
              <w:spacing w:before="18"/>
              <w:ind w:left="39"/>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a/b</w:t>
            </w:r>
          </w:p>
        </w:tc>
        <w:tc>
          <w:tcPr>
            <w:tcW w:w="967" w:type="dxa"/>
            <w:tcBorders>
              <w:top w:val="nil"/>
              <w:left w:val="nil"/>
              <w:bottom w:val="nil"/>
              <w:right w:val="nil"/>
            </w:tcBorders>
          </w:tcPr>
          <w:p>
            <w:pPr>
              <w:pStyle w:val="TableParagraph"/>
              <w:spacing w:before="18"/>
              <w:ind w:left="321" w:right="-197"/>
              <w:rPr>
                <w:sz w:val="20"/>
              </w:rPr>
            </w:pPr>
            <w:r>
              <w:rPr>
                <w:sz w:val="20"/>
              </w:rPr>
              <w:t>a/a</w:t>
            </w:r>
          </w:p>
        </w:tc>
        <w:tc>
          <w:tcPr>
            <w:tcW w:w="984" w:type="dxa"/>
            <w:tcBorders>
              <w:top w:val="nil"/>
              <w:left w:val="nil"/>
              <w:bottom w:val="nil"/>
              <w:right w:val="nil"/>
            </w:tcBorders>
          </w:tcPr>
          <w:p>
            <w:pPr>
              <w:pStyle w:val="TableParagraph"/>
              <w:spacing w:before="18"/>
              <w:ind w:right="12"/>
              <w:jc w:val="center"/>
              <w:rPr>
                <w:sz w:val="20"/>
              </w:rPr>
            </w:pPr>
            <w:r>
              <w:rPr>
                <w:w w:val="99"/>
                <w:sz w:val="20"/>
              </w:rPr>
              <w:t>1</w:t>
            </w:r>
          </w:p>
        </w:tc>
      </w:tr>
      <w:tr>
        <w:trPr>
          <w:trHeight w:val="287" w:hRule="exact"/>
        </w:trPr>
        <w:tc>
          <w:tcPr>
            <w:tcW w:w="1050" w:type="dxa"/>
            <w:tcBorders>
              <w:top w:val="nil"/>
              <w:left w:val="nil"/>
              <w:bottom w:val="nil"/>
              <w:right w:val="nil"/>
            </w:tcBorders>
          </w:tcPr>
          <w:p>
            <w:pPr>
              <w:pStyle w:val="TableParagraph"/>
              <w:spacing w:before="17"/>
              <w:ind w:left="78"/>
              <w:jc w:val="center"/>
              <w:rPr>
                <w:sz w:val="20"/>
              </w:rPr>
            </w:pPr>
            <w:r>
              <w:rPr>
                <w:w w:val="99"/>
                <w:sz w:val="20"/>
              </w:rPr>
              <w:t>3</w:t>
            </w:r>
          </w:p>
        </w:tc>
        <w:tc>
          <w:tcPr>
            <w:tcW w:w="1046" w:type="dxa"/>
            <w:tcBorders>
              <w:top w:val="nil"/>
              <w:left w:val="nil"/>
              <w:bottom w:val="nil"/>
              <w:right w:val="nil"/>
            </w:tcBorders>
          </w:tcPr>
          <w:p>
            <w:pPr>
              <w:pStyle w:val="TableParagraph"/>
              <w:spacing w:before="17"/>
              <w:ind w:left="69"/>
              <w:jc w:val="center"/>
              <w:rPr>
                <w:sz w:val="20"/>
              </w:rPr>
            </w:pPr>
            <w:r>
              <w:rPr>
                <w:w w:val="99"/>
                <w:sz w:val="20"/>
              </w:rPr>
              <w:t>-</w:t>
            </w:r>
          </w:p>
        </w:tc>
        <w:tc>
          <w:tcPr>
            <w:tcW w:w="974" w:type="dxa"/>
            <w:tcBorders>
              <w:top w:val="nil"/>
              <w:left w:val="nil"/>
              <w:bottom w:val="nil"/>
              <w:right w:val="nil"/>
            </w:tcBorders>
          </w:tcPr>
          <w:p>
            <w:pPr>
              <w:pStyle w:val="TableParagraph"/>
              <w:spacing w:before="17"/>
              <w:ind w:left="37"/>
              <w:jc w:val="center"/>
              <w:rPr>
                <w:sz w:val="20"/>
              </w:rPr>
            </w:pPr>
            <w:r>
              <w:rPr>
                <w:w w:val="99"/>
                <w:sz w:val="20"/>
              </w:rPr>
              <w:t>-</w:t>
            </w:r>
          </w:p>
        </w:tc>
        <w:tc>
          <w:tcPr>
            <w:tcW w:w="915" w:type="dxa"/>
            <w:tcBorders>
              <w:top w:val="nil"/>
              <w:left w:val="nil"/>
              <w:bottom w:val="nil"/>
              <w:right w:val="nil"/>
            </w:tcBorders>
          </w:tcPr>
          <w:p>
            <w:pPr>
              <w:pStyle w:val="TableParagraph"/>
              <w:spacing w:before="17"/>
              <w:ind w:left="288" w:right="295"/>
              <w:jc w:val="center"/>
              <w:rPr>
                <w:sz w:val="20"/>
              </w:rPr>
            </w:pPr>
            <w:r>
              <w:rPr>
                <w:sz w:val="20"/>
              </w:rPr>
              <w:t>b/b</w:t>
            </w:r>
          </w:p>
        </w:tc>
        <w:tc>
          <w:tcPr>
            <w:tcW w:w="967" w:type="dxa"/>
            <w:tcBorders>
              <w:top w:val="nil"/>
              <w:left w:val="nil"/>
              <w:bottom w:val="nil"/>
              <w:right w:val="nil"/>
            </w:tcBorders>
          </w:tcPr>
          <w:p>
            <w:pPr>
              <w:pStyle w:val="TableParagraph"/>
              <w:spacing w:before="17"/>
              <w:ind w:left="308" w:right="351"/>
              <w:jc w:val="center"/>
              <w:rPr>
                <w:sz w:val="20"/>
              </w:rPr>
            </w:pPr>
            <w:r>
              <w:rPr>
                <w:sz w:val="20"/>
              </w:rPr>
              <w:t>a/c</w:t>
            </w:r>
          </w:p>
        </w:tc>
        <w:tc>
          <w:tcPr>
            <w:tcW w:w="984" w:type="dxa"/>
            <w:tcBorders>
              <w:top w:val="nil"/>
              <w:left w:val="nil"/>
              <w:bottom w:val="nil"/>
              <w:right w:val="nil"/>
            </w:tcBorders>
          </w:tcPr>
          <w:p>
            <w:pPr>
              <w:pStyle w:val="TableParagraph"/>
              <w:spacing w:before="17"/>
              <w:ind w:left="354" w:right="366"/>
              <w:jc w:val="center"/>
              <w:rPr>
                <w:sz w:val="20"/>
              </w:rPr>
            </w:pPr>
            <w:r>
              <w:rPr>
                <w:sz w:val="20"/>
              </w:rPr>
              <w:t>17</w:t>
            </w:r>
          </w:p>
        </w:tc>
      </w:tr>
      <w:tr>
        <w:trPr>
          <w:trHeight w:val="287" w:hRule="exact"/>
        </w:trPr>
        <w:tc>
          <w:tcPr>
            <w:tcW w:w="1050" w:type="dxa"/>
            <w:tcBorders>
              <w:top w:val="nil"/>
              <w:left w:val="nil"/>
              <w:bottom w:val="nil"/>
              <w:right w:val="nil"/>
            </w:tcBorders>
          </w:tcPr>
          <w:p>
            <w:pPr>
              <w:pStyle w:val="TableParagraph"/>
              <w:spacing w:before="18"/>
              <w:ind w:left="78"/>
              <w:jc w:val="center"/>
              <w:rPr>
                <w:sz w:val="20"/>
              </w:rPr>
            </w:pPr>
            <w:r>
              <w:rPr>
                <w:w w:val="99"/>
                <w:sz w:val="20"/>
              </w:rPr>
              <w:t>4</w:t>
            </w:r>
          </w:p>
        </w:tc>
        <w:tc>
          <w:tcPr>
            <w:tcW w:w="1046" w:type="dxa"/>
            <w:tcBorders>
              <w:top w:val="nil"/>
              <w:left w:val="nil"/>
              <w:bottom w:val="nil"/>
              <w:right w:val="nil"/>
            </w:tcBorders>
          </w:tcPr>
          <w:p>
            <w:pPr>
              <w:pStyle w:val="TableParagraph"/>
              <w:spacing w:before="18"/>
              <w:ind w:left="69"/>
              <w:jc w:val="center"/>
              <w:rPr>
                <w:sz w:val="20"/>
              </w:rPr>
            </w:pPr>
            <w:r>
              <w:rPr>
                <w:w w:val="99"/>
                <w:sz w:val="20"/>
              </w:rPr>
              <w:t>-</w:t>
            </w:r>
          </w:p>
        </w:tc>
        <w:tc>
          <w:tcPr>
            <w:tcW w:w="974" w:type="dxa"/>
            <w:tcBorders>
              <w:top w:val="nil"/>
              <w:left w:val="nil"/>
              <w:bottom w:val="nil"/>
              <w:right w:val="nil"/>
            </w:tcBorders>
          </w:tcPr>
          <w:p>
            <w:pPr>
              <w:pStyle w:val="TableParagraph"/>
              <w:spacing w:before="18"/>
              <w:ind w:left="37"/>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b/b</w:t>
            </w:r>
          </w:p>
        </w:tc>
        <w:tc>
          <w:tcPr>
            <w:tcW w:w="967" w:type="dxa"/>
            <w:tcBorders>
              <w:top w:val="nil"/>
              <w:left w:val="nil"/>
              <w:bottom w:val="nil"/>
              <w:right w:val="nil"/>
            </w:tcBorders>
          </w:tcPr>
          <w:p>
            <w:pPr>
              <w:pStyle w:val="TableParagraph"/>
              <w:spacing w:before="18"/>
              <w:ind w:left="308" w:right="351"/>
              <w:jc w:val="center"/>
              <w:rPr>
                <w:sz w:val="20"/>
              </w:rPr>
            </w:pPr>
            <w:r>
              <w:rPr>
                <w:sz w:val="20"/>
              </w:rPr>
              <w:t>a/c</w:t>
            </w:r>
          </w:p>
        </w:tc>
        <w:tc>
          <w:tcPr>
            <w:tcW w:w="984" w:type="dxa"/>
            <w:tcBorders>
              <w:top w:val="nil"/>
              <w:left w:val="nil"/>
              <w:bottom w:val="nil"/>
              <w:right w:val="nil"/>
            </w:tcBorders>
          </w:tcPr>
          <w:p>
            <w:pPr>
              <w:pStyle w:val="TableParagraph"/>
              <w:spacing w:before="18"/>
              <w:ind w:right="12"/>
              <w:jc w:val="center"/>
              <w:rPr>
                <w:sz w:val="20"/>
              </w:rPr>
            </w:pPr>
            <w:r>
              <w:rPr>
                <w:w w:val="99"/>
                <w:sz w:val="20"/>
              </w:rPr>
              <w:t>7</w:t>
            </w:r>
          </w:p>
        </w:tc>
      </w:tr>
      <w:tr>
        <w:trPr>
          <w:trHeight w:val="287" w:hRule="exact"/>
        </w:trPr>
        <w:tc>
          <w:tcPr>
            <w:tcW w:w="1050" w:type="dxa"/>
            <w:tcBorders>
              <w:top w:val="nil"/>
              <w:left w:val="nil"/>
              <w:bottom w:val="nil"/>
              <w:right w:val="nil"/>
            </w:tcBorders>
          </w:tcPr>
          <w:p>
            <w:pPr>
              <w:pStyle w:val="TableParagraph"/>
              <w:spacing w:before="17"/>
              <w:ind w:left="78"/>
              <w:jc w:val="center"/>
              <w:rPr>
                <w:sz w:val="20"/>
              </w:rPr>
            </w:pPr>
            <w:r>
              <w:rPr>
                <w:w w:val="99"/>
                <w:sz w:val="20"/>
              </w:rPr>
              <w:t>5</w:t>
            </w:r>
          </w:p>
        </w:tc>
        <w:tc>
          <w:tcPr>
            <w:tcW w:w="1046" w:type="dxa"/>
            <w:tcBorders>
              <w:top w:val="nil"/>
              <w:left w:val="nil"/>
              <w:bottom w:val="nil"/>
              <w:right w:val="nil"/>
            </w:tcBorders>
          </w:tcPr>
          <w:p>
            <w:pPr>
              <w:pStyle w:val="TableParagraph"/>
              <w:spacing w:before="17"/>
              <w:ind w:left="71"/>
              <w:jc w:val="center"/>
              <w:rPr>
                <w:sz w:val="20"/>
              </w:rPr>
            </w:pPr>
            <w:r>
              <w:rPr>
                <w:w w:val="99"/>
                <w:sz w:val="20"/>
              </w:rPr>
              <w:t>+</w:t>
            </w:r>
          </w:p>
        </w:tc>
        <w:tc>
          <w:tcPr>
            <w:tcW w:w="974" w:type="dxa"/>
            <w:tcBorders>
              <w:top w:val="nil"/>
              <w:left w:val="nil"/>
              <w:bottom w:val="nil"/>
              <w:right w:val="nil"/>
            </w:tcBorders>
          </w:tcPr>
          <w:p>
            <w:pPr>
              <w:pStyle w:val="TableParagraph"/>
              <w:spacing w:before="17"/>
              <w:ind w:left="39"/>
              <w:jc w:val="center"/>
              <w:rPr>
                <w:sz w:val="20"/>
              </w:rPr>
            </w:pPr>
            <w:r>
              <w:rPr>
                <w:w w:val="99"/>
                <w:sz w:val="20"/>
              </w:rPr>
              <w:t>+</w:t>
            </w:r>
          </w:p>
        </w:tc>
        <w:tc>
          <w:tcPr>
            <w:tcW w:w="915" w:type="dxa"/>
            <w:tcBorders>
              <w:top w:val="nil"/>
              <w:left w:val="nil"/>
              <w:bottom w:val="nil"/>
              <w:right w:val="nil"/>
            </w:tcBorders>
          </w:tcPr>
          <w:p>
            <w:pPr>
              <w:pStyle w:val="TableParagraph"/>
              <w:spacing w:before="17"/>
              <w:ind w:left="288" w:right="295"/>
              <w:jc w:val="center"/>
              <w:rPr>
                <w:sz w:val="20"/>
              </w:rPr>
            </w:pPr>
            <w:r>
              <w:rPr>
                <w:sz w:val="20"/>
              </w:rPr>
              <w:t>b/b</w:t>
            </w:r>
          </w:p>
        </w:tc>
        <w:tc>
          <w:tcPr>
            <w:tcW w:w="967" w:type="dxa"/>
            <w:tcBorders>
              <w:top w:val="nil"/>
              <w:left w:val="nil"/>
              <w:bottom w:val="nil"/>
              <w:right w:val="nil"/>
            </w:tcBorders>
          </w:tcPr>
          <w:p>
            <w:pPr>
              <w:pStyle w:val="TableParagraph"/>
              <w:spacing w:before="17"/>
              <w:ind w:left="321" w:right="-197"/>
              <w:rPr>
                <w:sz w:val="20"/>
              </w:rPr>
            </w:pPr>
            <w:r>
              <w:rPr>
                <w:sz w:val="20"/>
              </w:rPr>
              <w:t>a/a</w:t>
            </w:r>
          </w:p>
        </w:tc>
        <w:tc>
          <w:tcPr>
            <w:tcW w:w="984" w:type="dxa"/>
            <w:tcBorders>
              <w:top w:val="nil"/>
              <w:left w:val="nil"/>
              <w:bottom w:val="nil"/>
              <w:right w:val="nil"/>
            </w:tcBorders>
          </w:tcPr>
          <w:p>
            <w:pPr>
              <w:pStyle w:val="TableParagraph"/>
              <w:spacing w:before="17"/>
              <w:ind w:right="12"/>
              <w:jc w:val="center"/>
              <w:rPr>
                <w:sz w:val="20"/>
              </w:rPr>
            </w:pPr>
            <w:r>
              <w:rPr>
                <w:w w:val="99"/>
                <w:sz w:val="20"/>
              </w:rPr>
              <w:t>2</w:t>
            </w:r>
          </w:p>
        </w:tc>
      </w:tr>
      <w:tr>
        <w:trPr>
          <w:trHeight w:val="288" w:hRule="exact"/>
        </w:trPr>
        <w:tc>
          <w:tcPr>
            <w:tcW w:w="1050" w:type="dxa"/>
            <w:tcBorders>
              <w:top w:val="nil"/>
              <w:left w:val="nil"/>
              <w:bottom w:val="nil"/>
              <w:right w:val="nil"/>
            </w:tcBorders>
          </w:tcPr>
          <w:p>
            <w:pPr>
              <w:pStyle w:val="TableParagraph"/>
              <w:spacing w:before="18"/>
              <w:ind w:left="78"/>
              <w:jc w:val="center"/>
              <w:rPr>
                <w:sz w:val="20"/>
              </w:rPr>
            </w:pPr>
            <w:r>
              <w:rPr>
                <w:w w:val="99"/>
                <w:sz w:val="20"/>
              </w:rPr>
              <w:t>6</w:t>
            </w:r>
          </w:p>
        </w:tc>
        <w:tc>
          <w:tcPr>
            <w:tcW w:w="1046" w:type="dxa"/>
            <w:tcBorders>
              <w:top w:val="nil"/>
              <w:left w:val="nil"/>
              <w:bottom w:val="nil"/>
              <w:right w:val="nil"/>
            </w:tcBorders>
          </w:tcPr>
          <w:p>
            <w:pPr>
              <w:pStyle w:val="TableParagraph"/>
              <w:spacing w:before="18"/>
              <w:ind w:left="69"/>
              <w:jc w:val="center"/>
              <w:rPr>
                <w:sz w:val="20"/>
              </w:rPr>
            </w:pPr>
            <w:r>
              <w:rPr>
                <w:w w:val="99"/>
                <w:sz w:val="20"/>
              </w:rPr>
              <w:t>-</w:t>
            </w:r>
          </w:p>
        </w:tc>
        <w:tc>
          <w:tcPr>
            <w:tcW w:w="974" w:type="dxa"/>
            <w:tcBorders>
              <w:top w:val="nil"/>
              <w:left w:val="nil"/>
              <w:bottom w:val="nil"/>
              <w:right w:val="nil"/>
            </w:tcBorders>
          </w:tcPr>
          <w:p>
            <w:pPr>
              <w:pStyle w:val="TableParagraph"/>
              <w:spacing w:before="18"/>
              <w:ind w:left="37"/>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b/b</w:t>
            </w:r>
          </w:p>
        </w:tc>
        <w:tc>
          <w:tcPr>
            <w:tcW w:w="967" w:type="dxa"/>
            <w:tcBorders>
              <w:top w:val="nil"/>
              <w:left w:val="nil"/>
              <w:bottom w:val="nil"/>
              <w:right w:val="nil"/>
            </w:tcBorders>
          </w:tcPr>
          <w:p>
            <w:pPr>
              <w:pStyle w:val="TableParagraph"/>
              <w:spacing w:before="18"/>
              <w:ind w:left="321" w:right="-197"/>
              <w:rPr>
                <w:sz w:val="20"/>
              </w:rPr>
            </w:pPr>
            <w:r>
              <w:rPr>
                <w:sz w:val="20"/>
              </w:rPr>
              <w:t>a/a</w:t>
            </w:r>
          </w:p>
        </w:tc>
        <w:tc>
          <w:tcPr>
            <w:tcW w:w="984" w:type="dxa"/>
            <w:tcBorders>
              <w:top w:val="nil"/>
              <w:left w:val="nil"/>
              <w:bottom w:val="nil"/>
              <w:right w:val="nil"/>
            </w:tcBorders>
          </w:tcPr>
          <w:p>
            <w:pPr>
              <w:pStyle w:val="TableParagraph"/>
              <w:spacing w:before="18"/>
              <w:ind w:left="354" w:right="366"/>
              <w:jc w:val="center"/>
              <w:rPr>
                <w:sz w:val="20"/>
              </w:rPr>
            </w:pPr>
            <w:r>
              <w:rPr>
                <w:sz w:val="20"/>
              </w:rPr>
              <w:t>13</w:t>
            </w:r>
          </w:p>
        </w:tc>
      </w:tr>
      <w:tr>
        <w:trPr>
          <w:trHeight w:val="287" w:hRule="exact"/>
        </w:trPr>
        <w:tc>
          <w:tcPr>
            <w:tcW w:w="1050" w:type="dxa"/>
            <w:tcBorders>
              <w:top w:val="nil"/>
              <w:left w:val="nil"/>
              <w:bottom w:val="nil"/>
              <w:right w:val="nil"/>
            </w:tcBorders>
          </w:tcPr>
          <w:p>
            <w:pPr>
              <w:pStyle w:val="TableParagraph"/>
              <w:spacing w:before="18"/>
              <w:ind w:left="78"/>
              <w:jc w:val="center"/>
              <w:rPr>
                <w:sz w:val="20"/>
              </w:rPr>
            </w:pPr>
            <w:r>
              <w:rPr>
                <w:w w:val="99"/>
                <w:sz w:val="20"/>
              </w:rPr>
              <w:t>7</w:t>
            </w:r>
          </w:p>
        </w:tc>
        <w:tc>
          <w:tcPr>
            <w:tcW w:w="1046" w:type="dxa"/>
            <w:tcBorders>
              <w:top w:val="nil"/>
              <w:left w:val="nil"/>
              <w:bottom w:val="nil"/>
              <w:right w:val="nil"/>
            </w:tcBorders>
          </w:tcPr>
          <w:p>
            <w:pPr>
              <w:pStyle w:val="TableParagraph"/>
              <w:spacing w:before="18"/>
              <w:ind w:left="71"/>
              <w:jc w:val="center"/>
              <w:rPr>
                <w:sz w:val="20"/>
              </w:rPr>
            </w:pPr>
            <w:r>
              <w:rPr>
                <w:w w:val="99"/>
                <w:sz w:val="20"/>
              </w:rPr>
              <w:t>+</w:t>
            </w:r>
          </w:p>
        </w:tc>
        <w:tc>
          <w:tcPr>
            <w:tcW w:w="974" w:type="dxa"/>
            <w:tcBorders>
              <w:top w:val="nil"/>
              <w:left w:val="nil"/>
              <w:bottom w:val="nil"/>
              <w:right w:val="nil"/>
            </w:tcBorders>
          </w:tcPr>
          <w:p>
            <w:pPr>
              <w:pStyle w:val="TableParagraph"/>
              <w:spacing w:before="18"/>
              <w:ind w:left="37"/>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a/b</w:t>
            </w:r>
          </w:p>
        </w:tc>
        <w:tc>
          <w:tcPr>
            <w:tcW w:w="967" w:type="dxa"/>
            <w:tcBorders>
              <w:top w:val="nil"/>
              <w:left w:val="nil"/>
              <w:bottom w:val="nil"/>
              <w:right w:val="nil"/>
            </w:tcBorders>
          </w:tcPr>
          <w:p>
            <w:pPr>
              <w:pStyle w:val="TableParagraph"/>
              <w:spacing w:before="18"/>
              <w:ind w:left="308" w:right="351"/>
              <w:jc w:val="center"/>
              <w:rPr>
                <w:sz w:val="20"/>
              </w:rPr>
            </w:pPr>
            <w:r>
              <w:rPr>
                <w:sz w:val="20"/>
              </w:rPr>
              <w:t>a/c</w:t>
            </w:r>
          </w:p>
        </w:tc>
        <w:tc>
          <w:tcPr>
            <w:tcW w:w="984" w:type="dxa"/>
            <w:tcBorders>
              <w:top w:val="nil"/>
              <w:left w:val="nil"/>
              <w:bottom w:val="nil"/>
              <w:right w:val="nil"/>
            </w:tcBorders>
          </w:tcPr>
          <w:p>
            <w:pPr>
              <w:pStyle w:val="TableParagraph"/>
              <w:spacing w:before="18"/>
              <w:ind w:left="354" w:right="366"/>
              <w:jc w:val="center"/>
              <w:rPr>
                <w:sz w:val="20"/>
              </w:rPr>
            </w:pPr>
            <w:r>
              <w:rPr>
                <w:sz w:val="20"/>
              </w:rPr>
              <w:t>14</w:t>
            </w:r>
          </w:p>
        </w:tc>
      </w:tr>
      <w:tr>
        <w:trPr>
          <w:trHeight w:val="287" w:hRule="exact"/>
        </w:trPr>
        <w:tc>
          <w:tcPr>
            <w:tcW w:w="1050" w:type="dxa"/>
            <w:tcBorders>
              <w:top w:val="nil"/>
              <w:left w:val="nil"/>
              <w:bottom w:val="nil"/>
              <w:right w:val="nil"/>
            </w:tcBorders>
          </w:tcPr>
          <w:p>
            <w:pPr>
              <w:pStyle w:val="TableParagraph"/>
              <w:spacing w:before="17"/>
              <w:ind w:left="78"/>
              <w:jc w:val="center"/>
              <w:rPr>
                <w:sz w:val="20"/>
              </w:rPr>
            </w:pPr>
            <w:r>
              <w:rPr>
                <w:w w:val="99"/>
                <w:sz w:val="20"/>
              </w:rPr>
              <w:t>8</w:t>
            </w:r>
          </w:p>
        </w:tc>
        <w:tc>
          <w:tcPr>
            <w:tcW w:w="1046" w:type="dxa"/>
            <w:tcBorders>
              <w:top w:val="nil"/>
              <w:left w:val="nil"/>
              <w:bottom w:val="nil"/>
              <w:right w:val="nil"/>
            </w:tcBorders>
          </w:tcPr>
          <w:p>
            <w:pPr>
              <w:pStyle w:val="TableParagraph"/>
              <w:spacing w:before="17"/>
              <w:ind w:left="71"/>
              <w:jc w:val="center"/>
              <w:rPr>
                <w:sz w:val="20"/>
              </w:rPr>
            </w:pPr>
            <w:r>
              <w:rPr>
                <w:w w:val="99"/>
                <w:sz w:val="20"/>
              </w:rPr>
              <w:t>+</w:t>
            </w:r>
          </w:p>
        </w:tc>
        <w:tc>
          <w:tcPr>
            <w:tcW w:w="974" w:type="dxa"/>
            <w:tcBorders>
              <w:top w:val="nil"/>
              <w:left w:val="nil"/>
              <w:bottom w:val="nil"/>
              <w:right w:val="nil"/>
            </w:tcBorders>
          </w:tcPr>
          <w:p>
            <w:pPr>
              <w:pStyle w:val="TableParagraph"/>
              <w:spacing w:before="17"/>
              <w:ind w:left="37"/>
              <w:jc w:val="center"/>
              <w:rPr>
                <w:sz w:val="20"/>
              </w:rPr>
            </w:pPr>
            <w:r>
              <w:rPr>
                <w:w w:val="99"/>
                <w:sz w:val="20"/>
              </w:rPr>
              <w:t>-</w:t>
            </w:r>
          </w:p>
        </w:tc>
        <w:tc>
          <w:tcPr>
            <w:tcW w:w="915" w:type="dxa"/>
            <w:tcBorders>
              <w:top w:val="nil"/>
              <w:left w:val="nil"/>
              <w:bottom w:val="nil"/>
              <w:right w:val="nil"/>
            </w:tcBorders>
          </w:tcPr>
          <w:p>
            <w:pPr>
              <w:pStyle w:val="TableParagraph"/>
              <w:spacing w:before="17"/>
              <w:ind w:left="288" w:right="295"/>
              <w:jc w:val="center"/>
              <w:rPr>
                <w:sz w:val="20"/>
              </w:rPr>
            </w:pPr>
            <w:r>
              <w:rPr>
                <w:sz w:val="20"/>
              </w:rPr>
              <w:t>a/b</w:t>
            </w:r>
          </w:p>
        </w:tc>
        <w:tc>
          <w:tcPr>
            <w:tcW w:w="967" w:type="dxa"/>
            <w:tcBorders>
              <w:top w:val="nil"/>
              <w:left w:val="nil"/>
              <w:bottom w:val="nil"/>
              <w:right w:val="nil"/>
            </w:tcBorders>
          </w:tcPr>
          <w:p>
            <w:pPr>
              <w:pStyle w:val="TableParagraph"/>
              <w:spacing w:before="17"/>
              <w:ind w:left="308" w:right="351"/>
              <w:jc w:val="center"/>
              <w:rPr>
                <w:sz w:val="20"/>
              </w:rPr>
            </w:pPr>
            <w:r>
              <w:rPr>
                <w:sz w:val="20"/>
              </w:rPr>
              <w:t>a/c</w:t>
            </w:r>
          </w:p>
        </w:tc>
        <w:tc>
          <w:tcPr>
            <w:tcW w:w="984" w:type="dxa"/>
            <w:tcBorders>
              <w:top w:val="nil"/>
              <w:left w:val="nil"/>
              <w:bottom w:val="nil"/>
              <w:right w:val="nil"/>
            </w:tcBorders>
          </w:tcPr>
          <w:p>
            <w:pPr>
              <w:pStyle w:val="TableParagraph"/>
              <w:spacing w:before="17"/>
              <w:ind w:left="354" w:right="366"/>
              <w:jc w:val="center"/>
              <w:rPr>
                <w:sz w:val="20"/>
              </w:rPr>
            </w:pPr>
            <w:r>
              <w:rPr>
                <w:sz w:val="20"/>
              </w:rPr>
              <w:t>18</w:t>
            </w:r>
          </w:p>
        </w:tc>
      </w:tr>
      <w:tr>
        <w:trPr>
          <w:trHeight w:val="287" w:hRule="exact"/>
        </w:trPr>
        <w:tc>
          <w:tcPr>
            <w:tcW w:w="1050" w:type="dxa"/>
            <w:tcBorders>
              <w:top w:val="nil"/>
              <w:left w:val="nil"/>
              <w:bottom w:val="nil"/>
              <w:right w:val="nil"/>
            </w:tcBorders>
          </w:tcPr>
          <w:p>
            <w:pPr>
              <w:pStyle w:val="TableParagraph"/>
              <w:spacing w:before="18"/>
              <w:ind w:left="78"/>
              <w:jc w:val="center"/>
              <w:rPr>
                <w:sz w:val="20"/>
              </w:rPr>
            </w:pPr>
            <w:r>
              <w:rPr>
                <w:w w:val="99"/>
                <w:sz w:val="20"/>
              </w:rPr>
              <w:t>9</w:t>
            </w:r>
          </w:p>
        </w:tc>
        <w:tc>
          <w:tcPr>
            <w:tcW w:w="1046" w:type="dxa"/>
            <w:tcBorders>
              <w:top w:val="nil"/>
              <w:left w:val="nil"/>
              <w:bottom w:val="nil"/>
              <w:right w:val="nil"/>
            </w:tcBorders>
          </w:tcPr>
          <w:p>
            <w:pPr>
              <w:pStyle w:val="TableParagraph"/>
              <w:spacing w:before="18"/>
              <w:ind w:left="71"/>
              <w:jc w:val="center"/>
              <w:rPr>
                <w:sz w:val="20"/>
              </w:rPr>
            </w:pPr>
            <w:r>
              <w:rPr>
                <w:w w:val="99"/>
                <w:sz w:val="20"/>
              </w:rPr>
              <w:t>+</w:t>
            </w:r>
          </w:p>
        </w:tc>
        <w:tc>
          <w:tcPr>
            <w:tcW w:w="974" w:type="dxa"/>
            <w:tcBorders>
              <w:top w:val="nil"/>
              <w:left w:val="nil"/>
              <w:bottom w:val="nil"/>
              <w:right w:val="nil"/>
            </w:tcBorders>
          </w:tcPr>
          <w:p>
            <w:pPr>
              <w:pStyle w:val="TableParagraph"/>
              <w:spacing w:before="18"/>
              <w:ind w:left="39"/>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b/b</w:t>
            </w:r>
          </w:p>
        </w:tc>
        <w:tc>
          <w:tcPr>
            <w:tcW w:w="967" w:type="dxa"/>
            <w:tcBorders>
              <w:top w:val="nil"/>
              <w:left w:val="nil"/>
              <w:bottom w:val="nil"/>
              <w:right w:val="nil"/>
            </w:tcBorders>
          </w:tcPr>
          <w:p>
            <w:pPr>
              <w:pStyle w:val="TableParagraph"/>
              <w:spacing w:before="18"/>
              <w:ind w:left="321" w:right="-197"/>
              <w:rPr>
                <w:sz w:val="20"/>
              </w:rPr>
            </w:pPr>
            <w:r>
              <w:rPr>
                <w:sz w:val="20"/>
              </w:rPr>
              <w:t>a/a</w:t>
            </w:r>
          </w:p>
        </w:tc>
        <w:tc>
          <w:tcPr>
            <w:tcW w:w="984" w:type="dxa"/>
            <w:tcBorders>
              <w:top w:val="nil"/>
              <w:left w:val="nil"/>
              <w:bottom w:val="nil"/>
              <w:right w:val="nil"/>
            </w:tcBorders>
          </w:tcPr>
          <w:p>
            <w:pPr>
              <w:pStyle w:val="TableParagraph"/>
              <w:spacing w:before="18"/>
              <w:ind w:right="12"/>
              <w:jc w:val="center"/>
              <w:rPr>
                <w:sz w:val="20"/>
              </w:rPr>
            </w:pPr>
            <w:r>
              <w:rPr>
                <w:w w:val="99"/>
                <w:sz w:val="20"/>
              </w:rPr>
              <w:t>4</w:t>
            </w:r>
          </w:p>
        </w:tc>
      </w:tr>
      <w:tr>
        <w:trPr>
          <w:trHeight w:val="287" w:hRule="exact"/>
        </w:trPr>
        <w:tc>
          <w:tcPr>
            <w:tcW w:w="1050" w:type="dxa"/>
            <w:tcBorders>
              <w:top w:val="nil"/>
              <w:left w:val="nil"/>
              <w:bottom w:val="nil"/>
              <w:right w:val="nil"/>
            </w:tcBorders>
          </w:tcPr>
          <w:p>
            <w:pPr>
              <w:pStyle w:val="TableParagraph"/>
              <w:spacing w:before="17"/>
              <w:ind w:left="432" w:right="355"/>
              <w:jc w:val="center"/>
              <w:rPr>
                <w:sz w:val="20"/>
              </w:rPr>
            </w:pPr>
            <w:r>
              <w:rPr>
                <w:sz w:val="20"/>
              </w:rPr>
              <w:t>10</w:t>
            </w:r>
          </w:p>
        </w:tc>
        <w:tc>
          <w:tcPr>
            <w:tcW w:w="1046" w:type="dxa"/>
            <w:tcBorders>
              <w:top w:val="nil"/>
              <w:left w:val="nil"/>
              <w:bottom w:val="nil"/>
              <w:right w:val="nil"/>
            </w:tcBorders>
          </w:tcPr>
          <w:p>
            <w:pPr>
              <w:pStyle w:val="TableParagraph"/>
              <w:spacing w:before="17"/>
              <w:ind w:left="71"/>
              <w:jc w:val="center"/>
              <w:rPr>
                <w:sz w:val="20"/>
              </w:rPr>
            </w:pPr>
            <w:r>
              <w:rPr>
                <w:w w:val="99"/>
                <w:sz w:val="20"/>
              </w:rPr>
              <w:t>+</w:t>
            </w:r>
          </w:p>
        </w:tc>
        <w:tc>
          <w:tcPr>
            <w:tcW w:w="974" w:type="dxa"/>
            <w:tcBorders>
              <w:top w:val="nil"/>
              <w:left w:val="nil"/>
              <w:bottom w:val="nil"/>
              <w:right w:val="nil"/>
            </w:tcBorders>
          </w:tcPr>
          <w:p>
            <w:pPr>
              <w:pStyle w:val="TableParagraph"/>
              <w:spacing w:before="17"/>
              <w:ind w:left="37"/>
              <w:jc w:val="center"/>
              <w:rPr>
                <w:sz w:val="20"/>
              </w:rPr>
            </w:pPr>
            <w:r>
              <w:rPr>
                <w:w w:val="99"/>
                <w:sz w:val="20"/>
              </w:rPr>
              <w:t>-</w:t>
            </w:r>
          </w:p>
        </w:tc>
        <w:tc>
          <w:tcPr>
            <w:tcW w:w="915" w:type="dxa"/>
            <w:tcBorders>
              <w:top w:val="nil"/>
              <w:left w:val="nil"/>
              <w:bottom w:val="nil"/>
              <w:right w:val="nil"/>
            </w:tcBorders>
          </w:tcPr>
          <w:p>
            <w:pPr>
              <w:pStyle w:val="TableParagraph"/>
              <w:spacing w:before="17"/>
              <w:ind w:left="288" w:right="295"/>
              <w:jc w:val="center"/>
              <w:rPr>
                <w:sz w:val="20"/>
              </w:rPr>
            </w:pPr>
            <w:r>
              <w:rPr>
                <w:sz w:val="20"/>
              </w:rPr>
              <w:t>a/b</w:t>
            </w:r>
          </w:p>
        </w:tc>
        <w:tc>
          <w:tcPr>
            <w:tcW w:w="967" w:type="dxa"/>
            <w:tcBorders>
              <w:top w:val="nil"/>
              <w:left w:val="nil"/>
              <w:bottom w:val="nil"/>
              <w:right w:val="nil"/>
            </w:tcBorders>
          </w:tcPr>
          <w:p>
            <w:pPr>
              <w:pStyle w:val="TableParagraph"/>
              <w:spacing w:before="17"/>
              <w:ind w:left="308" w:right="351"/>
              <w:jc w:val="center"/>
              <w:rPr>
                <w:sz w:val="20"/>
              </w:rPr>
            </w:pPr>
            <w:r>
              <w:rPr>
                <w:sz w:val="20"/>
              </w:rPr>
              <w:t>a/c</w:t>
            </w:r>
          </w:p>
        </w:tc>
        <w:tc>
          <w:tcPr>
            <w:tcW w:w="984" w:type="dxa"/>
            <w:tcBorders>
              <w:top w:val="nil"/>
              <w:left w:val="nil"/>
              <w:bottom w:val="nil"/>
              <w:right w:val="nil"/>
            </w:tcBorders>
          </w:tcPr>
          <w:p>
            <w:pPr>
              <w:pStyle w:val="TableParagraph"/>
              <w:spacing w:before="17"/>
              <w:ind w:left="354" w:right="366"/>
              <w:jc w:val="center"/>
              <w:rPr>
                <w:sz w:val="20"/>
              </w:rPr>
            </w:pPr>
            <w:r>
              <w:rPr>
                <w:sz w:val="20"/>
              </w:rPr>
              <w:t>10</w:t>
            </w:r>
          </w:p>
        </w:tc>
      </w:tr>
      <w:tr>
        <w:trPr>
          <w:trHeight w:val="287" w:hRule="exact"/>
        </w:trPr>
        <w:tc>
          <w:tcPr>
            <w:tcW w:w="1050" w:type="dxa"/>
            <w:tcBorders>
              <w:top w:val="nil"/>
              <w:left w:val="nil"/>
              <w:bottom w:val="nil"/>
              <w:right w:val="nil"/>
            </w:tcBorders>
          </w:tcPr>
          <w:p>
            <w:pPr>
              <w:pStyle w:val="TableParagraph"/>
              <w:spacing w:before="18"/>
              <w:ind w:left="432" w:right="355"/>
              <w:jc w:val="center"/>
              <w:rPr>
                <w:sz w:val="20"/>
              </w:rPr>
            </w:pPr>
            <w:r>
              <w:rPr>
                <w:sz w:val="20"/>
              </w:rPr>
              <w:t>11</w:t>
            </w:r>
          </w:p>
        </w:tc>
        <w:tc>
          <w:tcPr>
            <w:tcW w:w="1046" w:type="dxa"/>
            <w:tcBorders>
              <w:top w:val="nil"/>
              <w:left w:val="nil"/>
              <w:bottom w:val="nil"/>
              <w:right w:val="nil"/>
            </w:tcBorders>
          </w:tcPr>
          <w:p>
            <w:pPr>
              <w:pStyle w:val="TableParagraph"/>
              <w:spacing w:before="18"/>
              <w:ind w:left="71"/>
              <w:jc w:val="center"/>
              <w:rPr>
                <w:sz w:val="20"/>
              </w:rPr>
            </w:pPr>
            <w:r>
              <w:rPr>
                <w:w w:val="99"/>
                <w:sz w:val="20"/>
              </w:rPr>
              <w:t>+</w:t>
            </w:r>
          </w:p>
        </w:tc>
        <w:tc>
          <w:tcPr>
            <w:tcW w:w="974" w:type="dxa"/>
            <w:tcBorders>
              <w:top w:val="nil"/>
              <w:left w:val="nil"/>
              <w:bottom w:val="nil"/>
              <w:right w:val="nil"/>
            </w:tcBorders>
          </w:tcPr>
          <w:p>
            <w:pPr>
              <w:pStyle w:val="TableParagraph"/>
              <w:spacing w:before="18"/>
              <w:ind w:left="37"/>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a/b</w:t>
            </w:r>
          </w:p>
        </w:tc>
        <w:tc>
          <w:tcPr>
            <w:tcW w:w="967" w:type="dxa"/>
            <w:tcBorders>
              <w:top w:val="nil"/>
              <w:left w:val="nil"/>
              <w:bottom w:val="nil"/>
              <w:right w:val="nil"/>
            </w:tcBorders>
          </w:tcPr>
          <w:p>
            <w:pPr>
              <w:pStyle w:val="TableParagraph"/>
              <w:spacing w:before="18"/>
              <w:ind w:left="308" w:right="351"/>
              <w:jc w:val="center"/>
              <w:rPr>
                <w:sz w:val="20"/>
              </w:rPr>
            </w:pPr>
            <w:r>
              <w:rPr>
                <w:sz w:val="20"/>
              </w:rPr>
              <w:t>a/c</w:t>
            </w:r>
          </w:p>
        </w:tc>
        <w:tc>
          <w:tcPr>
            <w:tcW w:w="984" w:type="dxa"/>
            <w:tcBorders>
              <w:top w:val="nil"/>
              <w:left w:val="nil"/>
              <w:bottom w:val="nil"/>
              <w:right w:val="nil"/>
            </w:tcBorders>
          </w:tcPr>
          <w:p>
            <w:pPr>
              <w:pStyle w:val="TableParagraph"/>
              <w:spacing w:before="18"/>
              <w:ind w:left="354" w:right="366"/>
              <w:jc w:val="center"/>
              <w:rPr>
                <w:sz w:val="20"/>
              </w:rPr>
            </w:pPr>
            <w:r>
              <w:rPr>
                <w:sz w:val="20"/>
              </w:rPr>
              <w:t>14</w:t>
            </w:r>
          </w:p>
        </w:tc>
      </w:tr>
      <w:tr>
        <w:trPr>
          <w:trHeight w:val="287" w:hRule="exact"/>
        </w:trPr>
        <w:tc>
          <w:tcPr>
            <w:tcW w:w="1050" w:type="dxa"/>
            <w:tcBorders>
              <w:top w:val="nil"/>
              <w:left w:val="nil"/>
              <w:bottom w:val="nil"/>
              <w:right w:val="nil"/>
            </w:tcBorders>
          </w:tcPr>
          <w:p>
            <w:pPr>
              <w:pStyle w:val="TableParagraph"/>
              <w:spacing w:before="17"/>
              <w:ind w:left="432" w:right="355"/>
              <w:jc w:val="center"/>
              <w:rPr>
                <w:sz w:val="20"/>
              </w:rPr>
            </w:pPr>
            <w:r>
              <w:rPr>
                <w:sz w:val="20"/>
              </w:rPr>
              <w:t>12</w:t>
            </w:r>
          </w:p>
        </w:tc>
        <w:tc>
          <w:tcPr>
            <w:tcW w:w="1046" w:type="dxa"/>
            <w:tcBorders>
              <w:top w:val="nil"/>
              <w:left w:val="nil"/>
              <w:bottom w:val="nil"/>
              <w:right w:val="nil"/>
            </w:tcBorders>
          </w:tcPr>
          <w:p>
            <w:pPr>
              <w:pStyle w:val="TableParagraph"/>
              <w:spacing w:before="17"/>
              <w:ind w:left="69"/>
              <w:jc w:val="center"/>
              <w:rPr>
                <w:sz w:val="20"/>
              </w:rPr>
            </w:pPr>
            <w:r>
              <w:rPr>
                <w:w w:val="99"/>
                <w:sz w:val="20"/>
              </w:rPr>
              <w:t>-</w:t>
            </w:r>
          </w:p>
        </w:tc>
        <w:tc>
          <w:tcPr>
            <w:tcW w:w="974" w:type="dxa"/>
            <w:tcBorders>
              <w:top w:val="nil"/>
              <w:left w:val="nil"/>
              <w:bottom w:val="nil"/>
              <w:right w:val="nil"/>
            </w:tcBorders>
          </w:tcPr>
          <w:p>
            <w:pPr>
              <w:pStyle w:val="TableParagraph"/>
              <w:spacing w:before="17"/>
              <w:ind w:left="37"/>
              <w:jc w:val="center"/>
              <w:rPr>
                <w:sz w:val="20"/>
              </w:rPr>
            </w:pPr>
            <w:r>
              <w:rPr>
                <w:w w:val="99"/>
                <w:sz w:val="20"/>
              </w:rPr>
              <w:t>-</w:t>
            </w:r>
          </w:p>
        </w:tc>
        <w:tc>
          <w:tcPr>
            <w:tcW w:w="915" w:type="dxa"/>
            <w:tcBorders>
              <w:top w:val="nil"/>
              <w:left w:val="nil"/>
              <w:bottom w:val="nil"/>
              <w:right w:val="nil"/>
            </w:tcBorders>
          </w:tcPr>
          <w:p>
            <w:pPr>
              <w:pStyle w:val="TableParagraph"/>
              <w:spacing w:before="17"/>
              <w:ind w:left="288" w:right="295"/>
              <w:jc w:val="center"/>
              <w:rPr>
                <w:sz w:val="20"/>
              </w:rPr>
            </w:pPr>
            <w:r>
              <w:rPr>
                <w:sz w:val="20"/>
              </w:rPr>
              <w:t>a/b</w:t>
            </w:r>
          </w:p>
        </w:tc>
        <w:tc>
          <w:tcPr>
            <w:tcW w:w="967" w:type="dxa"/>
            <w:tcBorders>
              <w:top w:val="nil"/>
              <w:left w:val="nil"/>
              <w:bottom w:val="nil"/>
              <w:right w:val="nil"/>
            </w:tcBorders>
          </w:tcPr>
          <w:p>
            <w:pPr>
              <w:pStyle w:val="TableParagraph"/>
              <w:spacing w:before="17"/>
              <w:ind w:left="308" w:right="351"/>
              <w:jc w:val="center"/>
              <w:rPr>
                <w:sz w:val="20"/>
              </w:rPr>
            </w:pPr>
            <w:r>
              <w:rPr>
                <w:sz w:val="20"/>
              </w:rPr>
              <w:t>a/c</w:t>
            </w:r>
          </w:p>
        </w:tc>
        <w:tc>
          <w:tcPr>
            <w:tcW w:w="984" w:type="dxa"/>
            <w:tcBorders>
              <w:top w:val="nil"/>
              <w:left w:val="nil"/>
              <w:bottom w:val="nil"/>
              <w:right w:val="nil"/>
            </w:tcBorders>
          </w:tcPr>
          <w:p>
            <w:pPr>
              <w:pStyle w:val="TableParagraph"/>
              <w:spacing w:before="17"/>
              <w:ind w:left="354" w:right="366"/>
              <w:jc w:val="center"/>
              <w:rPr>
                <w:sz w:val="20"/>
              </w:rPr>
            </w:pPr>
            <w:r>
              <w:rPr>
                <w:sz w:val="20"/>
              </w:rPr>
              <w:t>17</w:t>
            </w:r>
          </w:p>
        </w:tc>
      </w:tr>
      <w:tr>
        <w:trPr>
          <w:trHeight w:val="288" w:hRule="exact"/>
        </w:trPr>
        <w:tc>
          <w:tcPr>
            <w:tcW w:w="1050" w:type="dxa"/>
            <w:tcBorders>
              <w:top w:val="nil"/>
              <w:left w:val="nil"/>
              <w:bottom w:val="nil"/>
              <w:right w:val="nil"/>
            </w:tcBorders>
          </w:tcPr>
          <w:p>
            <w:pPr>
              <w:pStyle w:val="TableParagraph"/>
              <w:spacing w:before="18"/>
              <w:ind w:left="432" w:right="355"/>
              <w:jc w:val="center"/>
              <w:rPr>
                <w:sz w:val="20"/>
              </w:rPr>
            </w:pPr>
            <w:r>
              <w:rPr>
                <w:sz w:val="20"/>
              </w:rPr>
              <w:t>13</w:t>
            </w:r>
          </w:p>
        </w:tc>
        <w:tc>
          <w:tcPr>
            <w:tcW w:w="1046" w:type="dxa"/>
            <w:tcBorders>
              <w:top w:val="nil"/>
              <w:left w:val="nil"/>
              <w:bottom w:val="nil"/>
              <w:right w:val="nil"/>
            </w:tcBorders>
          </w:tcPr>
          <w:p>
            <w:pPr>
              <w:pStyle w:val="TableParagraph"/>
              <w:spacing w:before="18"/>
              <w:ind w:left="71"/>
              <w:jc w:val="center"/>
              <w:rPr>
                <w:sz w:val="20"/>
              </w:rPr>
            </w:pPr>
            <w:r>
              <w:rPr>
                <w:w w:val="99"/>
                <w:sz w:val="20"/>
              </w:rPr>
              <w:t>+</w:t>
            </w:r>
          </w:p>
        </w:tc>
        <w:tc>
          <w:tcPr>
            <w:tcW w:w="974" w:type="dxa"/>
            <w:tcBorders>
              <w:top w:val="nil"/>
              <w:left w:val="nil"/>
              <w:bottom w:val="nil"/>
              <w:right w:val="nil"/>
            </w:tcBorders>
          </w:tcPr>
          <w:p>
            <w:pPr>
              <w:pStyle w:val="TableParagraph"/>
              <w:spacing w:before="18"/>
              <w:ind w:left="37"/>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a/b</w:t>
            </w:r>
          </w:p>
        </w:tc>
        <w:tc>
          <w:tcPr>
            <w:tcW w:w="967" w:type="dxa"/>
            <w:tcBorders>
              <w:top w:val="nil"/>
              <w:left w:val="nil"/>
              <w:bottom w:val="nil"/>
              <w:right w:val="nil"/>
            </w:tcBorders>
          </w:tcPr>
          <w:p>
            <w:pPr>
              <w:pStyle w:val="TableParagraph"/>
              <w:spacing w:before="18"/>
              <w:ind w:left="321" w:right="-197"/>
              <w:rPr>
                <w:sz w:val="20"/>
              </w:rPr>
            </w:pPr>
            <w:r>
              <w:rPr>
                <w:sz w:val="20"/>
              </w:rPr>
              <w:t>a/a</w:t>
            </w:r>
          </w:p>
        </w:tc>
        <w:tc>
          <w:tcPr>
            <w:tcW w:w="984" w:type="dxa"/>
            <w:tcBorders>
              <w:top w:val="nil"/>
              <w:left w:val="nil"/>
              <w:bottom w:val="nil"/>
              <w:right w:val="nil"/>
            </w:tcBorders>
          </w:tcPr>
          <w:p>
            <w:pPr>
              <w:pStyle w:val="TableParagraph"/>
              <w:spacing w:before="18"/>
              <w:ind w:right="12"/>
              <w:jc w:val="center"/>
              <w:rPr>
                <w:sz w:val="20"/>
              </w:rPr>
            </w:pPr>
            <w:r>
              <w:rPr>
                <w:w w:val="99"/>
                <w:sz w:val="20"/>
              </w:rPr>
              <w:t>8</w:t>
            </w:r>
          </w:p>
        </w:tc>
      </w:tr>
      <w:tr>
        <w:trPr>
          <w:trHeight w:val="287" w:hRule="exact"/>
        </w:trPr>
        <w:tc>
          <w:tcPr>
            <w:tcW w:w="1050" w:type="dxa"/>
            <w:tcBorders>
              <w:top w:val="nil"/>
              <w:left w:val="nil"/>
              <w:bottom w:val="nil"/>
              <w:right w:val="nil"/>
            </w:tcBorders>
          </w:tcPr>
          <w:p>
            <w:pPr>
              <w:pStyle w:val="TableParagraph"/>
              <w:spacing w:before="18"/>
              <w:ind w:left="432" w:right="355"/>
              <w:jc w:val="center"/>
              <w:rPr>
                <w:sz w:val="20"/>
              </w:rPr>
            </w:pPr>
            <w:r>
              <w:rPr>
                <w:sz w:val="20"/>
              </w:rPr>
              <w:t>14</w:t>
            </w:r>
          </w:p>
        </w:tc>
        <w:tc>
          <w:tcPr>
            <w:tcW w:w="1046" w:type="dxa"/>
            <w:tcBorders>
              <w:top w:val="nil"/>
              <w:left w:val="nil"/>
              <w:bottom w:val="nil"/>
              <w:right w:val="nil"/>
            </w:tcBorders>
          </w:tcPr>
          <w:p>
            <w:pPr>
              <w:pStyle w:val="TableParagraph"/>
              <w:spacing w:before="18"/>
              <w:ind w:left="71"/>
              <w:jc w:val="center"/>
              <w:rPr>
                <w:sz w:val="20"/>
              </w:rPr>
            </w:pPr>
            <w:r>
              <w:rPr>
                <w:w w:val="99"/>
                <w:sz w:val="20"/>
              </w:rPr>
              <w:t>+</w:t>
            </w:r>
          </w:p>
        </w:tc>
        <w:tc>
          <w:tcPr>
            <w:tcW w:w="974" w:type="dxa"/>
            <w:tcBorders>
              <w:top w:val="nil"/>
              <w:left w:val="nil"/>
              <w:bottom w:val="nil"/>
              <w:right w:val="nil"/>
            </w:tcBorders>
          </w:tcPr>
          <w:p>
            <w:pPr>
              <w:pStyle w:val="TableParagraph"/>
              <w:spacing w:before="18"/>
              <w:ind w:left="39"/>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a/b</w:t>
            </w:r>
          </w:p>
        </w:tc>
        <w:tc>
          <w:tcPr>
            <w:tcW w:w="967" w:type="dxa"/>
            <w:tcBorders>
              <w:top w:val="nil"/>
              <w:left w:val="nil"/>
              <w:bottom w:val="nil"/>
              <w:right w:val="nil"/>
            </w:tcBorders>
          </w:tcPr>
          <w:p>
            <w:pPr>
              <w:pStyle w:val="TableParagraph"/>
              <w:spacing w:before="18"/>
              <w:ind w:left="321" w:right="-197"/>
              <w:rPr>
                <w:sz w:val="20"/>
              </w:rPr>
            </w:pPr>
            <w:r>
              <w:rPr>
                <w:sz w:val="20"/>
              </w:rPr>
              <w:t>a/a</w:t>
            </w:r>
          </w:p>
        </w:tc>
        <w:tc>
          <w:tcPr>
            <w:tcW w:w="984" w:type="dxa"/>
            <w:tcBorders>
              <w:top w:val="nil"/>
              <w:left w:val="nil"/>
              <w:bottom w:val="nil"/>
              <w:right w:val="nil"/>
            </w:tcBorders>
          </w:tcPr>
          <w:p>
            <w:pPr>
              <w:pStyle w:val="TableParagraph"/>
              <w:spacing w:before="18"/>
              <w:ind w:right="12"/>
              <w:jc w:val="center"/>
              <w:rPr>
                <w:sz w:val="20"/>
              </w:rPr>
            </w:pPr>
            <w:r>
              <w:rPr>
                <w:w w:val="99"/>
                <w:sz w:val="20"/>
              </w:rPr>
              <w:t>1</w:t>
            </w:r>
          </w:p>
        </w:tc>
      </w:tr>
      <w:tr>
        <w:trPr>
          <w:trHeight w:val="287" w:hRule="exact"/>
        </w:trPr>
        <w:tc>
          <w:tcPr>
            <w:tcW w:w="1050" w:type="dxa"/>
            <w:tcBorders>
              <w:top w:val="nil"/>
              <w:left w:val="nil"/>
              <w:bottom w:val="nil"/>
              <w:right w:val="nil"/>
            </w:tcBorders>
          </w:tcPr>
          <w:p>
            <w:pPr>
              <w:pStyle w:val="TableParagraph"/>
              <w:spacing w:before="17"/>
              <w:ind w:left="432" w:right="355"/>
              <w:jc w:val="center"/>
              <w:rPr>
                <w:sz w:val="20"/>
              </w:rPr>
            </w:pPr>
            <w:r>
              <w:rPr>
                <w:sz w:val="20"/>
              </w:rPr>
              <w:t>15</w:t>
            </w:r>
          </w:p>
        </w:tc>
        <w:tc>
          <w:tcPr>
            <w:tcW w:w="1046" w:type="dxa"/>
            <w:tcBorders>
              <w:top w:val="nil"/>
              <w:left w:val="nil"/>
              <w:bottom w:val="nil"/>
              <w:right w:val="nil"/>
            </w:tcBorders>
          </w:tcPr>
          <w:p>
            <w:pPr>
              <w:pStyle w:val="TableParagraph"/>
              <w:spacing w:before="17"/>
              <w:ind w:left="71"/>
              <w:jc w:val="center"/>
              <w:rPr>
                <w:sz w:val="20"/>
              </w:rPr>
            </w:pPr>
            <w:r>
              <w:rPr>
                <w:w w:val="99"/>
                <w:sz w:val="20"/>
              </w:rPr>
              <w:t>+</w:t>
            </w:r>
          </w:p>
        </w:tc>
        <w:tc>
          <w:tcPr>
            <w:tcW w:w="974" w:type="dxa"/>
            <w:tcBorders>
              <w:top w:val="nil"/>
              <w:left w:val="nil"/>
              <w:bottom w:val="nil"/>
              <w:right w:val="nil"/>
            </w:tcBorders>
          </w:tcPr>
          <w:p>
            <w:pPr>
              <w:pStyle w:val="TableParagraph"/>
              <w:spacing w:before="17"/>
              <w:ind w:left="37"/>
              <w:jc w:val="center"/>
              <w:rPr>
                <w:sz w:val="20"/>
              </w:rPr>
            </w:pPr>
            <w:r>
              <w:rPr>
                <w:w w:val="99"/>
                <w:sz w:val="20"/>
              </w:rPr>
              <w:t>-</w:t>
            </w:r>
          </w:p>
        </w:tc>
        <w:tc>
          <w:tcPr>
            <w:tcW w:w="915" w:type="dxa"/>
            <w:tcBorders>
              <w:top w:val="nil"/>
              <w:left w:val="nil"/>
              <w:bottom w:val="nil"/>
              <w:right w:val="nil"/>
            </w:tcBorders>
          </w:tcPr>
          <w:p>
            <w:pPr>
              <w:pStyle w:val="TableParagraph"/>
              <w:spacing w:before="17"/>
              <w:ind w:left="288" w:right="295"/>
              <w:jc w:val="center"/>
              <w:rPr>
                <w:sz w:val="20"/>
              </w:rPr>
            </w:pPr>
            <w:r>
              <w:rPr>
                <w:sz w:val="20"/>
              </w:rPr>
              <w:t>a/b</w:t>
            </w:r>
          </w:p>
        </w:tc>
        <w:tc>
          <w:tcPr>
            <w:tcW w:w="967" w:type="dxa"/>
            <w:tcBorders>
              <w:top w:val="nil"/>
              <w:left w:val="nil"/>
              <w:bottom w:val="nil"/>
              <w:right w:val="nil"/>
            </w:tcBorders>
          </w:tcPr>
          <w:p>
            <w:pPr>
              <w:pStyle w:val="TableParagraph"/>
              <w:spacing w:before="17"/>
              <w:ind w:left="308" w:right="351"/>
              <w:jc w:val="center"/>
              <w:rPr>
                <w:sz w:val="20"/>
              </w:rPr>
            </w:pPr>
            <w:r>
              <w:rPr>
                <w:sz w:val="20"/>
              </w:rPr>
              <w:t>a/c</w:t>
            </w:r>
          </w:p>
        </w:tc>
        <w:tc>
          <w:tcPr>
            <w:tcW w:w="984" w:type="dxa"/>
            <w:tcBorders>
              <w:top w:val="nil"/>
              <w:left w:val="nil"/>
              <w:bottom w:val="nil"/>
              <w:right w:val="nil"/>
            </w:tcBorders>
          </w:tcPr>
          <w:p>
            <w:pPr>
              <w:pStyle w:val="TableParagraph"/>
              <w:spacing w:before="17"/>
              <w:ind w:right="12"/>
              <w:jc w:val="center"/>
              <w:rPr>
                <w:sz w:val="20"/>
              </w:rPr>
            </w:pPr>
            <w:r>
              <w:rPr>
                <w:w w:val="99"/>
                <w:sz w:val="20"/>
              </w:rPr>
              <w:t>8</w:t>
            </w:r>
          </w:p>
        </w:tc>
      </w:tr>
      <w:tr>
        <w:trPr>
          <w:trHeight w:val="287" w:hRule="exact"/>
        </w:trPr>
        <w:tc>
          <w:tcPr>
            <w:tcW w:w="1050" w:type="dxa"/>
            <w:tcBorders>
              <w:top w:val="nil"/>
              <w:left w:val="nil"/>
              <w:bottom w:val="nil"/>
              <w:right w:val="nil"/>
            </w:tcBorders>
          </w:tcPr>
          <w:p>
            <w:pPr>
              <w:pStyle w:val="TableParagraph"/>
              <w:spacing w:before="18"/>
              <w:ind w:left="432" w:right="355"/>
              <w:jc w:val="center"/>
              <w:rPr>
                <w:sz w:val="20"/>
              </w:rPr>
            </w:pPr>
            <w:r>
              <w:rPr>
                <w:sz w:val="20"/>
              </w:rPr>
              <w:t>16</w:t>
            </w:r>
          </w:p>
        </w:tc>
        <w:tc>
          <w:tcPr>
            <w:tcW w:w="1046" w:type="dxa"/>
            <w:tcBorders>
              <w:top w:val="nil"/>
              <w:left w:val="nil"/>
              <w:bottom w:val="nil"/>
              <w:right w:val="nil"/>
            </w:tcBorders>
          </w:tcPr>
          <w:p>
            <w:pPr>
              <w:pStyle w:val="TableParagraph"/>
              <w:spacing w:before="18"/>
              <w:ind w:left="69"/>
              <w:jc w:val="center"/>
              <w:rPr>
                <w:sz w:val="20"/>
              </w:rPr>
            </w:pPr>
            <w:r>
              <w:rPr>
                <w:w w:val="99"/>
                <w:sz w:val="20"/>
              </w:rPr>
              <w:t>-</w:t>
            </w:r>
          </w:p>
        </w:tc>
        <w:tc>
          <w:tcPr>
            <w:tcW w:w="974" w:type="dxa"/>
            <w:tcBorders>
              <w:top w:val="nil"/>
              <w:left w:val="nil"/>
              <w:bottom w:val="nil"/>
              <w:right w:val="nil"/>
            </w:tcBorders>
          </w:tcPr>
          <w:p>
            <w:pPr>
              <w:pStyle w:val="TableParagraph"/>
              <w:spacing w:before="18"/>
              <w:ind w:left="37"/>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a/b</w:t>
            </w:r>
          </w:p>
        </w:tc>
        <w:tc>
          <w:tcPr>
            <w:tcW w:w="967" w:type="dxa"/>
            <w:tcBorders>
              <w:top w:val="nil"/>
              <w:left w:val="nil"/>
              <w:bottom w:val="nil"/>
              <w:right w:val="nil"/>
            </w:tcBorders>
          </w:tcPr>
          <w:p>
            <w:pPr>
              <w:pStyle w:val="TableParagraph"/>
              <w:spacing w:before="18"/>
              <w:ind w:left="321" w:right="-197"/>
              <w:rPr>
                <w:sz w:val="20"/>
              </w:rPr>
            </w:pPr>
            <w:r>
              <w:rPr>
                <w:sz w:val="20"/>
              </w:rPr>
              <w:t>a/a</w:t>
            </w:r>
          </w:p>
        </w:tc>
        <w:tc>
          <w:tcPr>
            <w:tcW w:w="984" w:type="dxa"/>
            <w:tcBorders>
              <w:top w:val="nil"/>
              <w:left w:val="nil"/>
              <w:bottom w:val="nil"/>
              <w:right w:val="nil"/>
            </w:tcBorders>
          </w:tcPr>
          <w:p>
            <w:pPr>
              <w:pStyle w:val="TableParagraph"/>
              <w:spacing w:before="18"/>
              <w:ind w:left="354" w:right="366"/>
              <w:jc w:val="center"/>
              <w:rPr>
                <w:sz w:val="20"/>
              </w:rPr>
            </w:pPr>
            <w:r>
              <w:rPr>
                <w:sz w:val="20"/>
              </w:rPr>
              <w:t>12</w:t>
            </w:r>
          </w:p>
        </w:tc>
      </w:tr>
      <w:tr>
        <w:trPr>
          <w:trHeight w:val="287" w:hRule="exact"/>
        </w:trPr>
        <w:tc>
          <w:tcPr>
            <w:tcW w:w="1050" w:type="dxa"/>
            <w:tcBorders>
              <w:top w:val="nil"/>
              <w:left w:val="nil"/>
              <w:bottom w:val="nil"/>
              <w:right w:val="nil"/>
            </w:tcBorders>
          </w:tcPr>
          <w:p>
            <w:pPr>
              <w:pStyle w:val="TableParagraph"/>
              <w:spacing w:before="17"/>
              <w:ind w:left="432" w:right="355"/>
              <w:jc w:val="center"/>
              <w:rPr>
                <w:sz w:val="20"/>
              </w:rPr>
            </w:pPr>
            <w:r>
              <w:rPr>
                <w:sz w:val="20"/>
              </w:rPr>
              <w:t>17</w:t>
            </w:r>
          </w:p>
        </w:tc>
        <w:tc>
          <w:tcPr>
            <w:tcW w:w="1046" w:type="dxa"/>
            <w:tcBorders>
              <w:top w:val="nil"/>
              <w:left w:val="nil"/>
              <w:bottom w:val="nil"/>
              <w:right w:val="nil"/>
            </w:tcBorders>
          </w:tcPr>
          <w:p>
            <w:pPr>
              <w:pStyle w:val="TableParagraph"/>
              <w:spacing w:before="17"/>
              <w:ind w:left="69"/>
              <w:jc w:val="center"/>
              <w:rPr>
                <w:sz w:val="20"/>
              </w:rPr>
            </w:pPr>
            <w:r>
              <w:rPr>
                <w:w w:val="99"/>
                <w:sz w:val="20"/>
              </w:rPr>
              <w:t>-</w:t>
            </w:r>
          </w:p>
        </w:tc>
        <w:tc>
          <w:tcPr>
            <w:tcW w:w="974" w:type="dxa"/>
            <w:tcBorders>
              <w:top w:val="nil"/>
              <w:left w:val="nil"/>
              <w:bottom w:val="nil"/>
              <w:right w:val="nil"/>
            </w:tcBorders>
          </w:tcPr>
          <w:p>
            <w:pPr>
              <w:pStyle w:val="TableParagraph"/>
              <w:spacing w:before="17"/>
              <w:ind w:left="37"/>
              <w:jc w:val="center"/>
              <w:rPr>
                <w:sz w:val="20"/>
              </w:rPr>
            </w:pPr>
            <w:r>
              <w:rPr>
                <w:w w:val="99"/>
                <w:sz w:val="20"/>
              </w:rPr>
              <w:t>-</w:t>
            </w:r>
          </w:p>
        </w:tc>
        <w:tc>
          <w:tcPr>
            <w:tcW w:w="915" w:type="dxa"/>
            <w:tcBorders>
              <w:top w:val="nil"/>
              <w:left w:val="nil"/>
              <w:bottom w:val="nil"/>
              <w:right w:val="nil"/>
            </w:tcBorders>
          </w:tcPr>
          <w:p>
            <w:pPr>
              <w:pStyle w:val="TableParagraph"/>
              <w:spacing w:before="17"/>
              <w:ind w:left="288" w:right="295"/>
              <w:jc w:val="center"/>
              <w:rPr>
                <w:sz w:val="20"/>
              </w:rPr>
            </w:pPr>
            <w:r>
              <w:rPr>
                <w:sz w:val="20"/>
              </w:rPr>
              <w:t>a/b</w:t>
            </w:r>
          </w:p>
        </w:tc>
        <w:tc>
          <w:tcPr>
            <w:tcW w:w="967" w:type="dxa"/>
            <w:tcBorders>
              <w:top w:val="nil"/>
              <w:left w:val="nil"/>
              <w:bottom w:val="nil"/>
              <w:right w:val="nil"/>
            </w:tcBorders>
          </w:tcPr>
          <w:p>
            <w:pPr>
              <w:pStyle w:val="TableParagraph"/>
              <w:spacing w:before="17"/>
              <w:ind w:left="321" w:right="-197"/>
              <w:rPr>
                <w:sz w:val="20"/>
              </w:rPr>
            </w:pPr>
            <w:r>
              <w:rPr>
                <w:sz w:val="20"/>
              </w:rPr>
              <w:t>a/a</w:t>
            </w:r>
          </w:p>
        </w:tc>
        <w:tc>
          <w:tcPr>
            <w:tcW w:w="984" w:type="dxa"/>
            <w:tcBorders>
              <w:top w:val="nil"/>
              <w:left w:val="nil"/>
              <w:bottom w:val="nil"/>
              <w:right w:val="nil"/>
            </w:tcBorders>
          </w:tcPr>
          <w:p>
            <w:pPr>
              <w:pStyle w:val="TableParagraph"/>
              <w:spacing w:before="17"/>
              <w:ind w:right="12"/>
              <w:jc w:val="center"/>
              <w:rPr>
                <w:sz w:val="20"/>
              </w:rPr>
            </w:pPr>
            <w:r>
              <w:rPr>
                <w:w w:val="99"/>
                <w:sz w:val="20"/>
              </w:rPr>
              <w:t>8</w:t>
            </w:r>
          </w:p>
        </w:tc>
      </w:tr>
      <w:tr>
        <w:trPr>
          <w:trHeight w:val="288" w:hRule="exact"/>
        </w:trPr>
        <w:tc>
          <w:tcPr>
            <w:tcW w:w="1050" w:type="dxa"/>
            <w:tcBorders>
              <w:top w:val="nil"/>
              <w:left w:val="nil"/>
              <w:bottom w:val="nil"/>
              <w:right w:val="nil"/>
            </w:tcBorders>
          </w:tcPr>
          <w:p>
            <w:pPr>
              <w:pStyle w:val="TableParagraph"/>
              <w:spacing w:before="18"/>
              <w:ind w:left="432" w:right="355"/>
              <w:jc w:val="center"/>
              <w:rPr>
                <w:sz w:val="20"/>
              </w:rPr>
            </w:pPr>
            <w:r>
              <w:rPr>
                <w:sz w:val="20"/>
              </w:rPr>
              <w:t>18</w:t>
            </w:r>
          </w:p>
        </w:tc>
        <w:tc>
          <w:tcPr>
            <w:tcW w:w="1046" w:type="dxa"/>
            <w:tcBorders>
              <w:top w:val="nil"/>
              <w:left w:val="nil"/>
              <w:bottom w:val="nil"/>
              <w:right w:val="nil"/>
            </w:tcBorders>
          </w:tcPr>
          <w:p>
            <w:pPr>
              <w:pStyle w:val="TableParagraph"/>
              <w:spacing w:before="18"/>
              <w:ind w:left="69"/>
              <w:jc w:val="center"/>
              <w:rPr>
                <w:sz w:val="20"/>
              </w:rPr>
            </w:pPr>
            <w:r>
              <w:rPr>
                <w:w w:val="99"/>
                <w:sz w:val="20"/>
              </w:rPr>
              <w:t>-</w:t>
            </w:r>
          </w:p>
        </w:tc>
        <w:tc>
          <w:tcPr>
            <w:tcW w:w="974" w:type="dxa"/>
            <w:tcBorders>
              <w:top w:val="nil"/>
              <w:left w:val="nil"/>
              <w:bottom w:val="nil"/>
              <w:right w:val="nil"/>
            </w:tcBorders>
          </w:tcPr>
          <w:p>
            <w:pPr>
              <w:pStyle w:val="TableParagraph"/>
              <w:spacing w:before="18"/>
              <w:ind w:left="37"/>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b/b</w:t>
            </w:r>
          </w:p>
        </w:tc>
        <w:tc>
          <w:tcPr>
            <w:tcW w:w="967" w:type="dxa"/>
            <w:tcBorders>
              <w:top w:val="nil"/>
              <w:left w:val="nil"/>
              <w:bottom w:val="nil"/>
              <w:right w:val="nil"/>
            </w:tcBorders>
          </w:tcPr>
          <w:p>
            <w:pPr>
              <w:pStyle w:val="TableParagraph"/>
              <w:spacing w:before="18"/>
              <w:ind w:left="321" w:right="-197"/>
              <w:rPr>
                <w:sz w:val="20"/>
              </w:rPr>
            </w:pPr>
            <w:r>
              <w:rPr>
                <w:sz w:val="20"/>
              </w:rPr>
              <w:t>a/a</w:t>
            </w:r>
          </w:p>
        </w:tc>
        <w:tc>
          <w:tcPr>
            <w:tcW w:w="984" w:type="dxa"/>
            <w:tcBorders>
              <w:top w:val="nil"/>
              <w:left w:val="nil"/>
              <w:bottom w:val="nil"/>
              <w:right w:val="nil"/>
            </w:tcBorders>
          </w:tcPr>
          <w:p>
            <w:pPr>
              <w:pStyle w:val="TableParagraph"/>
              <w:spacing w:before="18"/>
              <w:ind w:right="12"/>
              <w:jc w:val="center"/>
              <w:rPr>
                <w:sz w:val="20"/>
              </w:rPr>
            </w:pPr>
            <w:r>
              <w:rPr>
                <w:w w:val="99"/>
                <w:sz w:val="20"/>
              </w:rPr>
              <w:t>7</w:t>
            </w:r>
          </w:p>
        </w:tc>
      </w:tr>
      <w:tr>
        <w:trPr>
          <w:trHeight w:val="287" w:hRule="exact"/>
        </w:trPr>
        <w:tc>
          <w:tcPr>
            <w:tcW w:w="1050" w:type="dxa"/>
            <w:tcBorders>
              <w:top w:val="nil"/>
              <w:left w:val="nil"/>
              <w:bottom w:val="nil"/>
              <w:right w:val="nil"/>
            </w:tcBorders>
          </w:tcPr>
          <w:p>
            <w:pPr>
              <w:pStyle w:val="TableParagraph"/>
              <w:spacing w:before="18"/>
              <w:ind w:left="432" w:right="355"/>
              <w:jc w:val="center"/>
              <w:rPr>
                <w:sz w:val="20"/>
              </w:rPr>
            </w:pPr>
            <w:r>
              <w:rPr>
                <w:sz w:val="20"/>
              </w:rPr>
              <w:t>19</w:t>
            </w:r>
          </w:p>
        </w:tc>
        <w:tc>
          <w:tcPr>
            <w:tcW w:w="1046" w:type="dxa"/>
            <w:tcBorders>
              <w:top w:val="nil"/>
              <w:left w:val="nil"/>
              <w:bottom w:val="nil"/>
              <w:right w:val="nil"/>
            </w:tcBorders>
          </w:tcPr>
          <w:p>
            <w:pPr>
              <w:pStyle w:val="TableParagraph"/>
              <w:spacing w:before="18"/>
              <w:ind w:left="69"/>
              <w:jc w:val="center"/>
              <w:rPr>
                <w:sz w:val="20"/>
              </w:rPr>
            </w:pPr>
            <w:r>
              <w:rPr>
                <w:w w:val="99"/>
                <w:sz w:val="20"/>
              </w:rPr>
              <w:t>-</w:t>
            </w:r>
          </w:p>
        </w:tc>
        <w:tc>
          <w:tcPr>
            <w:tcW w:w="974" w:type="dxa"/>
            <w:tcBorders>
              <w:top w:val="nil"/>
              <w:left w:val="nil"/>
              <w:bottom w:val="nil"/>
              <w:right w:val="nil"/>
            </w:tcBorders>
          </w:tcPr>
          <w:p>
            <w:pPr>
              <w:pStyle w:val="TableParagraph"/>
              <w:spacing w:before="18"/>
              <w:ind w:left="37"/>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a/b</w:t>
            </w:r>
          </w:p>
        </w:tc>
        <w:tc>
          <w:tcPr>
            <w:tcW w:w="967" w:type="dxa"/>
            <w:tcBorders>
              <w:top w:val="nil"/>
              <w:left w:val="nil"/>
              <w:bottom w:val="nil"/>
              <w:right w:val="nil"/>
            </w:tcBorders>
          </w:tcPr>
          <w:p>
            <w:pPr>
              <w:pStyle w:val="TableParagraph"/>
              <w:spacing w:before="18"/>
              <w:ind w:left="321" w:right="-197"/>
              <w:rPr>
                <w:sz w:val="20"/>
              </w:rPr>
            </w:pPr>
            <w:r>
              <w:rPr>
                <w:sz w:val="20"/>
              </w:rPr>
              <w:t>a/a</w:t>
            </w:r>
          </w:p>
        </w:tc>
        <w:tc>
          <w:tcPr>
            <w:tcW w:w="984" w:type="dxa"/>
            <w:tcBorders>
              <w:top w:val="nil"/>
              <w:left w:val="nil"/>
              <w:bottom w:val="nil"/>
              <w:right w:val="nil"/>
            </w:tcBorders>
          </w:tcPr>
          <w:p>
            <w:pPr>
              <w:pStyle w:val="TableParagraph"/>
              <w:spacing w:before="18"/>
              <w:ind w:left="354" w:right="366"/>
              <w:jc w:val="center"/>
              <w:rPr>
                <w:sz w:val="20"/>
              </w:rPr>
            </w:pPr>
            <w:r>
              <w:rPr>
                <w:sz w:val="20"/>
              </w:rPr>
              <w:t>11</w:t>
            </w:r>
          </w:p>
        </w:tc>
      </w:tr>
      <w:tr>
        <w:trPr>
          <w:trHeight w:val="287" w:hRule="exact"/>
        </w:trPr>
        <w:tc>
          <w:tcPr>
            <w:tcW w:w="1050" w:type="dxa"/>
            <w:tcBorders>
              <w:top w:val="nil"/>
              <w:left w:val="nil"/>
              <w:bottom w:val="nil"/>
              <w:right w:val="nil"/>
            </w:tcBorders>
          </w:tcPr>
          <w:p>
            <w:pPr>
              <w:pStyle w:val="TableParagraph"/>
              <w:spacing w:before="17"/>
              <w:ind w:left="432" w:right="355"/>
              <w:jc w:val="center"/>
              <w:rPr>
                <w:sz w:val="20"/>
              </w:rPr>
            </w:pPr>
            <w:r>
              <w:rPr>
                <w:sz w:val="20"/>
              </w:rPr>
              <w:t>20</w:t>
            </w:r>
          </w:p>
        </w:tc>
        <w:tc>
          <w:tcPr>
            <w:tcW w:w="1046" w:type="dxa"/>
            <w:tcBorders>
              <w:top w:val="nil"/>
              <w:left w:val="nil"/>
              <w:bottom w:val="nil"/>
              <w:right w:val="nil"/>
            </w:tcBorders>
          </w:tcPr>
          <w:p>
            <w:pPr>
              <w:pStyle w:val="TableParagraph"/>
              <w:spacing w:before="17"/>
              <w:ind w:left="71"/>
              <w:jc w:val="center"/>
              <w:rPr>
                <w:sz w:val="20"/>
              </w:rPr>
            </w:pPr>
            <w:r>
              <w:rPr>
                <w:w w:val="99"/>
                <w:sz w:val="20"/>
              </w:rPr>
              <w:t>+</w:t>
            </w:r>
          </w:p>
        </w:tc>
        <w:tc>
          <w:tcPr>
            <w:tcW w:w="974" w:type="dxa"/>
            <w:tcBorders>
              <w:top w:val="nil"/>
              <w:left w:val="nil"/>
              <w:bottom w:val="nil"/>
              <w:right w:val="nil"/>
            </w:tcBorders>
          </w:tcPr>
          <w:p>
            <w:pPr>
              <w:pStyle w:val="TableParagraph"/>
              <w:spacing w:before="17"/>
              <w:ind w:left="37"/>
              <w:jc w:val="center"/>
              <w:rPr>
                <w:sz w:val="20"/>
              </w:rPr>
            </w:pPr>
            <w:r>
              <w:rPr>
                <w:w w:val="99"/>
                <w:sz w:val="20"/>
              </w:rPr>
              <w:t>-</w:t>
            </w:r>
          </w:p>
        </w:tc>
        <w:tc>
          <w:tcPr>
            <w:tcW w:w="915" w:type="dxa"/>
            <w:tcBorders>
              <w:top w:val="nil"/>
              <w:left w:val="nil"/>
              <w:bottom w:val="nil"/>
              <w:right w:val="nil"/>
            </w:tcBorders>
          </w:tcPr>
          <w:p>
            <w:pPr>
              <w:pStyle w:val="TableParagraph"/>
              <w:spacing w:before="17"/>
              <w:ind w:left="288" w:right="295"/>
              <w:jc w:val="center"/>
              <w:rPr>
                <w:sz w:val="20"/>
              </w:rPr>
            </w:pPr>
            <w:r>
              <w:rPr>
                <w:sz w:val="20"/>
              </w:rPr>
              <w:t>a/b</w:t>
            </w:r>
          </w:p>
        </w:tc>
        <w:tc>
          <w:tcPr>
            <w:tcW w:w="967" w:type="dxa"/>
            <w:tcBorders>
              <w:top w:val="nil"/>
              <w:left w:val="nil"/>
              <w:bottom w:val="nil"/>
              <w:right w:val="nil"/>
            </w:tcBorders>
          </w:tcPr>
          <w:p>
            <w:pPr>
              <w:pStyle w:val="TableParagraph"/>
              <w:spacing w:before="17"/>
              <w:ind w:left="308" w:right="351"/>
              <w:jc w:val="center"/>
              <w:rPr>
                <w:sz w:val="20"/>
              </w:rPr>
            </w:pPr>
            <w:r>
              <w:rPr>
                <w:sz w:val="20"/>
              </w:rPr>
              <w:t>a/c</w:t>
            </w:r>
          </w:p>
        </w:tc>
        <w:tc>
          <w:tcPr>
            <w:tcW w:w="984" w:type="dxa"/>
            <w:tcBorders>
              <w:top w:val="nil"/>
              <w:left w:val="nil"/>
              <w:bottom w:val="nil"/>
              <w:right w:val="nil"/>
            </w:tcBorders>
          </w:tcPr>
          <w:p>
            <w:pPr>
              <w:pStyle w:val="TableParagraph"/>
              <w:spacing w:before="17"/>
              <w:ind w:left="354" w:right="366"/>
              <w:jc w:val="center"/>
              <w:rPr>
                <w:sz w:val="20"/>
              </w:rPr>
            </w:pPr>
            <w:r>
              <w:rPr>
                <w:sz w:val="20"/>
              </w:rPr>
              <w:t>11</w:t>
            </w:r>
          </w:p>
        </w:tc>
      </w:tr>
      <w:tr>
        <w:trPr>
          <w:trHeight w:val="287" w:hRule="exact"/>
        </w:trPr>
        <w:tc>
          <w:tcPr>
            <w:tcW w:w="1050" w:type="dxa"/>
            <w:tcBorders>
              <w:top w:val="nil"/>
              <w:left w:val="nil"/>
              <w:bottom w:val="nil"/>
              <w:right w:val="nil"/>
            </w:tcBorders>
          </w:tcPr>
          <w:p>
            <w:pPr>
              <w:pStyle w:val="TableParagraph"/>
              <w:spacing w:before="18"/>
              <w:ind w:left="432" w:right="355"/>
              <w:jc w:val="center"/>
              <w:rPr>
                <w:sz w:val="20"/>
              </w:rPr>
            </w:pPr>
            <w:r>
              <w:rPr>
                <w:sz w:val="20"/>
              </w:rPr>
              <w:t>21</w:t>
            </w:r>
          </w:p>
        </w:tc>
        <w:tc>
          <w:tcPr>
            <w:tcW w:w="1046" w:type="dxa"/>
            <w:tcBorders>
              <w:top w:val="nil"/>
              <w:left w:val="nil"/>
              <w:bottom w:val="nil"/>
              <w:right w:val="nil"/>
            </w:tcBorders>
          </w:tcPr>
          <w:p>
            <w:pPr>
              <w:pStyle w:val="TableParagraph"/>
              <w:spacing w:before="18"/>
              <w:ind w:left="69"/>
              <w:jc w:val="center"/>
              <w:rPr>
                <w:sz w:val="20"/>
              </w:rPr>
            </w:pPr>
            <w:r>
              <w:rPr>
                <w:w w:val="99"/>
                <w:sz w:val="20"/>
              </w:rPr>
              <w:t>-</w:t>
            </w:r>
          </w:p>
        </w:tc>
        <w:tc>
          <w:tcPr>
            <w:tcW w:w="974" w:type="dxa"/>
            <w:tcBorders>
              <w:top w:val="nil"/>
              <w:left w:val="nil"/>
              <w:bottom w:val="nil"/>
              <w:right w:val="nil"/>
            </w:tcBorders>
          </w:tcPr>
          <w:p>
            <w:pPr>
              <w:pStyle w:val="TableParagraph"/>
              <w:spacing w:before="18"/>
              <w:ind w:left="37"/>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b/b</w:t>
            </w:r>
          </w:p>
        </w:tc>
        <w:tc>
          <w:tcPr>
            <w:tcW w:w="967" w:type="dxa"/>
            <w:tcBorders>
              <w:top w:val="nil"/>
              <w:left w:val="nil"/>
              <w:bottom w:val="nil"/>
              <w:right w:val="nil"/>
            </w:tcBorders>
          </w:tcPr>
          <w:p>
            <w:pPr>
              <w:pStyle w:val="TableParagraph"/>
              <w:spacing w:before="18"/>
              <w:ind w:left="308" w:right="351"/>
              <w:jc w:val="center"/>
              <w:rPr>
                <w:sz w:val="20"/>
              </w:rPr>
            </w:pPr>
            <w:r>
              <w:rPr>
                <w:sz w:val="20"/>
              </w:rPr>
              <w:t>a/c</w:t>
            </w:r>
          </w:p>
        </w:tc>
        <w:tc>
          <w:tcPr>
            <w:tcW w:w="984" w:type="dxa"/>
            <w:tcBorders>
              <w:top w:val="nil"/>
              <w:left w:val="nil"/>
              <w:bottom w:val="nil"/>
              <w:right w:val="nil"/>
            </w:tcBorders>
          </w:tcPr>
          <w:p>
            <w:pPr>
              <w:pStyle w:val="TableParagraph"/>
              <w:spacing w:before="18"/>
              <w:ind w:left="354" w:right="366"/>
              <w:jc w:val="center"/>
              <w:rPr>
                <w:sz w:val="20"/>
              </w:rPr>
            </w:pPr>
            <w:r>
              <w:rPr>
                <w:sz w:val="20"/>
              </w:rPr>
              <w:t>10</w:t>
            </w:r>
          </w:p>
        </w:tc>
      </w:tr>
      <w:tr>
        <w:trPr>
          <w:trHeight w:val="287" w:hRule="exact"/>
        </w:trPr>
        <w:tc>
          <w:tcPr>
            <w:tcW w:w="1050" w:type="dxa"/>
            <w:tcBorders>
              <w:top w:val="nil"/>
              <w:left w:val="nil"/>
              <w:bottom w:val="nil"/>
              <w:right w:val="nil"/>
            </w:tcBorders>
          </w:tcPr>
          <w:p>
            <w:pPr>
              <w:pStyle w:val="TableParagraph"/>
              <w:spacing w:before="17"/>
              <w:ind w:left="432" w:right="355"/>
              <w:jc w:val="center"/>
              <w:rPr>
                <w:sz w:val="20"/>
              </w:rPr>
            </w:pPr>
            <w:r>
              <w:rPr>
                <w:sz w:val="20"/>
              </w:rPr>
              <w:t>22</w:t>
            </w:r>
          </w:p>
        </w:tc>
        <w:tc>
          <w:tcPr>
            <w:tcW w:w="1046" w:type="dxa"/>
            <w:tcBorders>
              <w:top w:val="nil"/>
              <w:left w:val="nil"/>
              <w:bottom w:val="nil"/>
              <w:right w:val="nil"/>
            </w:tcBorders>
          </w:tcPr>
          <w:p>
            <w:pPr>
              <w:pStyle w:val="TableParagraph"/>
              <w:spacing w:before="17"/>
              <w:ind w:left="71"/>
              <w:jc w:val="center"/>
              <w:rPr>
                <w:sz w:val="20"/>
              </w:rPr>
            </w:pPr>
            <w:r>
              <w:rPr>
                <w:w w:val="99"/>
                <w:sz w:val="20"/>
              </w:rPr>
              <w:t>+</w:t>
            </w:r>
          </w:p>
        </w:tc>
        <w:tc>
          <w:tcPr>
            <w:tcW w:w="974" w:type="dxa"/>
            <w:tcBorders>
              <w:top w:val="nil"/>
              <w:left w:val="nil"/>
              <w:bottom w:val="nil"/>
              <w:right w:val="nil"/>
            </w:tcBorders>
          </w:tcPr>
          <w:p>
            <w:pPr>
              <w:pStyle w:val="TableParagraph"/>
              <w:spacing w:before="17"/>
              <w:ind w:left="37"/>
              <w:jc w:val="center"/>
              <w:rPr>
                <w:sz w:val="20"/>
              </w:rPr>
            </w:pPr>
            <w:r>
              <w:rPr>
                <w:w w:val="99"/>
                <w:sz w:val="20"/>
              </w:rPr>
              <w:t>-</w:t>
            </w:r>
          </w:p>
        </w:tc>
        <w:tc>
          <w:tcPr>
            <w:tcW w:w="915" w:type="dxa"/>
            <w:tcBorders>
              <w:top w:val="nil"/>
              <w:left w:val="nil"/>
              <w:bottom w:val="nil"/>
              <w:right w:val="nil"/>
            </w:tcBorders>
          </w:tcPr>
          <w:p>
            <w:pPr>
              <w:pStyle w:val="TableParagraph"/>
              <w:spacing w:before="17"/>
              <w:ind w:left="288" w:right="295"/>
              <w:jc w:val="center"/>
              <w:rPr>
                <w:sz w:val="20"/>
              </w:rPr>
            </w:pPr>
            <w:r>
              <w:rPr>
                <w:sz w:val="20"/>
              </w:rPr>
              <w:t>b/b</w:t>
            </w:r>
          </w:p>
        </w:tc>
        <w:tc>
          <w:tcPr>
            <w:tcW w:w="967" w:type="dxa"/>
            <w:tcBorders>
              <w:top w:val="nil"/>
              <w:left w:val="nil"/>
              <w:bottom w:val="nil"/>
              <w:right w:val="nil"/>
            </w:tcBorders>
          </w:tcPr>
          <w:p>
            <w:pPr>
              <w:pStyle w:val="TableParagraph"/>
              <w:spacing w:before="17"/>
              <w:ind w:left="321" w:right="-197"/>
              <w:rPr>
                <w:sz w:val="20"/>
              </w:rPr>
            </w:pPr>
            <w:r>
              <w:rPr>
                <w:sz w:val="20"/>
              </w:rPr>
              <w:t>a/a</w:t>
            </w:r>
          </w:p>
        </w:tc>
        <w:tc>
          <w:tcPr>
            <w:tcW w:w="984" w:type="dxa"/>
            <w:tcBorders>
              <w:top w:val="nil"/>
              <w:left w:val="nil"/>
              <w:bottom w:val="nil"/>
              <w:right w:val="nil"/>
            </w:tcBorders>
          </w:tcPr>
          <w:p>
            <w:pPr>
              <w:pStyle w:val="TableParagraph"/>
              <w:spacing w:before="17"/>
              <w:ind w:right="12"/>
              <w:jc w:val="center"/>
              <w:rPr>
                <w:sz w:val="20"/>
              </w:rPr>
            </w:pPr>
            <w:r>
              <w:rPr>
                <w:w w:val="99"/>
                <w:sz w:val="20"/>
              </w:rPr>
              <w:t>4</w:t>
            </w:r>
          </w:p>
        </w:tc>
      </w:tr>
      <w:tr>
        <w:trPr>
          <w:trHeight w:val="287" w:hRule="exact"/>
        </w:trPr>
        <w:tc>
          <w:tcPr>
            <w:tcW w:w="1050" w:type="dxa"/>
            <w:tcBorders>
              <w:top w:val="nil"/>
              <w:left w:val="nil"/>
              <w:bottom w:val="nil"/>
              <w:right w:val="nil"/>
            </w:tcBorders>
          </w:tcPr>
          <w:p>
            <w:pPr>
              <w:pStyle w:val="TableParagraph"/>
              <w:spacing w:before="18"/>
              <w:ind w:left="432" w:right="355"/>
              <w:jc w:val="center"/>
              <w:rPr>
                <w:sz w:val="20"/>
              </w:rPr>
            </w:pPr>
            <w:r>
              <w:rPr>
                <w:sz w:val="20"/>
              </w:rPr>
              <w:t>23</w:t>
            </w:r>
          </w:p>
        </w:tc>
        <w:tc>
          <w:tcPr>
            <w:tcW w:w="1046" w:type="dxa"/>
            <w:tcBorders>
              <w:top w:val="nil"/>
              <w:left w:val="nil"/>
              <w:bottom w:val="nil"/>
              <w:right w:val="nil"/>
            </w:tcBorders>
          </w:tcPr>
          <w:p>
            <w:pPr>
              <w:pStyle w:val="TableParagraph"/>
              <w:spacing w:before="18"/>
              <w:ind w:left="71"/>
              <w:jc w:val="center"/>
              <w:rPr>
                <w:sz w:val="20"/>
              </w:rPr>
            </w:pPr>
            <w:r>
              <w:rPr>
                <w:w w:val="99"/>
                <w:sz w:val="20"/>
              </w:rPr>
              <w:t>+</w:t>
            </w:r>
          </w:p>
        </w:tc>
        <w:tc>
          <w:tcPr>
            <w:tcW w:w="974" w:type="dxa"/>
            <w:tcBorders>
              <w:top w:val="nil"/>
              <w:left w:val="nil"/>
              <w:bottom w:val="nil"/>
              <w:right w:val="nil"/>
            </w:tcBorders>
          </w:tcPr>
          <w:p>
            <w:pPr>
              <w:pStyle w:val="TableParagraph"/>
              <w:spacing w:before="18"/>
              <w:ind w:left="39"/>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a/b</w:t>
            </w:r>
          </w:p>
        </w:tc>
        <w:tc>
          <w:tcPr>
            <w:tcW w:w="967" w:type="dxa"/>
            <w:tcBorders>
              <w:top w:val="nil"/>
              <w:left w:val="nil"/>
              <w:bottom w:val="nil"/>
              <w:right w:val="nil"/>
            </w:tcBorders>
          </w:tcPr>
          <w:p>
            <w:pPr>
              <w:pStyle w:val="TableParagraph"/>
              <w:spacing w:before="18"/>
              <w:ind w:left="321" w:right="-197"/>
              <w:rPr>
                <w:sz w:val="20"/>
              </w:rPr>
            </w:pPr>
            <w:r>
              <w:rPr>
                <w:sz w:val="20"/>
              </w:rPr>
              <w:t>a/a</w:t>
            </w:r>
          </w:p>
        </w:tc>
        <w:tc>
          <w:tcPr>
            <w:tcW w:w="984" w:type="dxa"/>
            <w:tcBorders>
              <w:top w:val="nil"/>
              <w:left w:val="nil"/>
              <w:bottom w:val="nil"/>
              <w:right w:val="nil"/>
            </w:tcBorders>
          </w:tcPr>
          <w:p>
            <w:pPr>
              <w:pStyle w:val="TableParagraph"/>
              <w:spacing w:before="18"/>
              <w:ind w:right="12"/>
              <w:jc w:val="center"/>
              <w:rPr>
                <w:sz w:val="20"/>
              </w:rPr>
            </w:pPr>
            <w:r>
              <w:rPr>
                <w:w w:val="99"/>
                <w:sz w:val="20"/>
              </w:rPr>
              <w:t>4</w:t>
            </w:r>
          </w:p>
        </w:tc>
      </w:tr>
      <w:tr>
        <w:trPr>
          <w:trHeight w:val="287" w:hRule="exact"/>
        </w:trPr>
        <w:tc>
          <w:tcPr>
            <w:tcW w:w="1050" w:type="dxa"/>
            <w:tcBorders>
              <w:top w:val="nil"/>
              <w:left w:val="nil"/>
              <w:bottom w:val="nil"/>
              <w:right w:val="nil"/>
            </w:tcBorders>
          </w:tcPr>
          <w:p>
            <w:pPr>
              <w:pStyle w:val="TableParagraph"/>
              <w:spacing w:before="17"/>
              <w:ind w:left="432" w:right="355"/>
              <w:jc w:val="center"/>
              <w:rPr>
                <w:sz w:val="20"/>
              </w:rPr>
            </w:pPr>
            <w:r>
              <w:rPr>
                <w:sz w:val="20"/>
              </w:rPr>
              <w:t>24</w:t>
            </w:r>
          </w:p>
        </w:tc>
        <w:tc>
          <w:tcPr>
            <w:tcW w:w="1046" w:type="dxa"/>
            <w:tcBorders>
              <w:top w:val="nil"/>
              <w:left w:val="nil"/>
              <w:bottom w:val="nil"/>
              <w:right w:val="nil"/>
            </w:tcBorders>
          </w:tcPr>
          <w:p>
            <w:pPr>
              <w:pStyle w:val="TableParagraph"/>
              <w:spacing w:before="17"/>
              <w:ind w:left="71"/>
              <w:jc w:val="center"/>
              <w:rPr>
                <w:sz w:val="20"/>
              </w:rPr>
            </w:pPr>
            <w:r>
              <w:rPr>
                <w:w w:val="99"/>
                <w:sz w:val="20"/>
              </w:rPr>
              <w:t>+</w:t>
            </w:r>
          </w:p>
        </w:tc>
        <w:tc>
          <w:tcPr>
            <w:tcW w:w="974" w:type="dxa"/>
            <w:tcBorders>
              <w:top w:val="nil"/>
              <w:left w:val="nil"/>
              <w:bottom w:val="nil"/>
              <w:right w:val="nil"/>
            </w:tcBorders>
          </w:tcPr>
          <w:p>
            <w:pPr>
              <w:pStyle w:val="TableParagraph"/>
              <w:spacing w:before="17"/>
              <w:ind w:left="39"/>
              <w:jc w:val="center"/>
              <w:rPr>
                <w:sz w:val="20"/>
              </w:rPr>
            </w:pPr>
            <w:r>
              <w:rPr>
                <w:w w:val="99"/>
                <w:sz w:val="20"/>
              </w:rPr>
              <w:t>+</w:t>
            </w:r>
          </w:p>
        </w:tc>
        <w:tc>
          <w:tcPr>
            <w:tcW w:w="915" w:type="dxa"/>
            <w:tcBorders>
              <w:top w:val="nil"/>
              <w:left w:val="nil"/>
              <w:bottom w:val="nil"/>
              <w:right w:val="nil"/>
            </w:tcBorders>
          </w:tcPr>
          <w:p>
            <w:pPr>
              <w:pStyle w:val="TableParagraph"/>
              <w:spacing w:before="17"/>
              <w:ind w:left="288" w:right="295"/>
              <w:jc w:val="center"/>
              <w:rPr>
                <w:sz w:val="20"/>
              </w:rPr>
            </w:pPr>
            <w:r>
              <w:rPr>
                <w:sz w:val="20"/>
              </w:rPr>
              <w:t>a/b</w:t>
            </w:r>
          </w:p>
        </w:tc>
        <w:tc>
          <w:tcPr>
            <w:tcW w:w="967" w:type="dxa"/>
            <w:tcBorders>
              <w:top w:val="nil"/>
              <w:left w:val="nil"/>
              <w:bottom w:val="nil"/>
              <w:right w:val="nil"/>
            </w:tcBorders>
          </w:tcPr>
          <w:p>
            <w:pPr>
              <w:pStyle w:val="TableParagraph"/>
              <w:spacing w:before="17"/>
              <w:ind w:left="321" w:right="-197"/>
              <w:rPr>
                <w:sz w:val="20"/>
              </w:rPr>
            </w:pPr>
            <w:r>
              <w:rPr>
                <w:sz w:val="20"/>
              </w:rPr>
              <w:t>a/a</w:t>
            </w:r>
          </w:p>
        </w:tc>
        <w:tc>
          <w:tcPr>
            <w:tcW w:w="984" w:type="dxa"/>
            <w:tcBorders>
              <w:top w:val="nil"/>
              <w:left w:val="nil"/>
              <w:bottom w:val="nil"/>
              <w:right w:val="nil"/>
            </w:tcBorders>
          </w:tcPr>
          <w:p>
            <w:pPr>
              <w:pStyle w:val="TableParagraph"/>
              <w:spacing w:before="17"/>
              <w:ind w:right="12"/>
              <w:jc w:val="center"/>
              <w:rPr>
                <w:sz w:val="20"/>
              </w:rPr>
            </w:pPr>
            <w:r>
              <w:rPr>
                <w:w w:val="99"/>
                <w:sz w:val="20"/>
              </w:rPr>
              <w:t>3</w:t>
            </w:r>
          </w:p>
        </w:tc>
      </w:tr>
      <w:tr>
        <w:trPr>
          <w:trHeight w:val="288" w:hRule="exact"/>
        </w:trPr>
        <w:tc>
          <w:tcPr>
            <w:tcW w:w="1050" w:type="dxa"/>
            <w:tcBorders>
              <w:top w:val="nil"/>
              <w:left w:val="nil"/>
              <w:bottom w:val="nil"/>
              <w:right w:val="nil"/>
            </w:tcBorders>
          </w:tcPr>
          <w:p>
            <w:pPr>
              <w:pStyle w:val="TableParagraph"/>
              <w:spacing w:before="18"/>
              <w:ind w:left="432" w:right="355"/>
              <w:jc w:val="center"/>
              <w:rPr>
                <w:sz w:val="20"/>
              </w:rPr>
            </w:pPr>
            <w:r>
              <w:rPr>
                <w:sz w:val="20"/>
              </w:rPr>
              <w:t>25</w:t>
            </w:r>
          </w:p>
        </w:tc>
        <w:tc>
          <w:tcPr>
            <w:tcW w:w="1046" w:type="dxa"/>
            <w:tcBorders>
              <w:top w:val="nil"/>
              <w:left w:val="nil"/>
              <w:bottom w:val="nil"/>
              <w:right w:val="nil"/>
            </w:tcBorders>
          </w:tcPr>
          <w:p>
            <w:pPr>
              <w:pStyle w:val="TableParagraph"/>
              <w:spacing w:before="18"/>
              <w:ind w:left="71"/>
              <w:jc w:val="center"/>
              <w:rPr>
                <w:sz w:val="20"/>
              </w:rPr>
            </w:pPr>
            <w:r>
              <w:rPr>
                <w:w w:val="99"/>
                <w:sz w:val="20"/>
              </w:rPr>
              <w:t>+</w:t>
            </w:r>
          </w:p>
        </w:tc>
        <w:tc>
          <w:tcPr>
            <w:tcW w:w="974" w:type="dxa"/>
            <w:tcBorders>
              <w:top w:val="nil"/>
              <w:left w:val="nil"/>
              <w:bottom w:val="nil"/>
              <w:right w:val="nil"/>
            </w:tcBorders>
          </w:tcPr>
          <w:p>
            <w:pPr>
              <w:pStyle w:val="TableParagraph"/>
              <w:spacing w:before="18"/>
              <w:ind w:left="37"/>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a/b</w:t>
            </w:r>
          </w:p>
        </w:tc>
        <w:tc>
          <w:tcPr>
            <w:tcW w:w="967" w:type="dxa"/>
            <w:tcBorders>
              <w:top w:val="nil"/>
              <w:left w:val="nil"/>
              <w:bottom w:val="nil"/>
              <w:right w:val="nil"/>
            </w:tcBorders>
          </w:tcPr>
          <w:p>
            <w:pPr>
              <w:pStyle w:val="TableParagraph"/>
              <w:spacing w:before="18"/>
              <w:ind w:left="321" w:right="-197"/>
              <w:rPr>
                <w:sz w:val="20"/>
              </w:rPr>
            </w:pPr>
            <w:r>
              <w:rPr>
                <w:sz w:val="20"/>
              </w:rPr>
              <w:t>a/a</w:t>
            </w:r>
          </w:p>
        </w:tc>
        <w:tc>
          <w:tcPr>
            <w:tcW w:w="984" w:type="dxa"/>
            <w:tcBorders>
              <w:top w:val="nil"/>
              <w:left w:val="nil"/>
              <w:bottom w:val="nil"/>
              <w:right w:val="nil"/>
            </w:tcBorders>
          </w:tcPr>
          <w:p>
            <w:pPr>
              <w:pStyle w:val="TableParagraph"/>
              <w:spacing w:before="18"/>
              <w:ind w:right="12"/>
              <w:jc w:val="center"/>
              <w:rPr>
                <w:sz w:val="20"/>
              </w:rPr>
            </w:pPr>
            <w:r>
              <w:rPr>
                <w:w w:val="99"/>
                <w:sz w:val="20"/>
              </w:rPr>
              <w:t>3</w:t>
            </w:r>
          </w:p>
        </w:tc>
      </w:tr>
      <w:tr>
        <w:trPr>
          <w:trHeight w:val="287" w:hRule="exact"/>
        </w:trPr>
        <w:tc>
          <w:tcPr>
            <w:tcW w:w="1050" w:type="dxa"/>
            <w:tcBorders>
              <w:top w:val="nil"/>
              <w:left w:val="nil"/>
              <w:bottom w:val="nil"/>
              <w:right w:val="nil"/>
            </w:tcBorders>
          </w:tcPr>
          <w:p>
            <w:pPr>
              <w:pStyle w:val="TableParagraph"/>
              <w:spacing w:before="18"/>
              <w:ind w:left="432" w:right="355"/>
              <w:jc w:val="center"/>
              <w:rPr>
                <w:sz w:val="20"/>
              </w:rPr>
            </w:pPr>
            <w:r>
              <w:rPr>
                <w:sz w:val="20"/>
              </w:rPr>
              <w:t>26</w:t>
            </w:r>
          </w:p>
        </w:tc>
        <w:tc>
          <w:tcPr>
            <w:tcW w:w="1046" w:type="dxa"/>
            <w:tcBorders>
              <w:top w:val="nil"/>
              <w:left w:val="nil"/>
              <w:bottom w:val="nil"/>
              <w:right w:val="nil"/>
            </w:tcBorders>
          </w:tcPr>
          <w:p>
            <w:pPr>
              <w:pStyle w:val="TableParagraph"/>
              <w:spacing w:before="18"/>
              <w:ind w:left="71"/>
              <w:jc w:val="center"/>
              <w:rPr>
                <w:sz w:val="20"/>
              </w:rPr>
            </w:pPr>
            <w:r>
              <w:rPr>
                <w:w w:val="99"/>
                <w:sz w:val="20"/>
              </w:rPr>
              <w:t>+</w:t>
            </w:r>
          </w:p>
        </w:tc>
        <w:tc>
          <w:tcPr>
            <w:tcW w:w="974" w:type="dxa"/>
            <w:tcBorders>
              <w:top w:val="nil"/>
              <w:left w:val="nil"/>
              <w:bottom w:val="nil"/>
              <w:right w:val="nil"/>
            </w:tcBorders>
          </w:tcPr>
          <w:p>
            <w:pPr>
              <w:pStyle w:val="TableParagraph"/>
              <w:spacing w:before="18"/>
              <w:ind w:left="37"/>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a/b</w:t>
            </w:r>
          </w:p>
        </w:tc>
        <w:tc>
          <w:tcPr>
            <w:tcW w:w="967" w:type="dxa"/>
            <w:tcBorders>
              <w:top w:val="nil"/>
              <w:left w:val="nil"/>
              <w:bottom w:val="nil"/>
              <w:right w:val="nil"/>
            </w:tcBorders>
          </w:tcPr>
          <w:p>
            <w:pPr>
              <w:pStyle w:val="TableParagraph"/>
              <w:spacing w:before="18"/>
              <w:ind w:left="308" w:right="351"/>
              <w:jc w:val="center"/>
              <w:rPr>
                <w:sz w:val="20"/>
              </w:rPr>
            </w:pPr>
            <w:r>
              <w:rPr>
                <w:sz w:val="20"/>
              </w:rPr>
              <w:t>a/c</w:t>
            </w:r>
          </w:p>
        </w:tc>
        <w:tc>
          <w:tcPr>
            <w:tcW w:w="984" w:type="dxa"/>
            <w:tcBorders>
              <w:top w:val="nil"/>
              <w:left w:val="nil"/>
              <w:bottom w:val="nil"/>
              <w:right w:val="nil"/>
            </w:tcBorders>
          </w:tcPr>
          <w:p>
            <w:pPr>
              <w:pStyle w:val="TableParagraph"/>
              <w:spacing w:before="18"/>
              <w:ind w:right="12"/>
              <w:jc w:val="center"/>
              <w:rPr>
                <w:sz w:val="20"/>
              </w:rPr>
            </w:pPr>
            <w:r>
              <w:rPr>
                <w:w w:val="99"/>
                <w:sz w:val="20"/>
              </w:rPr>
              <w:t>7</w:t>
            </w:r>
          </w:p>
        </w:tc>
      </w:tr>
      <w:tr>
        <w:trPr>
          <w:trHeight w:val="287" w:hRule="exact"/>
        </w:trPr>
        <w:tc>
          <w:tcPr>
            <w:tcW w:w="1050" w:type="dxa"/>
            <w:tcBorders>
              <w:top w:val="nil"/>
              <w:left w:val="nil"/>
              <w:bottom w:val="nil"/>
              <w:right w:val="nil"/>
            </w:tcBorders>
          </w:tcPr>
          <w:p>
            <w:pPr>
              <w:pStyle w:val="TableParagraph"/>
              <w:spacing w:before="17"/>
              <w:ind w:left="432" w:right="355"/>
              <w:jc w:val="center"/>
              <w:rPr>
                <w:sz w:val="20"/>
              </w:rPr>
            </w:pPr>
            <w:r>
              <w:rPr>
                <w:sz w:val="20"/>
              </w:rPr>
              <w:t>27</w:t>
            </w:r>
          </w:p>
        </w:tc>
        <w:tc>
          <w:tcPr>
            <w:tcW w:w="1046" w:type="dxa"/>
            <w:tcBorders>
              <w:top w:val="nil"/>
              <w:left w:val="nil"/>
              <w:bottom w:val="nil"/>
              <w:right w:val="nil"/>
            </w:tcBorders>
          </w:tcPr>
          <w:p>
            <w:pPr>
              <w:pStyle w:val="TableParagraph"/>
              <w:spacing w:before="17"/>
              <w:ind w:left="71"/>
              <w:jc w:val="center"/>
              <w:rPr>
                <w:sz w:val="20"/>
              </w:rPr>
            </w:pPr>
            <w:r>
              <w:rPr>
                <w:w w:val="99"/>
                <w:sz w:val="20"/>
              </w:rPr>
              <w:t>+</w:t>
            </w:r>
          </w:p>
        </w:tc>
        <w:tc>
          <w:tcPr>
            <w:tcW w:w="974" w:type="dxa"/>
            <w:tcBorders>
              <w:top w:val="nil"/>
              <w:left w:val="nil"/>
              <w:bottom w:val="nil"/>
              <w:right w:val="nil"/>
            </w:tcBorders>
          </w:tcPr>
          <w:p>
            <w:pPr>
              <w:pStyle w:val="TableParagraph"/>
              <w:spacing w:before="17"/>
              <w:ind w:left="37"/>
              <w:jc w:val="center"/>
              <w:rPr>
                <w:sz w:val="20"/>
              </w:rPr>
            </w:pPr>
            <w:r>
              <w:rPr>
                <w:w w:val="99"/>
                <w:sz w:val="20"/>
              </w:rPr>
              <w:t>-</w:t>
            </w:r>
          </w:p>
        </w:tc>
        <w:tc>
          <w:tcPr>
            <w:tcW w:w="915" w:type="dxa"/>
            <w:tcBorders>
              <w:top w:val="nil"/>
              <w:left w:val="nil"/>
              <w:bottom w:val="nil"/>
              <w:right w:val="nil"/>
            </w:tcBorders>
          </w:tcPr>
          <w:p>
            <w:pPr>
              <w:pStyle w:val="TableParagraph"/>
              <w:spacing w:before="17"/>
              <w:ind w:left="288" w:right="295"/>
              <w:jc w:val="center"/>
              <w:rPr>
                <w:sz w:val="20"/>
              </w:rPr>
            </w:pPr>
            <w:r>
              <w:rPr>
                <w:sz w:val="20"/>
              </w:rPr>
              <w:t>b/b</w:t>
            </w:r>
          </w:p>
        </w:tc>
        <w:tc>
          <w:tcPr>
            <w:tcW w:w="967" w:type="dxa"/>
            <w:tcBorders>
              <w:top w:val="nil"/>
              <w:left w:val="nil"/>
              <w:bottom w:val="nil"/>
              <w:right w:val="nil"/>
            </w:tcBorders>
          </w:tcPr>
          <w:p>
            <w:pPr>
              <w:pStyle w:val="TableParagraph"/>
              <w:spacing w:before="17"/>
              <w:ind w:left="321" w:right="-197"/>
              <w:rPr>
                <w:sz w:val="20"/>
              </w:rPr>
            </w:pPr>
            <w:r>
              <w:rPr>
                <w:sz w:val="20"/>
              </w:rPr>
              <w:t>a/a</w:t>
            </w:r>
          </w:p>
        </w:tc>
        <w:tc>
          <w:tcPr>
            <w:tcW w:w="984" w:type="dxa"/>
            <w:tcBorders>
              <w:top w:val="nil"/>
              <w:left w:val="nil"/>
              <w:bottom w:val="nil"/>
              <w:right w:val="nil"/>
            </w:tcBorders>
          </w:tcPr>
          <w:p>
            <w:pPr>
              <w:pStyle w:val="TableParagraph"/>
              <w:spacing w:before="17"/>
              <w:ind w:right="12"/>
              <w:jc w:val="center"/>
              <w:rPr>
                <w:sz w:val="20"/>
              </w:rPr>
            </w:pPr>
            <w:r>
              <w:rPr>
                <w:w w:val="99"/>
                <w:sz w:val="20"/>
              </w:rPr>
              <w:t>4</w:t>
            </w:r>
          </w:p>
        </w:tc>
      </w:tr>
      <w:tr>
        <w:trPr>
          <w:trHeight w:val="287" w:hRule="exact"/>
        </w:trPr>
        <w:tc>
          <w:tcPr>
            <w:tcW w:w="1050" w:type="dxa"/>
            <w:tcBorders>
              <w:top w:val="nil"/>
              <w:left w:val="nil"/>
              <w:bottom w:val="nil"/>
              <w:right w:val="nil"/>
            </w:tcBorders>
          </w:tcPr>
          <w:p>
            <w:pPr>
              <w:pStyle w:val="TableParagraph"/>
              <w:spacing w:before="18"/>
              <w:ind w:left="432" w:right="355"/>
              <w:jc w:val="center"/>
              <w:rPr>
                <w:sz w:val="20"/>
              </w:rPr>
            </w:pPr>
            <w:r>
              <w:rPr>
                <w:sz w:val="20"/>
              </w:rPr>
              <w:t>28</w:t>
            </w:r>
          </w:p>
        </w:tc>
        <w:tc>
          <w:tcPr>
            <w:tcW w:w="1046" w:type="dxa"/>
            <w:tcBorders>
              <w:top w:val="nil"/>
              <w:left w:val="nil"/>
              <w:bottom w:val="nil"/>
              <w:right w:val="nil"/>
            </w:tcBorders>
          </w:tcPr>
          <w:p>
            <w:pPr>
              <w:pStyle w:val="TableParagraph"/>
              <w:spacing w:before="18"/>
              <w:ind w:left="69"/>
              <w:jc w:val="center"/>
              <w:rPr>
                <w:sz w:val="20"/>
              </w:rPr>
            </w:pPr>
            <w:r>
              <w:rPr>
                <w:w w:val="99"/>
                <w:sz w:val="20"/>
              </w:rPr>
              <w:t>-</w:t>
            </w:r>
          </w:p>
        </w:tc>
        <w:tc>
          <w:tcPr>
            <w:tcW w:w="974" w:type="dxa"/>
            <w:tcBorders>
              <w:top w:val="nil"/>
              <w:left w:val="nil"/>
              <w:bottom w:val="nil"/>
              <w:right w:val="nil"/>
            </w:tcBorders>
          </w:tcPr>
          <w:p>
            <w:pPr>
              <w:pStyle w:val="TableParagraph"/>
              <w:spacing w:before="18"/>
              <w:ind w:left="37"/>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a/b</w:t>
            </w:r>
          </w:p>
        </w:tc>
        <w:tc>
          <w:tcPr>
            <w:tcW w:w="967" w:type="dxa"/>
            <w:tcBorders>
              <w:top w:val="nil"/>
              <w:left w:val="nil"/>
              <w:bottom w:val="nil"/>
              <w:right w:val="nil"/>
            </w:tcBorders>
          </w:tcPr>
          <w:p>
            <w:pPr>
              <w:pStyle w:val="TableParagraph"/>
              <w:spacing w:before="18"/>
              <w:ind w:left="321" w:right="-197"/>
              <w:rPr>
                <w:sz w:val="20"/>
              </w:rPr>
            </w:pPr>
            <w:r>
              <w:rPr>
                <w:sz w:val="20"/>
              </w:rPr>
              <w:t>a/a</w:t>
            </w:r>
          </w:p>
        </w:tc>
        <w:tc>
          <w:tcPr>
            <w:tcW w:w="984" w:type="dxa"/>
            <w:tcBorders>
              <w:top w:val="nil"/>
              <w:left w:val="nil"/>
              <w:bottom w:val="nil"/>
              <w:right w:val="nil"/>
            </w:tcBorders>
          </w:tcPr>
          <w:p>
            <w:pPr>
              <w:pStyle w:val="TableParagraph"/>
              <w:spacing w:before="18"/>
              <w:ind w:left="354" w:right="366"/>
              <w:jc w:val="center"/>
              <w:rPr>
                <w:sz w:val="20"/>
              </w:rPr>
            </w:pPr>
            <w:r>
              <w:rPr>
                <w:sz w:val="20"/>
              </w:rPr>
              <w:t>10</w:t>
            </w:r>
          </w:p>
        </w:tc>
      </w:tr>
      <w:tr>
        <w:trPr>
          <w:trHeight w:val="287" w:hRule="exact"/>
        </w:trPr>
        <w:tc>
          <w:tcPr>
            <w:tcW w:w="1050" w:type="dxa"/>
            <w:tcBorders>
              <w:top w:val="nil"/>
              <w:left w:val="nil"/>
              <w:bottom w:val="nil"/>
              <w:right w:val="nil"/>
            </w:tcBorders>
          </w:tcPr>
          <w:p>
            <w:pPr>
              <w:pStyle w:val="TableParagraph"/>
              <w:spacing w:before="17"/>
              <w:ind w:left="432" w:right="355"/>
              <w:jc w:val="center"/>
              <w:rPr>
                <w:sz w:val="20"/>
              </w:rPr>
            </w:pPr>
            <w:r>
              <w:rPr>
                <w:sz w:val="20"/>
              </w:rPr>
              <w:t>29</w:t>
            </w:r>
          </w:p>
        </w:tc>
        <w:tc>
          <w:tcPr>
            <w:tcW w:w="1046" w:type="dxa"/>
            <w:tcBorders>
              <w:top w:val="nil"/>
              <w:left w:val="nil"/>
              <w:bottom w:val="nil"/>
              <w:right w:val="nil"/>
            </w:tcBorders>
          </w:tcPr>
          <w:p>
            <w:pPr>
              <w:pStyle w:val="TableParagraph"/>
              <w:spacing w:before="17"/>
              <w:ind w:left="69"/>
              <w:jc w:val="center"/>
              <w:rPr>
                <w:sz w:val="20"/>
              </w:rPr>
            </w:pPr>
            <w:r>
              <w:rPr>
                <w:w w:val="99"/>
                <w:sz w:val="20"/>
              </w:rPr>
              <w:t>-</w:t>
            </w:r>
          </w:p>
        </w:tc>
        <w:tc>
          <w:tcPr>
            <w:tcW w:w="974" w:type="dxa"/>
            <w:tcBorders>
              <w:top w:val="nil"/>
              <w:left w:val="nil"/>
              <w:bottom w:val="nil"/>
              <w:right w:val="nil"/>
            </w:tcBorders>
          </w:tcPr>
          <w:p>
            <w:pPr>
              <w:pStyle w:val="TableParagraph"/>
              <w:spacing w:before="17"/>
              <w:ind w:left="37"/>
              <w:jc w:val="center"/>
              <w:rPr>
                <w:sz w:val="20"/>
              </w:rPr>
            </w:pPr>
            <w:r>
              <w:rPr>
                <w:w w:val="99"/>
                <w:sz w:val="20"/>
              </w:rPr>
              <w:t>-</w:t>
            </w:r>
          </w:p>
        </w:tc>
        <w:tc>
          <w:tcPr>
            <w:tcW w:w="915" w:type="dxa"/>
            <w:tcBorders>
              <w:top w:val="nil"/>
              <w:left w:val="nil"/>
              <w:bottom w:val="nil"/>
              <w:right w:val="nil"/>
            </w:tcBorders>
          </w:tcPr>
          <w:p>
            <w:pPr>
              <w:pStyle w:val="TableParagraph"/>
              <w:spacing w:before="17"/>
              <w:ind w:left="288" w:right="295"/>
              <w:jc w:val="center"/>
              <w:rPr>
                <w:sz w:val="20"/>
              </w:rPr>
            </w:pPr>
            <w:r>
              <w:rPr>
                <w:sz w:val="20"/>
              </w:rPr>
              <w:t>b/b</w:t>
            </w:r>
          </w:p>
        </w:tc>
        <w:tc>
          <w:tcPr>
            <w:tcW w:w="967" w:type="dxa"/>
            <w:tcBorders>
              <w:top w:val="nil"/>
              <w:left w:val="nil"/>
              <w:bottom w:val="nil"/>
              <w:right w:val="nil"/>
            </w:tcBorders>
          </w:tcPr>
          <w:p>
            <w:pPr>
              <w:pStyle w:val="TableParagraph"/>
              <w:spacing w:before="17"/>
              <w:ind w:left="308" w:right="351"/>
              <w:jc w:val="center"/>
              <w:rPr>
                <w:sz w:val="20"/>
              </w:rPr>
            </w:pPr>
            <w:r>
              <w:rPr>
                <w:sz w:val="20"/>
              </w:rPr>
              <w:t>a/c</w:t>
            </w:r>
          </w:p>
        </w:tc>
        <w:tc>
          <w:tcPr>
            <w:tcW w:w="984" w:type="dxa"/>
            <w:tcBorders>
              <w:top w:val="nil"/>
              <w:left w:val="nil"/>
              <w:bottom w:val="nil"/>
              <w:right w:val="nil"/>
            </w:tcBorders>
          </w:tcPr>
          <w:p>
            <w:pPr>
              <w:pStyle w:val="TableParagraph"/>
              <w:spacing w:before="17"/>
              <w:ind w:left="354" w:right="366"/>
              <w:jc w:val="center"/>
              <w:rPr>
                <w:sz w:val="20"/>
              </w:rPr>
            </w:pPr>
            <w:r>
              <w:rPr>
                <w:sz w:val="20"/>
              </w:rPr>
              <w:t>10</w:t>
            </w:r>
          </w:p>
        </w:tc>
      </w:tr>
      <w:tr>
        <w:trPr>
          <w:trHeight w:val="288" w:hRule="exact"/>
        </w:trPr>
        <w:tc>
          <w:tcPr>
            <w:tcW w:w="1050" w:type="dxa"/>
            <w:tcBorders>
              <w:top w:val="nil"/>
              <w:left w:val="nil"/>
              <w:bottom w:val="nil"/>
              <w:right w:val="nil"/>
            </w:tcBorders>
          </w:tcPr>
          <w:p>
            <w:pPr>
              <w:pStyle w:val="TableParagraph"/>
              <w:spacing w:before="18"/>
              <w:ind w:left="432" w:right="355"/>
              <w:jc w:val="center"/>
              <w:rPr>
                <w:sz w:val="20"/>
              </w:rPr>
            </w:pPr>
            <w:r>
              <w:rPr>
                <w:sz w:val="20"/>
              </w:rPr>
              <w:t>30</w:t>
            </w:r>
          </w:p>
        </w:tc>
        <w:tc>
          <w:tcPr>
            <w:tcW w:w="1046" w:type="dxa"/>
            <w:tcBorders>
              <w:top w:val="nil"/>
              <w:left w:val="nil"/>
              <w:bottom w:val="nil"/>
              <w:right w:val="nil"/>
            </w:tcBorders>
          </w:tcPr>
          <w:p>
            <w:pPr>
              <w:pStyle w:val="TableParagraph"/>
              <w:spacing w:before="18"/>
              <w:ind w:left="71"/>
              <w:jc w:val="center"/>
              <w:rPr>
                <w:sz w:val="20"/>
              </w:rPr>
            </w:pPr>
            <w:r>
              <w:rPr>
                <w:w w:val="99"/>
                <w:sz w:val="20"/>
              </w:rPr>
              <w:t>+</w:t>
            </w:r>
          </w:p>
        </w:tc>
        <w:tc>
          <w:tcPr>
            <w:tcW w:w="974" w:type="dxa"/>
            <w:tcBorders>
              <w:top w:val="nil"/>
              <w:left w:val="nil"/>
              <w:bottom w:val="nil"/>
              <w:right w:val="nil"/>
            </w:tcBorders>
          </w:tcPr>
          <w:p>
            <w:pPr>
              <w:pStyle w:val="TableParagraph"/>
              <w:spacing w:before="18"/>
              <w:ind w:left="39"/>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a/b</w:t>
            </w:r>
          </w:p>
        </w:tc>
        <w:tc>
          <w:tcPr>
            <w:tcW w:w="967" w:type="dxa"/>
            <w:tcBorders>
              <w:top w:val="nil"/>
              <w:left w:val="nil"/>
              <w:bottom w:val="nil"/>
              <w:right w:val="nil"/>
            </w:tcBorders>
          </w:tcPr>
          <w:p>
            <w:pPr>
              <w:pStyle w:val="TableParagraph"/>
              <w:spacing w:before="18"/>
              <w:ind w:left="321" w:right="-197"/>
              <w:rPr>
                <w:sz w:val="20"/>
              </w:rPr>
            </w:pPr>
            <w:r>
              <w:rPr>
                <w:sz w:val="20"/>
              </w:rPr>
              <w:t>a/a</w:t>
            </w:r>
          </w:p>
        </w:tc>
        <w:tc>
          <w:tcPr>
            <w:tcW w:w="984" w:type="dxa"/>
            <w:tcBorders>
              <w:top w:val="nil"/>
              <w:left w:val="nil"/>
              <w:bottom w:val="nil"/>
              <w:right w:val="nil"/>
            </w:tcBorders>
          </w:tcPr>
          <w:p>
            <w:pPr>
              <w:pStyle w:val="TableParagraph"/>
              <w:spacing w:before="18"/>
              <w:ind w:right="12"/>
              <w:jc w:val="center"/>
              <w:rPr>
                <w:sz w:val="20"/>
              </w:rPr>
            </w:pPr>
            <w:r>
              <w:rPr>
                <w:w w:val="99"/>
                <w:sz w:val="20"/>
              </w:rPr>
              <w:t>4</w:t>
            </w:r>
          </w:p>
        </w:tc>
      </w:tr>
      <w:tr>
        <w:trPr>
          <w:trHeight w:val="287" w:hRule="exact"/>
        </w:trPr>
        <w:tc>
          <w:tcPr>
            <w:tcW w:w="1050" w:type="dxa"/>
            <w:tcBorders>
              <w:top w:val="nil"/>
              <w:left w:val="nil"/>
              <w:bottom w:val="nil"/>
              <w:right w:val="nil"/>
            </w:tcBorders>
          </w:tcPr>
          <w:p>
            <w:pPr>
              <w:pStyle w:val="TableParagraph"/>
              <w:spacing w:before="18"/>
              <w:ind w:left="432" w:right="355"/>
              <w:jc w:val="center"/>
              <w:rPr>
                <w:sz w:val="20"/>
              </w:rPr>
            </w:pPr>
            <w:r>
              <w:rPr>
                <w:sz w:val="20"/>
              </w:rPr>
              <w:t>31</w:t>
            </w:r>
          </w:p>
        </w:tc>
        <w:tc>
          <w:tcPr>
            <w:tcW w:w="1046" w:type="dxa"/>
            <w:tcBorders>
              <w:top w:val="nil"/>
              <w:left w:val="nil"/>
              <w:bottom w:val="nil"/>
              <w:right w:val="nil"/>
            </w:tcBorders>
          </w:tcPr>
          <w:p>
            <w:pPr>
              <w:pStyle w:val="TableParagraph"/>
              <w:spacing w:before="18"/>
              <w:ind w:left="69"/>
              <w:jc w:val="center"/>
              <w:rPr>
                <w:sz w:val="20"/>
              </w:rPr>
            </w:pPr>
            <w:r>
              <w:rPr>
                <w:w w:val="99"/>
                <w:sz w:val="20"/>
              </w:rPr>
              <w:t>-</w:t>
            </w:r>
          </w:p>
        </w:tc>
        <w:tc>
          <w:tcPr>
            <w:tcW w:w="974" w:type="dxa"/>
            <w:tcBorders>
              <w:top w:val="nil"/>
              <w:left w:val="nil"/>
              <w:bottom w:val="nil"/>
              <w:right w:val="nil"/>
            </w:tcBorders>
          </w:tcPr>
          <w:p>
            <w:pPr>
              <w:pStyle w:val="TableParagraph"/>
              <w:spacing w:before="18"/>
              <w:ind w:left="37"/>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b/b</w:t>
            </w:r>
          </w:p>
        </w:tc>
        <w:tc>
          <w:tcPr>
            <w:tcW w:w="967" w:type="dxa"/>
            <w:tcBorders>
              <w:top w:val="nil"/>
              <w:left w:val="nil"/>
              <w:bottom w:val="nil"/>
              <w:right w:val="nil"/>
            </w:tcBorders>
          </w:tcPr>
          <w:p>
            <w:pPr>
              <w:pStyle w:val="TableParagraph"/>
              <w:spacing w:before="18"/>
              <w:ind w:left="321" w:right="-197"/>
              <w:rPr>
                <w:sz w:val="20"/>
              </w:rPr>
            </w:pPr>
            <w:r>
              <w:rPr>
                <w:sz w:val="20"/>
              </w:rPr>
              <w:t>a/a</w:t>
            </w:r>
          </w:p>
        </w:tc>
        <w:tc>
          <w:tcPr>
            <w:tcW w:w="984" w:type="dxa"/>
            <w:tcBorders>
              <w:top w:val="nil"/>
              <w:left w:val="nil"/>
              <w:bottom w:val="nil"/>
              <w:right w:val="nil"/>
            </w:tcBorders>
          </w:tcPr>
          <w:p>
            <w:pPr>
              <w:pStyle w:val="TableParagraph"/>
              <w:spacing w:before="18"/>
              <w:ind w:right="12"/>
              <w:jc w:val="center"/>
              <w:rPr>
                <w:sz w:val="20"/>
              </w:rPr>
            </w:pPr>
            <w:r>
              <w:rPr>
                <w:w w:val="99"/>
                <w:sz w:val="20"/>
              </w:rPr>
              <w:t>7</w:t>
            </w:r>
          </w:p>
        </w:tc>
      </w:tr>
      <w:tr>
        <w:trPr>
          <w:trHeight w:val="287" w:hRule="exact"/>
        </w:trPr>
        <w:tc>
          <w:tcPr>
            <w:tcW w:w="1050" w:type="dxa"/>
            <w:tcBorders>
              <w:top w:val="nil"/>
              <w:left w:val="nil"/>
              <w:bottom w:val="nil"/>
              <w:right w:val="nil"/>
            </w:tcBorders>
          </w:tcPr>
          <w:p>
            <w:pPr>
              <w:pStyle w:val="TableParagraph"/>
              <w:spacing w:before="17"/>
              <w:ind w:left="432" w:right="355"/>
              <w:jc w:val="center"/>
              <w:rPr>
                <w:sz w:val="20"/>
              </w:rPr>
            </w:pPr>
            <w:r>
              <w:rPr>
                <w:sz w:val="20"/>
              </w:rPr>
              <w:t>32</w:t>
            </w:r>
          </w:p>
        </w:tc>
        <w:tc>
          <w:tcPr>
            <w:tcW w:w="1046" w:type="dxa"/>
            <w:tcBorders>
              <w:top w:val="nil"/>
              <w:left w:val="nil"/>
              <w:bottom w:val="nil"/>
              <w:right w:val="nil"/>
            </w:tcBorders>
          </w:tcPr>
          <w:p>
            <w:pPr>
              <w:pStyle w:val="TableParagraph"/>
              <w:spacing w:before="17"/>
              <w:ind w:left="71"/>
              <w:jc w:val="center"/>
              <w:rPr>
                <w:sz w:val="20"/>
              </w:rPr>
            </w:pPr>
            <w:r>
              <w:rPr>
                <w:w w:val="99"/>
                <w:sz w:val="20"/>
              </w:rPr>
              <w:t>+</w:t>
            </w:r>
          </w:p>
        </w:tc>
        <w:tc>
          <w:tcPr>
            <w:tcW w:w="974" w:type="dxa"/>
            <w:tcBorders>
              <w:top w:val="nil"/>
              <w:left w:val="nil"/>
              <w:bottom w:val="nil"/>
              <w:right w:val="nil"/>
            </w:tcBorders>
          </w:tcPr>
          <w:p>
            <w:pPr>
              <w:pStyle w:val="TableParagraph"/>
              <w:spacing w:before="17"/>
              <w:ind w:left="37"/>
              <w:jc w:val="center"/>
              <w:rPr>
                <w:sz w:val="20"/>
              </w:rPr>
            </w:pPr>
            <w:r>
              <w:rPr>
                <w:w w:val="99"/>
                <w:sz w:val="20"/>
              </w:rPr>
              <w:t>-</w:t>
            </w:r>
          </w:p>
        </w:tc>
        <w:tc>
          <w:tcPr>
            <w:tcW w:w="915" w:type="dxa"/>
            <w:tcBorders>
              <w:top w:val="nil"/>
              <w:left w:val="nil"/>
              <w:bottom w:val="nil"/>
              <w:right w:val="nil"/>
            </w:tcBorders>
          </w:tcPr>
          <w:p>
            <w:pPr>
              <w:pStyle w:val="TableParagraph"/>
              <w:spacing w:before="17"/>
              <w:ind w:left="288" w:right="295"/>
              <w:jc w:val="center"/>
              <w:rPr>
                <w:sz w:val="20"/>
              </w:rPr>
            </w:pPr>
            <w:r>
              <w:rPr>
                <w:sz w:val="20"/>
              </w:rPr>
              <w:t>b/b</w:t>
            </w:r>
          </w:p>
        </w:tc>
        <w:tc>
          <w:tcPr>
            <w:tcW w:w="967" w:type="dxa"/>
            <w:tcBorders>
              <w:top w:val="nil"/>
              <w:left w:val="nil"/>
              <w:bottom w:val="nil"/>
              <w:right w:val="nil"/>
            </w:tcBorders>
          </w:tcPr>
          <w:p>
            <w:pPr>
              <w:pStyle w:val="TableParagraph"/>
              <w:spacing w:before="17"/>
              <w:ind w:left="308" w:right="351"/>
              <w:jc w:val="center"/>
              <w:rPr>
                <w:sz w:val="20"/>
              </w:rPr>
            </w:pPr>
            <w:r>
              <w:rPr>
                <w:sz w:val="20"/>
              </w:rPr>
              <w:t>a/c</w:t>
            </w:r>
          </w:p>
        </w:tc>
        <w:tc>
          <w:tcPr>
            <w:tcW w:w="984" w:type="dxa"/>
            <w:tcBorders>
              <w:top w:val="nil"/>
              <w:left w:val="nil"/>
              <w:bottom w:val="nil"/>
              <w:right w:val="nil"/>
            </w:tcBorders>
          </w:tcPr>
          <w:p>
            <w:pPr>
              <w:pStyle w:val="TableParagraph"/>
              <w:spacing w:before="17"/>
              <w:ind w:right="12"/>
              <w:jc w:val="center"/>
              <w:rPr>
                <w:sz w:val="20"/>
              </w:rPr>
            </w:pPr>
            <w:r>
              <w:rPr>
                <w:w w:val="99"/>
                <w:sz w:val="20"/>
              </w:rPr>
              <w:t>9</w:t>
            </w:r>
          </w:p>
        </w:tc>
      </w:tr>
      <w:tr>
        <w:trPr>
          <w:trHeight w:val="287" w:hRule="exact"/>
        </w:trPr>
        <w:tc>
          <w:tcPr>
            <w:tcW w:w="1050" w:type="dxa"/>
            <w:tcBorders>
              <w:top w:val="nil"/>
              <w:left w:val="nil"/>
              <w:bottom w:val="nil"/>
              <w:right w:val="nil"/>
            </w:tcBorders>
          </w:tcPr>
          <w:p>
            <w:pPr>
              <w:pStyle w:val="TableParagraph"/>
              <w:spacing w:before="18"/>
              <w:ind w:left="432" w:right="355"/>
              <w:jc w:val="center"/>
              <w:rPr>
                <w:sz w:val="20"/>
              </w:rPr>
            </w:pPr>
            <w:r>
              <w:rPr>
                <w:sz w:val="20"/>
              </w:rPr>
              <w:t>33</w:t>
            </w:r>
          </w:p>
        </w:tc>
        <w:tc>
          <w:tcPr>
            <w:tcW w:w="1046" w:type="dxa"/>
            <w:tcBorders>
              <w:top w:val="nil"/>
              <w:left w:val="nil"/>
              <w:bottom w:val="nil"/>
              <w:right w:val="nil"/>
            </w:tcBorders>
          </w:tcPr>
          <w:p>
            <w:pPr>
              <w:pStyle w:val="TableParagraph"/>
              <w:spacing w:before="18"/>
              <w:ind w:left="71"/>
              <w:jc w:val="center"/>
              <w:rPr>
                <w:sz w:val="20"/>
              </w:rPr>
            </w:pPr>
            <w:r>
              <w:rPr>
                <w:w w:val="99"/>
                <w:sz w:val="20"/>
              </w:rPr>
              <w:t>+</w:t>
            </w:r>
          </w:p>
        </w:tc>
        <w:tc>
          <w:tcPr>
            <w:tcW w:w="974" w:type="dxa"/>
            <w:tcBorders>
              <w:top w:val="nil"/>
              <w:left w:val="nil"/>
              <w:bottom w:val="nil"/>
              <w:right w:val="nil"/>
            </w:tcBorders>
          </w:tcPr>
          <w:p>
            <w:pPr>
              <w:pStyle w:val="TableParagraph"/>
              <w:spacing w:before="18"/>
              <w:ind w:left="37"/>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a/b</w:t>
            </w:r>
          </w:p>
        </w:tc>
        <w:tc>
          <w:tcPr>
            <w:tcW w:w="967" w:type="dxa"/>
            <w:tcBorders>
              <w:top w:val="nil"/>
              <w:left w:val="nil"/>
              <w:bottom w:val="nil"/>
              <w:right w:val="nil"/>
            </w:tcBorders>
          </w:tcPr>
          <w:p>
            <w:pPr>
              <w:pStyle w:val="TableParagraph"/>
              <w:spacing w:before="18"/>
              <w:ind w:left="308" w:right="351"/>
              <w:jc w:val="center"/>
              <w:rPr>
                <w:sz w:val="20"/>
              </w:rPr>
            </w:pPr>
            <w:r>
              <w:rPr>
                <w:sz w:val="20"/>
              </w:rPr>
              <w:t>a/c</w:t>
            </w:r>
          </w:p>
        </w:tc>
        <w:tc>
          <w:tcPr>
            <w:tcW w:w="984" w:type="dxa"/>
            <w:tcBorders>
              <w:top w:val="nil"/>
              <w:left w:val="nil"/>
              <w:bottom w:val="nil"/>
              <w:right w:val="nil"/>
            </w:tcBorders>
          </w:tcPr>
          <w:p>
            <w:pPr>
              <w:pStyle w:val="TableParagraph"/>
              <w:spacing w:before="18"/>
              <w:ind w:right="12"/>
              <w:jc w:val="center"/>
              <w:rPr>
                <w:sz w:val="20"/>
              </w:rPr>
            </w:pPr>
            <w:r>
              <w:rPr>
                <w:w w:val="99"/>
                <w:sz w:val="20"/>
              </w:rPr>
              <w:t>8</w:t>
            </w:r>
          </w:p>
        </w:tc>
      </w:tr>
      <w:tr>
        <w:trPr>
          <w:trHeight w:val="287" w:hRule="exact"/>
        </w:trPr>
        <w:tc>
          <w:tcPr>
            <w:tcW w:w="1050" w:type="dxa"/>
            <w:tcBorders>
              <w:top w:val="nil"/>
              <w:left w:val="nil"/>
              <w:bottom w:val="nil"/>
              <w:right w:val="nil"/>
            </w:tcBorders>
          </w:tcPr>
          <w:p>
            <w:pPr>
              <w:pStyle w:val="TableParagraph"/>
              <w:spacing w:before="17"/>
              <w:ind w:left="432" w:right="355"/>
              <w:jc w:val="center"/>
              <w:rPr>
                <w:sz w:val="20"/>
              </w:rPr>
            </w:pPr>
            <w:r>
              <w:rPr>
                <w:sz w:val="20"/>
              </w:rPr>
              <w:t>34</w:t>
            </w:r>
          </w:p>
        </w:tc>
        <w:tc>
          <w:tcPr>
            <w:tcW w:w="1046" w:type="dxa"/>
            <w:tcBorders>
              <w:top w:val="nil"/>
              <w:left w:val="nil"/>
              <w:bottom w:val="nil"/>
              <w:right w:val="nil"/>
            </w:tcBorders>
          </w:tcPr>
          <w:p>
            <w:pPr>
              <w:pStyle w:val="TableParagraph"/>
              <w:spacing w:before="17"/>
              <w:ind w:left="71"/>
              <w:jc w:val="center"/>
              <w:rPr>
                <w:sz w:val="20"/>
              </w:rPr>
            </w:pPr>
            <w:r>
              <w:rPr>
                <w:w w:val="99"/>
                <w:sz w:val="20"/>
              </w:rPr>
              <w:t>+</w:t>
            </w:r>
          </w:p>
        </w:tc>
        <w:tc>
          <w:tcPr>
            <w:tcW w:w="974" w:type="dxa"/>
            <w:tcBorders>
              <w:top w:val="nil"/>
              <w:left w:val="nil"/>
              <w:bottom w:val="nil"/>
              <w:right w:val="nil"/>
            </w:tcBorders>
          </w:tcPr>
          <w:p>
            <w:pPr>
              <w:pStyle w:val="TableParagraph"/>
              <w:spacing w:before="17"/>
              <w:ind w:left="39"/>
              <w:jc w:val="center"/>
              <w:rPr>
                <w:sz w:val="20"/>
              </w:rPr>
            </w:pPr>
            <w:r>
              <w:rPr>
                <w:w w:val="99"/>
                <w:sz w:val="20"/>
              </w:rPr>
              <w:t>+</w:t>
            </w:r>
          </w:p>
        </w:tc>
        <w:tc>
          <w:tcPr>
            <w:tcW w:w="915" w:type="dxa"/>
            <w:tcBorders>
              <w:top w:val="nil"/>
              <w:left w:val="nil"/>
              <w:bottom w:val="nil"/>
              <w:right w:val="nil"/>
            </w:tcBorders>
          </w:tcPr>
          <w:p>
            <w:pPr>
              <w:pStyle w:val="TableParagraph"/>
              <w:spacing w:before="17"/>
              <w:ind w:left="288" w:right="295"/>
              <w:jc w:val="center"/>
              <w:rPr>
                <w:sz w:val="20"/>
              </w:rPr>
            </w:pPr>
            <w:r>
              <w:rPr>
                <w:sz w:val="20"/>
              </w:rPr>
              <w:t>a/b</w:t>
            </w:r>
          </w:p>
        </w:tc>
        <w:tc>
          <w:tcPr>
            <w:tcW w:w="967" w:type="dxa"/>
            <w:tcBorders>
              <w:top w:val="nil"/>
              <w:left w:val="nil"/>
              <w:bottom w:val="nil"/>
              <w:right w:val="nil"/>
            </w:tcBorders>
          </w:tcPr>
          <w:p>
            <w:pPr>
              <w:pStyle w:val="TableParagraph"/>
              <w:spacing w:before="17"/>
              <w:ind w:left="321" w:right="-197"/>
              <w:rPr>
                <w:sz w:val="20"/>
              </w:rPr>
            </w:pPr>
            <w:r>
              <w:rPr>
                <w:sz w:val="20"/>
              </w:rPr>
              <w:t>a/a</w:t>
            </w:r>
          </w:p>
        </w:tc>
        <w:tc>
          <w:tcPr>
            <w:tcW w:w="984" w:type="dxa"/>
            <w:tcBorders>
              <w:top w:val="nil"/>
              <w:left w:val="nil"/>
              <w:bottom w:val="nil"/>
              <w:right w:val="nil"/>
            </w:tcBorders>
          </w:tcPr>
          <w:p>
            <w:pPr>
              <w:pStyle w:val="TableParagraph"/>
              <w:spacing w:before="17"/>
              <w:ind w:right="12"/>
              <w:jc w:val="center"/>
              <w:rPr>
                <w:sz w:val="20"/>
              </w:rPr>
            </w:pPr>
            <w:r>
              <w:rPr>
                <w:w w:val="99"/>
                <w:sz w:val="20"/>
              </w:rPr>
              <w:t>0</w:t>
            </w:r>
          </w:p>
        </w:tc>
      </w:tr>
      <w:tr>
        <w:trPr>
          <w:trHeight w:val="287" w:hRule="exact"/>
        </w:trPr>
        <w:tc>
          <w:tcPr>
            <w:tcW w:w="1050" w:type="dxa"/>
            <w:tcBorders>
              <w:top w:val="nil"/>
              <w:left w:val="nil"/>
              <w:bottom w:val="nil"/>
              <w:right w:val="nil"/>
            </w:tcBorders>
          </w:tcPr>
          <w:p>
            <w:pPr>
              <w:pStyle w:val="TableParagraph"/>
              <w:spacing w:before="18"/>
              <w:ind w:left="432" w:right="355"/>
              <w:jc w:val="center"/>
              <w:rPr>
                <w:sz w:val="20"/>
              </w:rPr>
            </w:pPr>
            <w:r>
              <w:rPr>
                <w:sz w:val="20"/>
              </w:rPr>
              <w:t>35</w:t>
            </w:r>
          </w:p>
        </w:tc>
        <w:tc>
          <w:tcPr>
            <w:tcW w:w="1046" w:type="dxa"/>
            <w:tcBorders>
              <w:top w:val="nil"/>
              <w:left w:val="nil"/>
              <w:bottom w:val="nil"/>
              <w:right w:val="nil"/>
            </w:tcBorders>
          </w:tcPr>
          <w:p>
            <w:pPr>
              <w:pStyle w:val="TableParagraph"/>
              <w:spacing w:before="18"/>
              <w:ind w:left="71"/>
              <w:jc w:val="center"/>
              <w:rPr>
                <w:sz w:val="20"/>
              </w:rPr>
            </w:pPr>
            <w:r>
              <w:rPr>
                <w:w w:val="99"/>
                <w:sz w:val="20"/>
              </w:rPr>
              <w:t>+</w:t>
            </w:r>
          </w:p>
        </w:tc>
        <w:tc>
          <w:tcPr>
            <w:tcW w:w="974" w:type="dxa"/>
            <w:tcBorders>
              <w:top w:val="nil"/>
              <w:left w:val="nil"/>
              <w:bottom w:val="nil"/>
              <w:right w:val="nil"/>
            </w:tcBorders>
          </w:tcPr>
          <w:p>
            <w:pPr>
              <w:pStyle w:val="TableParagraph"/>
              <w:spacing w:before="18"/>
              <w:ind w:left="37"/>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a/b</w:t>
            </w:r>
          </w:p>
        </w:tc>
        <w:tc>
          <w:tcPr>
            <w:tcW w:w="967" w:type="dxa"/>
            <w:tcBorders>
              <w:top w:val="nil"/>
              <w:left w:val="nil"/>
              <w:bottom w:val="nil"/>
              <w:right w:val="nil"/>
            </w:tcBorders>
          </w:tcPr>
          <w:p>
            <w:pPr>
              <w:pStyle w:val="TableParagraph"/>
              <w:spacing w:before="18"/>
              <w:ind w:left="308" w:right="351"/>
              <w:jc w:val="center"/>
              <w:rPr>
                <w:sz w:val="20"/>
              </w:rPr>
            </w:pPr>
            <w:r>
              <w:rPr>
                <w:sz w:val="20"/>
              </w:rPr>
              <w:t>a/c</w:t>
            </w:r>
          </w:p>
        </w:tc>
        <w:tc>
          <w:tcPr>
            <w:tcW w:w="984" w:type="dxa"/>
            <w:tcBorders>
              <w:top w:val="nil"/>
              <w:left w:val="nil"/>
              <w:bottom w:val="nil"/>
              <w:right w:val="nil"/>
            </w:tcBorders>
          </w:tcPr>
          <w:p>
            <w:pPr>
              <w:pStyle w:val="TableParagraph"/>
              <w:spacing w:before="18"/>
              <w:ind w:right="12"/>
              <w:jc w:val="center"/>
              <w:rPr>
                <w:sz w:val="20"/>
              </w:rPr>
            </w:pPr>
            <w:r>
              <w:rPr>
                <w:w w:val="99"/>
                <w:sz w:val="20"/>
              </w:rPr>
              <w:t>8</w:t>
            </w:r>
          </w:p>
        </w:tc>
      </w:tr>
      <w:tr>
        <w:trPr>
          <w:trHeight w:val="287" w:hRule="exact"/>
        </w:trPr>
        <w:tc>
          <w:tcPr>
            <w:tcW w:w="1050" w:type="dxa"/>
            <w:tcBorders>
              <w:top w:val="nil"/>
              <w:left w:val="nil"/>
              <w:bottom w:val="nil"/>
              <w:right w:val="nil"/>
            </w:tcBorders>
          </w:tcPr>
          <w:p>
            <w:pPr>
              <w:pStyle w:val="TableParagraph"/>
              <w:spacing w:before="17"/>
              <w:ind w:left="432" w:right="355"/>
              <w:jc w:val="center"/>
              <w:rPr>
                <w:sz w:val="20"/>
              </w:rPr>
            </w:pPr>
            <w:r>
              <w:rPr>
                <w:sz w:val="20"/>
              </w:rPr>
              <w:t>36</w:t>
            </w:r>
          </w:p>
        </w:tc>
        <w:tc>
          <w:tcPr>
            <w:tcW w:w="1046" w:type="dxa"/>
            <w:tcBorders>
              <w:top w:val="nil"/>
              <w:left w:val="nil"/>
              <w:bottom w:val="nil"/>
              <w:right w:val="nil"/>
            </w:tcBorders>
          </w:tcPr>
          <w:p>
            <w:pPr>
              <w:pStyle w:val="TableParagraph"/>
              <w:spacing w:before="17"/>
              <w:ind w:left="71"/>
              <w:jc w:val="center"/>
              <w:rPr>
                <w:sz w:val="20"/>
              </w:rPr>
            </w:pPr>
            <w:r>
              <w:rPr>
                <w:w w:val="99"/>
                <w:sz w:val="20"/>
              </w:rPr>
              <w:t>+</w:t>
            </w:r>
          </w:p>
        </w:tc>
        <w:tc>
          <w:tcPr>
            <w:tcW w:w="974" w:type="dxa"/>
            <w:tcBorders>
              <w:top w:val="nil"/>
              <w:left w:val="nil"/>
              <w:bottom w:val="nil"/>
              <w:right w:val="nil"/>
            </w:tcBorders>
          </w:tcPr>
          <w:p>
            <w:pPr>
              <w:pStyle w:val="TableParagraph"/>
              <w:spacing w:before="17"/>
              <w:ind w:left="39"/>
              <w:jc w:val="center"/>
              <w:rPr>
                <w:sz w:val="20"/>
              </w:rPr>
            </w:pPr>
            <w:r>
              <w:rPr>
                <w:w w:val="99"/>
                <w:sz w:val="20"/>
              </w:rPr>
              <w:t>+</w:t>
            </w:r>
          </w:p>
        </w:tc>
        <w:tc>
          <w:tcPr>
            <w:tcW w:w="915" w:type="dxa"/>
            <w:tcBorders>
              <w:top w:val="nil"/>
              <w:left w:val="nil"/>
              <w:bottom w:val="nil"/>
              <w:right w:val="nil"/>
            </w:tcBorders>
          </w:tcPr>
          <w:p>
            <w:pPr>
              <w:pStyle w:val="TableParagraph"/>
              <w:spacing w:before="17"/>
              <w:ind w:left="288" w:right="295"/>
              <w:jc w:val="center"/>
              <w:rPr>
                <w:sz w:val="20"/>
              </w:rPr>
            </w:pPr>
            <w:r>
              <w:rPr>
                <w:sz w:val="20"/>
              </w:rPr>
              <w:t>a/b</w:t>
            </w:r>
          </w:p>
        </w:tc>
        <w:tc>
          <w:tcPr>
            <w:tcW w:w="967" w:type="dxa"/>
            <w:tcBorders>
              <w:top w:val="nil"/>
              <w:left w:val="nil"/>
              <w:bottom w:val="nil"/>
              <w:right w:val="nil"/>
            </w:tcBorders>
          </w:tcPr>
          <w:p>
            <w:pPr>
              <w:pStyle w:val="TableParagraph"/>
              <w:spacing w:before="17"/>
              <w:ind w:left="321" w:right="-197"/>
              <w:rPr>
                <w:sz w:val="20"/>
              </w:rPr>
            </w:pPr>
            <w:r>
              <w:rPr>
                <w:sz w:val="20"/>
              </w:rPr>
              <w:t>a/a</w:t>
            </w:r>
          </w:p>
        </w:tc>
        <w:tc>
          <w:tcPr>
            <w:tcW w:w="984" w:type="dxa"/>
            <w:tcBorders>
              <w:top w:val="nil"/>
              <w:left w:val="nil"/>
              <w:bottom w:val="nil"/>
              <w:right w:val="nil"/>
            </w:tcBorders>
          </w:tcPr>
          <w:p>
            <w:pPr>
              <w:pStyle w:val="TableParagraph"/>
              <w:spacing w:before="17"/>
              <w:ind w:right="12"/>
              <w:jc w:val="center"/>
              <w:rPr>
                <w:sz w:val="20"/>
              </w:rPr>
            </w:pPr>
            <w:r>
              <w:rPr>
                <w:w w:val="99"/>
                <w:sz w:val="20"/>
              </w:rPr>
              <w:t>2</w:t>
            </w:r>
          </w:p>
        </w:tc>
      </w:tr>
      <w:tr>
        <w:trPr>
          <w:trHeight w:val="288" w:hRule="exact"/>
        </w:trPr>
        <w:tc>
          <w:tcPr>
            <w:tcW w:w="1050" w:type="dxa"/>
            <w:tcBorders>
              <w:top w:val="nil"/>
              <w:left w:val="nil"/>
              <w:bottom w:val="nil"/>
              <w:right w:val="nil"/>
            </w:tcBorders>
          </w:tcPr>
          <w:p>
            <w:pPr>
              <w:pStyle w:val="TableParagraph"/>
              <w:spacing w:before="18"/>
              <w:ind w:left="432" w:right="355"/>
              <w:jc w:val="center"/>
              <w:rPr>
                <w:sz w:val="20"/>
              </w:rPr>
            </w:pPr>
            <w:r>
              <w:rPr>
                <w:sz w:val="20"/>
              </w:rPr>
              <w:t>37</w:t>
            </w:r>
          </w:p>
        </w:tc>
        <w:tc>
          <w:tcPr>
            <w:tcW w:w="1046" w:type="dxa"/>
            <w:tcBorders>
              <w:top w:val="nil"/>
              <w:left w:val="nil"/>
              <w:bottom w:val="nil"/>
              <w:right w:val="nil"/>
            </w:tcBorders>
          </w:tcPr>
          <w:p>
            <w:pPr>
              <w:pStyle w:val="TableParagraph"/>
              <w:spacing w:before="18"/>
              <w:ind w:left="69"/>
              <w:jc w:val="center"/>
              <w:rPr>
                <w:sz w:val="20"/>
              </w:rPr>
            </w:pPr>
            <w:r>
              <w:rPr>
                <w:w w:val="99"/>
                <w:sz w:val="20"/>
              </w:rPr>
              <w:t>-</w:t>
            </w:r>
          </w:p>
        </w:tc>
        <w:tc>
          <w:tcPr>
            <w:tcW w:w="974" w:type="dxa"/>
            <w:tcBorders>
              <w:top w:val="nil"/>
              <w:left w:val="nil"/>
              <w:bottom w:val="nil"/>
              <w:right w:val="nil"/>
            </w:tcBorders>
          </w:tcPr>
          <w:p>
            <w:pPr>
              <w:pStyle w:val="TableParagraph"/>
              <w:spacing w:before="18"/>
              <w:ind w:left="37"/>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b/b</w:t>
            </w:r>
          </w:p>
        </w:tc>
        <w:tc>
          <w:tcPr>
            <w:tcW w:w="967" w:type="dxa"/>
            <w:tcBorders>
              <w:top w:val="nil"/>
              <w:left w:val="nil"/>
              <w:bottom w:val="nil"/>
              <w:right w:val="nil"/>
            </w:tcBorders>
          </w:tcPr>
          <w:p>
            <w:pPr>
              <w:pStyle w:val="TableParagraph"/>
              <w:spacing w:before="18"/>
              <w:ind w:left="321" w:right="-197"/>
              <w:rPr>
                <w:sz w:val="20"/>
              </w:rPr>
            </w:pPr>
            <w:r>
              <w:rPr>
                <w:sz w:val="20"/>
              </w:rPr>
              <w:t>a/a</w:t>
            </w:r>
          </w:p>
        </w:tc>
        <w:tc>
          <w:tcPr>
            <w:tcW w:w="984" w:type="dxa"/>
            <w:tcBorders>
              <w:top w:val="nil"/>
              <w:left w:val="nil"/>
              <w:bottom w:val="nil"/>
              <w:right w:val="nil"/>
            </w:tcBorders>
          </w:tcPr>
          <w:p>
            <w:pPr>
              <w:pStyle w:val="TableParagraph"/>
              <w:spacing w:before="18"/>
              <w:ind w:right="12"/>
              <w:jc w:val="center"/>
              <w:rPr>
                <w:sz w:val="20"/>
              </w:rPr>
            </w:pPr>
            <w:r>
              <w:rPr>
                <w:w w:val="99"/>
                <w:sz w:val="20"/>
              </w:rPr>
              <w:t>9</w:t>
            </w:r>
          </w:p>
        </w:tc>
      </w:tr>
      <w:tr>
        <w:trPr>
          <w:trHeight w:val="287" w:hRule="exact"/>
        </w:trPr>
        <w:tc>
          <w:tcPr>
            <w:tcW w:w="1050" w:type="dxa"/>
            <w:tcBorders>
              <w:top w:val="nil"/>
              <w:left w:val="nil"/>
              <w:bottom w:val="nil"/>
              <w:right w:val="nil"/>
            </w:tcBorders>
          </w:tcPr>
          <w:p>
            <w:pPr>
              <w:pStyle w:val="TableParagraph"/>
              <w:spacing w:before="18"/>
              <w:ind w:left="432" w:right="355"/>
              <w:jc w:val="center"/>
              <w:rPr>
                <w:sz w:val="20"/>
              </w:rPr>
            </w:pPr>
            <w:r>
              <w:rPr>
                <w:sz w:val="20"/>
              </w:rPr>
              <w:t>38</w:t>
            </w:r>
          </w:p>
        </w:tc>
        <w:tc>
          <w:tcPr>
            <w:tcW w:w="1046" w:type="dxa"/>
            <w:tcBorders>
              <w:top w:val="nil"/>
              <w:left w:val="nil"/>
              <w:bottom w:val="nil"/>
              <w:right w:val="nil"/>
            </w:tcBorders>
          </w:tcPr>
          <w:p>
            <w:pPr>
              <w:pStyle w:val="TableParagraph"/>
              <w:spacing w:before="18"/>
              <w:ind w:left="69"/>
              <w:jc w:val="center"/>
              <w:rPr>
                <w:sz w:val="20"/>
              </w:rPr>
            </w:pPr>
            <w:r>
              <w:rPr>
                <w:w w:val="99"/>
                <w:sz w:val="20"/>
              </w:rPr>
              <w:t>-</w:t>
            </w:r>
          </w:p>
        </w:tc>
        <w:tc>
          <w:tcPr>
            <w:tcW w:w="974" w:type="dxa"/>
            <w:tcBorders>
              <w:top w:val="nil"/>
              <w:left w:val="nil"/>
              <w:bottom w:val="nil"/>
              <w:right w:val="nil"/>
            </w:tcBorders>
          </w:tcPr>
          <w:p>
            <w:pPr>
              <w:pStyle w:val="TableParagraph"/>
              <w:spacing w:before="18"/>
              <w:ind w:left="37"/>
              <w:jc w:val="center"/>
              <w:rPr>
                <w:sz w:val="20"/>
              </w:rPr>
            </w:pPr>
            <w:r>
              <w:rPr>
                <w:w w:val="99"/>
                <w:sz w:val="20"/>
              </w:rPr>
              <w:t>-</w:t>
            </w:r>
          </w:p>
        </w:tc>
        <w:tc>
          <w:tcPr>
            <w:tcW w:w="915" w:type="dxa"/>
            <w:tcBorders>
              <w:top w:val="nil"/>
              <w:left w:val="nil"/>
              <w:bottom w:val="nil"/>
              <w:right w:val="nil"/>
            </w:tcBorders>
          </w:tcPr>
          <w:p>
            <w:pPr>
              <w:pStyle w:val="TableParagraph"/>
              <w:spacing w:before="18"/>
              <w:ind w:left="288" w:right="295"/>
              <w:jc w:val="center"/>
              <w:rPr>
                <w:sz w:val="20"/>
              </w:rPr>
            </w:pPr>
            <w:r>
              <w:rPr>
                <w:sz w:val="20"/>
              </w:rPr>
              <w:t>a/b</w:t>
            </w:r>
          </w:p>
        </w:tc>
        <w:tc>
          <w:tcPr>
            <w:tcW w:w="967" w:type="dxa"/>
            <w:tcBorders>
              <w:top w:val="nil"/>
              <w:left w:val="nil"/>
              <w:bottom w:val="nil"/>
              <w:right w:val="nil"/>
            </w:tcBorders>
          </w:tcPr>
          <w:p>
            <w:pPr>
              <w:pStyle w:val="TableParagraph"/>
              <w:spacing w:before="18"/>
              <w:ind w:left="321" w:right="-197"/>
              <w:rPr>
                <w:sz w:val="20"/>
              </w:rPr>
            </w:pPr>
            <w:r>
              <w:rPr>
                <w:sz w:val="20"/>
              </w:rPr>
              <w:t>a/a</w:t>
            </w:r>
          </w:p>
        </w:tc>
        <w:tc>
          <w:tcPr>
            <w:tcW w:w="984" w:type="dxa"/>
            <w:tcBorders>
              <w:top w:val="nil"/>
              <w:left w:val="nil"/>
              <w:bottom w:val="nil"/>
              <w:right w:val="nil"/>
            </w:tcBorders>
          </w:tcPr>
          <w:p>
            <w:pPr>
              <w:pStyle w:val="TableParagraph"/>
              <w:spacing w:before="18"/>
              <w:ind w:right="12"/>
              <w:jc w:val="center"/>
              <w:rPr>
                <w:sz w:val="20"/>
              </w:rPr>
            </w:pPr>
            <w:r>
              <w:rPr>
                <w:w w:val="99"/>
                <w:sz w:val="20"/>
              </w:rPr>
              <w:t>7</w:t>
            </w:r>
          </w:p>
        </w:tc>
      </w:tr>
      <w:tr>
        <w:trPr>
          <w:trHeight w:val="287" w:hRule="exact"/>
        </w:trPr>
        <w:tc>
          <w:tcPr>
            <w:tcW w:w="1050" w:type="dxa"/>
            <w:tcBorders>
              <w:top w:val="nil"/>
              <w:left w:val="nil"/>
              <w:bottom w:val="nil"/>
              <w:right w:val="nil"/>
            </w:tcBorders>
          </w:tcPr>
          <w:p>
            <w:pPr>
              <w:pStyle w:val="TableParagraph"/>
              <w:spacing w:before="17"/>
              <w:ind w:left="432" w:right="355"/>
              <w:jc w:val="center"/>
              <w:rPr>
                <w:sz w:val="20"/>
              </w:rPr>
            </w:pPr>
            <w:r>
              <w:rPr>
                <w:sz w:val="20"/>
              </w:rPr>
              <w:t>39</w:t>
            </w:r>
          </w:p>
        </w:tc>
        <w:tc>
          <w:tcPr>
            <w:tcW w:w="1046" w:type="dxa"/>
            <w:tcBorders>
              <w:top w:val="nil"/>
              <w:left w:val="nil"/>
              <w:bottom w:val="nil"/>
              <w:right w:val="nil"/>
            </w:tcBorders>
          </w:tcPr>
          <w:p>
            <w:pPr>
              <w:pStyle w:val="TableParagraph"/>
              <w:spacing w:before="17"/>
              <w:ind w:left="71"/>
              <w:jc w:val="center"/>
              <w:rPr>
                <w:sz w:val="20"/>
              </w:rPr>
            </w:pPr>
            <w:r>
              <w:rPr>
                <w:w w:val="99"/>
                <w:sz w:val="20"/>
              </w:rPr>
              <w:t>+</w:t>
            </w:r>
          </w:p>
        </w:tc>
        <w:tc>
          <w:tcPr>
            <w:tcW w:w="974" w:type="dxa"/>
            <w:tcBorders>
              <w:top w:val="nil"/>
              <w:left w:val="nil"/>
              <w:bottom w:val="nil"/>
              <w:right w:val="nil"/>
            </w:tcBorders>
          </w:tcPr>
          <w:p>
            <w:pPr>
              <w:pStyle w:val="TableParagraph"/>
              <w:spacing w:before="17"/>
              <w:ind w:left="37"/>
              <w:jc w:val="center"/>
              <w:rPr>
                <w:sz w:val="20"/>
              </w:rPr>
            </w:pPr>
            <w:r>
              <w:rPr>
                <w:w w:val="99"/>
                <w:sz w:val="20"/>
              </w:rPr>
              <w:t>-</w:t>
            </w:r>
          </w:p>
        </w:tc>
        <w:tc>
          <w:tcPr>
            <w:tcW w:w="915" w:type="dxa"/>
            <w:tcBorders>
              <w:top w:val="nil"/>
              <w:left w:val="nil"/>
              <w:bottom w:val="nil"/>
              <w:right w:val="nil"/>
            </w:tcBorders>
          </w:tcPr>
          <w:p>
            <w:pPr>
              <w:pStyle w:val="TableParagraph"/>
              <w:spacing w:before="17"/>
              <w:ind w:left="288" w:right="295"/>
              <w:jc w:val="center"/>
              <w:rPr>
                <w:sz w:val="20"/>
              </w:rPr>
            </w:pPr>
            <w:r>
              <w:rPr>
                <w:sz w:val="20"/>
              </w:rPr>
              <w:t>a/b</w:t>
            </w:r>
          </w:p>
        </w:tc>
        <w:tc>
          <w:tcPr>
            <w:tcW w:w="967" w:type="dxa"/>
            <w:tcBorders>
              <w:top w:val="nil"/>
              <w:left w:val="nil"/>
              <w:bottom w:val="nil"/>
              <w:right w:val="nil"/>
            </w:tcBorders>
          </w:tcPr>
          <w:p>
            <w:pPr>
              <w:pStyle w:val="TableParagraph"/>
              <w:spacing w:before="17"/>
              <w:ind w:left="321" w:right="-197"/>
              <w:rPr>
                <w:sz w:val="20"/>
              </w:rPr>
            </w:pPr>
            <w:r>
              <w:rPr>
                <w:sz w:val="20"/>
              </w:rPr>
              <w:t>a/a</w:t>
            </w:r>
          </w:p>
        </w:tc>
        <w:tc>
          <w:tcPr>
            <w:tcW w:w="984" w:type="dxa"/>
            <w:tcBorders>
              <w:top w:val="nil"/>
              <w:left w:val="nil"/>
              <w:bottom w:val="nil"/>
              <w:right w:val="nil"/>
            </w:tcBorders>
          </w:tcPr>
          <w:p>
            <w:pPr>
              <w:pStyle w:val="TableParagraph"/>
              <w:spacing w:before="17"/>
              <w:ind w:right="12"/>
              <w:jc w:val="center"/>
              <w:rPr>
                <w:sz w:val="20"/>
              </w:rPr>
            </w:pPr>
            <w:r>
              <w:rPr>
                <w:w w:val="99"/>
                <w:sz w:val="20"/>
              </w:rPr>
              <w:t>2</w:t>
            </w:r>
          </w:p>
        </w:tc>
      </w:tr>
      <w:tr>
        <w:trPr>
          <w:trHeight w:val="319" w:hRule="exact"/>
        </w:trPr>
        <w:tc>
          <w:tcPr>
            <w:tcW w:w="1050" w:type="dxa"/>
            <w:tcBorders>
              <w:top w:val="nil"/>
              <w:left w:val="nil"/>
              <w:right w:val="nil"/>
            </w:tcBorders>
          </w:tcPr>
          <w:p>
            <w:pPr>
              <w:pStyle w:val="TableParagraph"/>
              <w:spacing w:before="18"/>
              <w:ind w:left="432" w:right="355"/>
              <w:jc w:val="center"/>
              <w:rPr>
                <w:sz w:val="20"/>
              </w:rPr>
            </w:pPr>
            <w:r>
              <w:rPr>
                <w:sz w:val="20"/>
              </w:rPr>
              <w:t>40</w:t>
            </w:r>
          </w:p>
        </w:tc>
        <w:tc>
          <w:tcPr>
            <w:tcW w:w="1046" w:type="dxa"/>
            <w:tcBorders>
              <w:top w:val="nil"/>
              <w:left w:val="nil"/>
              <w:right w:val="nil"/>
            </w:tcBorders>
          </w:tcPr>
          <w:p>
            <w:pPr>
              <w:pStyle w:val="TableParagraph"/>
              <w:spacing w:before="18"/>
              <w:ind w:left="71"/>
              <w:jc w:val="center"/>
              <w:rPr>
                <w:sz w:val="20"/>
              </w:rPr>
            </w:pPr>
            <w:r>
              <w:rPr>
                <w:w w:val="99"/>
                <w:sz w:val="20"/>
              </w:rPr>
              <w:t>+</w:t>
            </w:r>
          </w:p>
        </w:tc>
        <w:tc>
          <w:tcPr>
            <w:tcW w:w="974" w:type="dxa"/>
            <w:tcBorders>
              <w:top w:val="nil"/>
              <w:left w:val="nil"/>
              <w:right w:val="nil"/>
            </w:tcBorders>
          </w:tcPr>
          <w:p>
            <w:pPr>
              <w:pStyle w:val="TableParagraph"/>
              <w:spacing w:before="18"/>
              <w:ind w:left="39"/>
              <w:jc w:val="center"/>
              <w:rPr>
                <w:sz w:val="20"/>
              </w:rPr>
            </w:pPr>
            <w:r>
              <w:rPr>
                <w:w w:val="99"/>
                <w:sz w:val="20"/>
              </w:rPr>
              <w:t>+</w:t>
            </w:r>
          </w:p>
        </w:tc>
        <w:tc>
          <w:tcPr>
            <w:tcW w:w="915" w:type="dxa"/>
            <w:tcBorders>
              <w:top w:val="nil"/>
              <w:left w:val="nil"/>
              <w:right w:val="nil"/>
            </w:tcBorders>
          </w:tcPr>
          <w:p>
            <w:pPr>
              <w:pStyle w:val="TableParagraph"/>
              <w:spacing w:before="18"/>
              <w:ind w:left="288" w:right="295"/>
              <w:jc w:val="center"/>
              <w:rPr>
                <w:sz w:val="20"/>
              </w:rPr>
            </w:pPr>
            <w:r>
              <w:rPr>
                <w:sz w:val="20"/>
              </w:rPr>
              <w:t>a/b</w:t>
            </w:r>
          </w:p>
        </w:tc>
        <w:tc>
          <w:tcPr>
            <w:tcW w:w="967" w:type="dxa"/>
            <w:tcBorders>
              <w:top w:val="nil"/>
              <w:left w:val="nil"/>
              <w:right w:val="nil"/>
            </w:tcBorders>
          </w:tcPr>
          <w:p>
            <w:pPr>
              <w:pStyle w:val="TableParagraph"/>
              <w:spacing w:before="18"/>
              <w:ind w:left="321" w:right="-197"/>
              <w:rPr>
                <w:sz w:val="20"/>
              </w:rPr>
            </w:pPr>
            <w:r>
              <w:rPr>
                <w:sz w:val="20"/>
              </w:rPr>
              <w:t>a/a</w:t>
            </w:r>
          </w:p>
        </w:tc>
        <w:tc>
          <w:tcPr>
            <w:tcW w:w="984" w:type="dxa"/>
            <w:tcBorders>
              <w:top w:val="nil"/>
              <w:left w:val="nil"/>
              <w:right w:val="nil"/>
            </w:tcBorders>
          </w:tcPr>
          <w:p>
            <w:pPr>
              <w:pStyle w:val="TableParagraph"/>
              <w:spacing w:before="18"/>
              <w:ind w:right="12"/>
              <w:jc w:val="center"/>
              <w:rPr>
                <w:sz w:val="20"/>
              </w:rPr>
            </w:pPr>
            <w:r>
              <w:rPr>
                <w:w w:val="99"/>
                <w:sz w:val="20"/>
              </w:rPr>
              <w:t>4</w:t>
            </w:r>
          </w:p>
        </w:tc>
      </w:tr>
    </w:tbl>
    <w:p>
      <w:pPr>
        <w:spacing w:after="0"/>
        <w:jc w:val="center"/>
        <w:rPr>
          <w:sz w:val="20"/>
        </w:rPr>
        <w:sectPr>
          <w:footerReference w:type="default" r:id="rId26"/>
          <w:pgSz w:w="12240" w:h="15840"/>
          <w:pgMar w:footer="1039" w:header="733" w:top="1020" w:bottom="1220" w:left="1540" w:right="1520"/>
        </w:sectPr>
      </w:pPr>
    </w:p>
    <w:p>
      <w:pPr>
        <w:pStyle w:val="BodyText"/>
        <w:spacing w:before="2"/>
        <w:rPr>
          <w:sz w:val="19"/>
        </w:rPr>
      </w:pPr>
    </w:p>
    <w:p>
      <w:pPr>
        <w:pStyle w:val="ListParagraph"/>
        <w:numPr>
          <w:ilvl w:val="2"/>
          <w:numId w:val="34"/>
        </w:numPr>
        <w:tabs>
          <w:tab w:pos="446" w:val="left" w:leader="none"/>
        </w:tabs>
        <w:spacing w:line="240" w:lineRule="auto" w:before="56" w:after="0"/>
        <w:ind w:left="445" w:right="0" w:hanging="142"/>
        <w:jc w:val="left"/>
        <w:rPr>
          <w:sz w:val="24"/>
        </w:rPr>
      </w:pPr>
      <w:r>
        <w:rPr>
          <w:sz w:val="24"/>
        </w:rPr>
        <w:t>Grupo No</w:t>
      </w:r>
      <w:r>
        <w:rPr>
          <w:spacing w:val="-6"/>
          <w:sz w:val="24"/>
        </w:rPr>
        <w:t> </w:t>
      </w:r>
      <w:r>
        <w:rPr>
          <w:sz w:val="24"/>
        </w:rPr>
        <w:t>Expuesto</w:t>
      </w:r>
    </w:p>
    <w:p>
      <w:pPr>
        <w:pStyle w:val="BodyText"/>
        <w:spacing w:before="1"/>
        <w:rPr>
          <w:sz w:val="21"/>
        </w:rPr>
      </w:pPr>
    </w:p>
    <w:tbl>
      <w:tblPr>
        <w:tblW w:w="0" w:type="auto"/>
        <w:jc w:val="left"/>
        <w:tblInd w:w="17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934"/>
        <w:gridCol w:w="981"/>
        <w:gridCol w:w="952"/>
        <w:gridCol w:w="915"/>
        <w:gridCol w:w="966"/>
        <w:gridCol w:w="984"/>
      </w:tblGrid>
      <w:tr>
        <w:trPr>
          <w:trHeight w:val="307" w:hRule="exact"/>
        </w:trPr>
        <w:tc>
          <w:tcPr>
            <w:tcW w:w="5732" w:type="dxa"/>
            <w:gridSpan w:val="6"/>
            <w:tcBorders>
              <w:left w:val="nil"/>
              <w:right w:val="nil"/>
            </w:tcBorders>
          </w:tcPr>
          <w:p>
            <w:pPr>
              <w:pStyle w:val="TableParagraph"/>
              <w:spacing w:line="227" w:lineRule="exact"/>
              <w:ind w:left="3490"/>
              <w:rPr>
                <w:sz w:val="20"/>
              </w:rPr>
            </w:pPr>
            <w:r>
              <w:rPr>
                <w:sz w:val="20"/>
              </w:rPr>
              <w:t>GSTP1</w:t>
            </w:r>
          </w:p>
        </w:tc>
      </w:tr>
      <w:tr>
        <w:trPr>
          <w:trHeight w:val="284" w:hRule="exact"/>
        </w:trPr>
        <w:tc>
          <w:tcPr>
            <w:tcW w:w="934" w:type="dxa"/>
            <w:tcBorders>
              <w:left w:val="nil"/>
              <w:bottom w:val="nil"/>
              <w:right w:val="nil"/>
            </w:tcBorders>
          </w:tcPr>
          <w:p>
            <w:pPr>
              <w:pStyle w:val="TableParagraph"/>
              <w:tabs>
                <w:tab w:pos="1063" w:val="left" w:leader="none"/>
              </w:tabs>
              <w:spacing w:line="227" w:lineRule="exact"/>
              <w:ind w:left="10" w:right="-130"/>
              <w:rPr>
                <w:sz w:val="20"/>
              </w:rPr>
            </w:pPr>
            <w:r>
              <w:rPr>
                <w:w w:val="99"/>
                <w:sz w:val="20"/>
                <w:u w:val="single"/>
              </w:rPr>
              <w:t> </w:t>
            </w:r>
            <w:r>
              <w:rPr>
                <w:spacing w:val="25"/>
                <w:sz w:val="20"/>
                <w:u w:val="single"/>
              </w:rPr>
              <w:t> </w:t>
            </w:r>
            <w:r>
              <w:rPr>
                <w:sz w:val="20"/>
                <w:u w:val="single"/>
              </w:rPr>
              <w:t>#</w:t>
            </w:r>
            <w:r>
              <w:rPr>
                <w:spacing w:val="-4"/>
                <w:sz w:val="20"/>
                <w:u w:val="single"/>
              </w:rPr>
              <w:t> </w:t>
            </w:r>
            <w:r>
              <w:rPr>
                <w:sz w:val="20"/>
                <w:u w:val="single"/>
              </w:rPr>
              <w:t>Caso</w:t>
              <w:tab/>
            </w:r>
          </w:p>
        </w:tc>
        <w:tc>
          <w:tcPr>
            <w:tcW w:w="981" w:type="dxa"/>
            <w:tcBorders>
              <w:left w:val="nil"/>
              <w:bottom w:val="nil"/>
              <w:right w:val="nil"/>
            </w:tcBorders>
          </w:tcPr>
          <w:p>
            <w:pPr>
              <w:pStyle w:val="TableParagraph"/>
              <w:tabs>
                <w:tab w:pos="1142" w:val="left" w:leader="none"/>
              </w:tabs>
              <w:spacing w:line="227" w:lineRule="exact"/>
              <w:ind w:left="129" w:right="-162"/>
              <w:rPr>
                <w:sz w:val="20"/>
              </w:rPr>
            </w:pPr>
            <w:r>
              <w:rPr>
                <w:sz w:val="20"/>
                <w:u w:val="single"/>
              </w:rPr>
              <w:t>GSTM1</w:t>
              <w:tab/>
            </w:r>
          </w:p>
        </w:tc>
        <w:tc>
          <w:tcPr>
            <w:tcW w:w="952" w:type="dxa"/>
            <w:tcBorders>
              <w:left w:val="nil"/>
              <w:bottom w:val="nil"/>
              <w:right w:val="nil"/>
            </w:tcBorders>
          </w:tcPr>
          <w:p>
            <w:pPr>
              <w:pStyle w:val="TableParagraph"/>
              <w:tabs>
                <w:tab w:pos="1097" w:val="left" w:leader="none"/>
              </w:tabs>
              <w:spacing w:line="227" w:lineRule="exact"/>
              <w:ind w:left="161" w:right="-146"/>
              <w:rPr>
                <w:sz w:val="20"/>
              </w:rPr>
            </w:pPr>
            <w:r>
              <w:rPr>
                <w:sz w:val="20"/>
                <w:u w:val="single"/>
              </w:rPr>
              <w:t>GSTT1</w:t>
              <w:tab/>
            </w:r>
          </w:p>
        </w:tc>
        <w:tc>
          <w:tcPr>
            <w:tcW w:w="915" w:type="dxa"/>
            <w:tcBorders>
              <w:left w:val="nil"/>
              <w:bottom w:val="nil"/>
              <w:right w:val="nil"/>
            </w:tcBorders>
          </w:tcPr>
          <w:p>
            <w:pPr>
              <w:pStyle w:val="TableParagraph"/>
              <w:tabs>
                <w:tab w:pos="1064" w:val="left" w:leader="none"/>
              </w:tabs>
              <w:spacing w:line="227" w:lineRule="exact"/>
              <w:ind w:left="145" w:right="-151"/>
              <w:rPr>
                <w:sz w:val="20"/>
              </w:rPr>
            </w:pPr>
            <w:r>
              <w:rPr>
                <w:sz w:val="20"/>
                <w:u w:val="single"/>
              </w:rPr>
              <w:t>Exón</w:t>
            </w:r>
            <w:r>
              <w:rPr>
                <w:spacing w:val="-4"/>
                <w:sz w:val="20"/>
                <w:u w:val="single"/>
              </w:rPr>
              <w:t> </w:t>
            </w:r>
            <w:r>
              <w:rPr>
                <w:sz w:val="20"/>
                <w:u w:val="single"/>
              </w:rPr>
              <w:t>5</w:t>
              <w:tab/>
            </w:r>
          </w:p>
        </w:tc>
        <w:tc>
          <w:tcPr>
            <w:tcW w:w="966" w:type="dxa"/>
            <w:tcBorders>
              <w:left w:val="nil"/>
              <w:bottom w:val="nil"/>
              <w:right w:val="nil"/>
            </w:tcBorders>
          </w:tcPr>
          <w:p>
            <w:pPr>
              <w:pStyle w:val="TableParagraph"/>
              <w:tabs>
                <w:tab w:pos="1162" w:val="left" w:leader="none"/>
              </w:tabs>
              <w:spacing w:line="227" w:lineRule="exact"/>
              <w:ind w:left="150" w:right="-197"/>
              <w:rPr>
                <w:sz w:val="20"/>
              </w:rPr>
            </w:pPr>
            <w:r>
              <w:rPr>
                <w:sz w:val="20"/>
                <w:u w:val="single"/>
              </w:rPr>
              <w:t>Exón</w:t>
            </w:r>
            <w:r>
              <w:rPr>
                <w:spacing w:val="-4"/>
                <w:sz w:val="20"/>
                <w:u w:val="single"/>
              </w:rPr>
              <w:t> </w:t>
            </w:r>
            <w:r>
              <w:rPr>
                <w:sz w:val="20"/>
                <w:u w:val="single"/>
              </w:rPr>
              <w:t>6</w:t>
              <w:tab/>
            </w:r>
          </w:p>
        </w:tc>
        <w:tc>
          <w:tcPr>
            <w:tcW w:w="984" w:type="dxa"/>
            <w:tcBorders>
              <w:left w:val="nil"/>
              <w:bottom w:val="nil"/>
              <w:right w:val="nil"/>
            </w:tcBorders>
          </w:tcPr>
          <w:p>
            <w:pPr>
              <w:pStyle w:val="TableParagraph"/>
              <w:tabs>
                <w:tab w:pos="1003" w:val="left" w:leader="none"/>
              </w:tabs>
              <w:spacing w:line="227" w:lineRule="exact"/>
              <w:ind w:left="196" w:right="-21"/>
              <w:rPr>
                <w:sz w:val="20"/>
              </w:rPr>
            </w:pPr>
            <w:r>
              <w:rPr>
                <w:sz w:val="20"/>
                <w:u w:val="single"/>
              </w:rPr>
              <w:t>Caries</w:t>
              <w:tab/>
            </w:r>
          </w:p>
        </w:tc>
      </w:tr>
      <w:tr>
        <w:trPr>
          <w:trHeight w:val="317" w:hRule="exact"/>
        </w:trPr>
        <w:tc>
          <w:tcPr>
            <w:tcW w:w="934" w:type="dxa"/>
            <w:tcBorders>
              <w:top w:val="nil"/>
              <w:left w:val="nil"/>
              <w:bottom w:val="nil"/>
              <w:right w:val="nil"/>
            </w:tcBorders>
          </w:tcPr>
          <w:p>
            <w:pPr>
              <w:pStyle w:val="TableParagraph"/>
              <w:spacing w:before="10"/>
              <w:ind w:right="127"/>
              <w:jc w:val="right"/>
              <w:rPr>
                <w:rFonts w:ascii="Calibri"/>
                <w:sz w:val="20"/>
              </w:rPr>
            </w:pPr>
            <w:r>
              <w:rPr>
                <w:rFonts w:ascii="Calibri"/>
                <w:w w:val="99"/>
                <w:sz w:val="20"/>
              </w:rPr>
              <w:t>1</w:t>
            </w:r>
          </w:p>
        </w:tc>
        <w:tc>
          <w:tcPr>
            <w:tcW w:w="981" w:type="dxa"/>
            <w:tcBorders>
              <w:top w:val="nil"/>
              <w:left w:val="nil"/>
              <w:bottom w:val="nil"/>
              <w:right w:val="nil"/>
            </w:tcBorders>
          </w:tcPr>
          <w:p>
            <w:pPr>
              <w:pStyle w:val="TableParagraph"/>
              <w:spacing w:before="8"/>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before="27"/>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53"/>
              <w:ind w:left="291" w:right="295"/>
              <w:jc w:val="center"/>
              <w:rPr>
                <w:rFonts w:ascii="Calibri"/>
                <w:sz w:val="20"/>
              </w:rPr>
            </w:pPr>
            <w:r>
              <w:rPr>
                <w:rFonts w:ascii="Calibri"/>
                <w:sz w:val="20"/>
              </w:rPr>
              <w:t>a/b</w:t>
            </w:r>
          </w:p>
        </w:tc>
        <w:tc>
          <w:tcPr>
            <w:tcW w:w="966" w:type="dxa"/>
            <w:tcBorders>
              <w:top w:val="nil"/>
              <w:left w:val="nil"/>
              <w:bottom w:val="nil"/>
              <w:right w:val="nil"/>
            </w:tcBorders>
          </w:tcPr>
          <w:p>
            <w:pPr>
              <w:pStyle w:val="TableParagraph"/>
              <w:spacing w:before="53"/>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before="10"/>
              <w:ind w:right="12"/>
              <w:jc w:val="center"/>
              <w:rPr>
                <w:rFonts w:ascii="Calibri"/>
                <w:sz w:val="20"/>
              </w:rPr>
            </w:pPr>
            <w:r>
              <w:rPr>
                <w:rFonts w:ascii="Calibri"/>
                <w:w w:val="99"/>
                <w:sz w:val="20"/>
              </w:rPr>
              <w:t>6</w:t>
            </w:r>
          </w:p>
        </w:tc>
      </w:tr>
      <w:tr>
        <w:trPr>
          <w:trHeight w:val="288" w:hRule="exact"/>
        </w:trPr>
        <w:tc>
          <w:tcPr>
            <w:tcW w:w="934" w:type="dxa"/>
            <w:tcBorders>
              <w:top w:val="nil"/>
              <w:left w:val="nil"/>
              <w:bottom w:val="nil"/>
              <w:right w:val="nil"/>
            </w:tcBorders>
          </w:tcPr>
          <w:p>
            <w:pPr>
              <w:pStyle w:val="TableParagraph"/>
              <w:spacing w:line="226" w:lineRule="exact"/>
              <w:ind w:right="127"/>
              <w:jc w:val="right"/>
              <w:rPr>
                <w:rFonts w:ascii="Calibri"/>
                <w:sz w:val="20"/>
              </w:rPr>
            </w:pPr>
            <w:r>
              <w:rPr>
                <w:rFonts w:ascii="Calibri"/>
                <w:w w:val="99"/>
                <w:sz w:val="20"/>
              </w:rPr>
              <w:t>2</w:t>
            </w:r>
          </w:p>
        </w:tc>
        <w:tc>
          <w:tcPr>
            <w:tcW w:w="981" w:type="dxa"/>
            <w:tcBorders>
              <w:top w:val="nil"/>
              <w:left w:val="nil"/>
              <w:bottom w:val="nil"/>
              <w:right w:val="nil"/>
            </w:tcBorders>
          </w:tcPr>
          <w:p>
            <w:pPr>
              <w:pStyle w:val="TableParagraph"/>
              <w:spacing w:line="248" w:lineRule="exact"/>
              <w:ind w:right="33"/>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7"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5"/>
              <w:ind w:left="291" w:right="295"/>
              <w:jc w:val="center"/>
              <w:rPr>
                <w:rFonts w:ascii="Calibri"/>
                <w:sz w:val="20"/>
              </w:rPr>
            </w:pPr>
            <w:r>
              <w:rPr>
                <w:rFonts w:ascii="Calibri"/>
                <w:sz w:val="20"/>
              </w:rPr>
              <w:t>a/a</w:t>
            </w:r>
          </w:p>
        </w:tc>
        <w:tc>
          <w:tcPr>
            <w:tcW w:w="966" w:type="dxa"/>
            <w:tcBorders>
              <w:top w:val="nil"/>
              <w:left w:val="nil"/>
              <w:bottom w:val="nil"/>
              <w:right w:val="nil"/>
            </w:tcBorders>
          </w:tcPr>
          <w:p>
            <w:pPr>
              <w:pStyle w:val="TableParagraph"/>
              <w:spacing w:before="25"/>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6" w:lineRule="exact"/>
              <w:ind w:right="12"/>
              <w:jc w:val="center"/>
              <w:rPr>
                <w:rFonts w:ascii="Calibri"/>
                <w:sz w:val="20"/>
              </w:rPr>
            </w:pPr>
            <w:r>
              <w:rPr>
                <w:rFonts w:ascii="Calibri"/>
                <w:w w:val="99"/>
                <w:sz w:val="20"/>
              </w:rPr>
              <w:t>3</w:t>
            </w:r>
          </w:p>
        </w:tc>
      </w:tr>
      <w:tr>
        <w:trPr>
          <w:trHeight w:val="287" w:hRule="exact"/>
        </w:trPr>
        <w:tc>
          <w:tcPr>
            <w:tcW w:w="934" w:type="dxa"/>
            <w:tcBorders>
              <w:top w:val="nil"/>
              <w:left w:val="nil"/>
              <w:bottom w:val="nil"/>
              <w:right w:val="nil"/>
            </w:tcBorders>
          </w:tcPr>
          <w:p>
            <w:pPr>
              <w:pStyle w:val="TableParagraph"/>
              <w:spacing w:line="226" w:lineRule="exact"/>
              <w:ind w:right="127"/>
              <w:jc w:val="right"/>
              <w:rPr>
                <w:rFonts w:ascii="Calibri"/>
                <w:sz w:val="20"/>
              </w:rPr>
            </w:pPr>
            <w:r>
              <w:rPr>
                <w:rFonts w:ascii="Calibri"/>
                <w:w w:val="99"/>
                <w:sz w:val="20"/>
              </w:rPr>
              <w:t>3</w:t>
            </w:r>
          </w:p>
        </w:tc>
        <w:tc>
          <w:tcPr>
            <w:tcW w:w="981" w:type="dxa"/>
            <w:tcBorders>
              <w:top w:val="nil"/>
              <w:left w:val="nil"/>
              <w:bottom w:val="nil"/>
              <w:right w:val="nil"/>
            </w:tcBorders>
          </w:tcPr>
          <w:p>
            <w:pPr>
              <w:pStyle w:val="TableParagraph"/>
              <w:spacing w:line="248"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5"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5"/>
              <w:ind w:left="291" w:right="295"/>
              <w:jc w:val="center"/>
              <w:rPr>
                <w:rFonts w:ascii="Calibri"/>
                <w:sz w:val="20"/>
              </w:rPr>
            </w:pPr>
            <w:r>
              <w:rPr>
                <w:rFonts w:ascii="Calibri"/>
                <w:sz w:val="20"/>
              </w:rPr>
              <w:t>a/b</w:t>
            </w:r>
          </w:p>
        </w:tc>
        <w:tc>
          <w:tcPr>
            <w:tcW w:w="966" w:type="dxa"/>
            <w:tcBorders>
              <w:top w:val="nil"/>
              <w:left w:val="nil"/>
              <w:bottom w:val="nil"/>
              <w:right w:val="nil"/>
            </w:tcBorders>
          </w:tcPr>
          <w:p>
            <w:pPr>
              <w:pStyle w:val="TableParagraph"/>
              <w:spacing w:before="25"/>
              <w:ind w:left="306" w:right="348"/>
              <w:jc w:val="center"/>
              <w:rPr>
                <w:rFonts w:ascii="Calibri"/>
                <w:sz w:val="20"/>
              </w:rPr>
            </w:pPr>
            <w:r>
              <w:rPr>
                <w:rFonts w:ascii="Calibri"/>
                <w:sz w:val="20"/>
              </w:rPr>
              <w:t>a/c</w:t>
            </w:r>
          </w:p>
        </w:tc>
        <w:tc>
          <w:tcPr>
            <w:tcW w:w="984" w:type="dxa"/>
            <w:tcBorders>
              <w:top w:val="nil"/>
              <w:left w:val="nil"/>
              <w:bottom w:val="nil"/>
              <w:right w:val="nil"/>
            </w:tcBorders>
          </w:tcPr>
          <w:p>
            <w:pPr>
              <w:pStyle w:val="TableParagraph"/>
              <w:spacing w:line="226" w:lineRule="exact"/>
              <w:ind w:left="354" w:right="366"/>
              <w:jc w:val="center"/>
              <w:rPr>
                <w:rFonts w:ascii="Calibri"/>
                <w:sz w:val="20"/>
              </w:rPr>
            </w:pPr>
            <w:r>
              <w:rPr>
                <w:rFonts w:ascii="Calibri"/>
                <w:sz w:val="20"/>
              </w:rPr>
              <w:t>10</w:t>
            </w:r>
          </w:p>
        </w:tc>
      </w:tr>
      <w:tr>
        <w:trPr>
          <w:trHeight w:val="287" w:hRule="exact"/>
        </w:trPr>
        <w:tc>
          <w:tcPr>
            <w:tcW w:w="934" w:type="dxa"/>
            <w:tcBorders>
              <w:top w:val="nil"/>
              <w:left w:val="nil"/>
              <w:bottom w:val="nil"/>
              <w:right w:val="nil"/>
            </w:tcBorders>
          </w:tcPr>
          <w:p>
            <w:pPr>
              <w:pStyle w:val="TableParagraph"/>
              <w:spacing w:line="225" w:lineRule="exact"/>
              <w:ind w:right="127"/>
              <w:jc w:val="right"/>
              <w:rPr>
                <w:rFonts w:ascii="Calibri"/>
                <w:sz w:val="20"/>
              </w:rPr>
            </w:pPr>
            <w:r>
              <w:rPr>
                <w:rFonts w:ascii="Calibri"/>
                <w:w w:val="99"/>
                <w:sz w:val="20"/>
              </w:rPr>
              <w:t>4</w:t>
            </w:r>
          </w:p>
        </w:tc>
        <w:tc>
          <w:tcPr>
            <w:tcW w:w="981" w:type="dxa"/>
            <w:tcBorders>
              <w:top w:val="nil"/>
              <w:left w:val="nil"/>
              <w:bottom w:val="nil"/>
              <w:right w:val="nil"/>
            </w:tcBorders>
          </w:tcPr>
          <w:p>
            <w:pPr>
              <w:pStyle w:val="TableParagraph"/>
              <w:spacing w:line="247"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6" w:lineRule="exact"/>
              <w:ind w:left="13"/>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3"/>
              <w:ind w:left="291" w:right="295"/>
              <w:jc w:val="center"/>
              <w:rPr>
                <w:rFonts w:ascii="Calibri"/>
                <w:sz w:val="20"/>
              </w:rPr>
            </w:pPr>
            <w:r>
              <w:rPr>
                <w:rFonts w:ascii="Calibri"/>
                <w:sz w:val="20"/>
              </w:rPr>
              <w:t>a/a</w:t>
            </w:r>
          </w:p>
        </w:tc>
        <w:tc>
          <w:tcPr>
            <w:tcW w:w="966" w:type="dxa"/>
            <w:tcBorders>
              <w:top w:val="nil"/>
              <w:left w:val="nil"/>
              <w:bottom w:val="nil"/>
              <w:right w:val="nil"/>
            </w:tcBorders>
          </w:tcPr>
          <w:p>
            <w:pPr>
              <w:pStyle w:val="TableParagraph"/>
              <w:spacing w:before="23"/>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5" w:lineRule="exact"/>
              <w:ind w:right="12"/>
              <w:jc w:val="center"/>
              <w:rPr>
                <w:rFonts w:ascii="Calibri"/>
                <w:sz w:val="20"/>
              </w:rPr>
            </w:pPr>
            <w:r>
              <w:rPr>
                <w:rFonts w:ascii="Calibri"/>
                <w:w w:val="99"/>
                <w:sz w:val="20"/>
              </w:rPr>
              <w:t>3</w:t>
            </w:r>
          </w:p>
        </w:tc>
      </w:tr>
      <w:tr>
        <w:trPr>
          <w:trHeight w:val="287" w:hRule="exact"/>
        </w:trPr>
        <w:tc>
          <w:tcPr>
            <w:tcW w:w="934" w:type="dxa"/>
            <w:tcBorders>
              <w:top w:val="nil"/>
              <w:left w:val="nil"/>
              <w:bottom w:val="nil"/>
              <w:right w:val="nil"/>
            </w:tcBorders>
          </w:tcPr>
          <w:p>
            <w:pPr>
              <w:pStyle w:val="TableParagraph"/>
              <w:spacing w:line="226" w:lineRule="exact"/>
              <w:ind w:right="127"/>
              <w:jc w:val="right"/>
              <w:rPr>
                <w:rFonts w:ascii="Calibri"/>
                <w:sz w:val="20"/>
              </w:rPr>
            </w:pPr>
            <w:r>
              <w:rPr>
                <w:rFonts w:ascii="Calibri"/>
                <w:w w:val="99"/>
                <w:sz w:val="20"/>
              </w:rPr>
              <w:t>5</w:t>
            </w:r>
          </w:p>
        </w:tc>
        <w:tc>
          <w:tcPr>
            <w:tcW w:w="981" w:type="dxa"/>
            <w:tcBorders>
              <w:top w:val="nil"/>
              <w:left w:val="nil"/>
              <w:bottom w:val="nil"/>
              <w:right w:val="nil"/>
            </w:tcBorders>
          </w:tcPr>
          <w:p>
            <w:pPr>
              <w:pStyle w:val="TableParagraph"/>
              <w:spacing w:line="248" w:lineRule="exact"/>
              <w:ind w:right="33"/>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7" w:lineRule="exact"/>
              <w:ind w:left="13"/>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5"/>
              <w:ind w:left="291" w:right="295"/>
              <w:jc w:val="center"/>
              <w:rPr>
                <w:rFonts w:ascii="Calibri"/>
                <w:sz w:val="20"/>
              </w:rPr>
            </w:pPr>
            <w:r>
              <w:rPr>
                <w:rFonts w:ascii="Calibri"/>
                <w:sz w:val="20"/>
              </w:rPr>
              <w:t>b/b</w:t>
            </w:r>
          </w:p>
        </w:tc>
        <w:tc>
          <w:tcPr>
            <w:tcW w:w="966" w:type="dxa"/>
            <w:tcBorders>
              <w:top w:val="nil"/>
              <w:left w:val="nil"/>
              <w:bottom w:val="nil"/>
              <w:right w:val="nil"/>
            </w:tcBorders>
          </w:tcPr>
          <w:p>
            <w:pPr>
              <w:pStyle w:val="TableParagraph"/>
              <w:spacing w:before="25"/>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6" w:lineRule="exact"/>
              <w:ind w:right="12"/>
              <w:jc w:val="center"/>
              <w:rPr>
                <w:rFonts w:ascii="Calibri"/>
                <w:sz w:val="20"/>
              </w:rPr>
            </w:pPr>
            <w:r>
              <w:rPr>
                <w:rFonts w:ascii="Calibri"/>
                <w:w w:val="99"/>
                <w:sz w:val="20"/>
              </w:rPr>
              <w:t>3</w:t>
            </w:r>
          </w:p>
        </w:tc>
      </w:tr>
      <w:tr>
        <w:trPr>
          <w:trHeight w:val="287" w:hRule="exact"/>
        </w:trPr>
        <w:tc>
          <w:tcPr>
            <w:tcW w:w="934" w:type="dxa"/>
            <w:tcBorders>
              <w:top w:val="nil"/>
              <w:left w:val="nil"/>
              <w:bottom w:val="nil"/>
              <w:right w:val="nil"/>
            </w:tcBorders>
          </w:tcPr>
          <w:p>
            <w:pPr>
              <w:pStyle w:val="TableParagraph"/>
              <w:spacing w:line="225" w:lineRule="exact"/>
              <w:ind w:right="127"/>
              <w:jc w:val="right"/>
              <w:rPr>
                <w:rFonts w:ascii="Calibri"/>
                <w:sz w:val="20"/>
              </w:rPr>
            </w:pPr>
            <w:r>
              <w:rPr>
                <w:rFonts w:ascii="Calibri"/>
                <w:w w:val="99"/>
                <w:sz w:val="20"/>
              </w:rPr>
              <w:t>6</w:t>
            </w:r>
          </w:p>
        </w:tc>
        <w:tc>
          <w:tcPr>
            <w:tcW w:w="981" w:type="dxa"/>
            <w:tcBorders>
              <w:top w:val="nil"/>
              <w:left w:val="nil"/>
              <w:bottom w:val="nil"/>
              <w:right w:val="nil"/>
            </w:tcBorders>
          </w:tcPr>
          <w:p>
            <w:pPr>
              <w:pStyle w:val="TableParagraph"/>
              <w:spacing w:line="247" w:lineRule="exact"/>
              <w:ind w:right="33"/>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6"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3"/>
              <w:ind w:left="291" w:right="295"/>
              <w:jc w:val="center"/>
              <w:rPr>
                <w:rFonts w:ascii="Calibri"/>
                <w:sz w:val="20"/>
              </w:rPr>
            </w:pPr>
            <w:r>
              <w:rPr>
                <w:rFonts w:ascii="Calibri"/>
                <w:sz w:val="20"/>
              </w:rPr>
              <w:t>a/b</w:t>
            </w:r>
          </w:p>
        </w:tc>
        <w:tc>
          <w:tcPr>
            <w:tcW w:w="966" w:type="dxa"/>
            <w:tcBorders>
              <w:top w:val="nil"/>
              <w:left w:val="nil"/>
              <w:bottom w:val="nil"/>
              <w:right w:val="nil"/>
            </w:tcBorders>
          </w:tcPr>
          <w:p>
            <w:pPr>
              <w:pStyle w:val="TableParagraph"/>
              <w:spacing w:before="23"/>
              <w:ind w:left="306" w:right="348"/>
              <w:jc w:val="center"/>
              <w:rPr>
                <w:rFonts w:ascii="Calibri"/>
                <w:sz w:val="20"/>
              </w:rPr>
            </w:pPr>
            <w:r>
              <w:rPr>
                <w:rFonts w:ascii="Calibri"/>
                <w:sz w:val="20"/>
              </w:rPr>
              <w:t>a/c</w:t>
            </w:r>
          </w:p>
        </w:tc>
        <w:tc>
          <w:tcPr>
            <w:tcW w:w="984" w:type="dxa"/>
            <w:tcBorders>
              <w:top w:val="nil"/>
              <w:left w:val="nil"/>
              <w:bottom w:val="nil"/>
              <w:right w:val="nil"/>
            </w:tcBorders>
          </w:tcPr>
          <w:p>
            <w:pPr>
              <w:pStyle w:val="TableParagraph"/>
              <w:spacing w:line="225" w:lineRule="exact"/>
              <w:ind w:left="354" w:right="366"/>
              <w:jc w:val="center"/>
              <w:rPr>
                <w:rFonts w:ascii="Calibri"/>
                <w:sz w:val="20"/>
              </w:rPr>
            </w:pPr>
            <w:r>
              <w:rPr>
                <w:rFonts w:ascii="Calibri"/>
                <w:sz w:val="20"/>
              </w:rPr>
              <w:t>15</w:t>
            </w:r>
          </w:p>
        </w:tc>
      </w:tr>
      <w:tr>
        <w:trPr>
          <w:trHeight w:val="288" w:hRule="exact"/>
        </w:trPr>
        <w:tc>
          <w:tcPr>
            <w:tcW w:w="934" w:type="dxa"/>
            <w:tcBorders>
              <w:top w:val="nil"/>
              <w:left w:val="nil"/>
              <w:bottom w:val="nil"/>
              <w:right w:val="nil"/>
            </w:tcBorders>
          </w:tcPr>
          <w:p>
            <w:pPr>
              <w:pStyle w:val="TableParagraph"/>
              <w:spacing w:line="226" w:lineRule="exact"/>
              <w:ind w:right="127"/>
              <w:jc w:val="right"/>
              <w:rPr>
                <w:rFonts w:ascii="Calibri"/>
                <w:sz w:val="20"/>
              </w:rPr>
            </w:pPr>
            <w:r>
              <w:rPr>
                <w:rFonts w:ascii="Calibri"/>
                <w:w w:val="99"/>
                <w:sz w:val="20"/>
              </w:rPr>
              <w:t>7</w:t>
            </w:r>
          </w:p>
        </w:tc>
        <w:tc>
          <w:tcPr>
            <w:tcW w:w="981" w:type="dxa"/>
            <w:tcBorders>
              <w:top w:val="nil"/>
              <w:left w:val="nil"/>
              <w:bottom w:val="nil"/>
              <w:right w:val="nil"/>
            </w:tcBorders>
          </w:tcPr>
          <w:p>
            <w:pPr>
              <w:pStyle w:val="TableParagraph"/>
              <w:spacing w:line="248"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7"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5"/>
              <w:ind w:left="291" w:right="295"/>
              <w:jc w:val="center"/>
              <w:rPr>
                <w:rFonts w:ascii="Calibri"/>
                <w:sz w:val="20"/>
              </w:rPr>
            </w:pPr>
            <w:r>
              <w:rPr>
                <w:rFonts w:ascii="Calibri"/>
                <w:sz w:val="20"/>
              </w:rPr>
              <w:t>b/b</w:t>
            </w:r>
          </w:p>
        </w:tc>
        <w:tc>
          <w:tcPr>
            <w:tcW w:w="966" w:type="dxa"/>
            <w:tcBorders>
              <w:top w:val="nil"/>
              <w:left w:val="nil"/>
              <w:bottom w:val="nil"/>
              <w:right w:val="nil"/>
            </w:tcBorders>
          </w:tcPr>
          <w:p>
            <w:pPr>
              <w:pStyle w:val="TableParagraph"/>
              <w:spacing w:before="25"/>
              <w:ind w:left="306" w:right="348"/>
              <w:jc w:val="center"/>
              <w:rPr>
                <w:rFonts w:ascii="Calibri"/>
                <w:sz w:val="20"/>
              </w:rPr>
            </w:pPr>
            <w:r>
              <w:rPr>
                <w:rFonts w:ascii="Calibri"/>
                <w:sz w:val="20"/>
              </w:rPr>
              <w:t>a/c</w:t>
            </w:r>
          </w:p>
        </w:tc>
        <w:tc>
          <w:tcPr>
            <w:tcW w:w="984" w:type="dxa"/>
            <w:tcBorders>
              <w:top w:val="nil"/>
              <w:left w:val="nil"/>
              <w:bottom w:val="nil"/>
              <w:right w:val="nil"/>
            </w:tcBorders>
          </w:tcPr>
          <w:p>
            <w:pPr>
              <w:pStyle w:val="TableParagraph"/>
              <w:spacing w:line="226" w:lineRule="exact"/>
              <w:ind w:left="354" w:right="366"/>
              <w:jc w:val="center"/>
              <w:rPr>
                <w:rFonts w:ascii="Calibri"/>
                <w:sz w:val="20"/>
              </w:rPr>
            </w:pPr>
            <w:r>
              <w:rPr>
                <w:rFonts w:ascii="Calibri"/>
                <w:sz w:val="20"/>
              </w:rPr>
              <w:t>17</w:t>
            </w:r>
          </w:p>
        </w:tc>
      </w:tr>
      <w:tr>
        <w:trPr>
          <w:trHeight w:val="286" w:hRule="exact"/>
        </w:trPr>
        <w:tc>
          <w:tcPr>
            <w:tcW w:w="934" w:type="dxa"/>
            <w:tcBorders>
              <w:top w:val="nil"/>
              <w:left w:val="nil"/>
              <w:bottom w:val="nil"/>
              <w:right w:val="nil"/>
            </w:tcBorders>
          </w:tcPr>
          <w:p>
            <w:pPr>
              <w:pStyle w:val="TableParagraph"/>
              <w:spacing w:line="226" w:lineRule="exact"/>
              <w:ind w:right="127"/>
              <w:jc w:val="right"/>
              <w:rPr>
                <w:rFonts w:ascii="Calibri"/>
                <w:sz w:val="20"/>
              </w:rPr>
            </w:pPr>
            <w:r>
              <w:rPr>
                <w:rFonts w:ascii="Calibri"/>
                <w:w w:val="99"/>
                <w:sz w:val="20"/>
              </w:rPr>
              <w:t>8</w:t>
            </w:r>
          </w:p>
        </w:tc>
        <w:tc>
          <w:tcPr>
            <w:tcW w:w="981" w:type="dxa"/>
            <w:tcBorders>
              <w:top w:val="nil"/>
              <w:left w:val="nil"/>
              <w:bottom w:val="nil"/>
              <w:right w:val="nil"/>
            </w:tcBorders>
          </w:tcPr>
          <w:p>
            <w:pPr>
              <w:pStyle w:val="TableParagraph"/>
              <w:spacing w:line="248"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5"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2"/>
              <w:ind w:left="291" w:right="295"/>
              <w:jc w:val="center"/>
              <w:rPr>
                <w:rFonts w:ascii="Calibri"/>
                <w:sz w:val="20"/>
              </w:rPr>
            </w:pPr>
            <w:r>
              <w:rPr>
                <w:rFonts w:ascii="Calibri"/>
                <w:sz w:val="20"/>
              </w:rPr>
              <w:t>b/b</w:t>
            </w:r>
          </w:p>
        </w:tc>
        <w:tc>
          <w:tcPr>
            <w:tcW w:w="966" w:type="dxa"/>
            <w:tcBorders>
              <w:top w:val="nil"/>
              <w:left w:val="nil"/>
              <w:bottom w:val="nil"/>
              <w:right w:val="nil"/>
            </w:tcBorders>
          </w:tcPr>
          <w:p>
            <w:pPr>
              <w:pStyle w:val="TableParagraph"/>
              <w:spacing w:before="22"/>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6" w:lineRule="exact"/>
              <w:ind w:left="354" w:right="366"/>
              <w:jc w:val="center"/>
              <w:rPr>
                <w:rFonts w:ascii="Calibri"/>
                <w:sz w:val="20"/>
              </w:rPr>
            </w:pPr>
            <w:r>
              <w:rPr>
                <w:rFonts w:ascii="Calibri"/>
                <w:sz w:val="20"/>
              </w:rPr>
              <w:t>15</w:t>
            </w:r>
          </w:p>
        </w:tc>
      </w:tr>
      <w:tr>
        <w:trPr>
          <w:trHeight w:val="288" w:hRule="exact"/>
        </w:trPr>
        <w:tc>
          <w:tcPr>
            <w:tcW w:w="934" w:type="dxa"/>
            <w:tcBorders>
              <w:top w:val="nil"/>
              <w:left w:val="nil"/>
              <w:bottom w:val="nil"/>
              <w:right w:val="nil"/>
            </w:tcBorders>
          </w:tcPr>
          <w:p>
            <w:pPr>
              <w:pStyle w:val="TableParagraph"/>
              <w:spacing w:line="226" w:lineRule="exact"/>
              <w:ind w:right="127"/>
              <w:jc w:val="right"/>
              <w:rPr>
                <w:rFonts w:ascii="Calibri"/>
                <w:sz w:val="20"/>
              </w:rPr>
            </w:pPr>
            <w:r>
              <w:rPr>
                <w:rFonts w:ascii="Calibri"/>
                <w:w w:val="99"/>
                <w:sz w:val="20"/>
              </w:rPr>
              <w:t>9</w:t>
            </w:r>
          </w:p>
        </w:tc>
        <w:tc>
          <w:tcPr>
            <w:tcW w:w="981" w:type="dxa"/>
            <w:tcBorders>
              <w:top w:val="nil"/>
              <w:left w:val="nil"/>
              <w:bottom w:val="nil"/>
              <w:right w:val="nil"/>
            </w:tcBorders>
          </w:tcPr>
          <w:p>
            <w:pPr>
              <w:pStyle w:val="TableParagraph"/>
              <w:spacing w:line="248"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7" w:lineRule="exact"/>
              <w:ind w:left="13"/>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5"/>
              <w:ind w:left="291" w:right="295"/>
              <w:jc w:val="center"/>
              <w:rPr>
                <w:rFonts w:ascii="Calibri"/>
                <w:sz w:val="20"/>
              </w:rPr>
            </w:pPr>
            <w:r>
              <w:rPr>
                <w:rFonts w:ascii="Calibri"/>
                <w:sz w:val="20"/>
              </w:rPr>
              <w:t>b/b</w:t>
            </w:r>
          </w:p>
        </w:tc>
        <w:tc>
          <w:tcPr>
            <w:tcW w:w="966" w:type="dxa"/>
            <w:tcBorders>
              <w:top w:val="nil"/>
              <w:left w:val="nil"/>
              <w:bottom w:val="nil"/>
              <w:right w:val="nil"/>
            </w:tcBorders>
          </w:tcPr>
          <w:p>
            <w:pPr>
              <w:pStyle w:val="TableParagraph"/>
              <w:spacing w:before="25"/>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6" w:lineRule="exact"/>
              <w:ind w:left="354" w:right="366"/>
              <w:jc w:val="center"/>
              <w:rPr>
                <w:rFonts w:ascii="Calibri"/>
                <w:sz w:val="20"/>
              </w:rPr>
            </w:pPr>
            <w:r>
              <w:rPr>
                <w:rFonts w:ascii="Calibri"/>
                <w:sz w:val="20"/>
              </w:rPr>
              <w:t>16</w:t>
            </w:r>
          </w:p>
        </w:tc>
      </w:tr>
      <w:tr>
        <w:trPr>
          <w:trHeight w:val="287" w:hRule="exact"/>
        </w:trPr>
        <w:tc>
          <w:tcPr>
            <w:tcW w:w="934" w:type="dxa"/>
            <w:tcBorders>
              <w:top w:val="nil"/>
              <w:left w:val="nil"/>
              <w:bottom w:val="nil"/>
              <w:right w:val="nil"/>
            </w:tcBorders>
          </w:tcPr>
          <w:p>
            <w:pPr>
              <w:pStyle w:val="TableParagraph"/>
              <w:spacing w:line="226" w:lineRule="exact"/>
              <w:ind w:left="602" w:right="-130"/>
              <w:rPr>
                <w:rFonts w:ascii="Calibri"/>
                <w:sz w:val="20"/>
              </w:rPr>
            </w:pPr>
            <w:r>
              <w:rPr>
                <w:rFonts w:ascii="Calibri"/>
                <w:sz w:val="20"/>
              </w:rPr>
              <w:t>10</w:t>
            </w:r>
          </w:p>
        </w:tc>
        <w:tc>
          <w:tcPr>
            <w:tcW w:w="981" w:type="dxa"/>
            <w:tcBorders>
              <w:top w:val="nil"/>
              <w:left w:val="nil"/>
              <w:bottom w:val="nil"/>
              <w:right w:val="nil"/>
            </w:tcBorders>
          </w:tcPr>
          <w:p>
            <w:pPr>
              <w:pStyle w:val="TableParagraph"/>
              <w:spacing w:line="248"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5"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5"/>
              <w:ind w:left="291" w:right="295"/>
              <w:jc w:val="center"/>
              <w:rPr>
                <w:rFonts w:ascii="Calibri"/>
                <w:sz w:val="20"/>
              </w:rPr>
            </w:pPr>
            <w:r>
              <w:rPr>
                <w:rFonts w:ascii="Calibri"/>
                <w:sz w:val="20"/>
              </w:rPr>
              <w:t>a/b</w:t>
            </w:r>
          </w:p>
        </w:tc>
        <w:tc>
          <w:tcPr>
            <w:tcW w:w="966" w:type="dxa"/>
            <w:tcBorders>
              <w:top w:val="nil"/>
              <w:left w:val="nil"/>
              <w:bottom w:val="nil"/>
              <w:right w:val="nil"/>
            </w:tcBorders>
          </w:tcPr>
          <w:p>
            <w:pPr>
              <w:pStyle w:val="TableParagraph"/>
              <w:spacing w:before="25"/>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6" w:lineRule="exact"/>
              <w:ind w:right="12"/>
              <w:jc w:val="center"/>
              <w:rPr>
                <w:rFonts w:ascii="Calibri"/>
                <w:sz w:val="20"/>
              </w:rPr>
            </w:pPr>
            <w:r>
              <w:rPr>
                <w:rFonts w:ascii="Calibri"/>
                <w:w w:val="99"/>
                <w:sz w:val="20"/>
              </w:rPr>
              <w:t>7</w:t>
            </w:r>
          </w:p>
        </w:tc>
      </w:tr>
      <w:tr>
        <w:trPr>
          <w:trHeight w:val="287" w:hRule="exact"/>
        </w:trPr>
        <w:tc>
          <w:tcPr>
            <w:tcW w:w="934" w:type="dxa"/>
            <w:tcBorders>
              <w:top w:val="nil"/>
              <w:left w:val="nil"/>
              <w:bottom w:val="nil"/>
              <w:right w:val="nil"/>
            </w:tcBorders>
          </w:tcPr>
          <w:p>
            <w:pPr>
              <w:pStyle w:val="TableParagraph"/>
              <w:spacing w:line="225" w:lineRule="exact"/>
              <w:ind w:left="602" w:right="-130"/>
              <w:rPr>
                <w:rFonts w:ascii="Calibri"/>
                <w:sz w:val="20"/>
              </w:rPr>
            </w:pPr>
            <w:r>
              <w:rPr>
                <w:rFonts w:ascii="Calibri"/>
                <w:sz w:val="20"/>
              </w:rPr>
              <w:t>11</w:t>
            </w:r>
          </w:p>
        </w:tc>
        <w:tc>
          <w:tcPr>
            <w:tcW w:w="981" w:type="dxa"/>
            <w:tcBorders>
              <w:top w:val="nil"/>
              <w:left w:val="nil"/>
              <w:bottom w:val="nil"/>
              <w:right w:val="nil"/>
            </w:tcBorders>
          </w:tcPr>
          <w:p>
            <w:pPr>
              <w:pStyle w:val="TableParagraph"/>
              <w:spacing w:line="247" w:lineRule="exact"/>
              <w:ind w:right="33"/>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6" w:lineRule="exact"/>
              <w:ind w:left="13"/>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3"/>
              <w:ind w:left="291" w:right="295"/>
              <w:jc w:val="center"/>
              <w:rPr>
                <w:rFonts w:ascii="Calibri"/>
                <w:sz w:val="20"/>
              </w:rPr>
            </w:pPr>
            <w:r>
              <w:rPr>
                <w:rFonts w:ascii="Calibri"/>
                <w:sz w:val="20"/>
              </w:rPr>
              <w:t>a/b</w:t>
            </w:r>
          </w:p>
        </w:tc>
        <w:tc>
          <w:tcPr>
            <w:tcW w:w="966" w:type="dxa"/>
            <w:tcBorders>
              <w:top w:val="nil"/>
              <w:left w:val="nil"/>
              <w:bottom w:val="nil"/>
              <w:right w:val="nil"/>
            </w:tcBorders>
          </w:tcPr>
          <w:p>
            <w:pPr>
              <w:pStyle w:val="TableParagraph"/>
              <w:spacing w:before="23"/>
              <w:ind w:left="306" w:right="348"/>
              <w:jc w:val="center"/>
              <w:rPr>
                <w:rFonts w:ascii="Calibri"/>
                <w:sz w:val="20"/>
              </w:rPr>
            </w:pPr>
            <w:r>
              <w:rPr>
                <w:rFonts w:ascii="Calibri"/>
                <w:sz w:val="20"/>
              </w:rPr>
              <w:t>a/c</w:t>
            </w:r>
          </w:p>
        </w:tc>
        <w:tc>
          <w:tcPr>
            <w:tcW w:w="984" w:type="dxa"/>
            <w:tcBorders>
              <w:top w:val="nil"/>
              <w:left w:val="nil"/>
              <w:bottom w:val="nil"/>
              <w:right w:val="nil"/>
            </w:tcBorders>
          </w:tcPr>
          <w:p>
            <w:pPr>
              <w:pStyle w:val="TableParagraph"/>
              <w:spacing w:line="225" w:lineRule="exact"/>
              <w:ind w:left="354" w:right="366"/>
              <w:jc w:val="center"/>
              <w:rPr>
                <w:rFonts w:ascii="Calibri"/>
                <w:sz w:val="20"/>
              </w:rPr>
            </w:pPr>
            <w:r>
              <w:rPr>
                <w:rFonts w:ascii="Calibri"/>
                <w:sz w:val="20"/>
              </w:rPr>
              <w:t>12</w:t>
            </w:r>
          </w:p>
        </w:tc>
      </w:tr>
      <w:tr>
        <w:trPr>
          <w:trHeight w:val="287" w:hRule="exact"/>
        </w:trPr>
        <w:tc>
          <w:tcPr>
            <w:tcW w:w="934" w:type="dxa"/>
            <w:tcBorders>
              <w:top w:val="nil"/>
              <w:left w:val="nil"/>
              <w:bottom w:val="nil"/>
              <w:right w:val="nil"/>
            </w:tcBorders>
          </w:tcPr>
          <w:p>
            <w:pPr>
              <w:pStyle w:val="TableParagraph"/>
              <w:spacing w:line="226" w:lineRule="exact"/>
              <w:ind w:left="602" w:right="-130"/>
              <w:rPr>
                <w:rFonts w:ascii="Calibri"/>
                <w:sz w:val="20"/>
              </w:rPr>
            </w:pPr>
            <w:r>
              <w:rPr>
                <w:rFonts w:ascii="Calibri"/>
                <w:sz w:val="20"/>
              </w:rPr>
              <w:t>12</w:t>
            </w:r>
          </w:p>
        </w:tc>
        <w:tc>
          <w:tcPr>
            <w:tcW w:w="981" w:type="dxa"/>
            <w:tcBorders>
              <w:top w:val="nil"/>
              <w:left w:val="nil"/>
              <w:bottom w:val="nil"/>
              <w:right w:val="nil"/>
            </w:tcBorders>
          </w:tcPr>
          <w:p>
            <w:pPr>
              <w:pStyle w:val="TableParagraph"/>
              <w:spacing w:line="248"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7"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5"/>
              <w:ind w:left="291" w:right="295"/>
              <w:jc w:val="center"/>
              <w:rPr>
                <w:rFonts w:ascii="Calibri"/>
                <w:sz w:val="20"/>
              </w:rPr>
            </w:pPr>
            <w:r>
              <w:rPr>
                <w:rFonts w:ascii="Calibri"/>
                <w:sz w:val="20"/>
              </w:rPr>
              <w:t>a/b</w:t>
            </w:r>
          </w:p>
        </w:tc>
        <w:tc>
          <w:tcPr>
            <w:tcW w:w="966" w:type="dxa"/>
            <w:tcBorders>
              <w:top w:val="nil"/>
              <w:left w:val="nil"/>
              <w:bottom w:val="nil"/>
              <w:right w:val="nil"/>
            </w:tcBorders>
          </w:tcPr>
          <w:p>
            <w:pPr>
              <w:pStyle w:val="TableParagraph"/>
              <w:spacing w:before="25"/>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6" w:lineRule="exact"/>
              <w:ind w:right="12"/>
              <w:jc w:val="center"/>
              <w:rPr>
                <w:rFonts w:ascii="Calibri"/>
                <w:sz w:val="20"/>
              </w:rPr>
            </w:pPr>
            <w:r>
              <w:rPr>
                <w:rFonts w:ascii="Calibri"/>
                <w:w w:val="99"/>
                <w:sz w:val="20"/>
              </w:rPr>
              <w:t>8</w:t>
            </w:r>
          </w:p>
        </w:tc>
      </w:tr>
      <w:tr>
        <w:trPr>
          <w:trHeight w:val="287" w:hRule="exact"/>
        </w:trPr>
        <w:tc>
          <w:tcPr>
            <w:tcW w:w="934" w:type="dxa"/>
            <w:tcBorders>
              <w:top w:val="nil"/>
              <w:left w:val="nil"/>
              <w:bottom w:val="nil"/>
              <w:right w:val="nil"/>
            </w:tcBorders>
          </w:tcPr>
          <w:p>
            <w:pPr>
              <w:pStyle w:val="TableParagraph"/>
              <w:spacing w:line="225" w:lineRule="exact"/>
              <w:ind w:left="602" w:right="-130"/>
              <w:rPr>
                <w:rFonts w:ascii="Calibri"/>
                <w:sz w:val="20"/>
              </w:rPr>
            </w:pPr>
            <w:r>
              <w:rPr>
                <w:rFonts w:ascii="Calibri"/>
                <w:sz w:val="20"/>
              </w:rPr>
              <w:t>13</w:t>
            </w:r>
          </w:p>
        </w:tc>
        <w:tc>
          <w:tcPr>
            <w:tcW w:w="981" w:type="dxa"/>
            <w:tcBorders>
              <w:top w:val="nil"/>
              <w:left w:val="nil"/>
              <w:bottom w:val="nil"/>
              <w:right w:val="nil"/>
            </w:tcBorders>
          </w:tcPr>
          <w:p>
            <w:pPr>
              <w:pStyle w:val="TableParagraph"/>
              <w:spacing w:line="247"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6"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3"/>
              <w:ind w:left="291" w:right="295"/>
              <w:jc w:val="center"/>
              <w:rPr>
                <w:rFonts w:ascii="Calibri"/>
                <w:sz w:val="20"/>
              </w:rPr>
            </w:pPr>
            <w:r>
              <w:rPr>
                <w:rFonts w:ascii="Calibri"/>
                <w:sz w:val="20"/>
              </w:rPr>
              <w:t>b/b</w:t>
            </w:r>
          </w:p>
        </w:tc>
        <w:tc>
          <w:tcPr>
            <w:tcW w:w="966" w:type="dxa"/>
            <w:tcBorders>
              <w:top w:val="nil"/>
              <w:left w:val="nil"/>
              <w:bottom w:val="nil"/>
              <w:right w:val="nil"/>
            </w:tcBorders>
          </w:tcPr>
          <w:p>
            <w:pPr>
              <w:pStyle w:val="TableParagraph"/>
              <w:spacing w:before="23"/>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5" w:lineRule="exact"/>
              <w:ind w:right="12"/>
              <w:jc w:val="center"/>
              <w:rPr>
                <w:rFonts w:ascii="Calibri"/>
                <w:sz w:val="20"/>
              </w:rPr>
            </w:pPr>
            <w:r>
              <w:rPr>
                <w:rFonts w:ascii="Calibri"/>
                <w:w w:val="99"/>
                <w:sz w:val="20"/>
              </w:rPr>
              <w:t>8</w:t>
            </w:r>
          </w:p>
        </w:tc>
      </w:tr>
      <w:tr>
        <w:trPr>
          <w:trHeight w:val="288" w:hRule="exact"/>
        </w:trPr>
        <w:tc>
          <w:tcPr>
            <w:tcW w:w="934" w:type="dxa"/>
            <w:tcBorders>
              <w:top w:val="nil"/>
              <w:left w:val="nil"/>
              <w:bottom w:val="nil"/>
              <w:right w:val="nil"/>
            </w:tcBorders>
          </w:tcPr>
          <w:p>
            <w:pPr>
              <w:pStyle w:val="TableParagraph"/>
              <w:spacing w:line="226" w:lineRule="exact"/>
              <w:ind w:left="602" w:right="-130"/>
              <w:rPr>
                <w:rFonts w:ascii="Calibri"/>
                <w:sz w:val="20"/>
              </w:rPr>
            </w:pPr>
            <w:r>
              <w:rPr>
                <w:rFonts w:ascii="Calibri"/>
                <w:sz w:val="20"/>
              </w:rPr>
              <w:t>14</w:t>
            </w:r>
          </w:p>
        </w:tc>
        <w:tc>
          <w:tcPr>
            <w:tcW w:w="981" w:type="dxa"/>
            <w:tcBorders>
              <w:top w:val="nil"/>
              <w:left w:val="nil"/>
              <w:bottom w:val="nil"/>
              <w:right w:val="nil"/>
            </w:tcBorders>
          </w:tcPr>
          <w:p>
            <w:pPr>
              <w:pStyle w:val="TableParagraph"/>
              <w:spacing w:line="248" w:lineRule="exact"/>
              <w:ind w:right="33"/>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7" w:lineRule="exact"/>
              <w:ind w:left="13"/>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5"/>
              <w:ind w:left="291" w:right="295"/>
              <w:jc w:val="center"/>
              <w:rPr>
                <w:rFonts w:ascii="Calibri"/>
                <w:sz w:val="20"/>
              </w:rPr>
            </w:pPr>
            <w:r>
              <w:rPr>
                <w:rFonts w:ascii="Calibri"/>
                <w:sz w:val="20"/>
              </w:rPr>
              <w:t>a/a</w:t>
            </w:r>
          </w:p>
        </w:tc>
        <w:tc>
          <w:tcPr>
            <w:tcW w:w="966" w:type="dxa"/>
            <w:tcBorders>
              <w:top w:val="nil"/>
              <w:left w:val="nil"/>
              <w:bottom w:val="nil"/>
              <w:right w:val="nil"/>
            </w:tcBorders>
          </w:tcPr>
          <w:p>
            <w:pPr>
              <w:pStyle w:val="TableParagraph"/>
              <w:spacing w:before="25"/>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6" w:lineRule="exact"/>
              <w:ind w:right="12"/>
              <w:jc w:val="center"/>
              <w:rPr>
                <w:rFonts w:ascii="Calibri"/>
                <w:sz w:val="20"/>
              </w:rPr>
            </w:pPr>
            <w:r>
              <w:rPr>
                <w:rFonts w:ascii="Calibri"/>
                <w:w w:val="99"/>
                <w:sz w:val="20"/>
              </w:rPr>
              <w:t>3</w:t>
            </w:r>
          </w:p>
        </w:tc>
      </w:tr>
      <w:tr>
        <w:trPr>
          <w:trHeight w:val="287" w:hRule="exact"/>
        </w:trPr>
        <w:tc>
          <w:tcPr>
            <w:tcW w:w="934" w:type="dxa"/>
            <w:tcBorders>
              <w:top w:val="nil"/>
              <w:left w:val="nil"/>
              <w:bottom w:val="nil"/>
              <w:right w:val="nil"/>
            </w:tcBorders>
          </w:tcPr>
          <w:p>
            <w:pPr>
              <w:pStyle w:val="TableParagraph"/>
              <w:spacing w:line="226" w:lineRule="exact"/>
              <w:ind w:left="602" w:right="-130"/>
              <w:rPr>
                <w:rFonts w:ascii="Calibri"/>
                <w:sz w:val="20"/>
              </w:rPr>
            </w:pPr>
            <w:r>
              <w:rPr>
                <w:rFonts w:ascii="Calibri"/>
                <w:sz w:val="20"/>
              </w:rPr>
              <w:t>15</w:t>
            </w:r>
          </w:p>
        </w:tc>
        <w:tc>
          <w:tcPr>
            <w:tcW w:w="981" w:type="dxa"/>
            <w:tcBorders>
              <w:top w:val="nil"/>
              <w:left w:val="nil"/>
              <w:bottom w:val="nil"/>
              <w:right w:val="nil"/>
            </w:tcBorders>
          </w:tcPr>
          <w:p>
            <w:pPr>
              <w:pStyle w:val="TableParagraph"/>
              <w:spacing w:line="248"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5"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5"/>
              <w:ind w:left="291" w:right="295"/>
              <w:jc w:val="center"/>
              <w:rPr>
                <w:rFonts w:ascii="Calibri"/>
                <w:sz w:val="20"/>
              </w:rPr>
            </w:pPr>
            <w:r>
              <w:rPr>
                <w:rFonts w:ascii="Calibri"/>
                <w:sz w:val="20"/>
              </w:rPr>
              <w:t>a/b</w:t>
            </w:r>
          </w:p>
        </w:tc>
        <w:tc>
          <w:tcPr>
            <w:tcW w:w="966" w:type="dxa"/>
            <w:tcBorders>
              <w:top w:val="nil"/>
              <w:left w:val="nil"/>
              <w:bottom w:val="nil"/>
              <w:right w:val="nil"/>
            </w:tcBorders>
          </w:tcPr>
          <w:p>
            <w:pPr>
              <w:pStyle w:val="TableParagraph"/>
              <w:spacing w:before="25"/>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6" w:lineRule="exact"/>
              <w:ind w:left="354" w:right="366"/>
              <w:jc w:val="center"/>
              <w:rPr>
                <w:rFonts w:ascii="Calibri"/>
                <w:sz w:val="20"/>
              </w:rPr>
            </w:pPr>
            <w:r>
              <w:rPr>
                <w:rFonts w:ascii="Calibri"/>
                <w:sz w:val="20"/>
              </w:rPr>
              <w:t>11</w:t>
            </w:r>
          </w:p>
        </w:tc>
      </w:tr>
      <w:tr>
        <w:trPr>
          <w:trHeight w:val="287" w:hRule="exact"/>
        </w:trPr>
        <w:tc>
          <w:tcPr>
            <w:tcW w:w="934" w:type="dxa"/>
            <w:tcBorders>
              <w:top w:val="nil"/>
              <w:left w:val="nil"/>
              <w:bottom w:val="nil"/>
              <w:right w:val="nil"/>
            </w:tcBorders>
          </w:tcPr>
          <w:p>
            <w:pPr>
              <w:pStyle w:val="TableParagraph"/>
              <w:spacing w:line="225" w:lineRule="exact"/>
              <w:ind w:left="602" w:right="-130"/>
              <w:rPr>
                <w:rFonts w:ascii="Calibri"/>
                <w:sz w:val="20"/>
              </w:rPr>
            </w:pPr>
            <w:r>
              <w:rPr>
                <w:rFonts w:ascii="Calibri"/>
                <w:sz w:val="20"/>
              </w:rPr>
              <w:t>16</w:t>
            </w:r>
          </w:p>
        </w:tc>
        <w:tc>
          <w:tcPr>
            <w:tcW w:w="981" w:type="dxa"/>
            <w:tcBorders>
              <w:top w:val="nil"/>
              <w:left w:val="nil"/>
              <w:bottom w:val="nil"/>
              <w:right w:val="nil"/>
            </w:tcBorders>
          </w:tcPr>
          <w:p>
            <w:pPr>
              <w:pStyle w:val="TableParagraph"/>
              <w:spacing w:line="247" w:lineRule="exact"/>
              <w:ind w:right="33"/>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6" w:lineRule="exact"/>
              <w:ind w:left="13"/>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3"/>
              <w:ind w:left="291" w:right="295"/>
              <w:jc w:val="center"/>
              <w:rPr>
                <w:rFonts w:ascii="Calibri"/>
                <w:sz w:val="20"/>
              </w:rPr>
            </w:pPr>
            <w:r>
              <w:rPr>
                <w:rFonts w:ascii="Calibri"/>
                <w:sz w:val="20"/>
              </w:rPr>
              <w:t>a/a</w:t>
            </w:r>
          </w:p>
        </w:tc>
        <w:tc>
          <w:tcPr>
            <w:tcW w:w="966" w:type="dxa"/>
            <w:tcBorders>
              <w:top w:val="nil"/>
              <w:left w:val="nil"/>
              <w:bottom w:val="nil"/>
              <w:right w:val="nil"/>
            </w:tcBorders>
          </w:tcPr>
          <w:p>
            <w:pPr>
              <w:pStyle w:val="TableParagraph"/>
              <w:spacing w:before="23"/>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5" w:lineRule="exact"/>
              <w:ind w:right="12"/>
              <w:jc w:val="center"/>
              <w:rPr>
                <w:rFonts w:ascii="Calibri"/>
                <w:sz w:val="20"/>
              </w:rPr>
            </w:pPr>
            <w:r>
              <w:rPr>
                <w:rFonts w:ascii="Calibri"/>
                <w:w w:val="99"/>
                <w:sz w:val="20"/>
              </w:rPr>
              <w:t>1</w:t>
            </w:r>
          </w:p>
        </w:tc>
      </w:tr>
      <w:tr>
        <w:trPr>
          <w:trHeight w:val="287" w:hRule="exact"/>
        </w:trPr>
        <w:tc>
          <w:tcPr>
            <w:tcW w:w="934" w:type="dxa"/>
            <w:tcBorders>
              <w:top w:val="nil"/>
              <w:left w:val="nil"/>
              <w:bottom w:val="nil"/>
              <w:right w:val="nil"/>
            </w:tcBorders>
          </w:tcPr>
          <w:p>
            <w:pPr>
              <w:pStyle w:val="TableParagraph"/>
              <w:spacing w:line="226" w:lineRule="exact"/>
              <w:ind w:left="602" w:right="-130"/>
              <w:rPr>
                <w:rFonts w:ascii="Calibri"/>
                <w:sz w:val="20"/>
              </w:rPr>
            </w:pPr>
            <w:r>
              <w:rPr>
                <w:rFonts w:ascii="Calibri"/>
                <w:sz w:val="20"/>
              </w:rPr>
              <w:t>17</w:t>
            </w:r>
          </w:p>
        </w:tc>
        <w:tc>
          <w:tcPr>
            <w:tcW w:w="981" w:type="dxa"/>
            <w:tcBorders>
              <w:top w:val="nil"/>
              <w:left w:val="nil"/>
              <w:bottom w:val="nil"/>
              <w:right w:val="nil"/>
            </w:tcBorders>
          </w:tcPr>
          <w:p>
            <w:pPr>
              <w:pStyle w:val="TableParagraph"/>
              <w:spacing w:line="248"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7"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5"/>
              <w:ind w:left="291" w:right="295"/>
              <w:jc w:val="center"/>
              <w:rPr>
                <w:rFonts w:ascii="Calibri"/>
                <w:sz w:val="20"/>
              </w:rPr>
            </w:pPr>
            <w:r>
              <w:rPr>
                <w:rFonts w:ascii="Calibri"/>
                <w:sz w:val="20"/>
              </w:rPr>
              <w:t>b/b</w:t>
            </w:r>
          </w:p>
        </w:tc>
        <w:tc>
          <w:tcPr>
            <w:tcW w:w="966" w:type="dxa"/>
            <w:tcBorders>
              <w:top w:val="nil"/>
              <w:left w:val="nil"/>
              <w:bottom w:val="nil"/>
              <w:right w:val="nil"/>
            </w:tcBorders>
          </w:tcPr>
          <w:p>
            <w:pPr>
              <w:pStyle w:val="TableParagraph"/>
              <w:spacing w:before="25"/>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6" w:lineRule="exact"/>
              <w:ind w:right="12"/>
              <w:jc w:val="center"/>
              <w:rPr>
                <w:rFonts w:ascii="Calibri"/>
                <w:sz w:val="20"/>
              </w:rPr>
            </w:pPr>
            <w:r>
              <w:rPr>
                <w:rFonts w:ascii="Calibri"/>
                <w:w w:val="99"/>
                <w:sz w:val="20"/>
              </w:rPr>
              <w:t>8</w:t>
            </w:r>
          </w:p>
        </w:tc>
      </w:tr>
      <w:tr>
        <w:trPr>
          <w:trHeight w:val="287" w:hRule="exact"/>
        </w:trPr>
        <w:tc>
          <w:tcPr>
            <w:tcW w:w="934" w:type="dxa"/>
            <w:tcBorders>
              <w:top w:val="nil"/>
              <w:left w:val="nil"/>
              <w:bottom w:val="nil"/>
              <w:right w:val="nil"/>
            </w:tcBorders>
          </w:tcPr>
          <w:p>
            <w:pPr>
              <w:pStyle w:val="TableParagraph"/>
              <w:spacing w:line="225" w:lineRule="exact"/>
              <w:ind w:left="602" w:right="-130"/>
              <w:rPr>
                <w:rFonts w:ascii="Calibri"/>
                <w:sz w:val="20"/>
              </w:rPr>
            </w:pPr>
            <w:r>
              <w:rPr>
                <w:rFonts w:ascii="Calibri"/>
                <w:sz w:val="20"/>
              </w:rPr>
              <w:t>18</w:t>
            </w:r>
          </w:p>
        </w:tc>
        <w:tc>
          <w:tcPr>
            <w:tcW w:w="981" w:type="dxa"/>
            <w:tcBorders>
              <w:top w:val="nil"/>
              <w:left w:val="nil"/>
              <w:bottom w:val="nil"/>
              <w:right w:val="nil"/>
            </w:tcBorders>
          </w:tcPr>
          <w:p>
            <w:pPr>
              <w:pStyle w:val="TableParagraph"/>
              <w:spacing w:line="247"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6"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3"/>
              <w:ind w:left="291" w:right="295"/>
              <w:jc w:val="center"/>
              <w:rPr>
                <w:rFonts w:ascii="Calibri"/>
                <w:sz w:val="20"/>
              </w:rPr>
            </w:pPr>
            <w:r>
              <w:rPr>
                <w:rFonts w:ascii="Calibri"/>
                <w:sz w:val="20"/>
              </w:rPr>
              <w:t>a/b</w:t>
            </w:r>
          </w:p>
        </w:tc>
        <w:tc>
          <w:tcPr>
            <w:tcW w:w="966" w:type="dxa"/>
            <w:tcBorders>
              <w:top w:val="nil"/>
              <w:left w:val="nil"/>
              <w:bottom w:val="nil"/>
              <w:right w:val="nil"/>
            </w:tcBorders>
          </w:tcPr>
          <w:p>
            <w:pPr>
              <w:pStyle w:val="TableParagraph"/>
              <w:spacing w:before="23"/>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5" w:lineRule="exact"/>
              <w:ind w:left="354" w:right="366"/>
              <w:jc w:val="center"/>
              <w:rPr>
                <w:rFonts w:ascii="Calibri"/>
                <w:sz w:val="20"/>
              </w:rPr>
            </w:pPr>
            <w:r>
              <w:rPr>
                <w:rFonts w:ascii="Calibri"/>
                <w:sz w:val="20"/>
              </w:rPr>
              <w:t>17</w:t>
            </w:r>
          </w:p>
        </w:tc>
      </w:tr>
      <w:tr>
        <w:trPr>
          <w:trHeight w:val="288" w:hRule="exact"/>
        </w:trPr>
        <w:tc>
          <w:tcPr>
            <w:tcW w:w="934" w:type="dxa"/>
            <w:tcBorders>
              <w:top w:val="nil"/>
              <w:left w:val="nil"/>
              <w:bottom w:val="nil"/>
              <w:right w:val="nil"/>
            </w:tcBorders>
          </w:tcPr>
          <w:p>
            <w:pPr>
              <w:pStyle w:val="TableParagraph"/>
              <w:spacing w:line="226" w:lineRule="exact"/>
              <w:ind w:left="602" w:right="-130"/>
              <w:rPr>
                <w:rFonts w:ascii="Calibri"/>
                <w:sz w:val="20"/>
              </w:rPr>
            </w:pPr>
            <w:r>
              <w:rPr>
                <w:rFonts w:ascii="Calibri"/>
                <w:sz w:val="20"/>
              </w:rPr>
              <w:t>19</w:t>
            </w:r>
          </w:p>
        </w:tc>
        <w:tc>
          <w:tcPr>
            <w:tcW w:w="981" w:type="dxa"/>
            <w:tcBorders>
              <w:top w:val="nil"/>
              <w:left w:val="nil"/>
              <w:bottom w:val="nil"/>
              <w:right w:val="nil"/>
            </w:tcBorders>
          </w:tcPr>
          <w:p>
            <w:pPr>
              <w:pStyle w:val="TableParagraph"/>
              <w:spacing w:line="248"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7"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5"/>
              <w:ind w:left="291" w:right="295"/>
              <w:jc w:val="center"/>
              <w:rPr>
                <w:rFonts w:ascii="Calibri"/>
                <w:sz w:val="20"/>
              </w:rPr>
            </w:pPr>
            <w:r>
              <w:rPr>
                <w:rFonts w:ascii="Calibri"/>
                <w:sz w:val="20"/>
              </w:rPr>
              <w:t>b/b</w:t>
            </w:r>
          </w:p>
        </w:tc>
        <w:tc>
          <w:tcPr>
            <w:tcW w:w="966" w:type="dxa"/>
            <w:tcBorders>
              <w:top w:val="nil"/>
              <w:left w:val="nil"/>
              <w:bottom w:val="nil"/>
              <w:right w:val="nil"/>
            </w:tcBorders>
          </w:tcPr>
          <w:p>
            <w:pPr>
              <w:pStyle w:val="TableParagraph"/>
              <w:spacing w:before="25"/>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6" w:lineRule="exact"/>
              <w:ind w:left="354" w:right="366"/>
              <w:jc w:val="center"/>
              <w:rPr>
                <w:rFonts w:ascii="Calibri"/>
                <w:sz w:val="20"/>
              </w:rPr>
            </w:pPr>
            <w:r>
              <w:rPr>
                <w:rFonts w:ascii="Calibri"/>
                <w:sz w:val="20"/>
              </w:rPr>
              <w:t>10</w:t>
            </w:r>
          </w:p>
        </w:tc>
      </w:tr>
      <w:tr>
        <w:trPr>
          <w:trHeight w:val="286" w:hRule="exact"/>
        </w:trPr>
        <w:tc>
          <w:tcPr>
            <w:tcW w:w="934" w:type="dxa"/>
            <w:tcBorders>
              <w:top w:val="nil"/>
              <w:left w:val="nil"/>
              <w:bottom w:val="nil"/>
              <w:right w:val="nil"/>
            </w:tcBorders>
          </w:tcPr>
          <w:p>
            <w:pPr>
              <w:pStyle w:val="TableParagraph"/>
              <w:spacing w:line="226" w:lineRule="exact"/>
              <w:ind w:left="602" w:right="-130"/>
              <w:rPr>
                <w:rFonts w:ascii="Calibri"/>
                <w:sz w:val="20"/>
              </w:rPr>
            </w:pPr>
            <w:r>
              <w:rPr>
                <w:rFonts w:ascii="Calibri"/>
                <w:sz w:val="20"/>
              </w:rPr>
              <w:t>20</w:t>
            </w:r>
          </w:p>
        </w:tc>
        <w:tc>
          <w:tcPr>
            <w:tcW w:w="981" w:type="dxa"/>
            <w:tcBorders>
              <w:top w:val="nil"/>
              <w:left w:val="nil"/>
              <w:bottom w:val="nil"/>
              <w:right w:val="nil"/>
            </w:tcBorders>
          </w:tcPr>
          <w:p>
            <w:pPr>
              <w:pStyle w:val="TableParagraph"/>
              <w:spacing w:line="248" w:lineRule="exact"/>
              <w:ind w:right="33"/>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5" w:lineRule="exact"/>
              <w:ind w:left="13"/>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2"/>
              <w:ind w:left="291" w:right="295"/>
              <w:jc w:val="center"/>
              <w:rPr>
                <w:rFonts w:ascii="Calibri"/>
                <w:sz w:val="20"/>
              </w:rPr>
            </w:pPr>
            <w:r>
              <w:rPr>
                <w:rFonts w:ascii="Calibri"/>
                <w:sz w:val="20"/>
              </w:rPr>
              <w:t>b/b</w:t>
            </w:r>
          </w:p>
        </w:tc>
        <w:tc>
          <w:tcPr>
            <w:tcW w:w="966" w:type="dxa"/>
            <w:tcBorders>
              <w:top w:val="nil"/>
              <w:left w:val="nil"/>
              <w:bottom w:val="nil"/>
              <w:right w:val="nil"/>
            </w:tcBorders>
          </w:tcPr>
          <w:p>
            <w:pPr>
              <w:pStyle w:val="TableParagraph"/>
              <w:spacing w:before="22"/>
              <w:ind w:left="306" w:right="348"/>
              <w:jc w:val="center"/>
              <w:rPr>
                <w:rFonts w:ascii="Calibri"/>
                <w:sz w:val="20"/>
              </w:rPr>
            </w:pPr>
            <w:r>
              <w:rPr>
                <w:rFonts w:ascii="Calibri"/>
                <w:sz w:val="20"/>
              </w:rPr>
              <w:t>a/c</w:t>
            </w:r>
          </w:p>
        </w:tc>
        <w:tc>
          <w:tcPr>
            <w:tcW w:w="984" w:type="dxa"/>
            <w:tcBorders>
              <w:top w:val="nil"/>
              <w:left w:val="nil"/>
              <w:bottom w:val="nil"/>
              <w:right w:val="nil"/>
            </w:tcBorders>
          </w:tcPr>
          <w:p>
            <w:pPr>
              <w:pStyle w:val="TableParagraph"/>
              <w:spacing w:line="226" w:lineRule="exact"/>
              <w:ind w:left="354" w:right="366"/>
              <w:jc w:val="center"/>
              <w:rPr>
                <w:rFonts w:ascii="Calibri"/>
                <w:sz w:val="20"/>
              </w:rPr>
            </w:pPr>
            <w:r>
              <w:rPr>
                <w:rFonts w:ascii="Calibri"/>
                <w:sz w:val="20"/>
              </w:rPr>
              <w:t>13</w:t>
            </w:r>
          </w:p>
        </w:tc>
      </w:tr>
      <w:tr>
        <w:trPr>
          <w:trHeight w:val="288" w:hRule="exact"/>
        </w:trPr>
        <w:tc>
          <w:tcPr>
            <w:tcW w:w="934" w:type="dxa"/>
            <w:tcBorders>
              <w:top w:val="nil"/>
              <w:left w:val="nil"/>
              <w:bottom w:val="nil"/>
              <w:right w:val="nil"/>
            </w:tcBorders>
          </w:tcPr>
          <w:p>
            <w:pPr>
              <w:pStyle w:val="TableParagraph"/>
              <w:spacing w:line="226" w:lineRule="exact"/>
              <w:ind w:left="602" w:right="-130"/>
              <w:rPr>
                <w:rFonts w:ascii="Calibri"/>
                <w:sz w:val="20"/>
              </w:rPr>
            </w:pPr>
            <w:r>
              <w:rPr>
                <w:rFonts w:ascii="Calibri"/>
                <w:sz w:val="20"/>
              </w:rPr>
              <w:t>21</w:t>
            </w:r>
          </w:p>
        </w:tc>
        <w:tc>
          <w:tcPr>
            <w:tcW w:w="981" w:type="dxa"/>
            <w:tcBorders>
              <w:top w:val="nil"/>
              <w:left w:val="nil"/>
              <w:bottom w:val="nil"/>
              <w:right w:val="nil"/>
            </w:tcBorders>
          </w:tcPr>
          <w:p>
            <w:pPr>
              <w:pStyle w:val="TableParagraph"/>
              <w:spacing w:line="248"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8"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5"/>
              <w:ind w:left="291" w:right="295"/>
              <w:jc w:val="center"/>
              <w:rPr>
                <w:rFonts w:ascii="Calibri"/>
                <w:sz w:val="20"/>
              </w:rPr>
            </w:pPr>
            <w:r>
              <w:rPr>
                <w:rFonts w:ascii="Calibri"/>
                <w:sz w:val="20"/>
              </w:rPr>
              <w:t>a/b</w:t>
            </w:r>
          </w:p>
        </w:tc>
        <w:tc>
          <w:tcPr>
            <w:tcW w:w="966" w:type="dxa"/>
            <w:tcBorders>
              <w:top w:val="nil"/>
              <w:left w:val="nil"/>
              <w:bottom w:val="nil"/>
              <w:right w:val="nil"/>
            </w:tcBorders>
          </w:tcPr>
          <w:p>
            <w:pPr>
              <w:pStyle w:val="TableParagraph"/>
              <w:spacing w:before="25"/>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6" w:lineRule="exact"/>
              <w:ind w:left="354" w:right="366"/>
              <w:jc w:val="center"/>
              <w:rPr>
                <w:rFonts w:ascii="Calibri"/>
                <w:sz w:val="20"/>
              </w:rPr>
            </w:pPr>
            <w:r>
              <w:rPr>
                <w:rFonts w:ascii="Calibri"/>
                <w:sz w:val="20"/>
              </w:rPr>
              <w:t>11</w:t>
            </w:r>
          </w:p>
        </w:tc>
      </w:tr>
      <w:tr>
        <w:trPr>
          <w:trHeight w:val="287" w:hRule="exact"/>
        </w:trPr>
        <w:tc>
          <w:tcPr>
            <w:tcW w:w="934" w:type="dxa"/>
            <w:tcBorders>
              <w:top w:val="nil"/>
              <w:left w:val="nil"/>
              <w:bottom w:val="nil"/>
              <w:right w:val="nil"/>
            </w:tcBorders>
          </w:tcPr>
          <w:p>
            <w:pPr>
              <w:pStyle w:val="TableParagraph"/>
              <w:spacing w:line="226" w:lineRule="exact"/>
              <w:ind w:left="602" w:right="-130"/>
              <w:rPr>
                <w:rFonts w:ascii="Calibri"/>
                <w:sz w:val="20"/>
              </w:rPr>
            </w:pPr>
            <w:r>
              <w:rPr>
                <w:rFonts w:ascii="Calibri"/>
                <w:sz w:val="20"/>
              </w:rPr>
              <w:t>22</w:t>
            </w:r>
          </w:p>
        </w:tc>
        <w:tc>
          <w:tcPr>
            <w:tcW w:w="981" w:type="dxa"/>
            <w:tcBorders>
              <w:top w:val="nil"/>
              <w:left w:val="nil"/>
              <w:bottom w:val="nil"/>
              <w:right w:val="nil"/>
            </w:tcBorders>
          </w:tcPr>
          <w:p>
            <w:pPr>
              <w:pStyle w:val="TableParagraph"/>
              <w:spacing w:line="248" w:lineRule="exact"/>
              <w:ind w:right="33"/>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5" w:lineRule="exact"/>
              <w:ind w:left="13"/>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5"/>
              <w:ind w:left="291" w:right="295"/>
              <w:jc w:val="center"/>
              <w:rPr>
                <w:rFonts w:ascii="Calibri"/>
                <w:sz w:val="20"/>
              </w:rPr>
            </w:pPr>
            <w:r>
              <w:rPr>
                <w:rFonts w:ascii="Calibri"/>
                <w:sz w:val="20"/>
              </w:rPr>
              <w:t>a/a</w:t>
            </w:r>
          </w:p>
        </w:tc>
        <w:tc>
          <w:tcPr>
            <w:tcW w:w="966" w:type="dxa"/>
            <w:tcBorders>
              <w:top w:val="nil"/>
              <w:left w:val="nil"/>
              <w:bottom w:val="nil"/>
              <w:right w:val="nil"/>
            </w:tcBorders>
          </w:tcPr>
          <w:p>
            <w:pPr>
              <w:pStyle w:val="TableParagraph"/>
              <w:spacing w:before="25"/>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6" w:lineRule="exact"/>
              <w:ind w:right="12"/>
              <w:jc w:val="center"/>
              <w:rPr>
                <w:rFonts w:ascii="Calibri"/>
                <w:sz w:val="20"/>
              </w:rPr>
            </w:pPr>
            <w:r>
              <w:rPr>
                <w:rFonts w:ascii="Calibri"/>
                <w:w w:val="99"/>
                <w:sz w:val="20"/>
              </w:rPr>
              <w:t>2</w:t>
            </w:r>
          </w:p>
        </w:tc>
      </w:tr>
      <w:tr>
        <w:trPr>
          <w:trHeight w:val="287" w:hRule="exact"/>
        </w:trPr>
        <w:tc>
          <w:tcPr>
            <w:tcW w:w="934" w:type="dxa"/>
            <w:tcBorders>
              <w:top w:val="nil"/>
              <w:left w:val="nil"/>
              <w:bottom w:val="nil"/>
              <w:right w:val="nil"/>
            </w:tcBorders>
          </w:tcPr>
          <w:p>
            <w:pPr>
              <w:pStyle w:val="TableParagraph"/>
              <w:spacing w:line="225" w:lineRule="exact"/>
              <w:ind w:left="602" w:right="-130"/>
              <w:rPr>
                <w:rFonts w:ascii="Calibri"/>
                <w:sz w:val="20"/>
              </w:rPr>
            </w:pPr>
            <w:r>
              <w:rPr>
                <w:rFonts w:ascii="Calibri"/>
                <w:sz w:val="20"/>
              </w:rPr>
              <w:t>23</w:t>
            </w:r>
          </w:p>
        </w:tc>
        <w:tc>
          <w:tcPr>
            <w:tcW w:w="981" w:type="dxa"/>
            <w:tcBorders>
              <w:top w:val="nil"/>
              <w:left w:val="nil"/>
              <w:bottom w:val="nil"/>
              <w:right w:val="nil"/>
            </w:tcBorders>
          </w:tcPr>
          <w:p>
            <w:pPr>
              <w:pStyle w:val="TableParagraph"/>
              <w:spacing w:line="247"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6"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3"/>
              <w:ind w:left="291" w:right="295"/>
              <w:jc w:val="center"/>
              <w:rPr>
                <w:rFonts w:ascii="Calibri"/>
                <w:sz w:val="20"/>
              </w:rPr>
            </w:pPr>
            <w:r>
              <w:rPr>
                <w:rFonts w:ascii="Calibri"/>
                <w:sz w:val="20"/>
              </w:rPr>
              <w:t>a/b</w:t>
            </w:r>
          </w:p>
        </w:tc>
        <w:tc>
          <w:tcPr>
            <w:tcW w:w="966" w:type="dxa"/>
            <w:tcBorders>
              <w:top w:val="nil"/>
              <w:left w:val="nil"/>
              <w:bottom w:val="nil"/>
              <w:right w:val="nil"/>
            </w:tcBorders>
          </w:tcPr>
          <w:p>
            <w:pPr>
              <w:pStyle w:val="TableParagraph"/>
              <w:spacing w:before="23"/>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5" w:lineRule="exact"/>
              <w:ind w:left="354" w:right="366"/>
              <w:jc w:val="center"/>
              <w:rPr>
                <w:rFonts w:ascii="Calibri"/>
                <w:sz w:val="20"/>
              </w:rPr>
            </w:pPr>
            <w:r>
              <w:rPr>
                <w:rFonts w:ascii="Calibri"/>
                <w:sz w:val="20"/>
              </w:rPr>
              <w:t>12</w:t>
            </w:r>
          </w:p>
        </w:tc>
      </w:tr>
      <w:tr>
        <w:trPr>
          <w:trHeight w:val="287" w:hRule="exact"/>
        </w:trPr>
        <w:tc>
          <w:tcPr>
            <w:tcW w:w="934" w:type="dxa"/>
            <w:tcBorders>
              <w:top w:val="nil"/>
              <w:left w:val="nil"/>
              <w:bottom w:val="nil"/>
              <w:right w:val="nil"/>
            </w:tcBorders>
          </w:tcPr>
          <w:p>
            <w:pPr>
              <w:pStyle w:val="TableParagraph"/>
              <w:spacing w:line="226" w:lineRule="exact"/>
              <w:ind w:left="602" w:right="-130"/>
              <w:rPr>
                <w:rFonts w:ascii="Calibri"/>
                <w:sz w:val="20"/>
              </w:rPr>
            </w:pPr>
            <w:r>
              <w:rPr>
                <w:rFonts w:ascii="Calibri"/>
                <w:sz w:val="20"/>
              </w:rPr>
              <w:t>24</w:t>
            </w:r>
          </w:p>
        </w:tc>
        <w:tc>
          <w:tcPr>
            <w:tcW w:w="981" w:type="dxa"/>
            <w:tcBorders>
              <w:top w:val="nil"/>
              <w:left w:val="nil"/>
              <w:bottom w:val="nil"/>
              <w:right w:val="nil"/>
            </w:tcBorders>
          </w:tcPr>
          <w:p>
            <w:pPr>
              <w:pStyle w:val="TableParagraph"/>
              <w:spacing w:line="248" w:lineRule="exact"/>
              <w:ind w:right="33"/>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7" w:lineRule="exact"/>
              <w:ind w:left="13"/>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5"/>
              <w:ind w:left="291" w:right="295"/>
              <w:jc w:val="center"/>
              <w:rPr>
                <w:rFonts w:ascii="Calibri"/>
                <w:sz w:val="20"/>
              </w:rPr>
            </w:pPr>
            <w:r>
              <w:rPr>
                <w:rFonts w:ascii="Calibri"/>
                <w:sz w:val="20"/>
              </w:rPr>
              <w:t>a/b</w:t>
            </w:r>
          </w:p>
        </w:tc>
        <w:tc>
          <w:tcPr>
            <w:tcW w:w="966" w:type="dxa"/>
            <w:tcBorders>
              <w:top w:val="nil"/>
              <w:left w:val="nil"/>
              <w:bottom w:val="nil"/>
              <w:right w:val="nil"/>
            </w:tcBorders>
          </w:tcPr>
          <w:p>
            <w:pPr>
              <w:pStyle w:val="TableParagraph"/>
              <w:spacing w:before="25"/>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6" w:lineRule="exact"/>
              <w:ind w:right="12"/>
              <w:jc w:val="center"/>
              <w:rPr>
                <w:rFonts w:ascii="Calibri"/>
                <w:sz w:val="20"/>
              </w:rPr>
            </w:pPr>
            <w:r>
              <w:rPr>
                <w:rFonts w:ascii="Calibri"/>
                <w:w w:val="99"/>
                <w:sz w:val="20"/>
              </w:rPr>
              <w:t>4</w:t>
            </w:r>
          </w:p>
        </w:tc>
      </w:tr>
      <w:tr>
        <w:trPr>
          <w:trHeight w:val="287" w:hRule="exact"/>
        </w:trPr>
        <w:tc>
          <w:tcPr>
            <w:tcW w:w="934" w:type="dxa"/>
            <w:tcBorders>
              <w:top w:val="nil"/>
              <w:left w:val="nil"/>
              <w:bottom w:val="nil"/>
              <w:right w:val="nil"/>
            </w:tcBorders>
          </w:tcPr>
          <w:p>
            <w:pPr>
              <w:pStyle w:val="TableParagraph"/>
              <w:spacing w:line="225" w:lineRule="exact"/>
              <w:ind w:left="602" w:right="-130"/>
              <w:rPr>
                <w:rFonts w:ascii="Calibri"/>
                <w:sz w:val="20"/>
              </w:rPr>
            </w:pPr>
            <w:r>
              <w:rPr>
                <w:rFonts w:ascii="Calibri"/>
                <w:sz w:val="20"/>
              </w:rPr>
              <w:t>25</w:t>
            </w:r>
          </w:p>
        </w:tc>
        <w:tc>
          <w:tcPr>
            <w:tcW w:w="981" w:type="dxa"/>
            <w:tcBorders>
              <w:top w:val="nil"/>
              <w:left w:val="nil"/>
              <w:bottom w:val="nil"/>
              <w:right w:val="nil"/>
            </w:tcBorders>
          </w:tcPr>
          <w:p>
            <w:pPr>
              <w:pStyle w:val="TableParagraph"/>
              <w:spacing w:line="247"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6"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3"/>
              <w:ind w:left="291" w:right="295"/>
              <w:jc w:val="center"/>
              <w:rPr>
                <w:rFonts w:ascii="Calibri"/>
                <w:sz w:val="20"/>
              </w:rPr>
            </w:pPr>
            <w:r>
              <w:rPr>
                <w:rFonts w:ascii="Calibri"/>
                <w:sz w:val="20"/>
              </w:rPr>
              <w:t>a/b</w:t>
            </w:r>
          </w:p>
        </w:tc>
        <w:tc>
          <w:tcPr>
            <w:tcW w:w="966" w:type="dxa"/>
            <w:tcBorders>
              <w:top w:val="nil"/>
              <w:left w:val="nil"/>
              <w:bottom w:val="nil"/>
              <w:right w:val="nil"/>
            </w:tcBorders>
          </w:tcPr>
          <w:p>
            <w:pPr>
              <w:pStyle w:val="TableParagraph"/>
              <w:spacing w:before="23"/>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5" w:lineRule="exact"/>
              <w:ind w:left="354" w:right="366"/>
              <w:jc w:val="center"/>
              <w:rPr>
                <w:rFonts w:ascii="Calibri"/>
                <w:sz w:val="20"/>
              </w:rPr>
            </w:pPr>
            <w:r>
              <w:rPr>
                <w:rFonts w:ascii="Calibri"/>
                <w:sz w:val="20"/>
              </w:rPr>
              <w:t>14</w:t>
            </w:r>
          </w:p>
        </w:tc>
      </w:tr>
      <w:tr>
        <w:trPr>
          <w:trHeight w:val="288" w:hRule="exact"/>
        </w:trPr>
        <w:tc>
          <w:tcPr>
            <w:tcW w:w="934" w:type="dxa"/>
            <w:tcBorders>
              <w:top w:val="nil"/>
              <w:left w:val="nil"/>
              <w:bottom w:val="nil"/>
              <w:right w:val="nil"/>
            </w:tcBorders>
          </w:tcPr>
          <w:p>
            <w:pPr>
              <w:pStyle w:val="TableParagraph"/>
              <w:spacing w:line="226" w:lineRule="exact"/>
              <w:ind w:left="602" w:right="-130"/>
              <w:rPr>
                <w:rFonts w:ascii="Calibri"/>
                <w:sz w:val="20"/>
              </w:rPr>
            </w:pPr>
            <w:r>
              <w:rPr>
                <w:rFonts w:ascii="Calibri"/>
                <w:sz w:val="20"/>
              </w:rPr>
              <w:t>26</w:t>
            </w:r>
          </w:p>
        </w:tc>
        <w:tc>
          <w:tcPr>
            <w:tcW w:w="981" w:type="dxa"/>
            <w:tcBorders>
              <w:top w:val="nil"/>
              <w:left w:val="nil"/>
              <w:bottom w:val="nil"/>
              <w:right w:val="nil"/>
            </w:tcBorders>
          </w:tcPr>
          <w:p>
            <w:pPr>
              <w:pStyle w:val="TableParagraph"/>
              <w:spacing w:line="267"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7"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5"/>
              <w:ind w:left="291" w:right="295"/>
              <w:jc w:val="center"/>
              <w:rPr>
                <w:rFonts w:ascii="Calibri"/>
                <w:sz w:val="20"/>
              </w:rPr>
            </w:pPr>
            <w:r>
              <w:rPr>
                <w:rFonts w:ascii="Calibri"/>
                <w:sz w:val="20"/>
              </w:rPr>
              <w:t>a/b</w:t>
            </w:r>
          </w:p>
        </w:tc>
        <w:tc>
          <w:tcPr>
            <w:tcW w:w="966" w:type="dxa"/>
            <w:tcBorders>
              <w:top w:val="nil"/>
              <w:left w:val="nil"/>
              <w:bottom w:val="nil"/>
              <w:right w:val="nil"/>
            </w:tcBorders>
          </w:tcPr>
          <w:p>
            <w:pPr>
              <w:pStyle w:val="TableParagraph"/>
              <w:spacing w:before="25"/>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6" w:lineRule="exact"/>
              <w:ind w:right="12"/>
              <w:jc w:val="center"/>
              <w:rPr>
                <w:rFonts w:ascii="Calibri"/>
                <w:sz w:val="20"/>
              </w:rPr>
            </w:pPr>
            <w:r>
              <w:rPr>
                <w:rFonts w:ascii="Calibri"/>
                <w:w w:val="99"/>
                <w:sz w:val="20"/>
              </w:rPr>
              <w:t>9</w:t>
            </w:r>
          </w:p>
        </w:tc>
      </w:tr>
      <w:tr>
        <w:trPr>
          <w:trHeight w:val="287" w:hRule="exact"/>
        </w:trPr>
        <w:tc>
          <w:tcPr>
            <w:tcW w:w="934" w:type="dxa"/>
            <w:tcBorders>
              <w:top w:val="nil"/>
              <w:left w:val="nil"/>
              <w:bottom w:val="nil"/>
              <w:right w:val="nil"/>
            </w:tcBorders>
          </w:tcPr>
          <w:p>
            <w:pPr>
              <w:pStyle w:val="TableParagraph"/>
              <w:spacing w:line="226" w:lineRule="exact"/>
              <w:ind w:left="602" w:right="-130"/>
              <w:rPr>
                <w:rFonts w:ascii="Calibri"/>
                <w:sz w:val="20"/>
              </w:rPr>
            </w:pPr>
            <w:r>
              <w:rPr>
                <w:rFonts w:ascii="Calibri"/>
                <w:sz w:val="20"/>
              </w:rPr>
              <w:t>27</w:t>
            </w:r>
          </w:p>
        </w:tc>
        <w:tc>
          <w:tcPr>
            <w:tcW w:w="981" w:type="dxa"/>
            <w:tcBorders>
              <w:top w:val="nil"/>
              <w:left w:val="nil"/>
              <w:bottom w:val="nil"/>
              <w:right w:val="nil"/>
            </w:tcBorders>
          </w:tcPr>
          <w:p>
            <w:pPr>
              <w:pStyle w:val="TableParagraph"/>
              <w:spacing w:line="265"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5"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5"/>
              <w:ind w:left="291" w:right="295"/>
              <w:jc w:val="center"/>
              <w:rPr>
                <w:rFonts w:ascii="Calibri"/>
                <w:sz w:val="20"/>
              </w:rPr>
            </w:pPr>
            <w:r>
              <w:rPr>
                <w:rFonts w:ascii="Calibri"/>
                <w:sz w:val="20"/>
              </w:rPr>
              <w:t>b/b</w:t>
            </w:r>
          </w:p>
        </w:tc>
        <w:tc>
          <w:tcPr>
            <w:tcW w:w="966" w:type="dxa"/>
            <w:tcBorders>
              <w:top w:val="nil"/>
              <w:left w:val="nil"/>
              <w:bottom w:val="nil"/>
              <w:right w:val="nil"/>
            </w:tcBorders>
          </w:tcPr>
          <w:p>
            <w:pPr>
              <w:pStyle w:val="TableParagraph"/>
              <w:spacing w:before="25"/>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6" w:lineRule="exact"/>
              <w:ind w:left="354" w:right="366"/>
              <w:jc w:val="center"/>
              <w:rPr>
                <w:rFonts w:ascii="Calibri"/>
                <w:sz w:val="20"/>
              </w:rPr>
            </w:pPr>
            <w:r>
              <w:rPr>
                <w:rFonts w:ascii="Calibri"/>
                <w:sz w:val="20"/>
              </w:rPr>
              <w:t>12</w:t>
            </w:r>
          </w:p>
        </w:tc>
      </w:tr>
      <w:tr>
        <w:trPr>
          <w:trHeight w:val="287" w:hRule="exact"/>
        </w:trPr>
        <w:tc>
          <w:tcPr>
            <w:tcW w:w="934" w:type="dxa"/>
            <w:tcBorders>
              <w:top w:val="nil"/>
              <w:left w:val="nil"/>
              <w:bottom w:val="nil"/>
              <w:right w:val="nil"/>
            </w:tcBorders>
          </w:tcPr>
          <w:p>
            <w:pPr>
              <w:pStyle w:val="TableParagraph"/>
              <w:spacing w:line="225" w:lineRule="exact"/>
              <w:ind w:left="602" w:right="-130"/>
              <w:rPr>
                <w:rFonts w:ascii="Calibri"/>
                <w:sz w:val="20"/>
              </w:rPr>
            </w:pPr>
            <w:r>
              <w:rPr>
                <w:rFonts w:ascii="Calibri"/>
                <w:sz w:val="20"/>
              </w:rPr>
              <w:t>28</w:t>
            </w:r>
          </w:p>
        </w:tc>
        <w:tc>
          <w:tcPr>
            <w:tcW w:w="981" w:type="dxa"/>
            <w:tcBorders>
              <w:top w:val="nil"/>
              <w:left w:val="nil"/>
              <w:bottom w:val="nil"/>
              <w:right w:val="nil"/>
            </w:tcBorders>
          </w:tcPr>
          <w:p>
            <w:pPr>
              <w:pStyle w:val="TableParagraph"/>
              <w:spacing w:line="266"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6"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3"/>
              <w:ind w:left="291" w:right="295"/>
              <w:jc w:val="center"/>
              <w:rPr>
                <w:rFonts w:ascii="Calibri"/>
                <w:sz w:val="20"/>
              </w:rPr>
            </w:pPr>
            <w:r>
              <w:rPr>
                <w:rFonts w:ascii="Calibri"/>
                <w:sz w:val="20"/>
              </w:rPr>
              <w:t>a/a</w:t>
            </w:r>
          </w:p>
        </w:tc>
        <w:tc>
          <w:tcPr>
            <w:tcW w:w="966" w:type="dxa"/>
            <w:tcBorders>
              <w:top w:val="nil"/>
              <w:left w:val="nil"/>
              <w:bottom w:val="nil"/>
              <w:right w:val="nil"/>
            </w:tcBorders>
          </w:tcPr>
          <w:p>
            <w:pPr>
              <w:pStyle w:val="TableParagraph"/>
              <w:spacing w:before="23"/>
              <w:ind w:left="306" w:right="348"/>
              <w:jc w:val="center"/>
              <w:rPr>
                <w:rFonts w:ascii="Calibri"/>
                <w:sz w:val="20"/>
              </w:rPr>
            </w:pPr>
            <w:r>
              <w:rPr>
                <w:rFonts w:ascii="Calibri"/>
                <w:sz w:val="20"/>
              </w:rPr>
              <w:t>a/c</w:t>
            </w:r>
          </w:p>
        </w:tc>
        <w:tc>
          <w:tcPr>
            <w:tcW w:w="984" w:type="dxa"/>
            <w:tcBorders>
              <w:top w:val="nil"/>
              <w:left w:val="nil"/>
              <w:bottom w:val="nil"/>
              <w:right w:val="nil"/>
            </w:tcBorders>
          </w:tcPr>
          <w:p>
            <w:pPr>
              <w:pStyle w:val="TableParagraph"/>
              <w:spacing w:line="225" w:lineRule="exact"/>
              <w:ind w:right="12"/>
              <w:jc w:val="center"/>
              <w:rPr>
                <w:rFonts w:ascii="Calibri"/>
                <w:sz w:val="20"/>
              </w:rPr>
            </w:pPr>
            <w:r>
              <w:rPr>
                <w:rFonts w:ascii="Calibri"/>
                <w:w w:val="99"/>
                <w:sz w:val="20"/>
              </w:rPr>
              <w:t>7</w:t>
            </w:r>
          </w:p>
        </w:tc>
      </w:tr>
      <w:tr>
        <w:trPr>
          <w:trHeight w:val="287" w:hRule="exact"/>
        </w:trPr>
        <w:tc>
          <w:tcPr>
            <w:tcW w:w="934" w:type="dxa"/>
            <w:tcBorders>
              <w:top w:val="nil"/>
              <w:left w:val="nil"/>
              <w:bottom w:val="nil"/>
              <w:right w:val="nil"/>
            </w:tcBorders>
          </w:tcPr>
          <w:p>
            <w:pPr>
              <w:pStyle w:val="TableParagraph"/>
              <w:spacing w:line="226" w:lineRule="exact"/>
              <w:ind w:left="602" w:right="-130"/>
              <w:rPr>
                <w:rFonts w:ascii="Calibri"/>
                <w:sz w:val="20"/>
              </w:rPr>
            </w:pPr>
            <w:r>
              <w:rPr>
                <w:rFonts w:ascii="Calibri"/>
                <w:sz w:val="20"/>
              </w:rPr>
              <w:t>29</w:t>
            </w:r>
          </w:p>
        </w:tc>
        <w:tc>
          <w:tcPr>
            <w:tcW w:w="981" w:type="dxa"/>
            <w:tcBorders>
              <w:top w:val="nil"/>
              <w:left w:val="nil"/>
              <w:bottom w:val="nil"/>
              <w:right w:val="nil"/>
            </w:tcBorders>
          </w:tcPr>
          <w:p>
            <w:pPr>
              <w:pStyle w:val="TableParagraph"/>
              <w:spacing w:line="267"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7"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line="226" w:lineRule="exact"/>
              <w:ind w:left="291" w:right="295"/>
              <w:jc w:val="center"/>
              <w:rPr>
                <w:rFonts w:ascii="Calibri"/>
                <w:sz w:val="20"/>
              </w:rPr>
            </w:pPr>
            <w:r>
              <w:rPr>
                <w:rFonts w:ascii="Calibri"/>
                <w:sz w:val="20"/>
              </w:rPr>
              <w:t>b/b</w:t>
            </w:r>
          </w:p>
        </w:tc>
        <w:tc>
          <w:tcPr>
            <w:tcW w:w="966" w:type="dxa"/>
            <w:tcBorders>
              <w:top w:val="nil"/>
              <w:left w:val="nil"/>
              <w:bottom w:val="nil"/>
              <w:right w:val="nil"/>
            </w:tcBorders>
          </w:tcPr>
          <w:p>
            <w:pPr>
              <w:pStyle w:val="TableParagraph"/>
              <w:spacing w:before="25"/>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6" w:lineRule="exact"/>
              <w:ind w:left="354" w:right="366"/>
              <w:jc w:val="center"/>
              <w:rPr>
                <w:rFonts w:ascii="Calibri"/>
                <w:sz w:val="20"/>
              </w:rPr>
            </w:pPr>
            <w:r>
              <w:rPr>
                <w:rFonts w:ascii="Calibri"/>
                <w:sz w:val="20"/>
              </w:rPr>
              <w:t>11</w:t>
            </w:r>
          </w:p>
        </w:tc>
      </w:tr>
      <w:tr>
        <w:trPr>
          <w:trHeight w:val="287" w:hRule="exact"/>
        </w:trPr>
        <w:tc>
          <w:tcPr>
            <w:tcW w:w="934" w:type="dxa"/>
            <w:tcBorders>
              <w:top w:val="nil"/>
              <w:left w:val="nil"/>
              <w:bottom w:val="nil"/>
              <w:right w:val="nil"/>
            </w:tcBorders>
          </w:tcPr>
          <w:p>
            <w:pPr>
              <w:pStyle w:val="TableParagraph"/>
              <w:spacing w:line="225" w:lineRule="exact"/>
              <w:ind w:left="602" w:right="-130"/>
              <w:rPr>
                <w:rFonts w:ascii="Calibri"/>
                <w:sz w:val="20"/>
              </w:rPr>
            </w:pPr>
            <w:r>
              <w:rPr>
                <w:rFonts w:ascii="Calibri"/>
                <w:sz w:val="20"/>
              </w:rPr>
              <w:t>30</w:t>
            </w:r>
          </w:p>
        </w:tc>
        <w:tc>
          <w:tcPr>
            <w:tcW w:w="981" w:type="dxa"/>
            <w:tcBorders>
              <w:top w:val="nil"/>
              <w:left w:val="nil"/>
              <w:bottom w:val="nil"/>
              <w:right w:val="nil"/>
            </w:tcBorders>
          </w:tcPr>
          <w:p>
            <w:pPr>
              <w:pStyle w:val="TableParagraph"/>
              <w:spacing w:line="247" w:lineRule="exact"/>
              <w:ind w:right="33"/>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6" w:lineRule="exact"/>
              <w:ind w:left="13"/>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line="225" w:lineRule="exact"/>
              <w:ind w:left="291" w:right="295"/>
              <w:jc w:val="center"/>
              <w:rPr>
                <w:rFonts w:ascii="Calibri"/>
                <w:sz w:val="20"/>
              </w:rPr>
            </w:pPr>
            <w:r>
              <w:rPr>
                <w:rFonts w:ascii="Calibri"/>
                <w:sz w:val="20"/>
              </w:rPr>
              <w:t>b/b</w:t>
            </w:r>
          </w:p>
        </w:tc>
        <w:tc>
          <w:tcPr>
            <w:tcW w:w="966" w:type="dxa"/>
            <w:tcBorders>
              <w:top w:val="nil"/>
              <w:left w:val="nil"/>
              <w:bottom w:val="nil"/>
              <w:right w:val="nil"/>
            </w:tcBorders>
          </w:tcPr>
          <w:p>
            <w:pPr>
              <w:pStyle w:val="TableParagraph"/>
              <w:spacing w:before="23"/>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5" w:lineRule="exact"/>
              <w:ind w:right="12"/>
              <w:jc w:val="center"/>
              <w:rPr>
                <w:rFonts w:ascii="Calibri"/>
                <w:sz w:val="20"/>
              </w:rPr>
            </w:pPr>
            <w:r>
              <w:rPr>
                <w:rFonts w:ascii="Calibri"/>
                <w:w w:val="99"/>
                <w:sz w:val="20"/>
              </w:rPr>
              <w:t>3</w:t>
            </w:r>
          </w:p>
        </w:tc>
      </w:tr>
      <w:tr>
        <w:trPr>
          <w:trHeight w:val="288" w:hRule="exact"/>
        </w:trPr>
        <w:tc>
          <w:tcPr>
            <w:tcW w:w="934" w:type="dxa"/>
            <w:tcBorders>
              <w:top w:val="nil"/>
              <w:left w:val="nil"/>
              <w:bottom w:val="nil"/>
              <w:right w:val="nil"/>
            </w:tcBorders>
          </w:tcPr>
          <w:p>
            <w:pPr>
              <w:pStyle w:val="TableParagraph"/>
              <w:spacing w:line="226" w:lineRule="exact"/>
              <w:ind w:left="602" w:right="-130"/>
              <w:rPr>
                <w:rFonts w:ascii="Calibri"/>
                <w:sz w:val="20"/>
              </w:rPr>
            </w:pPr>
            <w:r>
              <w:rPr>
                <w:rFonts w:ascii="Calibri"/>
                <w:sz w:val="20"/>
              </w:rPr>
              <w:t>31</w:t>
            </w:r>
          </w:p>
        </w:tc>
        <w:tc>
          <w:tcPr>
            <w:tcW w:w="981" w:type="dxa"/>
            <w:tcBorders>
              <w:top w:val="nil"/>
              <w:left w:val="nil"/>
              <w:bottom w:val="nil"/>
              <w:right w:val="nil"/>
            </w:tcBorders>
          </w:tcPr>
          <w:p>
            <w:pPr>
              <w:pStyle w:val="TableParagraph"/>
              <w:spacing w:line="267"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7"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line="226" w:lineRule="exact"/>
              <w:ind w:left="291" w:right="295"/>
              <w:jc w:val="center"/>
              <w:rPr>
                <w:rFonts w:ascii="Calibri"/>
                <w:sz w:val="20"/>
              </w:rPr>
            </w:pPr>
            <w:r>
              <w:rPr>
                <w:rFonts w:ascii="Calibri"/>
                <w:sz w:val="20"/>
              </w:rPr>
              <w:t>b/b</w:t>
            </w:r>
          </w:p>
        </w:tc>
        <w:tc>
          <w:tcPr>
            <w:tcW w:w="966" w:type="dxa"/>
            <w:tcBorders>
              <w:top w:val="nil"/>
              <w:left w:val="nil"/>
              <w:bottom w:val="nil"/>
              <w:right w:val="nil"/>
            </w:tcBorders>
          </w:tcPr>
          <w:p>
            <w:pPr>
              <w:pStyle w:val="TableParagraph"/>
              <w:spacing w:before="25"/>
              <w:ind w:left="306" w:right="348"/>
              <w:jc w:val="center"/>
              <w:rPr>
                <w:rFonts w:ascii="Calibri"/>
                <w:sz w:val="20"/>
              </w:rPr>
            </w:pPr>
            <w:r>
              <w:rPr>
                <w:rFonts w:ascii="Calibri"/>
                <w:sz w:val="20"/>
              </w:rPr>
              <w:t>a/c</w:t>
            </w:r>
          </w:p>
        </w:tc>
        <w:tc>
          <w:tcPr>
            <w:tcW w:w="984" w:type="dxa"/>
            <w:tcBorders>
              <w:top w:val="nil"/>
              <w:left w:val="nil"/>
              <w:bottom w:val="nil"/>
              <w:right w:val="nil"/>
            </w:tcBorders>
          </w:tcPr>
          <w:p>
            <w:pPr>
              <w:pStyle w:val="TableParagraph"/>
              <w:spacing w:line="226" w:lineRule="exact"/>
              <w:ind w:left="354" w:right="366"/>
              <w:jc w:val="center"/>
              <w:rPr>
                <w:rFonts w:ascii="Calibri"/>
                <w:sz w:val="20"/>
              </w:rPr>
            </w:pPr>
            <w:r>
              <w:rPr>
                <w:rFonts w:ascii="Calibri"/>
                <w:sz w:val="20"/>
              </w:rPr>
              <w:t>19</w:t>
            </w:r>
          </w:p>
        </w:tc>
      </w:tr>
      <w:tr>
        <w:trPr>
          <w:trHeight w:val="286" w:hRule="exact"/>
        </w:trPr>
        <w:tc>
          <w:tcPr>
            <w:tcW w:w="934" w:type="dxa"/>
            <w:tcBorders>
              <w:top w:val="nil"/>
              <w:left w:val="nil"/>
              <w:bottom w:val="nil"/>
              <w:right w:val="nil"/>
            </w:tcBorders>
          </w:tcPr>
          <w:p>
            <w:pPr>
              <w:pStyle w:val="TableParagraph"/>
              <w:spacing w:line="226" w:lineRule="exact"/>
              <w:ind w:left="602" w:right="-130"/>
              <w:rPr>
                <w:rFonts w:ascii="Calibri"/>
                <w:sz w:val="20"/>
              </w:rPr>
            </w:pPr>
            <w:r>
              <w:rPr>
                <w:rFonts w:ascii="Calibri"/>
                <w:sz w:val="20"/>
              </w:rPr>
              <w:t>32</w:t>
            </w:r>
          </w:p>
        </w:tc>
        <w:tc>
          <w:tcPr>
            <w:tcW w:w="981" w:type="dxa"/>
            <w:tcBorders>
              <w:top w:val="nil"/>
              <w:left w:val="nil"/>
              <w:bottom w:val="nil"/>
              <w:right w:val="nil"/>
            </w:tcBorders>
          </w:tcPr>
          <w:p>
            <w:pPr>
              <w:pStyle w:val="TableParagraph"/>
              <w:spacing w:line="265"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5"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2"/>
              <w:ind w:left="291" w:right="295"/>
              <w:jc w:val="center"/>
              <w:rPr>
                <w:rFonts w:ascii="Calibri"/>
                <w:sz w:val="20"/>
              </w:rPr>
            </w:pPr>
            <w:r>
              <w:rPr>
                <w:rFonts w:ascii="Calibri"/>
                <w:sz w:val="20"/>
              </w:rPr>
              <w:t>a/b</w:t>
            </w:r>
          </w:p>
        </w:tc>
        <w:tc>
          <w:tcPr>
            <w:tcW w:w="966" w:type="dxa"/>
            <w:tcBorders>
              <w:top w:val="nil"/>
              <w:left w:val="nil"/>
              <w:bottom w:val="nil"/>
              <w:right w:val="nil"/>
            </w:tcBorders>
          </w:tcPr>
          <w:p>
            <w:pPr>
              <w:pStyle w:val="TableParagraph"/>
              <w:spacing w:before="22"/>
              <w:ind w:left="306" w:right="348"/>
              <w:jc w:val="center"/>
              <w:rPr>
                <w:rFonts w:ascii="Calibri"/>
                <w:sz w:val="20"/>
              </w:rPr>
            </w:pPr>
            <w:r>
              <w:rPr>
                <w:rFonts w:ascii="Calibri"/>
                <w:sz w:val="20"/>
              </w:rPr>
              <w:t>a/c</w:t>
            </w:r>
          </w:p>
        </w:tc>
        <w:tc>
          <w:tcPr>
            <w:tcW w:w="984" w:type="dxa"/>
            <w:tcBorders>
              <w:top w:val="nil"/>
              <w:left w:val="nil"/>
              <w:bottom w:val="nil"/>
              <w:right w:val="nil"/>
            </w:tcBorders>
          </w:tcPr>
          <w:p>
            <w:pPr>
              <w:pStyle w:val="TableParagraph"/>
              <w:spacing w:line="226" w:lineRule="exact"/>
              <w:ind w:left="354" w:right="366"/>
              <w:jc w:val="center"/>
              <w:rPr>
                <w:rFonts w:ascii="Calibri"/>
                <w:sz w:val="20"/>
              </w:rPr>
            </w:pPr>
            <w:r>
              <w:rPr>
                <w:rFonts w:ascii="Calibri"/>
                <w:sz w:val="20"/>
              </w:rPr>
              <w:t>17</w:t>
            </w:r>
          </w:p>
        </w:tc>
      </w:tr>
      <w:tr>
        <w:trPr>
          <w:trHeight w:val="288" w:hRule="exact"/>
        </w:trPr>
        <w:tc>
          <w:tcPr>
            <w:tcW w:w="934" w:type="dxa"/>
            <w:tcBorders>
              <w:top w:val="nil"/>
              <w:left w:val="nil"/>
              <w:bottom w:val="nil"/>
              <w:right w:val="nil"/>
            </w:tcBorders>
          </w:tcPr>
          <w:p>
            <w:pPr>
              <w:pStyle w:val="TableParagraph"/>
              <w:spacing w:line="226" w:lineRule="exact"/>
              <w:ind w:left="602" w:right="-130"/>
              <w:rPr>
                <w:rFonts w:ascii="Calibri"/>
                <w:sz w:val="20"/>
              </w:rPr>
            </w:pPr>
            <w:r>
              <w:rPr>
                <w:rFonts w:ascii="Calibri"/>
                <w:sz w:val="20"/>
              </w:rPr>
              <w:t>33</w:t>
            </w:r>
          </w:p>
        </w:tc>
        <w:tc>
          <w:tcPr>
            <w:tcW w:w="981" w:type="dxa"/>
            <w:tcBorders>
              <w:top w:val="nil"/>
              <w:left w:val="nil"/>
              <w:bottom w:val="nil"/>
              <w:right w:val="nil"/>
            </w:tcBorders>
          </w:tcPr>
          <w:p>
            <w:pPr>
              <w:pStyle w:val="TableParagraph"/>
              <w:spacing w:line="248"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8"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5"/>
              <w:ind w:left="291" w:right="295"/>
              <w:jc w:val="center"/>
              <w:rPr>
                <w:rFonts w:ascii="Calibri"/>
                <w:sz w:val="20"/>
              </w:rPr>
            </w:pPr>
            <w:r>
              <w:rPr>
                <w:rFonts w:ascii="Calibri"/>
                <w:sz w:val="20"/>
              </w:rPr>
              <w:t>a/a</w:t>
            </w:r>
          </w:p>
        </w:tc>
        <w:tc>
          <w:tcPr>
            <w:tcW w:w="966" w:type="dxa"/>
            <w:tcBorders>
              <w:top w:val="nil"/>
              <w:left w:val="nil"/>
              <w:bottom w:val="nil"/>
              <w:right w:val="nil"/>
            </w:tcBorders>
          </w:tcPr>
          <w:p>
            <w:pPr>
              <w:pStyle w:val="TableParagraph"/>
              <w:spacing w:before="25"/>
              <w:ind w:left="306" w:right="348"/>
              <w:jc w:val="center"/>
              <w:rPr>
                <w:rFonts w:ascii="Calibri"/>
                <w:sz w:val="20"/>
              </w:rPr>
            </w:pPr>
            <w:r>
              <w:rPr>
                <w:rFonts w:ascii="Calibri"/>
                <w:sz w:val="20"/>
              </w:rPr>
              <w:t>a/c</w:t>
            </w:r>
          </w:p>
        </w:tc>
        <w:tc>
          <w:tcPr>
            <w:tcW w:w="984" w:type="dxa"/>
            <w:tcBorders>
              <w:top w:val="nil"/>
              <w:left w:val="nil"/>
              <w:bottom w:val="nil"/>
              <w:right w:val="nil"/>
            </w:tcBorders>
          </w:tcPr>
          <w:p>
            <w:pPr>
              <w:pStyle w:val="TableParagraph"/>
              <w:spacing w:line="226" w:lineRule="exact"/>
              <w:ind w:left="354" w:right="366"/>
              <w:jc w:val="center"/>
              <w:rPr>
                <w:rFonts w:ascii="Calibri"/>
                <w:sz w:val="20"/>
              </w:rPr>
            </w:pPr>
            <w:r>
              <w:rPr>
                <w:rFonts w:ascii="Calibri"/>
                <w:sz w:val="20"/>
              </w:rPr>
              <w:t>11</w:t>
            </w:r>
          </w:p>
        </w:tc>
      </w:tr>
      <w:tr>
        <w:trPr>
          <w:trHeight w:val="287" w:hRule="exact"/>
        </w:trPr>
        <w:tc>
          <w:tcPr>
            <w:tcW w:w="934" w:type="dxa"/>
            <w:tcBorders>
              <w:top w:val="nil"/>
              <w:left w:val="nil"/>
              <w:bottom w:val="nil"/>
              <w:right w:val="nil"/>
            </w:tcBorders>
          </w:tcPr>
          <w:p>
            <w:pPr>
              <w:pStyle w:val="TableParagraph"/>
              <w:spacing w:line="226" w:lineRule="exact"/>
              <w:ind w:left="602" w:right="-130"/>
              <w:rPr>
                <w:rFonts w:ascii="Calibri"/>
                <w:sz w:val="20"/>
              </w:rPr>
            </w:pPr>
            <w:r>
              <w:rPr>
                <w:rFonts w:ascii="Calibri"/>
                <w:sz w:val="20"/>
              </w:rPr>
              <w:t>34</w:t>
            </w:r>
          </w:p>
        </w:tc>
        <w:tc>
          <w:tcPr>
            <w:tcW w:w="981" w:type="dxa"/>
            <w:tcBorders>
              <w:top w:val="nil"/>
              <w:left w:val="nil"/>
              <w:bottom w:val="nil"/>
              <w:right w:val="nil"/>
            </w:tcBorders>
          </w:tcPr>
          <w:p>
            <w:pPr>
              <w:pStyle w:val="TableParagraph"/>
              <w:spacing w:line="265"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5"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5"/>
              <w:ind w:left="291" w:right="295"/>
              <w:jc w:val="center"/>
              <w:rPr>
                <w:rFonts w:ascii="Calibri"/>
                <w:sz w:val="20"/>
              </w:rPr>
            </w:pPr>
            <w:r>
              <w:rPr>
                <w:rFonts w:ascii="Calibri"/>
                <w:sz w:val="20"/>
              </w:rPr>
              <w:t>b/b</w:t>
            </w:r>
          </w:p>
        </w:tc>
        <w:tc>
          <w:tcPr>
            <w:tcW w:w="966" w:type="dxa"/>
            <w:tcBorders>
              <w:top w:val="nil"/>
              <w:left w:val="nil"/>
              <w:bottom w:val="nil"/>
              <w:right w:val="nil"/>
            </w:tcBorders>
          </w:tcPr>
          <w:p>
            <w:pPr>
              <w:pStyle w:val="TableParagraph"/>
              <w:spacing w:before="25"/>
              <w:ind w:left="306" w:right="348"/>
              <w:jc w:val="center"/>
              <w:rPr>
                <w:rFonts w:ascii="Calibri"/>
                <w:sz w:val="20"/>
              </w:rPr>
            </w:pPr>
            <w:r>
              <w:rPr>
                <w:rFonts w:ascii="Calibri"/>
                <w:sz w:val="20"/>
              </w:rPr>
              <w:t>a/c</w:t>
            </w:r>
          </w:p>
        </w:tc>
        <w:tc>
          <w:tcPr>
            <w:tcW w:w="984" w:type="dxa"/>
            <w:tcBorders>
              <w:top w:val="nil"/>
              <w:left w:val="nil"/>
              <w:bottom w:val="nil"/>
              <w:right w:val="nil"/>
            </w:tcBorders>
          </w:tcPr>
          <w:p>
            <w:pPr>
              <w:pStyle w:val="TableParagraph"/>
              <w:spacing w:line="226" w:lineRule="exact"/>
              <w:ind w:left="354" w:right="366"/>
              <w:jc w:val="center"/>
              <w:rPr>
                <w:rFonts w:ascii="Calibri"/>
                <w:sz w:val="20"/>
              </w:rPr>
            </w:pPr>
            <w:r>
              <w:rPr>
                <w:rFonts w:ascii="Calibri"/>
                <w:sz w:val="20"/>
              </w:rPr>
              <w:t>13</w:t>
            </w:r>
          </w:p>
        </w:tc>
      </w:tr>
      <w:tr>
        <w:trPr>
          <w:trHeight w:val="287" w:hRule="exact"/>
        </w:trPr>
        <w:tc>
          <w:tcPr>
            <w:tcW w:w="934" w:type="dxa"/>
            <w:tcBorders>
              <w:top w:val="nil"/>
              <w:left w:val="nil"/>
              <w:bottom w:val="nil"/>
              <w:right w:val="nil"/>
            </w:tcBorders>
          </w:tcPr>
          <w:p>
            <w:pPr>
              <w:pStyle w:val="TableParagraph"/>
              <w:spacing w:line="225" w:lineRule="exact"/>
              <w:ind w:left="602" w:right="-130"/>
              <w:rPr>
                <w:rFonts w:ascii="Calibri"/>
                <w:sz w:val="20"/>
              </w:rPr>
            </w:pPr>
            <w:r>
              <w:rPr>
                <w:rFonts w:ascii="Calibri"/>
                <w:sz w:val="20"/>
              </w:rPr>
              <w:t>35</w:t>
            </w:r>
          </w:p>
        </w:tc>
        <w:tc>
          <w:tcPr>
            <w:tcW w:w="981" w:type="dxa"/>
            <w:tcBorders>
              <w:top w:val="nil"/>
              <w:left w:val="nil"/>
              <w:bottom w:val="nil"/>
              <w:right w:val="nil"/>
            </w:tcBorders>
          </w:tcPr>
          <w:p>
            <w:pPr>
              <w:pStyle w:val="TableParagraph"/>
              <w:spacing w:line="266" w:lineRule="exact"/>
              <w:ind w:right="33"/>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6" w:lineRule="exact"/>
              <w:ind w:left="13"/>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3"/>
              <w:ind w:left="291" w:right="295"/>
              <w:jc w:val="center"/>
              <w:rPr>
                <w:rFonts w:ascii="Calibri"/>
                <w:sz w:val="20"/>
              </w:rPr>
            </w:pPr>
            <w:r>
              <w:rPr>
                <w:rFonts w:ascii="Calibri"/>
                <w:sz w:val="20"/>
              </w:rPr>
              <w:t>b/b</w:t>
            </w:r>
          </w:p>
        </w:tc>
        <w:tc>
          <w:tcPr>
            <w:tcW w:w="966" w:type="dxa"/>
            <w:tcBorders>
              <w:top w:val="nil"/>
              <w:left w:val="nil"/>
              <w:bottom w:val="nil"/>
              <w:right w:val="nil"/>
            </w:tcBorders>
          </w:tcPr>
          <w:p>
            <w:pPr>
              <w:pStyle w:val="TableParagraph"/>
              <w:spacing w:before="23"/>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5" w:lineRule="exact"/>
              <w:ind w:right="12"/>
              <w:jc w:val="center"/>
              <w:rPr>
                <w:rFonts w:ascii="Calibri"/>
                <w:sz w:val="20"/>
              </w:rPr>
            </w:pPr>
            <w:r>
              <w:rPr>
                <w:rFonts w:ascii="Calibri"/>
                <w:w w:val="99"/>
                <w:sz w:val="20"/>
              </w:rPr>
              <w:t>5</w:t>
            </w:r>
          </w:p>
        </w:tc>
      </w:tr>
      <w:tr>
        <w:trPr>
          <w:trHeight w:val="288" w:hRule="exact"/>
        </w:trPr>
        <w:tc>
          <w:tcPr>
            <w:tcW w:w="934" w:type="dxa"/>
            <w:tcBorders>
              <w:top w:val="nil"/>
              <w:left w:val="nil"/>
              <w:bottom w:val="nil"/>
              <w:right w:val="nil"/>
            </w:tcBorders>
          </w:tcPr>
          <w:p>
            <w:pPr>
              <w:pStyle w:val="TableParagraph"/>
              <w:spacing w:line="226" w:lineRule="exact"/>
              <w:ind w:left="602" w:right="-130"/>
              <w:rPr>
                <w:rFonts w:ascii="Calibri"/>
                <w:sz w:val="20"/>
              </w:rPr>
            </w:pPr>
            <w:r>
              <w:rPr>
                <w:rFonts w:ascii="Calibri"/>
                <w:sz w:val="20"/>
              </w:rPr>
              <w:t>36</w:t>
            </w:r>
          </w:p>
        </w:tc>
        <w:tc>
          <w:tcPr>
            <w:tcW w:w="981" w:type="dxa"/>
            <w:tcBorders>
              <w:top w:val="nil"/>
              <w:left w:val="nil"/>
              <w:bottom w:val="nil"/>
              <w:right w:val="nil"/>
            </w:tcBorders>
          </w:tcPr>
          <w:p>
            <w:pPr>
              <w:pStyle w:val="TableParagraph"/>
              <w:spacing w:line="248"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7"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line="226" w:lineRule="exact"/>
              <w:ind w:left="291" w:right="295"/>
              <w:jc w:val="center"/>
              <w:rPr>
                <w:rFonts w:ascii="Calibri"/>
                <w:sz w:val="20"/>
              </w:rPr>
            </w:pPr>
            <w:r>
              <w:rPr>
                <w:rFonts w:ascii="Calibri"/>
                <w:sz w:val="20"/>
              </w:rPr>
              <w:t>a/b</w:t>
            </w:r>
          </w:p>
        </w:tc>
        <w:tc>
          <w:tcPr>
            <w:tcW w:w="966" w:type="dxa"/>
            <w:tcBorders>
              <w:top w:val="nil"/>
              <w:left w:val="nil"/>
              <w:bottom w:val="nil"/>
              <w:right w:val="nil"/>
            </w:tcBorders>
          </w:tcPr>
          <w:p>
            <w:pPr>
              <w:pStyle w:val="TableParagraph"/>
              <w:spacing w:before="25"/>
              <w:ind w:left="306" w:right="351"/>
              <w:jc w:val="center"/>
              <w:rPr>
                <w:rFonts w:ascii="Calibri"/>
                <w:sz w:val="20"/>
              </w:rPr>
            </w:pPr>
            <w:r>
              <w:rPr>
                <w:rFonts w:ascii="Calibri"/>
                <w:sz w:val="20"/>
              </w:rPr>
              <w:t>a/a</w:t>
            </w:r>
          </w:p>
        </w:tc>
        <w:tc>
          <w:tcPr>
            <w:tcW w:w="984" w:type="dxa"/>
            <w:tcBorders>
              <w:top w:val="nil"/>
              <w:left w:val="nil"/>
              <w:bottom w:val="nil"/>
              <w:right w:val="nil"/>
            </w:tcBorders>
          </w:tcPr>
          <w:p>
            <w:pPr>
              <w:pStyle w:val="TableParagraph"/>
              <w:spacing w:line="226" w:lineRule="exact"/>
              <w:ind w:left="354" w:right="366"/>
              <w:jc w:val="center"/>
              <w:rPr>
                <w:rFonts w:ascii="Calibri"/>
                <w:sz w:val="20"/>
              </w:rPr>
            </w:pPr>
            <w:r>
              <w:rPr>
                <w:rFonts w:ascii="Calibri"/>
                <w:sz w:val="20"/>
              </w:rPr>
              <w:t>19</w:t>
            </w:r>
          </w:p>
        </w:tc>
      </w:tr>
      <w:tr>
        <w:trPr>
          <w:trHeight w:val="286" w:hRule="exact"/>
        </w:trPr>
        <w:tc>
          <w:tcPr>
            <w:tcW w:w="934" w:type="dxa"/>
            <w:tcBorders>
              <w:top w:val="nil"/>
              <w:left w:val="nil"/>
              <w:bottom w:val="nil"/>
              <w:right w:val="nil"/>
            </w:tcBorders>
          </w:tcPr>
          <w:p>
            <w:pPr>
              <w:pStyle w:val="TableParagraph"/>
              <w:spacing w:line="226" w:lineRule="exact"/>
              <w:ind w:left="602" w:right="-130"/>
              <w:rPr>
                <w:rFonts w:ascii="Calibri"/>
                <w:sz w:val="20"/>
              </w:rPr>
            </w:pPr>
            <w:r>
              <w:rPr>
                <w:rFonts w:ascii="Calibri"/>
                <w:sz w:val="20"/>
              </w:rPr>
              <w:t>37</w:t>
            </w:r>
          </w:p>
        </w:tc>
        <w:tc>
          <w:tcPr>
            <w:tcW w:w="981" w:type="dxa"/>
            <w:tcBorders>
              <w:top w:val="nil"/>
              <w:left w:val="nil"/>
              <w:bottom w:val="nil"/>
              <w:right w:val="nil"/>
            </w:tcBorders>
          </w:tcPr>
          <w:p>
            <w:pPr>
              <w:pStyle w:val="TableParagraph"/>
              <w:spacing w:line="265" w:lineRule="exact"/>
              <w:ind w:right="33"/>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5"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line="226" w:lineRule="exact"/>
              <w:ind w:left="291" w:right="295"/>
              <w:jc w:val="center"/>
              <w:rPr>
                <w:rFonts w:ascii="Calibri"/>
                <w:sz w:val="20"/>
              </w:rPr>
            </w:pPr>
            <w:r>
              <w:rPr>
                <w:rFonts w:ascii="Calibri"/>
                <w:sz w:val="20"/>
              </w:rPr>
              <w:t>a/a</w:t>
            </w:r>
          </w:p>
        </w:tc>
        <w:tc>
          <w:tcPr>
            <w:tcW w:w="966" w:type="dxa"/>
            <w:tcBorders>
              <w:top w:val="nil"/>
              <w:left w:val="nil"/>
              <w:bottom w:val="nil"/>
              <w:right w:val="nil"/>
            </w:tcBorders>
          </w:tcPr>
          <w:p>
            <w:pPr>
              <w:pStyle w:val="TableParagraph"/>
              <w:spacing w:before="22"/>
              <w:ind w:left="306" w:right="348"/>
              <w:jc w:val="center"/>
              <w:rPr>
                <w:rFonts w:ascii="Calibri"/>
                <w:sz w:val="20"/>
              </w:rPr>
            </w:pPr>
            <w:r>
              <w:rPr>
                <w:rFonts w:ascii="Calibri"/>
                <w:sz w:val="20"/>
              </w:rPr>
              <w:t>a/c</w:t>
            </w:r>
          </w:p>
        </w:tc>
        <w:tc>
          <w:tcPr>
            <w:tcW w:w="984" w:type="dxa"/>
            <w:tcBorders>
              <w:top w:val="nil"/>
              <w:left w:val="nil"/>
              <w:bottom w:val="nil"/>
              <w:right w:val="nil"/>
            </w:tcBorders>
          </w:tcPr>
          <w:p>
            <w:pPr>
              <w:pStyle w:val="TableParagraph"/>
              <w:spacing w:line="226" w:lineRule="exact"/>
              <w:ind w:right="12"/>
              <w:jc w:val="center"/>
              <w:rPr>
                <w:rFonts w:ascii="Calibri"/>
                <w:sz w:val="20"/>
              </w:rPr>
            </w:pPr>
            <w:r>
              <w:rPr>
                <w:rFonts w:ascii="Calibri"/>
                <w:w w:val="99"/>
                <w:sz w:val="20"/>
              </w:rPr>
              <w:t>6</w:t>
            </w:r>
          </w:p>
        </w:tc>
      </w:tr>
      <w:tr>
        <w:trPr>
          <w:trHeight w:val="288" w:hRule="exact"/>
        </w:trPr>
        <w:tc>
          <w:tcPr>
            <w:tcW w:w="934" w:type="dxa"/>
            <w:tcBorders>
              <w:top w:val="nil"/>
              <w:left w:val="nil"/>
              <w:bottom w:val="nil"/>
              <w:right w:val="nil"/>
            </w:tcBorders>
          </w:tcPr>
          <w:p>
            <w:pPr>
              <w:pStyle w:val="TableParagraph"/>
              <w:spacing w:line="226" w:lineRule="exact"/>
              <w:ind w:left="602" w:right="-130"/>
              <w:rPr>
                <w:rFonts w:ascii="Calibri"/>
                <w:sz w:val="20"/>
              </w:rPr>
            </w:pPr>
            <w:r>
              <w:rPr>
                <w:rFonts w:ascii="Calibri"/>
                <w:sz w:val="20"/>
              </w:rPr>
              <w:t>38</w:t>
            </w:r>
          </w:p>
        </w:tc>
        <w:tc>
          <w:tcPr>
            <w:tcW w:w="981" w:type="dxa"/>
            <w:tcBorders>
              <w:top w:val="nil"/>
              <w:left w:val="nil"/>
              <w:bottom w:val="nil"/>
              <w:right w:val="nil"/>
            </w:tcBorders>
          </w:tcPr>
          <w:p>
            <w:pPr>
              <w:pStyle w:val="TableParagraph"/>
              <w:spacing w:line="248"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7" w:lineRule="exact"/>
              <w:ind w:left="13"/>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line="226" w:lineRule="exact"/>
              <w:ind w:left="291" w:right="295"/>
              <w:jc w:val="center"/>
              <w:rPr>
                <w:rFonts w:ascii="Calibri"/>
                <w:sz w:val="20"/>
              </w:rPr>
            </w:pPr>
            <w:r>
              <w:rPr>
                <w:rFonts w:ascii="Calibri"/>
                <w:sz w:val="20"/>
              </w:rPr>
              <w:t>a/a</w:t>
            </w:r>
          </w:p>
        </w:tc>
        <w:tc>
          <w:tcPr>
            <w:tcW w:w="966" w:type="dxa"/>
            <w:tcBorders>
              <w:top w:val="nil"/>
              <w:left w:val="nil"/>
              <w:bottom w:val="nil"/>
              <w:right w:val="nil"/>
            </w:tcBorders>
          </w:tcPr>
          <w:p>
            <w:pPr>
              <w:pStyle w:val="TableParagraph"/>
              <w:spacing w:before="25"/>
              <w:ind w:left="306" w:right="348"/>
              <w:jc w:val="center"/>
              <w:rPr>
                <w:rFonts w:ascii="Calibri"/>
                <w:sz w:val="20"/>
              </w:rPr>
            </w:pPr>
            <w:r>
              <w:rPr>
                <w:rFonts w:ascii="Calibri"/>
                <w:sz w:val="20"/>
              </w:rPr>
              <w:t>a/c</w:t>
            </w:r>
          </w:p>
        </w:tc>
        <w:tc>
          <w:tcPr>
            <w:tcW w:w="984" w:type="dxa"/>
            <w:tcBorders>
              <w:top w:val="nil"/>
              <w:left w:val="nil"/>
              <w:bottom w:val="nil"/>
              <w:right w:val="nil"/>
            </w:tcBorders>
          </w:tcPr>
          <w:p>
            <w:pPr>
              <w:pStyle w:val="TableParagraph"/>
              <w:spacing w:line="226" w:lineRule="exact"/>
              <w:ind w:left="354" w:right="366"/>
              <w:jc w:val="center"/>
              <w:rPr>
                <w:rFonts w:ascii="Calibri"/>
                <w:sz w:val="20"/>
              </w:rPr>
            </w:pPr>
            <w:r>
              <w:rPr>
                <w:rFonts w:ascii="Calibri"/>
                <w:sz w:val="20"/>
              </w:rPr>
              <w:t>14</w:t>
            </w:r>
          </w:p>
        </w:tc>
      </w:tr>
      <w:tr>
        <w:trPr>
          <w:trHeight w:val="287" w:hRule="exact"/>
        </w:trPr>
        <w:tc>
          <w:tcPr>
            <w:tcW w:w="934" w:type="dxa"/>
            <w:tcBorders>
              <w:top w:val="nil"/>
              <w:left w:val="nil"/>
              <w:bottom w:val="nil"/>
              <w:right w:val="nil"/>
            </w:tcBorders>
          </w:tcPr>
          <w:p>
            <w:pPr>
              <w:pStyle w:val="TableParagraph"/>
              <w:spacing w:line="226" w:lineRule="exact"/>
              <w:ind w:left="602" w:right="-130"/>
              <w:rPr>
                <w:rFonts w:ascii="Calibri"/>
                <w:sz w:val="20"/>
              </w:rPr>
            </w:pPr>
            <w:r>
              <w:rPr>
                <w:rFonts w:ascii="Calibri"/>
                <w:sz w:val="20"/>
              </w:rPr>
              <w:t>39</w:t>
            </w:r>
          </w:p>
        </w:tc>
        <w:tc>
          <w:tcPr>
            <w:tcW w:w="981" w:type="dxa"/>
            <w:tcBorders>
              <w:top w:val="nil"/>
              <w:left w:val="nil"/>
              <w:bottom w:val="nil"/>
              <w:right w:val="nil"/>
            </w:tcBorders>
          </w:tcPr>
          <w:p>
            <w:pPr>
              <w:pStyle w:val="TableParagraph"/>
              <w:spacing w:line="248" w:lineRule="exact"/>
              <w:ind w:right="32"/>
              <w:jc w:val="center"/>
              <w:rPr>
                <w:rFonts w:ascii="Calibri"/>
                <w:sz w:val="22"/>
              </w:rPr>
            </w:pPr>
            <w:r>
              <w:rPr>
                <w:rFonts w:ascii="Calibri"/>
                <w:w w:val="100"/>
                <w:sz w:val="22"/>
              </w:rPr>
              <w:t>-</w:t>
            </w:r>
          </w:p>
        </w:tc>
        <w:tc>
          <w:tcPr>
            <w:tcW w:w="952" w:type="dxa"/>
            <w:tcBorders>
              <w:top w:val="nil"/>
              <w:left w:val="nil"/>
              <w:bottom w:val="nil"/>
              <w:right w:val="nil"/>
            </w:tcBorders>
          </w:tcPr>
          <w:p>
            <w:pPr>
              <w:pStyle w:val="TableParagraph"/>
              <w:spacing w:line="265" w:lineRule="exact"/>
              <w:ind w:left="14"/>
              <w:jc w:val="center"/>
              <w:rPr>
                <w:rFonts w:ascii="Calibri"/>
                <w:sz w:val="22"/>
              </w:rPr>
            </w:pPr>
            <w:r>
              <w:rPr>
                <w:rFonts w:ascii="Calibri"/>
                <w:w w:val="100"/>
                <w:sz w:val="22"/>
              </w:rPr>
              <w:t>-</w:t>
            </w:r>
          </w:p>
        </w:tc>
        <w:tc>
          <w:tcPr>
            <w:tcW w:w="915" w:type="dxa"/>
            <w:tcBorders>
              <w:top w:val="nil"/>
              <w:left w:val="nil"/>
              <w:bottom w:val="nil"/>
              <w:right w:val="nil"/>
            </w:tcBorders>
          </w:tcPr>
          <w:p>
            <w:pPr>
              <w:pStyle w:val="TableParagraph"/>
              <w:spacing w:before="25"/>
              <w:ind w:left="291" w:right="295"/>
              <w:jc w:val="center"/>
              <w:rPr>
                <w:rFonts w:ascii="Calibri"/>
                <w:sz w:val="20"/>
              </w:rPr>
            </w:pPr>
            <w:r>
              <w:rPr>
                <w:rFonts w:ascii="Calibri"/>
                <w:sz w:val="20"/>
              </w:rPr>
              <w:t>a/b</w:t>
            </w:r>
          </w:p>
        </w:tc>
        <w:tc>
          <w:tcPr>
            <w:tcW w:w="966" w:type="dxa"/>
            <w:tcBorders>
              <w:top w:val="nil"/>
              <w:left w:val="nil"/>
              <w:bottom w:val="nil"/>
              <w:right w:val="nil"/>
            </w:tcBorders>
          </w:tcPr>
          <w:p>
            <w:pPr>
              <w:pStyle w:val="TableParagraph"/>
              <w:spacing w:before="25"/>
              <w:ind w:left="306" w:right="348"/>
              <w:jc w:val="center"/>
              <w:rPr>
                <w:rFonts w:ascii="Calibri"/>
                <w:sz w:val="20"/>
              </w:rPr>
            </w:pPr>
            <w:r>
              <w:rPr>
                <w:rFonts w:ascii="Calibri"/>
                <w:sz w:val="20"/>
              </w:rPr>
              <w:t>a/c</w:t>
            </w:r>
          </w:p>
        </w:tc>
        <w:tc>
          <w:tcPr>
            <w:tcW w:w="984" w:type="dxa"/>
            <w:tcBorders>
              <w:top w:val="nil"/>
              <w:left w:val="nil"/>
              <w:bottom w:val="nil"/>
              <w:right w:val="nil"/>
            </w:tcBorders>
          </w:tcPr>
          <w:p>
            <w:pPr>
              <w:pStyle w:val="TableParagraph"/>
              <w:spacing w:line="226" w:lineRule="exact"/>
              <w:ind w:left="354" w:right="366"/>
              <w:jc w:val="center"/>
              <w:rPr>
                <w:rFonts w:ascii="Calibri"/>
                <w:sz w:val="20"/>
              </w:rPr>
            </w:pPr>
            <w:r>
              <w:rPr>
                <w:rFonts w:ascii="Calibri"/>
                <w:sz w:val="20"/>
              </w:rPr>
              <w:t>11</w:t>
            </w:r>
          </w:p>
        </w:tc>
      </w:tr>
      <w:tr>
        <w:trPr>
          <w:trHeight w:val="279" w:hRule="exact"/>
        </w:trPr>
        <w:tc>
          <w:tcPr>
            <w:tcW w:w="934" w:type="dxa"/>
            <w:tcBorders>
              <w:top w:val="nil"/>
              <w:left w:val="nil"/>
              <w:right w:val="nil"/>
            </w:tcBorders>
          </w:tcPr>
          <w:p>
            <w:pPr>
              <w:pStyle w:val="TableParagraph"/>
              <w:spacing w:line="225" w:lineRule="exact"/>
              <w:ind w:left="602" w:right="-130"/>
              <w:rPr>
                <w:rFonts w:ascii="Calibri"/>
                <w:sz w:val="20"/>
              </w:rPr>
            </w:pPr>
            <w:r>
              <w:rPr>
                <w:rFonts w:ascii="Calibri"/>
                <w:sz w:val="20"/>
              </w:rPr>
              <w:t>40</w:t>
            </w:r>
          </w:p>
        </w:tc>
        <w:tc>
          <w:tcPr>
            <w:tcW w:w="981" w:type="dxa"/>
            <w:tcBorders>
              <w:top w:val="nil"/>
              <w:left w:val="nil"/>
              <w:right w:val="nil"/>
            </w:tcBorders>
          </w:tcPr>
          <w:p>
            <w:pPr>
              <w:pStyle w:val="TableParagraph"/>
              <w:spacing w:line="247" w:lineRule="exact"/>
              <w:ind w:right="32"/>
              <w:jc w:val="center"/>
              <w:rPr>
                <w:rFonts w:ascii="Calibri"/>
                <w:sz w:val="22"/>
              </w:rPr>
            </w:pPr>
            <w:r>
              <w:rPr>
                <w:rFonts w:ascii="Calibri"/>
                <w:w w:val="100"/>
                <w:sz w:val="22"/>
              </w:rPr>
              <w:t>-</w:t>
            </w:r>
          </w:p>
        </w:tc>
        <w:tc>
          <w:tcPr>
            <w:tcW w:w="952" w:type="dxa"/>
            <w:tcBorders>
              <w:top w:val="nil"/>
              <w:left w:val="nil"/>
              <w:right w:val="nil"/>
            </w:tcBorders>
          </w:tcPr>
          <w:p>
            <w:pPr>
              <w:pStyle w:val="TableParagraph"/>
              <w:spacing w:line="266" w:lineRule="exact"/>
              <w:ind w:left="14"/>
              <w:jc w:val="center"/>
              <w:rPr>
                <w:rFonts w:ascii="Calibri"/>
                <w:sz w:val="22"/>
              </w:rPr>
            </w:pPr>
            <w:r>
              <w:rPr>
                <w:rFonts w:ascii="Calibri"/>
                <w:w w:val="100"/>
                <w:sz w:val="22"/>
              </w:rPr>
              <w:t>-</w:t>
            </w:r>
          </w:p>
        </w:tc>
        <w:tc>
          <w:tcPr>
            <w:tcW w:w="915" w:type="dxa"/>
            <w:tcBorders>
              <w:top w:val="nil"/>
              <w:left w:val="nil"/>
              <w:right w:val="nil"/>
            </w:tcBorders>
          </w:tcPr>
          <w:p>
            <w:pPr>
              <w:pStyle w:val="TableParagraph"/>
              <w:spacing w:before="23"/>
              <w:ind w:left="291" w:right="295"/>
              <w:jc w:val="center"/>
              <w:rPr>
                <w:rFonts w:ascii="Calibri"/>
                <w:sz w:val="20"/>
              </w:rPr>
            </w:pPr>
            <w:r>
              <w:rPr>
                <w:rFonts w:ascii="Calibri"/>
                <w:sz w:val="20"/>
              </w:rPr>
              <w:t>a/b</w:t>
            </w:r>
          </w:p>
        </w:tc>
        <w:tc>
          <w:tcPr>
            <w:tcW w:w="966" w:type="dxa"/>
            <w:tcBorders>
              <w:top w:val="nil"/>
              <w:left w:val="nil"/>
              <w:right w:val="nil"/>
            </w:tcBorders>
          </w:tcPr>
          <w:p>
            <w:pPr>
              <w:pStyle w:val="TableParagraph"/>
              <w:spacing w:before="23"/>
              <w:ind w:left="306" w:right="351"/>
              <w:jc w:val="center"/>
              <w:rPr>
                <w:rFonts w:ascii="Calibri"/>
                <w:sz w:val="20"/>
              </w:rPr>
            </w:pPr>
            <w:r>
              <w:rPr>
                <w:rFonts w:ascii="Calibri"/>
                <w:sz w:val="20"/>
              </w:rPr>
              <w:t>a/a</w:t>
            </w:r>
          </w:p>
        </w:tc>
        <w:tc>
          <w:tcPr>
            <w:tcW w:w="984" w:type="dxa"/>
            <w:tcBorders>
              <w:top w:val="nil"/>
              <w:left w:val="nil"/>
              <w:right w:val="nil"/>
            </w:tcBorders>
          </w:tcPr>
          <w:p>
            <w:pPr>
              <w:pStyle w:val="TableParagraph"/>
              <w:spacing w:line="225" w:lineRule="exact"/>
              <w:ind w:right="12"/>
              <w:jc w:val="center"/>
              <w:rPr>
                <w:rFonts w:ascii="Calibri"/>
                <w:sz w:val="20"/>
              </w:rPr>
            </w:pPr>
            <w:r>
              <w:rPr>
                <w:rFonts w:ascii="Calibri"/>
                <w:w w:val="99"/>
                <w:sz w:val="20"/>
              </w:rPr>
              <w:t>8</w:t>
            </w:r>
          </w:p>
        </w:tc>
      </w:tr>
    </w:tbl>
    <w:p>
      <w:pPr>
        <w:spacing w:after="0" w:line="225" w:lineRule="exact"/>
        <w:jc w:val="center"/>
        <w:rPr>
          <w:rFonts w:ascii="Calibri"/>
          <w:sz w:val="20"/>
        </w:rPr>
        <w:sectPr>
          <w:footerReference w:type="default" r:id="rId27"/>
          <w:pgSz w:w="12240" w:h="15840"/>
          <w:pgMar w:footer="1039" w:header="733" w:top="1020" w:bottom="1220" w:left="1540" w:right="1520"/>
          <w:pgNumType w:start="101"/>
        </w:sectPr>
      </w:pPr>
    </w:p>
    <w:p>
      <w:pPr>
        <w:pStyle w:val="BodyText"/>
        <w:rPr>
          <w:sz w:val="18"/>
        </w:rPr>
      </w:pPr>
    </w:p>
    <w:p>
      <w:pPr>
        <w:pStyle w:val="Heading2"/>
        <w:numPr>
          <w:ilvl w:val="0"/>
          <w:numId w:val="35"/>
        </w:numPr>
        <w:tabs>
          <w:tab w:pos="431" w:val="left" w:leader="none"/>
        </w:tabs>
        <w:spacing w:line="240" w:lineRule="auto" w:before="69" w:after="0"/>
        <w:ind w:left="430" w:right="0" w:hanging="268"/>
        <w:jc w:val="left"/>
      </w:pPr>
      <w:r>
        <w:rPr/>
        <w:t>Oficio de Aprobación del Comité de Ética del Hospital </w:t>
      </w:r>
      <w:r>
        <w:rPr>
          <w:spacing w:val="-4"/>
        </w:rPr>
        <w:t>A. </w:t>
      </w:r>
      <w:r>
        <w:rPr/>
        <w:t>López</w:t>
      </w:r>
      <w:r>
        <w:rPr>
          <w:spacing w:val="-2"/>
        </w:rPr>
        <w:t> </w:t>
      </w:r>
      <w:r>
        <w:rPr/>
        <w:t>Mateos</w:t>
      </w:r>
    </w:p>
    <w:p>
      <w:pPr>
        <w:pStyle w:val="BodyText"/>
        <w:rPr>
          <w:b/>
          <w:sz w:val="20"/>
        </w:rPr>
      </w:pPr>
    </w:p>
    <w:p>
      <w:pPr>
        <w:pStyle w:val="BodyText"/>
        <w:rPr>
          <w:b/>
          <w:sz w:val="20"/>
        </w:rPr>
      </w:pPr>
    </w:p>
    <w:p>
      <w:pPr>
        <w:pStyle w:val="BodyText"/>
        <w:rPr>
          <w:b/>
          <w:sz w:val="20"/>
        </w:rPr>
      </w:pPr>
    </w:p>
    <w:p>
      <w:pPr>
        <w:pStyle w:val="BodyText"/>
        <w:spacing w:before="8"/>
        <w:rPr>
          <w:b/>
          <w:sz w:val="12"/>
        </w:rPr>
      </w:pPr>
      <w:r>
        <w:rPr/>
        <w:drawing>
          <wp:anchor distT="0" distB="0" distL="0" distR="0" allowOverlap="1" layoutInCell="1" locked="0" behindDoc="0" simplePos="0" relativeHeight="1432">
            <wp:simplePos x="0" y="0"/>
            <wp:positionH relativeFrom="page">
              <wp:posOffset>1373250</wp:posOffset>
            </wp:positionH>
            <wp:positionV relativeFrom="paragraph">
              <wp:posOffset>117982</wp:posOffset>
            </wp:positionV>
            <wp:extent cx="4968235" cy="6843998"/>
            <wp:effectExtent l="0" t="0" r="0" b="0"/>
            <wp:wrapTopAndBottom/>
            <wp:docPr id="13" name="image12.jpeg" descr=""/>
            <wp:cNvGraphicFramePr>
              <a:graphicFrameLocks noChangeAspect="1"/>
            </wp:cNvGraphicFramePr>
            <a:graphic>
              <a:graphicData uri="http://schemas.openxmlformats.org/drawingml/2006/picture">
                <pic:pic>
                  <pic:nvPicPr>
                    <pic:cNvPr id="14" name="image12.jpeg"/>
                    <pic:cNvPicPr/>
                  </pic:nvPicPr>
                  <pic:blipFill>
                    <a:blip r:embed="rId28" cstate="print"/>
                    <a:stretch>
                      <a:fillRect/>
                    </a:stretch>
                  </pic:blipFill>
                  <pic:spPr>
                    <a:xfrm>
                      <a:off x="0" y="0"/>
                      <a:ext cx="4968235" cy="6843998"/>
                    </a:xfrm>
                    <a:prstGeom prst="rect">
                      <a:avLst/>
                    </a:prstGeom>
                  </pic:spPr>
                </pic:pic>
              </a:graphicData>
            </a:graphic>
          </wp:anchor>
        </w:drawing>
      </w:r>
    </w:p>
    <w:p>
      <w:pPr>
        <w:spacing w:after="0"/>
        <w:rPr>
          <w:sz w:val="12"/>
        </w:rPr>
        <w:sectPr>
          <w:pgSz w:w="12240" w:h="15840"/>
          <w:pgMar w:header="733" w:footer="1039" w:top="1020" w:bottom="1220" w:left="1540" w:right="1520"/>
        </w:sectPr>
      </w:pPr>
    </w:p>
    <w:p>
      <w:pPr>
        <w:pStyle w:val="BodyText"/>
        <w:rPr>
          <w:b/>
          <w:sz w:val="18"/>
        </w:rPr>
      </w:pPr>
    </w:p>
    <w:p>
      <w:pPr>
        <w:pStyle w:val="ListParagraph"/>
        <w:numPr>
          <w:ilvl w:val="0"/>
          <w:numId w:val="35"/>
        </w:numPr>
        <w:tabs>
          <w:tab w:pos="431" w:val="left" w:leader="none"/>
        </w:tabs>
        <w:spacing w:line="240" w:lineRule="auto" w:before="69" w:after="0"/>
        <w:ind w:left="430" w:right="0" w:hanging="268"/>
        <w:jc w:val="left"/>
        <w:rPr>
          <w:b/>
          <w:sz w:val="24"/>
        </w:rPr>
      </w:pPr>
      <w:r>
        <w:rPr>
          <w:b/>
          <w:sz w:val="24"/>
        </w:rPr>
        <w:t>Constancia de Participación en</w:t>
      </w:r>
      <w:r>
        <w:rPr>
          <w:b/>
          <w:spacing w:val="-10"/>
          <w:sz w:val="24"/>
        </w:rPr>
        <w:t> </w:t>
      </w:r>
      <w:r>
        <w:rPr>
          <w:b/>
          <w:sz w:val="24"/>
        </w:rPr>
        <w:t>Congreso</w:t>
      </w:r>
    </w:p>
    <w:p>
      <w:pPr>
        <w:pStyle w:val="BodyText"/>
        <w:rPr>
          <w:b/>
          <w:sz w:val="20"/>
        </w:rPr>
      </w:pPr>
    </w:p>
    <w:p>
      <w:pPr>
        <w:pStyle w:val="BodyText"/>
        <w:spacing w:before="6"/>
        <w:rPr>
          <w:b/>
          <w:sz w:val="21"/>
        </w:rPr>
      </w:pPr>
      <w:r>
        <w:rPr/>
        <w:drawing>
          <wp:anchor distT="0" distB="0" distL="0" distR="0" allowOverlap="1" layoutInCell="1" locked="0" behindDoc="0" simplePos="0" relativeHeight="1456">
            <wp:simplePos x="0" y="0"/>
            <wp:positionH relativeFrom="page">
              <wp:posOffset>1633854</wp:posOffset>
            </wp:positionH>
            <wp:positionV relativeFrom="paragraph">
              <wp:posOffset>182092</wp:posOffset>
            </wp:positionV>
            <wp:extent cx="4333748" cy="5967507"/>
            <wp:effectExtent l="0" t="0" r="0" b="0"/>
            <wp:wrapTopAndBottom/>
            <wp:docPr id="15" name="image13.jpeg" descr=""/>
            <wp:cNvGraphicFramePr>
              <a:graphicFrameLocks noChangeAspect="1"/>
            </wp:cNvGraphicFramePr>
            <a:graphic>
              <a:graphicData uri="http://schemas.openxmlformats.org/drawingml/2006/picture">
                <pic:pic>
                  <pic:nvPicPr>
                    <pic:cNvPr id="16" name="image13.jpeg"/>
                    <pic:cNvPicPr/>
                  </pic:nvPicPr>
                  <pic:blipFill>
                    <a:blip r:embed="rId29" cstate="print"/>
                    <a:stretch>
                      <a:fillRect/>
                    </a:stretch>
                  </pic:blipFill>
                  <pic:spPr>
                    <a:xfrm>
                      <a:off x="0" y="0"/>
                      <a:ext cx="4333748" cy="5967507"/>
                    </a:xfrm>
                    <a:prstGeom prst="rect">
                      <a:avLst/>
                    </a:prstGeom>
                  </pic:spPr>
                </pic:pic>
              </a:graphicData>
            </a:graphic>
          </wp:anchor>
        </w:drawing>
      </w:r>
    </w:p>
    <w:sectPr>
      <w:pgSz w:w="12240" w:h="15840"/>
      <w:pgMar w:header="733" w:footer="1039" w:top="1020" w:bottom="1220" w:left="1540" w:right="15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alatino Linotype">
    <w:altName w:val="Palatino Linotype"/>
    <w:charset w:val="0"/>
    <w:family w:val="roman"/>
    <w:pitch w:val="variable"/>
  </w:font>
  <w:font w:name="Calibri">
    <w:altName w:val="Calibri"/>
    <w:charset w:val="0"/>
    <w:family w:val="swiss"/>
    <w:pitch w:val="variable"/>
  </w:font>
  <w:font w:name="Symbol">
    <w:altName w:val="Symbol"/>
    <w:charset w:val="2"/>
    <w:family w:val="roman"/>
    <w:pitch w:val="variable"/>
  </w:font>
  <w:font w:name="Wingdings">
    <w:altName w:val="Wingdings"/>
    <w:charset w:val="2"/>
    <w:family w:val="auto"/>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2656" from="83.664001pt,731.135986pt" to="528.574001pt,731.135986pt" stroked="true" strokeweight=".72003pt" strokecolor="#612322">
          <w10:wrap type="none"/>
        </v:line>
      </w:pict>
    </w:r>
    <w:r>
      <w:rPr/>
      <w:pict>
        <v:line style="position:absolute;mso-position-horizontal-relative:page;mso-position-vertical-relative:page;z-index:-152632" from="83.664001pt,728.55603pt" to="528.574001pt,728.55603pt" stroked="true" strokeweight="3pt" strokecolor="#612322">
          <w10:wrap type="none"/>
        </v:line>
      </w:pict>
    </w:r>
    <w:r>
      <w:rPr/>
      <w:pict>
        <v:shape style="position:absolute;margin-left:513.979980pt;margin-top:732.745239pt;width:15.1pt;height:12pt;mso-position-horizontal-relative:page;mso-position-vertical-relative:page;z-index:-15260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10</w:t>
                </w:r>
                <w:r>
                  <w:rPr/>
                  <w:fldChar w:fldCharType="end"/>
                </w:r>
              </w:p>
            </w:txbxContent>
          </v:textbox>
          <w10:wrap type="none"/>
        </v:shape>
      </w:pict>
    </w:r>
    <w:r>
      <w:rPr/>
      <w:pict>
        <v:shape style="position:absolute;margin-left:84.103996pt;margin-top:733.523193pt;width:135.450pt;height:11pt;mso-position-horizontal-relative:page;mso-position-vertical-relative:page;z-index:-152584" type="#_x0000_t202" filled="false" stroked="false">
          <v:textbox inset="0,0,0,0">
            <w:txbxContent>
              <w:p>
                <w:pPr>
                  <w:spacing w:line="204" w:lineRule="exact" w:before="0"/>
                  <w:ind w:left="20" w:right="-3" w:firstLine="0"/>
                  <w:jc w:val="left"/>
                  <w:rPr>
                    <w:sz w:val="18"/>
                  </w:rPr>
                </w:pPr>
                <w:r>
                  <w:rPr>
                    <w:sz w:val="18"/>
                  </w:rPr>
                  <w:t>Lecourtois Amézquita Mariana G.</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2464" from="83.664001pt,731.135986pt" to="528.574001pt,731.135986pt" stroked="true" strokeweight=".72003pt" strokecolor="#612322">
          <w10:wrap type="none"/>
        </v:line>
      </w:pict>
    </w:r>
    <w:r>
      <w:rPr/>
      <w:pict>
        <v:line style="position:absolute;mso-position-horizontal-relative:page;mso-position-vertical-relative:page;z-index:-152440" from="83.664001pt,728.55603pt" to="528.574001pt,728.55603pt" stroked="true" strokeweight="3pt" strokecolor="#612322">
          <w10:wrap type="none"/>
        </v:line>
      </w:pict>
    </w:r>
    <w:r>
      <w:rPr/>
      <w:pict>
        <v:shape style="position:absolute;margin-left:509.339996pt;margin-top:732.745239pt;width:18.6pt;height:12pt;mso-position-horizontal-relative:page;mso-position-vertical-relative:page;z-index:-152416" type="#_x0000_t202" filled="false" stroked="false">
          <v:textbox inset="0,0,0,0">
            <w:txbxContent>
              <w:p>
                <w:pPr>
                  <w:spacing w:line="224" w:lineRule="exact" w:before="0"/>
                  <w:ind w:left="20" w:right="-2" w:firstLine="0"/>
                  <w:jc w:val="left"/>
                  <w:rPr>
                    <w:sz w:val="20"/>
                  </w:rPr>
                </w:pPr>
                <w:r>
                  <w:rPr>
                    <w:sz w:val="20"/>
                  </w:rPr>
                  <w:t>100</w:t>
                </w:r>
              </w:p>
            </w:txbxContent>
          </v:textbox>
          <w10:wrap type="none"/>
        </v:shape>
      </w:pict>
    </w:r>
    <w:r>
      <w:rPr/>
      <w:pict>
        <v:shape style="position:absolute;margin-left:84.103996pt;margin-top:733.523193pt;width:135.450pt;height:11pt;mso-position-horizontal-relative:page;mso-position-vertical-relative:page;z-index:-152392" type="#_x0000_t202" filled="false" stroked="false">
          <v:textbox inset="0,0,0,0">
            <w:txbxContent>
              <w:p>
                <w:pPr>
                  <w:spacing w:line="204" w:lineRule="exact" w:before="0"/>
                  <w:ind w:left="20" w:right="-3" w:firstLine="0"/>
                  <w:jc w:val="left"/>
                  <w:rPr>
                    <w:sz w:val="18"/>
                  </w:rPr>
                </w:pPr>
                <w:r>
                  <w:rPr>
                    <w:sz w:val="18"/>
                  </w:rPr>
                  <w:t>Lecourtois Amézquita Mariana G.</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2368" from="83.664001pt,731.135986pt" to="528.574001pt,731.135986pt" stroked="true" strokeweight=".72003pt" strokecolor="#612322">
          <w10:wrap type="none"/>
        </v:line>
      </w:pict>
    </w:r>
    <w:r>
      <w:rPr/>
      <w:pict>
        <v:line style="position:absolute;mso-position-horizontal-relative:page;mso-position-vertical-relative:page;z-index:-152344" from="83.664001pt,728.55603pt" to="528.574001pt,728.55603pt" stroked="true" strokeweight="3pt" strokecolor="#612322">
          <w10:wrap type="none"/>
        </v:line>
      </w:pict>
    </w:r>
    <w:r>
      <w:rPr/>
      <w:pict>
        <v:shape style="position:absolute;margin-left:508.339996pt;margin-top:732.745239pt;width:20.6pt;height:12pt;mso-position-horizontal-relative:page;mso-position-vertical-relative:page;z-index:-15232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101</w:t>
                </w:r>
                <w:r>
                  <w:rPr/>
                  <w:fldChar w:fldCharType="end"/>
                </w:r>
              </w:p>
            </w:txbxContent>
          </v:textbox>
          <w10:wrap type="none"/>
        </v:shape>
      </w:pict>
    </w:r>
    <w:r>
      <w:rPr/>
      <w:pict>
        <v:shape style="position:absolute;margin-left:84.103996pt;margin-top:733.523193pt;width:135.450pt;height:11pt;mso-position-horizontal-relative:page;mso-position-vertical-relative:page;z-index:-152296" type="#_x0000_t202" filled="false" stroked="false">
          <v:textbox inset="0,0,0,0">
            <w:txbxContent>
              <w:p>
                <w:pPr>
                  <w:spacing w:line="204" w:lineRule="exact" w:before="0"/>
                  <w:ind w:left="20" w:right="-3" w:firstLine="0"/>
                  <w:jc w:val="left"/>
                  <w:rPr>
                    <w:sz w:val="18"/>
                  </w:rPr>
                </w:pPr>
                <w:r>
                  <w:rPr>
                    <w:sz w:val="18"/>
                  </w:rPr>
                  <w:t>Lecourtois Amézquita Mariana G.</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2728" from="83.664001pt,47.16pt" to="528.574001pt,47.16pt" stroked="true" strokeweight=".72pt" strokecolor="#612322">
          <w10:wrap type="none"/>
        </v:line>
      </w:pict>
    </w:r>
    <w:r>
      <w:rPr/>
      <w:pict>
        <v:line style="position:absolute;mso-position-horizontal-relative:page;mso-position-vertical-relative:page;z-index:-152704" from="83.664001pt,49.740002pt" to="528.574001pt,49.740002pt" stroked="true" strokeweight="3pt" strokecolor="#612322">
          <w10:wrap type="none"/>
        </v:line>
      </w:pict>
    </w:r>
    <w:r>
      <w:rPr/>
      <w:pict>
        <v:shapetype id="_x0000_t202" o:spt="202" coordsize="21600,21600" path="m,l,21600r21600,l21600,xe">
          <v:stroke joinstyle="miter"/>
          <v:path gradientshapeok="t" o:connecttype="rect"/>
        </v:shapetype>
        <v:shape style="position:absolute;margin-left:198.729996pt;margin-top:35.627167pt;width:214.5pt;height:11pt;mso-position-horizontal-relative:page;mso-position-vertical-relative:page;z-index:-152680" type="#_x0000_t202" filled="false" stroked="false">
          <v:textbox inset="0,0,0,0">
            <w:txbxContent>
              <w:p>
                <w:pPr>
                  <w:spacing w:line="204" w:lineRule="exact" w:before="0"/>
                  <w:ind w:left="20" w:right="-2" w:firstLine="0"/>
                  <w:jc w:val="left"/>
                  <w:rPr>
                    <w:sz w:val="18"/>
                  </w:rPr>
                </w:pPr>
                <w:r>
                  <w:rPr>
                    <w:sz w:val="18"/>
                  </w:rPr>
                  <w:t>Presencia de Polimorfismos en Individuos con Caries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8.729996pt;margin-top:35.627167pt;width:214.5pt;height:11pt;mso-position-horizontal-relative:page;mso-position-vertical-relative:page;z-index:-152560" type="#_x0000_t202" filled="false" stroked="false">
          <v:textbox inset="0,0,0,0">
            <w:txbxContent>
              <w:p>
                <w:pPr>
                  <w:spacing w:line="204" w:lineRule="exact" w:before="0"/>
                  <w:ind w:left="20" w:right="-2" w:firstLine="0"/>
                  <w:jc w:val="left"/>
                  <w:rPr>
                    <w:sz w:val="18"/>
                  </w:rPr>
                </w:pPr>
                <w:r>
                  <w:rPr>
                    <w:sz w:val="18"/>
                  </w:rPr>
                  <w:t>Presencia de Polimorfismos en Individuos con Caries</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2536" from="83.664001pt,47.16pt" to="528.574001pt,47.16pt" stroked="true" strokeweight=".72pt" strokecolor="#612322">
          <w10:wrap type="none"/>
        </v:line>
      </w:pict>
    </w:r>
    <w:r>
      <w:rPr/>
      <w:pict>
        <v:line style="position:absolute;mso-position-horizontal-relative:page;mso-position-vertical-relative:page;z-index:-152512" from="83.664001pt,49.740002pt" to="528.574001pt,49.740002pt" stroked="true" strokeweight="3pt" strokecolor="#612322">
          <w10:wrap type="none"/>
        </v:line>
      </w:pict>
    </w:r>
    <w:r>
      <w:rPr/>
      <w:pict>
        <v:shape style="position:absolute;margin-left:198.729996pt;margin-top:35.627167pt;width:214.5pt;height:11pt;mso-position-horizontal-relative:page;mso-position-vertical-relative:page;z-index:-152488" type="#_x0000_t202" filled="false" stroked="false">
          <v:textbox inset="0,0,0,0">
            <w:txbxContent>
              <w:p>
                <w:pPr>
                  <w:spacing w:line="204" w:lineRule="exact" w:before="0"/>
                  <w:ind w:left="20" w:right="-2" w:firstLine="0"/>
                  <w:jc w:val="left"/>
                  <w:rPr>
                    <w:sz w:val="18"/>
                  </w:rPr>
                </w:pPr>
                <w:r>
                  <w:rPr>
                    <w:sz w:val="18"/>
                  </w:rPr>
                  <w:t>Presencia de Polimorfismos en Individuos con Caries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6">
    <w:multiLevelType w:val="hybridMultilevel"/>
    <w:lvl w:ilvl="0">
      <w:start w:val="7"/>
      <w:numFmt w:val="decimal"/>
      <w:lvlText w:val="%1."/>
      <w:lvlJc w:val="left"/>
      <w:pPr>
        <w:ind w:left="567" w:hanging="221"/>
        <w:jc w:val="left"/>
      </w:pPr>
      <w:rPr>
        <w:rFonts w:hint="default" w:ascii="Arial" w:hAnsi="Arial" w:eastAsia="Arial" w:cs="Arial"/>
        <w:spacing w:val="-1"/>
        <w:w w:val="99"/>
        <w:sz w:val="20"/>
        <w:szCs w:val="20"/>
      </w:rPr>
    </w:lvl>
    <w:lvl w:ilvl="1">
      <w:start w:val="1"/>
      <w:numFmt w:val="upperLetter"/>
      <w:lvlText w:val="%2."/>
      <w:lvlJc w:val="left"/>
      <w:pPr>
        <w:ind w:left="1242" w:hanging="360"/>
        <w:jc w:val="left"/>
      </w:pPr>
      <w:rPr>
        <w:rFonts w:hint="default" w:ascii="Arial" w:hAnsi="Arial" w:eastAsia="Arial" w:cs="Arial"/>
        <w:spacing w:val="-1"/>
        <w:w w:val="99"/>
        <w:sz w:val="20"/>
        <w:szCs w:val="20"/>
      </w:rPr>
    </w:lvl>
    <w:lvl w:ilvl="2">
      <w:start w:val="1"/>
      <w:numFmt w:val="bullet"/>
      <w:lvlText w:val="•"/>
      <w:lvlJc w:val="left"/>
      <w:pPr>
        <w:ind w:left="2122" w:hanging="360"/>
      </w:pPr>
      <w:rPr>
        <w:rFonts w:hint="default"/>
      </w:rPr>
    </w:lvl>
    <w:lvl w:ilvl="3">
      <w:start w:val="1"/>
      <w:numFmt w:val="bullet"/>
      <w:lvlText w:val="•"/>
      <w:lvlJc w:val="left"/>
      <w:pPr>
        <w:ind w:left="3004" w:hanging="360"/>
      </w:pPr>
      <w:rPr>
        <w:rFonts w:hint="default"/>
      </w:rPr>
    </w:lvl>
    <w:lvl w:ilvl="4">
      <w:start w:val="1"/>
      <w:numFmt w:val="bullet"/>
      <w:lvlText w:val="•"/>
      <w:lvlJc w:val="left"/>
      <w:pPr>
        <w:ind w:left="3886" w:hanging="360"/>
      </w:pPr>
      <w:rPr>
        <w:rFonts w:hint="default"/>
      </w:rPr>
    </w:lvl>
    <w:lvl w:ilvl="5">
      <w:start w:val="1"/>
      <w:numFmt w:val="bullet"/>
      <w:lvlText w:val="•"/>
      <w:lvlJc w:val="left"/>
      <w:pPr>
        <w:ind w:left="4768" w:hanging="360"/>
      </w:pPr>
      <w:rPr>
        <w:rFonts w:hint="default"/>
      </w:rPr>
    </w:lvl>
    <w:lvl w:ilvl="6">
      <w:start w:val="1"/>
      <w:numFmt w:val="bullet"/>
      <w:lvlText w:val="•"/>
      <w:lvlJc w:val="left"/>
      <w:pPr>
        <w:ind w:left="5651" w:hanging="360"/>
      </w:pPr>
      <w:rPr>
        <w:rFonts w:hint="default"/>
      </w:rPr>
    </w:lvl>
    <w:lvl w:ilvl="7">
      <w:start w:val="1"/>
      <w:numFmt w:val="bullet"/>
      <w:lvlText w:val="•"/>
      <w:lvlJc w:val="left"/>
      <w:pPr>
        <w:ind w:left="6533" w:hanging="360"/>
      </w:pPr>
      <w:rPr>
        <w:rFonts w:hint="default"/>
      </w:rPr>
    </w:lvl>
    <w:lvl w:ilvl="8">
      <w:start w:val="1"/>
      <w:numFmt w:val="bullet"/>
      <w:lvlText w:val="•"/>
      <w:lvlJc w:val="left"/>
      <w:pPr>
        <w:ind w:left="7415" w:hanging="360"/>
      </w:pPr>
      <w:rPr>
        <w:rFonts w:hint="default"/>
      </w:rPr>
    </w:lvl>
  </w:abstractNum>
  <w:abstractNum w:abstractNumId="35">
    <w:multiLevelType w:val="hybridMultilevel"/>
    <w:lvl w:ilvl="0">
      <w:start w:val="1"/>
      <w:numFmt w:val="bullet"/>
      <w:lvlText w:val=""/>
      <w:lvlJc w:val="left"/>
      <w:pPr>
        <w:ind w:left="1578" w:hanging="286"/>
      </w:pPr>
      <w:rPr>
        <w:rFonts w:hint="default" w:ascii="Symbol" w:hAnsi="Symbol" w:eastAsia="Symbol" w:cs="Symbol"/>
        <w:w w:val="99"/>
        <w:sz w:val="20"/>
        <w:szCs w:val="20"/>
      </w:rPr>
    </w:lvl>
    <w:lvl w:ilvl="1">
      <w:start w:val="1"/>
      <w:numFmt w:val="bullet"/>
      <w:lvlText w:val="•"/>
      <w:lvlJc w:val="left"/>
      <w:pPr>
        <w:ind w:left="2340" w:hanging="286"/>
      </w:pPr>
      <w:rPr>
        <w:rFonts w:hint="default"/>
      </w:rPr>
    </w:lvl>
    <w:lvl w:ilvl="2">
      <w:start w:val="1"/>
      <w:numFmt w:val="bullet"/>
      <w:lvlText w:val="•"/>
      <w:lvlJc w:val="left"/>
      <w:pPr>
        <w:ind w:left="3100" w:hanging="286"/>
      </w:pPr>
      <w:rPr>
        <w:rFonts w:hint="default"/>
      </w:rPr>
    </w:lvl>
    <w:lvl w:ilvl="3">
      <w:start w:val="1"/>
      <w:numFmt w:val="bullet"/>
      <w:lvlText w:val="•"/>
      <w:lvlJc w:val="left"/>
      <w:pPr>
        <w:ind w:left="3860" w:hanging="286"/>
      </w:pPr>
      <w:rPr>
        <w:rFonts w:hint="default"/>
      </w:rPr>
    </w:lvl>
    <w:lvl w:ilvl="4">
      <w:start w:val="1"/>
      <w:numFmt w:val="bullet"/>
      <w:lvlText w:val="•"/>
      <w:lvlJc w:val="left"/>
      <w:pPr>
        <w:ind w:left="4620" w:hanging="286"/>
      </w:pPr>
      <w:rPr>
        <w:rFonts w:hint="default"/>
      </w:rPr>
    </w:lvl>
    <w:lvl w:ilvl="5">
      <w:start w:val="1"/>
      <w:numFmt w:val="bullet"/>
      <w:lvlText w:val="•"/>
      <w:lvlJc w:val="left"/>
      <w:pPr>
        <w:ind w:left="5380" w:hanging="286"/>
      </w:pPr>
      <w:rPr>
        <w:rFonts w:hint="default"/>
      </w:rPr>
    </w:lvl>
    <w:lvl w:ilvl="6">
      <w:start w:val="1"/>
      <w:numFmt w:val="bullet"/>
      <w:lvlText w:val="•"/>
      <w:lvlJc w:val="left"/>
      <w:pPr>
        <w:ind w:left="6140" w:hanging="286"/>
      </w:pPr>
      <w:rPr>
        <w:rFonts w:hint="default"/>
      </w:rPr>
    </w:lvl>
    <w:lvl w:ilvl="7">
      <w:start w:val="1"/>
      <w:numFmt w:val="bullet"/>
      <w:lvlText w:val="•"/>
      <w:lvlJc w:val="left"/>
      <w:pPr>
        <w:ind w:left="6900" w:hanging="286"/>
      </w:pPr>
      <w:rPr>
        <w:rFonts w:hint="default"/>
      </w:rPr>
    </w:lvl>
    <w:lvl w:ilvl="8">
      <w:start w:val="1"/>
      <w:numFmt w:val="bullet"/>
      <w:lvlText w:val="•"/>
      <w:lvlJc w:val="left"/>
      <w:pPr>
        <w:ind w:left="7660" w:hanging="286"/>
      </w:pPr>
      <w:rPr>
        <w:rFonts w:hint="default"/>
      </w:rPr>
    </w:lvl>
  </w:abstractNum>
  <w:abstractNum w:abstractNumId="34">
    <w:multiLevelType w:val="hybridMultilevel"/>
    <w:lvl w:ilvl="0">
      <w:start w:val="2"/>
      <w:numFmt w:val="decimal"/>
      <w:lvlText w:val="%1."/>
      <w:lvlJc w:val="left"/>
      <w:pPr>
        <w:ind w:left="452" w:hanging="291"/>
        <w:jc w:val="right"/>
      </w:pPr>
      <w:rPr>
        <w:rFonts w:hint="default" w:ascii="Arial" w:hAnsi="Arial" w:eastAsia="Arial" w:cs="Arial"/>
        <w:b/>
        <w:bCs/>
        <w:w w:val="99"/>
        <w:sz w:val="24"/>
        <w:szCs w:val="24"/>
      </w:rPr>
    </w:lvl>
    <w:lvl w:ilvl="1">
      <w:start w:val="1"/>
      <w:numFmt w:val="decimal"/>
      <w:lvlText w:val="%2."/>
      <w:lvlJc w:val="left"/>
      <w:pPr>
        <w:ind w:left="882" w:hanging="360"/>
        <w:jc w:val="left"/>
      </w:pPr>
      <w:rPr>
        <w:rFonts w:hint="default" w:ascii="Arial" w:hAnsi="Arial" w:eastAsia="Arial" w:cs="Arial"/>
        <w:spacing w:val="-1"/>
        <w:w w:val="99"/>
        <w:sz w:val="20"/>
        <w:szCs w:val="20"/>
      </w:rPr>
    </w:lvl>
    <w:lvl w:ilvl="2">
      <w:start w:val="1"/>
      <w:numFmt w:val="decimal"/>
      <w:lvlText w:val="%3"/>
      <w:lvlJc w:val="left"/>
      <w:pPr>
        <w:ind w:left="882" w:hanging="167"/>
        <w:jc w:val="left"/>
      </w:pPr>
      <w:rPr>
        <w:rFonts w:hint="default" w:ascii="Arial" w:hAnsi="Arial" w:eastAsia="Arial" w:cs="Arial"/>
        <w:w w:val="99"/>
        <w:sz w:val="20"/>
        <w:szCs w:val="20"/>
      </w:rPr>
    </w:lvl>
    <w:lvl w:ilvl="3">
      <w:start w:val="1"/>
      <w:numFmt w:val="bullet"/>
      <w:lvlText w:val="•"/>
      <w:lvlJc w:val="left"/>
      <w:pPr>
        <w:ind w:left="2724" w:hanging="167"/>
      </w:pPr>
      <w:rPr>
        <w:rFonts w:hint="default"/>
      </w:rPr>
    </w:lvl>
    <w:lvl w:ilvl="4">
      <w:start w:val="1"/>
      <w:numFmt w:val="bullet"/>
      <w:lvlText w:val="•"/>
      <w:lvlJc w:val="left"/>
      <w:pPr>
        <w:ind w:left="3646" w:hanging="167"/>
      </w:pPr>
      <w:rPr>
        <w:rFonts w:hint="default"/>
      </w:rPr>
    </w:lvl>
    <w:lvl w:ilvl="5">
      <w:start w:val="1"/>
      <w:numFmt w:val="bullet"/>
      <w:lvlText w:val="•"/>
      <w:lvlJc w:val="left"/>
      <w:pPr>
        <w:ind w:left="4568" w:hanging="167"/>
      </w:pPr>
      <w:rPr>
        <w:rFonts w:hint="default"/>
      </w:rPr>
    </w:lvl>
    <w:lvl w:ilvl="6">
      <w:start w:val="1"/>
      <w:numFmt w:val="bullet"/>
      <w:lvlText w:val="•"/>
      <w:lvlJc w:val="left"/>
      <w:pPr>
        <w:ind w:left="5491" w:hanging="167"/>
      </w:pPr>
      <w:rPr>
        <w:rFonts w:hint="default"/>
      </w:rPr>
    </w:lvl>
    <w:lvl w:ilvl="7">
      <w:start w:val="1"/>
      <w:numFmt w:val="bullet"/>
      <w:lvlText w:val="•"/>
      <w:lvlJc w:val="left"/>
      <w:pPr>
        <w:ind w:left="6413" w:hanging="167"/>
      </w:pPr>
      <w:rPr>
        <w:rFonts w:hint="default"/>
      </w:rPr>
    </w:lvl>
    <w:lvl w:ilvl="8">
      <w:start w:val="1"/>
      <w:numFmt w:val="bullet"/>
      <w:lvlText w:val="•"/>
      <w:lvlJc w:val="left"/>
      <w:pPr>
        <w:ind w:left="7335" w:hanging="167"/>
      </w:pPr>
      <w:rPr>
        <w:rFonts w:hint="default"/>
      </w:rPr>
    </w:lvl>
  </w:abstractNum>
  <w:abstractNum w:abstractNumId="33">
    <w:multiLevelType w:val="hybridMultilevel"/>
    <w:lvl w:ilvl="0">
      <w:start w:val="3"/>
      <w:numFmt w:val="upperLetter"/>
      <w:lvlText w:val="%1"/>
      <w:lvlJc w:val="left"/>
      <w:pPr>
        <w:ind w:left="162" w:hanging="454"/>
        <w:jc w:val="left"/>
      </w:pPr>
      <w:rPr>
        <w:rFonts w:hint="default"/>
      </w:rPr>
    </w:lvl>
    <w:lvl w:ilvl="1">
      <w:start w:val="4"/>
      <w:numFmt w:val="upperLetter"/>
      <w:lvlText w:val="%1.%2."/>
      <w:lvlJc w:val="left"/>
      <w:pPr>
        <w:ind w:left="162" w:hanging="454"/>
        <w:jc w:val="left"/>
      </w:pPr>
      <w:rPr>
        <w:rFonts w:hint="default" w:ascii="Arial" w:hAnsi="Arial" w:eastAsia="Arial" w:cs="Arial"/>
        <w:w w:val="99"/>
        <w:sz w:val="20"/>
        <w:szCs w:val="20"/>
      </w:rPr>
    </w:lvl>
    <w:lvl w:ilvl="2">
      <w:start w:val="1"/>
      <w:numFmt w:val="bullet"/>
      <w:lvlText w:val=""/>
      <w:lvlJc w:val="left"/>
      <w:pPr>
        <w:ind w:left="445" w:hanging="142"/>
      </w:pPr>
      <w:rPr>
        <w:rFonts w:hint="default" w:ascii="Symbol" w:hAnsi="Symbol" w:eastAsia="Symbol" w:cs="Symbol"/>
        <w:w w:val="100"/>
        <w:sz w:val="24"/>
        <w:szCs w:val="24"/>
      </w:rPr>
    </w:lvl>
    <w:lvl w:ilvl="3">
      <w:start w:val="1"/>
      <w:numFmt w:val="bullet"/>
      <w:lvlText w:val="•"/>
      <w:lvlJc w:val="left"/>
      <w:pPr>
        <w:ind w:left="2382" w:hanging="142"/>
      </w:pPr>
      <w:rPr>
        <w:rFonts w:hint="default"/>
      </w:rPr>
    </w:lvl>
    <w:lvl w:ilvl="4">
      <w:start w:val="1"/>
      <w:numFmt w:val="bullet"/>
      <w:lvlText w:val="•"/>
      <w:lvlJc w:val="left"/>
      <w:pPr>
        <w:ind w:left="3353" w:hanging="142"/>
      </w:pPr>
      <w:rPr>
        <w:rFonts w:hint="default"/>
      </w:rPr>
    </w:lvl>
    <w:lvl w:ilvl="5">
      <w:start w:val="1"/>
      <w:numFmt w:val="bullet"/>
      <w:lvlText w:val="•"/>
      <w:lvlJc w:val="left"/>
      <w:pPr>
        <w:ind w:left="4324" w:hanging="142"/>
      </w:pPr>
      <w:rPr>
        <w:rFonts w:hint="default"/>
      </w:rPr>
    </w:lvl>
    <w:lvl w:ilvl="6">
      <w:start w:val="1"/>
      <w:numFmt w:val="bullet"/>
      <w:lvlText w:val="•"/>
      <w:lvlJc w:val="left"/>
      <w:pPr>
        <w:ind w:left="5295" w:hanging="142"/>
      </w:pPr>
      <w:rPr>
        <w:rFonts w:hint="default"/>
      </w:rPr>
    </w:lvl>
    <w:lvl w:ilvl="7">
      <w:start w:val="1"/>
      <w:numFmt w:val="bullet"/>
      <w:lvlText w:val="•"/>
      <w:lvlJc w:val="left"/>
      <w:pPr>
        <w:ind w:left="6266" w:hanging="142"/>
      </w:pPr>
      <w:rPr>
        <w:rFonts w:hint="default"/>
      </w:rPr>
    </w:lvl>
    <w:lvl w:ilvl="8">
      <w:start w:val="1"/>
      <w:numFmt w:val="bullet"/>
      <w:lvlText w:val="•"/>
      <w:lvlJc w:val="left"/>
      <w:pPr>
        <w:ind w:left="7237" w:hanging="142"/>
      </w:pPr>
      <w:rPr>
        <w:rFonts w:hint="default"/>
      </w:rPr>
    </w:lvl>
  </w:abstractNum>
  <w:abstractNum w:abstractNumId="32">
    <w:multiLevelType w:val="hybridMultilevel"/>
    <w:lvl w:ilvl="0">
      <w:start w:val="1"/>
      <w:numFmt w:val="decimal"/>
      <w:lvlText w:val="%1."/>
      <w:lvlJc w:val="left"/>
      <w:pPr>
        <w:ind w:left="382" w:hanging="221"/>
        <w:jc w:val="left"/>
      </w:pPr>
      <w:rPr>
        <w:rFonts w:hint="default" w:ascii="Arial" w:hAnsi="Arial" w:eastAsia="Arial" w:cs="Arial"/>
        <w:w w:val="99"/>
        <w:sz w:val="20"/>
        <w:szCs w:val="20"/>
      </w:rPr>
    </w:lvl>
    <w:lvl w:ilvl="1">
      <w:start w:val="1"/>
      <w:numFmt w:val="bullet"/>
      <w:lvlText w:val=""/>
      <w:lvlJc w:val="left"/>
      <w:pPr>
        <w:ind w:left="1174" w:hanging="360"/>
      </w:pPr>
      <w:rPr>
        <w:rFonts w:hint="default" w:ascii="Symbol" w:hAnsi="Symbol" w:eastAsia="Symbol" w:cs="Symbol"/>
        <w:w w:val="99"/>
        <w:sz w:val="20"/>
        <w:szCs w:val="20"/>
      </w:rPr>
    </w:lvl>
    <w:lvl w:ilvl="2">
      <w:start w:val="1"/>
      <w:numFmt w:val="bullet"/>
      <w:lvlText w:val="•"/>
      <w:lvlJc w:val="left"/>
      <w:pPr>
        <w:ind w:left="2068" w:hanging="360"/>
      </w:pPr>
      <w:rPr>
        <w:rFonts w:hint="default"/>
      </w:rPr>
    </w:lvl>
    <w:lvl w:ilvl="3">
      <w:start w:val="1"/>
      <w:numFmt w:val="bullet"/>
      <w:lvlText w:val="•"/>
      <w:lvlJc w:val="left"/>
      <w:pPr>
        <w:ind w:left="2957" w:hanging="360"/>
      </w:pPr>
      <w:rPr>
        <w:rFonts w:hint="default"/>
      </w:rPr>
    </w:lvl>
    <w:lvl w:ilvl="4">
      <w:start w:val="1"/>
      <w:numFmt w:val="bullet"/>
      <w:lvlText w:val="•"/>
      <w:lvlJc w:val="left"/>
      <w:pPr>
        <w:ind w:left="3846" w:hanging="360"/>
      </w:pPr>
      <w:rPr>
        <w:rFonts w:hint="default"/>
      </w:rPr>
    </w:lvl>
    <w:lvl w:ilvl="5">
      <w:start w:val="1"/>
      <w:numFmt w:val="bullet"/>
      <w:lvlText w:val="•"/>
      <w:lvlJc w:val="left"/>
      <w:pPr>
        <w:ind w:left="4735" w:hanging="360"/>
      </w:pPr>
      <w:rPr>
        <w:rFonts w:hint="default"/>
      </w:rPr>
    </w:lvl>
    <w:lvl w:ilvl="6">
      <w:start w:val="1"/>
      <w:numFmt w:val="bullet"/>
      <w:lvlText w:val="•"/>
      <w:lvlJc w:val="left"/>
      <w:pPr>
        <w:ind w:left="5624" w:hanging="360"/>
      </w:pPr>
      <w:rPr>
        <w:rFonts w:hint="default"/>
      </w:rPr>
    </w:lvl>
    <w:lvl w:ilvl="7">
      <w:start w:val="1"/>
      <w:numFmt w:val="bullet"/>
      <w:lvlText w:val="•"/>
      <w:lvlJc w:val="left"/>
      <w:pPr>
        <w:ind w:left="6513" w:hanging="360"/>
      </w:pPr>
      <w:rPr>
        <w:rFonts w:hint="default"/>
      </w:rPr>
    </w:lvl>
    <w:lvl w:ilvl="8">
      <w:start w:val="1"/>
      <w:numFmt w:val="bullet"/>
      <w:lvlText w:val="•"/>
      <w:lvlJc w:val="left"/>
      <w:pPr>
        <w:ind w:left="7402" w:hanging="360"/>
      </w:pPr>
      <w:rPr>
        <w:rFonts w:hint="default"/>
      </w:rPr>
    </w:lvl>
  </w:abstractNum>
  <w:abstractNum w:abstractNumId="31">
    <w:multiLevelType w:val="hybridMultilevel"/>
    <w:lvl w:ilvl="0">
      <w:start w:val="1"/>
      <w:numFmt w:val="decimal"/>
      <w:lvlText w:val="%1."/>
      <w:lvlJc w:val="left"/>
      <w:pPr>
        <w:ind w:left="522" w:hanging="284"/>
        <w:jc w:val="left"/>
      </w:pPr>
      <w:rPr>
        <w:rFonts w:hint="default" w:ascii="Arial" w:hAnsi="Arial" w:eastAsia="Arial" w:cs="Arial"/>
        <w:spacing w:val="-1"/>
        <w:w w:val="100"/>
        <w:sz w:val="22"/>
        <w:szCs w:val="22"/>
      </w:rPr>
    </w:lvl>
    <w:lvl w:ilvl="1">
      <w:start w:val="1"/>
      <w:numFmt w:val="bullet"/>
      <w:lvlText w:val="•"/>
      <w:lvlJc w:val="left"/>
      <w:pPr>
        <w:ind w:left="1386" w:hanging="284"/>
      </w:pPr>
      <w:rPr>
        <w:rFonts w:hint="default"/>
      </w:rPr>
    </w:lvl>
    <w:lvl w:ilvl="2">
      <w:start w:val="1"/>
      <w:numFmt w:val="bullet"/>
      <w:lvlText w:val="•"/>
      <w:lvlJc w:val="left"/>
      <w:pPr>
        <w:ind w:left="2252" w:hanging="284"/>
      </w:pPr>
      <w:rPr>
        <w:rFonts w:hint="default"/>
      </w:rPr>
    </w:lvl>
    <w:lvl w:ilvl="3">
      <w:start w:val="1"/>
      <w:numFmt w:val="bullet"/>
      <w:lvlText w:val="•"/>
      <w:lvlJc w:val="left"/>
      <w:pPr>
        <w:ind w:left="3118" w:hanging="284"/>
      </w:pPr>
      <w:rPr>
        <w:rFonts w:hint="default"/>
      </w:rPr>
    </w:lvl>
    <w:lvl w:ilvl="4">
      <w:start w:val="1"/>
      <w:numFmt w:val="bullet"/>
      <w:lvlText w:val="•"/>
      <w:lvlJc w:val="left"/>
      <w:pPr>
        <w:ind w:left="3984" w:hanging="284"/>
      </w:pPr>
      <w:rPr>
        <w:rFonts w:hint="default"/>
      </w:rPr>
    </w:lvl>
    <w:lvl w:ilvl="5">
      <w:start w:val="1"/>
      <w:numFmt w:val="bullet"/>
      <w:lvlText w:val="•"/>
      <w:lvlJc w:val="left"/>
      <w:pPr>
        <w:ind w:left="4850" w:hanging="284"/>
      </w:pPr>
      <w:rPr>
        <w:rFonts w:hint="default"/>
      </w:rPr>
    </w:lvl>
    <w:lvl w:ilvl="6">
      <w:start w:val="1"/>
      <w:numFmt w:val="bullet"/>
      <w:lvlText w:val="•"/>
      <w:lvlJc w:val="left"/>
      <w:pPr>
        <w:ind w:left="5716" w:hanging="284"/>
      </w:pPr>
      <w:rPr>
        <w:rFonts w:hint="default"/>
      </w:rPr>
    </w:lvl>
    <w:lvl w:ilvl="7">
      <w:start w:val="1"/>
      <w:numFmt w:val="bullet"/>
      <w:lvlText w:val="•"/>
      <w:lvlJc w:val="left"/>
      <w:pPr>
        <w:ind w:left="6582" w:hanging="284"/>
      </w:pPr>
      <w:rPr>
        <w:rFonts w:hint="default"/>
      </w:rPr>
    </w:lvl>
    <w:lvl w:ilvl="8">
      <w:start w:val="1"/>
      <w:numFmt w:val="bullet"/>
      <w:lvlText w:val="•"/>
      <w:lvlJc w:val="left"/>
      <w:pPr>
        <w:ind w:left="7448" w:hanging="284"/>
      </w:pPr>
      <w:rPr>
        <w:rFonts w:hint="default"/>
      </w:rPr>
    </w:lvl>
  </w:abstractNum>
  <w:abstractNum w:abstractNumId="30">
    <w:multiLevelType w:val="hybridMultilevel"/>
    <w:lvl w:ilvl="0">
      <w:start w:val="9"/>
      <w:numFmt w:val="decimal"/>
      <w:lvlText w:val="%1"/>
      <w:lvlJc w:val="left"/>
      <w:pPr>
        <w:ind w:left="564" w:hanging="403"/>
        <w:jc w:val="left"/>
      </w:pPr>
      <w:rPr>
        <w:rFonts w:hint="default"/>
      </w:rPr>
    </w:lvl>
    <w:lvl w:ilvl="1">
      <w:start w:val="2"/>
      <w:numFmt w:val="decimal"/>
      <w:lvlText w:val="%1.%2"/>
      <w:lvlJc w:val="left"/>
      <w:pPr>
        <w:ind w:left="564" w:hanging="403"/>
        <w:jc w:val="left"/>
      </w:pPr>
      <w:rPr>
        <w:rFonts w:hint="default" w:ascii="Arial" w:hAnsi="Arial" w:eastAsia="Arial" w:cs="Arial"/>
        <w:b/>
        <w:bCs/>
        <w:w w:val="99"/>
        <w:sz w:val="24"/>
        <w:szCs w:val="24"/>
      </w:rPr>
    </w:lvl>
    <w:lvl w:ilvl="2">
      <w:start w:val="1"/>
      <w:numFmt w:val="decimal"/>
      <w:lvlText w:val="%1.%2.%3"/>
      <w:lvlJc w:val="left"/>
      <w:pPr>
        <w:ind w:left="831" w:hanging="670"/>
        <w:jc w:val="left"/>
      </w:pPr>
      <w:rPr>
        <w:rFonts w:hint="default"/>
        <w:b/>
        <w:bCs/>
        <w:spacing w:val="-2"/>
        <w:w w:val="99"/>
      </w:rPr>
    </w:lvl>
    <w:lvl w:ilvl="3">
      <w:start w:val="1"/>
      <w:numFmt w:val="decimal"/>
      <w:lvlText w:val="%4."/>
      <w:lvlJc w:val="left"/>
      <w:pPr>
        <w:ind w:left="882" w:hanging="360"/>
        <w:jc w:val="left"/>
      </w:pPr>
      <w:rPr>
        <w:rFonts w:hint="default" w:ascii="Arial" w:hAnsi="Arial" w:eastAsia="Arial" w:cs="Arial"/>
        <w:spacing w:val="-23"/>
        <w:w w:val="99"/>
        <w:sz w:val="24"/>
        <w:szCs w:val="24"/>
      </w:rPr>
    </w:lvl>
    <w:lvl w:ilvl="4">
      <w:start w:val="1"/>
      <w:numFmt w:val="bullet"/>
      <w:lvlText w:val="•"/>
      <w:lvlJc w:val="left"/>
      <w:pPr>
        <w:ind w:left="2955" w:hanging="360"/>
      </w:pPr>
      <w:rPr>
        <w:rFonts w:hint="default"/>
      </w:rPr>
    </w:lvl>
    <w:lvl w:ilvl="5">
      <w:start w:val="1"/>
      <w:numFmt w:val="bullet"/>
      <w:lvlText w:val="•"/>
      <w:lvlJc w:val="left"/>
      <w:pPr>
        <w:ind w:left="3992" w:hanging="360"/>
      </w:pPr>
      <w:rPr>
        <w:rFonts w:hint="default"/>
      </w:rPr>
    </w:lvl>
    <w:lvl w:ilvl="6">
      <w:start w:val="1"/>
      <w:numFmt w:val="bullet"/>
      <w:lvlText w:val="•"/>
      <w:lvlJc w:val="left"/>
      <w:pPr>
        <w:ind w:left="5030" w:hanging="360"/>
      </w:pPr>
      <w:rPr>
        <w:rFonts w:hint="default"/>
      </w:rPr>
    </w:lvl>
    <w:lvl w:ilvl="7">
      <w:start w:val="1"/>
      <w:numFmt w:val="bullet"/>
      <w:lvlText w:val="•"/>
      <w:lvlJc w:val="left"/>
      <w:pPr>
        <w:ind w:left="6067" w:hanging="360"/>
      </w:pPr>
      <w:rPr>
        <w:rFonts w:hint="default"/>
      </w:rPr>
    </w:lvl>
    <w:lvl w:ilvl="8">
      <w:start w:val="1"/>
      <w:numFmt w:val="bullet"/>
      <w:lvlText w:val="•"/>
      <w:lvlJc w:val="left"/>
      <w:pPr>
        <w:ind w:left="7105" w:hanging="360"/>
      </w:pPr>
      <w:rPr>
        <w:rFonts w:hint="default"/>
      </w:rPr>
    </w:lvl>
  </w:abstractNum>
  <w:abstractNum w:abstractNumId="29">
    <w:multiLevelType w:val="hybridMultilevel"/>
    <w:lvl w:ilvl="0">
      <w:start w:val="1"/>
      <w:numFmt w:val="decimal"/>
      <w:lvlText w:val="%1."/>
      <w:lvlJc w:val="left"/>
      <w:pPr>
        <w:ind w:left="445" w:hanging="284"/>
        <w:jc w:val="left"/>
      </w:pPr>
      <w:rPr>
        <w:rFonts w:hint="default" w:ascii="Arial" w:hAnsi="Arial" w:eastAsia="Arial" w:cs="Arial"/>
        <w:spacing w:val="-1"/>
        <w:w w:val="100"/>
        <w:sz w:val="22"/>
        <w:szCs w:val="22"/>
      </w:rPr>
    </w:lvl>
    <w:lvl w:ilvl="1">
      <w:start w:val="1"/>
      <w:numFmt w:val="bullet"/>
      <w:lvlText w:val="•"/>
      <w:lvlJc w:val="left"/>
      <w:pPr>
        <w:ind w:left="1314" w:hanging="284"/>
      </w:pPr>
      <w:rPr>
        <w:rFonts w:hint="default"/>
      </w:rPr>
    </w:lvl>
    <w:lvl w:ilvl="2">
      <w:start w:val="1"/>
      <w:numFmt w:val="bullet"/>
      <w:lvlText w:val="•"/>
      <w:lvlJc w:val="left"/>
      <w:pPr>
        <w:ind w:left="2188" w:hanging="284"/>
      </w:pPr>
      <w:rPr>
        <w:rFonts w:hint="default"/>
      </w:rPr>
    </w:lvl>
    <w:lvl w:ilvl="3">
      <w:start w:val="1"/>
      <w:numFmt w:val="bullet"/>
      <w:lvlText w:val="•"/>
      <w:lvlJc w:val="left"/>
      <w:pPr>
        <w:ind w:left="3062" w:hanging="284"/>
      </w:pPr>
      <w:rPr>
        <w:rFonts w:hint="default"/>
      </w:rPr>
    </w:lvl>
    <w:lvl w:ilvl="4">
      <w:start w:val="1"/>
      <w:numFmt w:val="bullet"/>
      <w:lvlText w:val="•"/>
      <w:lvlJc w:val="left"/>
      <w:pPr>
        <w:ind w:left="3936" w:hanging="284"/>
      </w:pPr>
      <w:rPr>
        <w:rFonts w:hint="default"/>
      </w:rPr>
    </w:lvl>
    <w:lvl w:ilvl="5">
      <w:start w:val="1"/>
      <w:numFmt w:val="bullet"/>
      <w:lvlText w:val="•"/>
      <w:lvlJc w:val="left"/>
      <w:pPr>
        <w:ind w:left="4810" w:hanging="284"/>
      </w:pPr>
      <w:rPr>
        <w:rFonts w:hint="default"/>
      </w:rPr>
    </w:lvl>
    <w:lvl w:ilvl="6">
      <w:start w:val="1"/>
      <w:numFmt w:val="bullet"/>
      <w:lvlText w:val="•"/>
      <w:lvlJc w:val="left"/>
      <w:pPr>
        <w:ind w:left="5684" w:hanging="284"/>
      </w:pPr>
      <w:rPr>
        <w:rFonts w:hint="default"/>
      </w:rPr>
    </w:lvl>
    <w:lvl w:ilvl="7">
      <w:start w:val="1"/>
      <w:numFmt w:val="bullet"/>
      <w:lvlText w:val="•"/>
      <w:lvlJc w:val="left"/>
      <w:pPr>
        <w:ind w:left="6558" w:hanging="284"/>
      </w:pPr>
      <w:rPr>
        <w:rFonts w:hint="default"/>
      </w:rPr>
    </w:lvl>
    <w:lvl w:ilvl="8">
      <w:start w:val="1"/>
      <w:numFmt w:val="bullet"/>
      <w:lvlText w:val="•"/>
      <w:lvlJc w:val="left"/>
      <w:pPr>
        <w:ind w:left="7432" w:hanging="284"/>
      </w:pPr>
      <w:rPr>
        <w:rFonts w:hint="default"/>
      </w:rPr>
    </w:lvl>
  </w:abstractNum>
  <w:abstractNum w:abstractNumId="28">
    <w:multiLevelType w:val="hybridMultilevel"/>
    <w:lvl w:ilvl="0">
      <w:start w:val="1"/>
      <w:numFmt w:val="lowerLetter"/>
      <w:lvlText w:val="%1."/>
      <w:lvlJc w:val="left"/>
      <w:pPr>
        <w:ind w:left="445" w:hanging="269"/>
        <w:jc w:val="left"/>
      </w:pPr>
      <w:rPr>
        <w:rFonts w:hint="default" w:ascii="Arial" w:hAnsi="Arial" w:eastAsia="Arial" w:cs="Arial"/>
        <w:w w:val="99"/>
        <w:sz w:val="24"/>
        <w:szCs w:val="24"/>
      </w:rPr>
    </w:lvl>
    <w:lvl w:ilvl="1">
      <w:start w:val="1"/>
      <w:numFmt w:val="bullet"/>
      <w:lvlText w:val="•"/>
      <w:lvlJc w:val="left"/>
      <w:pPr>
        <w:ind w:left="1314" w:hanging="269"/>
      </w:pPr>
      <w:rPr>
        <w:rFonts w:hint="default"/>
      </w:rPr>
    </w:lvl>
    <w:lvl w:ilvl="2">
      <w:start w:val="1"/>
      <w:numFmt w:val="bullet"/>
      <w:lvlText w:val="•"/>
      <w:lvlJc w:val="left"/>
      <w:pPr>
        <w:ind w:left="2188" w:hanging="269"/>
      </w:pPr>
      <w:rPr>
        <w:rFonts w:hint="default"/>
      </w:rPr>
    </w:lvl>
    <w:lvl w:ilvl="3">
      <w:start w:val="1"/>
      <w:numFmt w:val="bullet"/>
      <w:lvlText w:val="•"/>
      <w:lvlJc w:val="left"/>
      <w:pPr>
        <w:ind w:left="3062" w:hanging="269"/>
      </w:pPr>
      <w:rPr>
        <w:rFonts w:hint="default"/>
      </w:rPr>
    </w:lvl>
    <w:lvl w:ilvl="4">
      <w:start w:val="1"/>
      <w:numFmt w:val="bullet"/>
      <w:lvlText w:val="•"/>
      <w:lvlJc w:val="left"/>
      <w:pPr>
        <w:ind w:left="3936" w:hanging="269"/>
      </w:pPr>
      <w:rPr>
        <w:rFonts w:hint="default"/>
      </w:rPr>
    </w:lvl>
    <w:lvl w:ilvl="5">
      <w:start w:val="1"/>
      <w:numFmt w:val="bullet"/>
      <w:lvlText w:val="•"/>
      <w:lvlJc w:val="left"/>
      <w:pPr>
        <w:ind w:left="4810" w:hanging="269"/>
      </w:pPr>
      <w:rPr>
        <w:rFonts w:hint="default"/>
      </w:rPr>
    </w:lvl>
    <w:lvl w:ilvl="6">
      <w:start w:val="1"/>
      <w:numFmt w:val="bullet"/>
      <w:lvlText w:val="•"/>
      <w:lvlJc w:val="left"/>
      <w:pPr>
        <w:ind w:left="5684" w:hanging="269"/>
      </w:pPr>
      <w:rPr>
        <w:rFonts w:hint="default"/>
      </w:rPr>
    </w:lvl>
    <w:lvl w:ilvl="7">
      <w:start w:val="1"/>
      <w:numFmt w:val="bullet"/>
      <w:lvlText w:val="•"/>
      <w:lvlJc w:val="left"/>
      <w:pPr>
        <w:ind w:left="6558" w:hanging="269"/>
      </w:pPr>
      <w:rPr>
        <w:rFonts w:hint="default"/>
      </w:rPr>
    </w:lvl>
    <w:lvl w:ilvl="8">
      <w:start w:val="1"/>
      <w:numFmt w:val="bullet"/>
      <w:lvlText w:val="•"/>
      <w:lvlJc w:val="left"/>
      <w:pPr>
        <w:ind w:left="7432" w:hanging="269"/>
      </w:pPr>
      <w:rPr>
        <w:rFonts w:hint="default"/>
      </w:rPr>
    </w:lvl>
  </w:abstractNum>
  <w:abstractNum w:abstractNumId="27">
    <w:multiLevelType w:val="hybridMultilevel"/>
    <w:lvl w:ilvl="0">
      <w:start w:val="9"/>
      <w:numFmt w:val="decimal"/>
      <w:lvlText w:val="%1"/>
      <w:lvlJc w:val="left"/>
      <w:pPr>
        <w:ind w:left="634" w:hanging="473"/>
        <w:jc w:val="left"/>
      </w:pPr>
      <w:rPr>
        <w:rFonts w:hint="default"/>
      </w:rPr>
    </w:lvl>
    <w:lvl w:ilvl="1">
      <w:start w:val="1"/>
      <w:numFmt w:val="decimal"/>
      <w:lvlText w:val="%1.%2."/>
      <w:lvlJc w:val="left"/>
      <w:pPr>
        <w:ind w:left="634" w:hanging="473"/>
        <w:jc w:val="left"/>
      </w:pPr>
      <w:rPr>
        <w:rFonts w:hint="default" w:ascii="Arial" w:hAnsi="Arial" w:eastAsia="Arial" w:cs="Arial"/>
        <w:b/>
        <w:bCs/>
        <w:w w:val="99"/>
        <w:sz w:val="24"/>
        <w:szCs w:val="24"/>
      </w:rPr>
    </w:lvl>
    <w:lvl w:ilvl="2">
      <w:start w:val="1"/>
      <w:numFmt w:val="decimal"/>
      <w:lvlText w:val="%1.%2.%3"/>
      <w:lvlJc w:val="left"/>
      <w:pPr>
        <w:ind w:left="763" w:hanging="602"/>
        <w:jc w:val="left"/>
      </w:pPr>
      <w:rPr>
        <w:rFonts w:hint="default" w:ascii="Arial" w:hAnsi="Arial" w:eastAsia="Arial" w:cs="Arial"/>
        <w:b/>
        <w:bCs/>
        <w:spacing w:val="-2"/>
        <w:w w:val="99"/>
        <w:sz w:val="24"/>
        <w:szCs w:val="24"/>
      </w:rPr>
    </w:lvl>
    <w:lvl w:ilvl="3">
      <w:start w:val="1"/>
      <w:numFmt w:val="bullet"/>
      <w:lvlText w:val=""/>
      <w:lvlJc w:val="left"/>
      <w:pPr>
        <w:ind w:left="882" w:hanging="360"/>
      </w:pPr>
      <w:rPr>
        <w:rFonts w:hint="default" w:ascii="Symbol" w:hAnsi="Symbol" w:eastAsia="Symbol" w:cs="Symbol"/>
        <w:w w:val="100"/>
        <w:sz w:val="24"/>
        <w:szCs w:val="24"/>
      </w:rPr>
    </w:lvl>
    <w:lvl w:ilvl="4">
      <w:start w:val="1"/>
      <w:numFmt w:val="bullet"/>
      <w:lvlText w:val="•"/>
      <w:lvlJc w:val="left"/>
      <w:pPr>
        <w:ind w:left="2955" w:hanging="360"/>
      </w:pPr>
      <w:rPr>
        <w:rFonts w:hint="default"/>
      </w:rPr>
    </w:lvl>
    <w:lvl w:ilvl="5">
      <w:start w:val="1"/>
      <w:numFmt w:val="bullet"/>
      <w:lvlText w:val="•"/>
      <w:lvlJc w:val="left"/>
      <w:pPr>
        <w:ind w:left="3992" w:hanging="360"/>
      </w:pPr>
      <w:rPr>
        <w:rFonts w:hint="default"/>
      </w:rPr>
    </w:lvl>
    <w:lvl w:ilvl="6">
      <w:start w:val="1"/>
      <w:numFmt w:val="bullet"/>
      <w:lvlText w:val="•"/>
      <w:lvlJc w:val="left"/>
      <w:pPr>
        <w:ind w:left="5030" w:hanging="360"/>
      </w:pPr>
      <w:rPr>
        <w:rFonts w:hint="default"/>
      </w:rPr>
    </w:lvl>
    <w:lvl w:ilvl="7">
      <w:start w:val="1"/>
      <w:numFmt w:val="bullet"/>
      <w:lvlText w:val="•"/>
      <w:lvlJc w:val="left"/>
      <w:pPr>
        <w:ind w:left="6067" w:hanging="360"/>
      </w:pPr>
      <w:rPr>
        <w:rFonts w:hint="default"/>
      </w:rPr>
    </w:lvl>
    <w:lvl w:ilvl="8">
      <w:start w:val="1"/>
      <w:numFmt w:val="bullet"/>
      <w:lvlText w:val="•"/>
      <w:lvlJc w:val="left"/>
      <w:pPr>
        <w:ind w:left="7105" w:hanging="360"/>
      </w:pPr>
      <w:rPr>
        <w:rFonts w:hint="default"/>
      </w:rPr>
    </w:lvl>
  </w:abstractNum>
  <w:abstractNum w:abstractNumId="26">
    <w:multiLevelType w:val="hybridMultilevel"/>
    <w:lvl w:ilvl="0">
      <w:start w:val="8"/>
      <w:numFmt w:val="decimal"/>
      <w:lvlText w:val="%1"/>
      <w:lvlJc w:val="left"/>
      <w:pPr>
        <w:ind w:left="565" w:hanging="404"/>
        <w:jc w:val="left"/>
      </w:pPr>
      <w:rPr>
        <w:rFonts w:hint="default"/>
      </w:rPr>
    </w:lvl>
    <w:lvl w:ilvl="1">
      <w:start w:val="9"/>
      <w:numFmt w:val="decimal"/>
      <w:lvlText w:val="%1.%2"/>
      <w:lvlJc w:val="left"/>
      <w:pPr>
        <w:ind w:left="565" w:hanging="404"/>
        <w:jc w:val="left"/>
      </w:pPr>
      <w:rPr>
        <w:rFonts w:hint="default" w:ascii="Arial" w:hAnsi="Arial" w:eastAsia="Arial" w:cs="Arial"/>
        <w:b/>
        <w:bCs/>
        <w:w w:val="99"/>
        <w:sz w:val="24"/>
        <w:szCs w:val="24"/>
      </w:rPr>
    </w:lvl>
    <w:lvl w:ilvl="2">
      <w:start w:val="1"/>
      <w:numFmt w:val="bullet"/>
      <w:lvlText w:val="•"/>
      <w:lvlJc w:val="left"/>
      <w:pPr>
        <w:ind w:left="2284" w:hanging="404"/>
      </w:pPr>
      <w:rPr>
        <w:rFonts w:hint="default"/>
      </w:rPr>
    </w:lvl>
    <w:lvl w:ilvl="3">
      <w:start w:val="1"/>
      <w:numFmt w:val="bullet"/>
      <w:lvlText w:val="•"/>
      <w:lvlJc w:val="left"/>
      <w:pPr>
        <w:ind w:left="3146" w:hanging="404"/>
      </w:pPr>
      <w:rPr>
        <w:rFonts w:hint="default"/>
      </w:rPr>
    </w:lvl>
    <w:lvl w:ilvl="4">
      <w:start w:val="1"/>
      <w:numFmt w:val="bullet"/>
      <w:lvlText w:val="•"/>
      <w:lvlJc w:val="left"/>
      <w:pPr>
        <w:ind w:left="4008" w:hanging="404"/>
      </w:pPr>
      <w:rPr>
        <w:rFonts w:hint="default"/>
      </w:rPr>
    </w:lvl>
    <w:lvl w:ilvl="5">
      <w:start w:val="1"/>
      <w:numFmt w:val="bullet"/>
      <w:lvlText w:val="•"/>
      <w:lvlJc w:val="left"/>
      <w:pPr>
        <w:ind w:left="4870" w:hanging="404"/>
      </w:pPr>
      <w:rPr>
        <w:rFonts w:hint="default"/>
      </w:rPr>
    </w:lvl>
    <w:lvl w:ilvl="6">
      <w:start w:val="1"/>
      <w:numFmt w:val="bullet"/>
      <w:lvlText w:val="•"/>
      <w:lvlJc w:val="left"/>
      <w:pPr>
        <w:ind w:left="5732" w:hanging="404"/>
      </w:pPr>
      <w:rPr>
        <w:rFonts w:hint="default"/>
      </w:rPr>
    </w:lvl>
    <w:lvl w:ilvl="7">
      <w:start w:val="1"/>
      <w:numFmt w:val="bullet"/>
      <w:lvlText w:val="•"/>
      <w:lvlJc w:val="left"/>
      <w:pPr>
        <w:ind w:left="6594" w:hanging="404"/>
      </w:pPr>
      <w:rPr>
        <w:rFonts w:hint="default"/>
      </w:rPr>
    </w:lvl>
    <w:lvl w:ilvl="8">
      <w:start w:val="1"/>
      <w:numFmt w:val="bullet"/>
      <w:lvlText w:val="•"/>
      <w:lvlJc w:val="left"/>
      <w:pPr>
        <w:ind w:left="7456" w:hanging="404"/>
      </w:pPr>
      <w:rPr>
        <w:rFonts w:hint="default"/>
      </w:rPr>
    </w:lvl>
  </w:abstractNum>
  <w:abstractNum w:abstractNumId="25">
    <w:multiLevelType w:val="hybridMultilevel"/>
    <w:lvl w:ilvl="0">
      <w:start w:val="2"/>
      <w:numFmt w:val="lowerLetter"/>
      <w:lvlText w:val="%1."/>
      <w:lvlJc w:val="left"/>
      <w:pPr>
        <w:ind w:left="857" w:hanging="269"/>
        <w:jc w:val="left"/>
      </w:pPr>
      <w:rPr>
        <w:rFonts w:hint="default" w:ascii="Arial" w:hAnsi="Arial" w:eastAsia="Arial" w:cs="Arial"/>
        <w:w w:val="99"/>
        <w:sz w:val="24"/>
        <w:szCs w:val="24"/>
      </w:rPr>
    </w:lvl>
    <w:lvl w:ilvl="1">
      <w:start w:val="1"/>
      <w:numFmt w:val="bullet"/>
      <w:lvlText w:val=""/>
      <w:lvlJc w:val="left"/>
      <w:pPr>
        <w:ind w:left="1242" w:hanging="360"/>
      </w:pPr>
      <w:rPr>
        <w:rFonts w:hint="default" w:ascii="Symbol" w:hAnsi="Symbol" w:eastAsia="Symbol" w:cs="Symbol"/>
        <w:w w:val="100"/>
        <w:sz w:val="22"/>
        <w:szCs w:val="22"/>
      </w:rPr>
    </w:lvl>
    <w:lvl w:ilvl="2">
      <w:start w:val="1"/>
      <w:numFmt w:val="bullet"/>
      <w:lvlText w:val="•"/>
      <w:lvlJc w:val="left"/>
      <w:pPr>
        <w:ind w:left="2122" w:hanging="360"/>
      </w:pPr>
      <w:rPr>
        <w:rFonts w:hint="default"/>
      </w:rPr>
    </w:lvl>
    <w:lvl w:ilvl="3">
      <w:start w:val="1"/>
      <w:numFmt w:val="bullet"/>
      <w:lvlText w:val="•"/>
      <w:lvlJc w:val="left"/>
      <w:pPr>
        <w:ind w:left="3004" w:hanging="360"/>
      </w:pPr>
      <w:rPr>
        <w:rFonts w:hint="default"/>
      </w:rPr>
    </w:lvl>
    <w:lvl w:ilvl="4">
      <w:start w:val="1"/>
      <w:numFmt w:val="bullet"/>
      <w:lvlText w:val="•"/>
      <w:lvlJc w:val="left"/>
      <w:pPr>
        <w:ind w:left="3886" w:hanging="360"/>
      </w:pPr>
      <w:rPr>
        <w:rFonts w:hint="default"/>
      </w:rPr>
    </w:lvl>
    <w:lvl w:ilvl="5">
      <w:start w:val="1"/>
      <w:numFmt w:val="bullet"/>
      <w:lvlText w:val="•"/>
      <w:lvlJc w:val="left"/>
      <w:pPr>
        <w:ind w:left="4768" w:hanging="360"/>
      </w:pPr>
      <w:rPr>
        <w:rFonts w:hint="default"/>
      </w:rPr>
    </w:lvl>
    <w:lvl w:ilvl="6">
      <w:start w:val="1"/>
      <w:numFmt w:val="bullet"/>
      <w:lvlText w:val="•"/>
      <w:lvlJc w:val="left"/>
      <w:pPr>
        <w:ind w:left="5651" w:hanging="360"/>
      </w:pPr>
      <w:rPr>
        <w:rFonts w:hint="default"/>
      </w:rPr>
    </w:lvl>
    <w:lvl w:ilvl="7">
      <w:start w:val="1"/>
      <w:numFmt w:val="bullet"/>
      <w:lvlText w:val="•"/>
      <w:lvlJc w:val="left"/>
      <w:pPr>
        <w:ind w:left="6533" w:hanging="360"/>
      </w:pPr>
      <w:rPr>
        <w:rFonts w:hint="default"/>
      </w:rPr>
    </w:lvl>
    <w:lvl w:ilvl="8">
      <w:start w:val="1"/>
      <w:numFmt w:val="bullet"/>
      <w:lvlText w:val="•"/>
      <w:lvlJc w:val="left"/>
      <w:pPr>
        <w:ind w:left="7415" w:hanging="360"/>
      </w:pPr>
      <w:rPr>
        <w:rFonts w:hint="default"/>
      </w:rPr>
    </w:lvl>
  </w:abstractNum>
  <w:abstractNum w:abstractNumId="24">
    <w:multiLevelType w:val="hybridMultilevel"/>
    <w:lvl w:ilvl="0">
      <w:start w:val="1"/>
      <w:numFmt w:val="lowerLetter"/>
      <w:lvlText w:val="%1."/>
      <w:lvlJc w:val="left"/>
      <w:pPr>
        <w:ind w:left="445" w:hanging="284"/>
        <w:jc w:val="left"/>
      </w:pPr>
      <w:rPr>
        <w:rFonts w:hint="default" w:ascii="Arial" w:hAnsi="Arial" w:eastAsia="Arial" w:cs="Arial"/>
        <w:i/>
        <w:spacing w:val="-1"/>
        <w:w w:val="100"/>
        <w:sz w:val="22"/>
        <w:szCs w:val="22"/>
      </w:rPr>
    </w:lvl>
    <w:lvl w:ilvl="1">
      <w:start w:val="1"/>
      <w:numFmt w:val="bullet"/>
      <w:lvlText w:val=""/>
      <w:lvlJc w:val="left"/>
      <w:pPr>
        <w:ind w:left="1242" w:hanging="360"/>
      </w:pPr>
      <w:rPr>
        <w:rFonts w:hint="default" w:ascii="Symbol" w:hAnsi="Symbol" w:eastAsia="Symbol" w:cs="Symbol"/>
        <w:w w:val="100"/>
        <w:sz w:val="22"/>
        <w:szCs w:val="22"/>
      </w:rPr>
    </w:lvl>
    <w:lvl w:ilvl="2">
      <w:start w:val="1"/>
      <w:numFmt w:val="bullet"/>
      <w:lvlText w:val="•"/>
      <w:lvlJc w:val="left"/>
      <w:pPr>
        <w:ind w:left="2122" w:hanging="360"/>
      </w:pPr>
      <w:rPr>
        <w:rFonts w:hint="default"/>
      </w:rPr>
    </w:lvl>
    <w:lvl w:ilvl="3">
      <w:start w:val="1"/>
      <w:numFmt w:val="bullet"/>
      <w:lvlText w:val="•"/>
      <w:lvlJc w:val="left"/>
      <w:pPr>
        <w:ind w:left="3004" w:hanging="360"/>
      </w:pPr>
      <w:rPr>
        <w:rFonts w:hint="default"/>
      </w:rPr>
    </w:lvl>
    <w:lvl w:ilvl="4">
      <w:start w:val="1"/>
      <w:numFmt w:val="bullet"/>
      <w:lvlText w:val="•"/>
      <w:lvlJc w:val="left"/>
      <w:pPr>
        <w:ind w:left="3886" w:hanging="360"/>
      </w:pPr>
      <w:rPr>
        <w:rFonts w:hint="default"/>
      </w:rPr>
    </w:lvl>
    <w:lvl w:ilvl="5">
      <w:start w:val="1"/>
      <w:numFmt w:val="bullet"/>
      <w:lvlText w:val="•"/>
      <w:lvlJc w:val="left"/>
      <w:pPr>
        <w:ind w:left="4768" w:hanging="360"/>
      </w:pPr>
      <w:rPr>
        <w:rFonts w:hint="default"/>
      </w:rPr>
    </w:lvl>
    <w:lvl w:ilvl="6">
      <w:start w:val="1"/>
      <w:numFmt w:val="bullet"/>
      <w:lvlText w:val="•"/>
      <w:lvlJc w:val="left"/>
      <w:pPr>
        <w:ind w:left="5651" w:hanging="360"/>
      </w:pPr>
      <w:rPr>
        <w:rFonts w:hint="default"/>
      </w:rPr>
    </w:lvl>
    <w:lvl w:ilvl="7">
      <w:start w:val="1"/>
      <w:numFmt w:val="bullet"/>
      <w:lvlText w:val="•"/>
      <w:lvlJc w:val="left"/>
      <w:pPr>
        <w:ind w:left="6533" w:hanging="360"/>
      </w:pPr>
      <w:rPr>
        <w:rFonts w:hint="default"/>
      </w:rPr>
    </w:lvl>
    <w:lvl w:ilvl="8">
      <w:start w:val="1"/>
      <w:numFmt w:val="bullet"/>
      <w:lvlText w:val="•"/>
      <w:lvlJc w:val="left"/>
      <w:pPr>
        <w:ind w:left="7415" w:hanging="360"/>
      </w:pPr>
      <w:rPr>
        <w:rFonts w:hint="default"/>
      </w:rPr>
    </w:lvl>
  </w:abstractNum>
  <w:abstractNum w:abstractNumId="23">
    <w:multiLevelType w:val="hybridMultilevel"/>
    <w:lvl w:ilvl="0">
      <w:start w:val="1"/>
      <w:numFmt w:val="lowerLetter"/>
      <w:lvlText w:val="%1)"/>
      <w:lvlJc w:val="left"/>
      <w:pPr>
        <w:ind w:left="162" w:hanging="348"/>
        <w:jc w:val="left"/>
      </w:pPr>
      <w:rPr>
        <w:rFonts w:hint="default" w:ascii="Arial" w:hAnsi="Arial" w:eastAsia="Arial" w:cs="Arial"/>
        <w:spacing w:val="-4"/>
        <w:w w:val="99"/>
        <w:sz w:val="24"/>
        <w:szCs w:val="24"/>
      </w:rPr>
    </w:lvl>
    <w:lvl w:ilvl="1">
      <w:start w:val="1"/>
      <w:numFmt w:val="bullet"/>
      <w:lvlText w:val="•"/>
      <w:lvlJc w:val="left"/>
      <w:pPr>
        <w:ind w:left="1062" w:hanging="348"/>
      </w:pPr>
      <w:rPr>
        <w:rFonts w:hint="default"/>
      </w:rPr>
    </w:lvl>
    <w:lvl w:ilvl="2">
      <w:start w:val="1"/>
      <w:numFmt w:val="bullet"/>
      <w:lvlText w:val="•"/>
      <w:lvlJc w:val="left"/>
      <w:pPr>
        <w:ind w:left="1964" w:hanging="348"/>
      </w:pPr>
      <w:rPr>
        <w:rFonts w:hint="default"/>
      </w:rPr>
    </w:lvl>
    <w:lvl w:ilvl="3">
      <w:start w:val="1"/>
      <w:numFmt w:val="bullet"/>
      <w:lvlText w:val="•"/>
      <w:lvlJc w:val="left"/>
      <w:pPr>
        <w:ind w:left="2866" w:hanging="348"/>
      </w:pPr>
      <w:rPr>
        <w:rFonts w:hint="default"/>
      </w:rPr>
    </w:lvl>
    <w:lvl w:ilvl="4">
      <w:start w:val="1"/>
      <w:numFmt w:val="bullet"/>
      <w:lvlText w:val="•"/>
      <w:lvlJc w:val="left"/>
      <w:pPr>
        <w:ind w:left="3768" w:hanging="348"/>
      </w:pPr>
      <w:rPr>
        <w:rFonts w:hint="default"/>
      </w:rPr>
    </w:lvl>
    <w:lvl w:ilvl="5">
      <w:start w:val="1"/>
      <w:numFmt w:val="bullet"/>
      <w:lvlText w:val="•"/>
      <w:lvlJc w:val="left"/>
      <w:pPr>
        <w:ind w:left="4670" w:hanging="348"/>
      </w:pPr>
      <w:rPr>
        <w:rFonts w:hint="default"/>
      </w:rPr>
    </w:lvl>
    <w:lvl w:ilvl="6">
      <w:start w:val="1"/>
      <w:numFmt w:val="bullet"/>
      <w:lvlText w:val="•"/>
      <w:lvlJc w:val="left"/>
      <w:pPr>
        <w:ind w:left="5572" w:hanging="348"/>
      </w:pPr>
      <w:rPr>
        <w:rFonts w:hint="default"/>
      </w:rPr>
    </w:lvl>
    <w:lvl w:ilvl="7">
      <w:start w:val="1"/>
      <w:numFmt w:val="bullet"/>
      <w:lvlText w:val="•"/>
      <w:lvlJc w:val="left"/>
      <w:pPr>
        <w:ind w:left="6474" w:hanging="348"/>
      </w:pPr>
      <w:rPr>
        <w:rFonts w:hint="default"/>
      </w:rPr>
    </w:lvl>
    <w:lvl w:ilvl="8">
      <w:start w:val="1"/>
      <w:numFmt w:val="bullet"/>
      <w:lvlText w:val="•"/>
      <w:lvlJc w:val="left"/>
      <w:pPr>
        <w:ind w:left="7376" w:hanging="348"/>
      </w:pPr>
      <w:rPr>
        <w:rFonts w:hint="default"/>
      </w:rPr>
    </w:lvl>
  </w:abstractNum>
  <w:abstractNum w:abstractNumId="22">
    <w:multiLevelType w:val="hybridMultilevel"/>
    <w:lvl w:ilvl="0">
      <w:start w:val="8"/>
      <w:numFmt w:val="decimal"/>
      <w:lvlText w:val="%1"/>
      <w:lvlJc w:val="left"/>
      <w:pPr>
        <w:ind w:left="632" w:hanging="471"/>
        <w:jc w:val="left"/>
      </w:pPr>
      <w:rPr>
        <w:rFonts w:hint="default"/>
      </w:rPr>
    </w:lvl>
    <w:lvl w:ilvl="1">
      <w:start w:val="8"/>
      <w:numFmt w:val="decimal"/>
      <w:lvlText w:val="%1.%2"/>
      <w:lvlJc w:val="left"/>
      <w:pPr>
        <w:ind w:left="632" w:hanging="471"/>
        <w:jc w:val="left"/>
      </w:pPr>
      <w:rPr>
        <w:rFonts w:hint="default" w:ascii="Arial" w:hAnsi="Arial" w:eastAsia="Arial" w:cs="Arial"/>
        <w:b/>
        <w:bCs/>
        <w:w w:val="99"/>
        <w:sz w:val="24"/>
        <w:szCs w:val="24"/>
      </w:rPr>
    </w:lvl>
    <w:lvl w:ilvl="2">
      <w:start w:val="1"/>
      <w:numFmt w:val="decimal"/>
      <w:lvlText w:val="%1.%2.%3"/>
      <w:lvlJc w:val="left"/>
      <w:pPr>
        <w:ind w:left="766" w:hanging="605"/>
        <w:jc w:val="left"/>
      </w:pPr>
      <w:rPr>
        <w:rFonts w:hint="default" w:ascii="Arial" w:hAnsi="Arial" w:eastAsia="Arial" w:cs="Arial"/>
        <w:b/>
        <w:bCs/>
        <w:spacing w:val="-2"/>
        <w:w w:val="99"/>
        <w:sz w:val="24"/>
        <w:szCs w:val="24"/>
      </w:rPr>
    </w:lvl>
    <w:lvl w:ilvl="3">
      <w:start w:val="1"/>
      <w:numFmt w:val="decimal"/>
      <w:lvlText w:val="%4)"/>
      <w:lvlJc w:val="left"/>
      <w:pPr>
        <w:ind w:left="870" w:hanging="281"/>
        <w:jc w:val="right"/>
      </w:pPr>
      <w:rPr>
        <w:rFonts w:hint="default"/>
        <w:spacing w:val="-1"/>
        <w:w w:val="100"/>
      </w:rPr>
    </w:lvl>
    <w:lvl w:ilvl="4">
      <w:start w:val="1"/>
      <w:numFmt w:val="bullet"/>
      <w:lvlText w:val="•"/>
      <w:lvlJc w:val="left"/>
      <w:pPr>
        <w:ind w:left="2955" w:hanging="281"/>
      </w:pPr>
      <w:rPr>
        <w:rFonts w:hint="default"/>
      </w:rPr>
    </w:lvl>
    <w:lvl w:ilvl="5">
      <w:start w:val="1"/>
      <w:numFmt w:val="bullet"/>
      <w:lvlText w:val="•"/>
      <w:lvlJc w:val="left"/>
      <w:pPr>
        <w:ind w:left="3992" w:hanging="281"/>
      </w:pPr>
      <w:rPr>
        <w:rFonts w:hint="default"/>
      </w:rPr>
    </w:lvl>
    <w:lvl w:ilvl="6">
      <w:start w:val="1"/>
      <w:numFmt w:val="bullet"/>
      <w:lvlText w:val="•"/>
      <w:lvlJc w:val="left"/>
      <w:pPr>
        <w:ind w:left="5030" w:hanging="281"/>
      </w:pPr>
      <w:rPr>
        <w:rFonts w:hint="default"/>
      </w:rPr>
    </w:lvl>
    <w:lvl w:ilvl="7">
      <w:start w:val="1"/>
      <w:numFmt w:val="bullet"/>
      <w:lvlText w:val="•"/>
      <w:lvlJc w:val="left"/>
      <w:pPr>
        <w:ind w:left="6067" w:hanging="281"/>
      </w:pPr>
      <w:rPr>
        <w:rFonts w:hint="default"/>
      </w:rPr>
    </w:lvl>
    <w:lvl w:ilvl="8">
      <w:start w:val="1"/>
      <w:numFmt w:val="bullet"/>
      <w:lvlText w:val="•"/>
      <w:lvlJc w:val="left"/>
      <w:pPr>
        <w:ind w:left="7105" w:hanging="281"/>
      </w:pPr>
      <w:rPr>
        <w:rFonts w:hint="default"/>
      </w:rPr>
    </w:lvl>
  </w:abstractNum>
  <w:abstractNum w:abstractNumId="21">
    <w:multiLevelType w:val="hybridMultilevel"/>
    <w:lvl w:ilvl="0">
      <w:start w:val="8"/>
      <w:numFmt w:val="decimal"/>
      <w:lvlText w:val="%1"/>
      <w:lvlJc w:val="left"/>
      <w:pPr>
        <w:ind w:left="706" w:hanging="545"/>
        <w:jc w:val="left"/>
      </w:pPr>
      <w:rPr>
        <w:rFonts w:hint="default"/>
      </w:rPr>
    </w:lvl>
    <w:lvl w:ilvl="1">
      <w:start w:val="7"/>
      <w:numFmt w:val="decimal"/>
      <w:lvlText w:val="%1.%2."/>
      <w:lvlJc w:val="left"/>
      <w:pPr>
        <w:ind w:left="706" w:hanging="545"/>
        <w:jc w:val="left"/>
      </w:pPr>
      <w:rPr>
        <w:rFonts w:hint="default" w:ascii="Arial" w:hAnsi="Arial" w:eastAsia="Arial" w:cs="Arial"/>
        <w:b/>
        <w:bCs/>
        <w:spacing w:val="-1"/>
        <w:w w:val="100"/>
        <w:sz w:val="28"/>
        <w:szCs w:val="28"/>
      </w:rPr>
    </w:lvl>
    <w:lvl w:ilvl="2">
      <w:start w:val="1"/>
      <w:numFmt w:val="bullet"/>
      <w:lvlText w:val=""/>
      <w:lvlJc w:val="left"/>
      <w:pPr>
        <w:ind w:left="882" w:hanging="360"/>
      </w:pPr>
      <w:rPr>
        <w:rFonts w:hint="default" w:ascii="Symbol" w:hAnsi="Symbol" w:eastAsia="Symbol" w:cs="Symbol"/>
        <w:w w:val="100"/>
        <w:sz w:val="16"/>
        <w:szCs w:val="16"/>
      </w:rPr>
    </w:lvl>
    <w:lvl w:ilvl="3">
      <w:start w:val="1"/>
      <w:numFmt w:val="bullet"/>
      <w:lvlText w:val="•"/>
      <w:lvlJc w:val="left"/>
      <w:pPr>
        <w:ind w:left="2724" w:hanging="360"/>
      </w:pPr>
      <w:rPr>
        <w:rFonts w:hint="default"/>
      </w:rPr>
    </w:lvl>
    <w:lvl w:ilvl="4">
      <w:start w:val="1"/>
      <w:numFmt w:val="bullet"/>
      <w:lvlText w:val="•"/>
      <w:lvlJc w:val="left"/>
      <w:pPr>
        <w:ind w:left="3646" w:hanging="360"/>
      </w:pPr>
      <w:rPr>
        <w:rFonts w:hint="default"/>
      </w:rPr>
    </w:lvl>
    <w:lvl w:ilvl="5">
      <w:start w:val="1"/>
      <w:numFmt w:val="bullet"/>
      <w:lvlText w:val="•"/>
      <w:lvlJc w:val="left"/>
      <w:pPr>
        <w:ind w:left="4568" w:hanging="360"/>
      </w:pPr>
      <w:rPr>
        <w:rFonts w:hint="default"/>
      </w:rPr>
    </w:lvl>
    <w:lvl w:ilvl="6">
      <w:start w:val="1"/>
      <w:numFmt w:val="bullet"/>
      <w:lvlText w:val="•"/>
      <w:lvlJc w:val="left"/>
      <w:pPr>
        <w:ind w:left="5491" w:hanging="360"/>
      </w:pPr>
      <w:rPr>
        <w:rFonts w:hint="default"/>
      </w:rPr>
    </w:lvl>
    <w:lvl w:ilvl="7">
      <w:start w:val="1"/>
      <w:numFmt w:val="bullet"/>
      <w:lvlText w:val="•"/>
      <w:lvlJc w:val="left"/>
      <w:pPr>
        <w:ind w:left="6413" w:hanging="360"/>
      </w:pPr>
      <w:rPr>
        <w:rFonts w:hint="default"/>
      </w:rPr>
    </w:lvl>
    <w:lvl w:ilvl="8">
      <w:start w:val="1"/>
      <w:numFmt w:val="bullet"/>
      <w:lvlText w:val="•"/>
      <w:lvlJc w:val="left"/>
      <w:pPr>
        <w:ind w:left="7335" w:hanging="360"/>
      </w:pPr>
      <w:rPr>
        <w:rFonts w:hint="default"/>
      </w:rPr>
    </w:lvl>
  </w:abstractNum>
  <w:abstractNum w:abstractNumId="20">
    <w:multiLevelType w:val="hybridMultilevel"/>
    <w:lvl w:ilvl="0">
      <w:start w:val="1"/>
      <w:numFmt w:val="decimal"/>
      <w:lvlText w:val="%1"/>
      <w:lvlJc w:val="left"/>
      <w:pPr>
        <w:ind w:left="379" w:hanging="167"/>
        <w:jc w:val="left"/>
      </w:pPr>
      <w:rPr>
        <w:rFonts w:hint="default" w:ascii="Arial" w:hAnsi="Arial" w:eastAsia="Arial" w:cs="Arial"/>
        <w:w w:val="99"/>
        <w:sz w:val="20"/>
        <w:szCs w:val="20"/>
      </w:rPr>
    </w:lvl>
    <w:lvl w:ilvl="1">
      <w:start w:val="1"/>
      <w:numFmt w:val="bullet"/>
      <w:lvlText w:val="•"/>
      <w:lvlJc w:val="left"/>
      <w:pPr>
        <w:ind w:left="512" w:hanging="167"/>
      </w:pPr>
      <w:rPr>
        <w:rFonts w:hint="default"/>
      </w:rPr>
    </w:lvl>
    <w:lvl w:ilvl="2">
      <w:start w:val="1"/>
      <w:numFmt w:val="bullet"/>
      <w:lvlText w:val="•"/>
      <w:lvlJc w:val="left"/>
      <w:pPr>
        <w:ind w:left="645" w:hanging="167"/>
      </w:pPr>
      <w:rPr>
        <w:rFonts w:hint="default"/>
      </w:rPr>
    </w:lvl>
    <w:lvl w:ilvl="3">
      <w:start w:val="1"/>
      <w:numFmt w:val="bullet"/>
      <w:lvlText w:val="•"/>
      <w:lvlJc w:val="left"/>
      <w:pPr>
        <w:ind w:left="777" w:hanging="167"/>
      </w:pPr>
      <w:rPr>
        <w:rFonts w:hint="default"/>
      </w:rPr>
    </w:lvl>
    <w:lvl w:ilvl="4">
      <w:start w:val="1"/>
      <w:numFmt w:val="bullet"/>
      <w:lvlText w:val="•"/>
      <w:lvlJc w:val="left"/>
      <w:pPr>
        <w:ind w:left="910" w:hanging="167"/>
      </w:pPr>
      <w:rPr>
        <w:rFonts w:hint="default"/>
      </w:rPr>
    </w:lvl>
    <w:lvl w:ilvl="5">
      <w:start w:val="1"/>
      <w:numFmt w:val="bullet"/>
      <w:lvlText w:val="•"/>
      <w:lvlJc w:val="left"/>
      <w:pPr>
        <w:ind w:left="1042" w:hanging="167"/>
      </w:pPr>
      <w:rPr>
        <w:rFonts w:hint="default"/>
      </w:rPr>
    </w:lvl>
    <w:lvl w:ilvl="6">
      <w:start w:val="1"/>
      <w:numFmt w:val="bullet"/>
      <w:lvlText w:val="•"/>
      <w:lvlJc w:val="left"/>
      <w:pPr>
        <w:ind w:left="1175" w:hanging="167"/>
      </w:pPr>
      <w:rPr>
        <w:rFonts w:hint="default"/>
      </w:rPr>
    </w:lvl>
    <w:lvl w:ilvl="7">
      <w:start w:val="1"/>
      <w:numFmt w:val="bullet"/>
      <w:lvlText w:val="•"/>
      <w:lvlJc w:val="left"/>
      <w:pPr>
        <w:ind w:left="1308" w:hanging="167"/>
      </w:pPr>
      <w:rPr>
        <w:rFonts w:hint="default"/>
      </w:rPr>
    </w:lvl>
    <w:lvl w:ilvl="8">
      <w:start w:val="1"/>
      <w:numFmt w:val="bullet"/>
      <w:lvlText w:val="•"/>
      <w:lvlJc w:val="left"/>
      <w:pPr>
        <w:ind w:left="1440" w:hanging="167"/>
      </w:pPr>
      <w:rPr>
        <w:rFonts w:hint="default"/>
      </w:rPr>
    </w:lvl>
  </w:abstractNum>
  <w:abstractNum w:abstractNumId="19">
    <w:multiLevelType w:val="hybridMultilevel"/>
    <w:lvl w:ilvl="0">
      <w:start w:val="1"/>
      <w:numFmt w:val="lowerLetter"/>
      <w:lvlText w:val="%1."/>
      <w:lvlJc w:val="left"/>
      <w:pPr>
        <w:ind w:left="882" w:hanging="360"/>
        <w:jc w:val="left"/>
      </w:pPr>
      <w:rPr>
        <w:rFonts w:hint="default" w:ascii="Arial" w:hAnsi="Arial" w:eastAsia="Arial" w:cs="Arial"/>
        <w:spacing w:val="-2"/>
        <w:w w:val="99"/>
        <w:sz w:val="24"/>
        <w:szCs w:val="24"/>
      </w:rPr>
    </w:lvl>
    <w:lvl w:ilvl="1">
      <w:start w:val="1"/>
      <w:numFmt w:val="bullet"/>
      <w:lvlText w:val=""/>
      <w:lvlJc w:val="left"/>
      <w:pPr>
        <w:ind w:left="1239" w:hanging="358"/>
      </w:pPr>
      <w:rPr>
        <w:rFonts w:hint="default" w:ascii="Symbol" w:hAnsi="Symbol" w:eastAsia="Symbol" w:cs="Symbol"/>
        <w:w w:val="100"/>
        <w:sz w:val="16"/>
        <w:szCs w:val="16"/>
      </w:rPr>
    </w:lvl>
    <w:lvl w:ilvl="2">
      <w:start w:val="1"/>
      <w:numFmt w:val="bullet"/>
      <w:lvlText w:val="•"/>
      <w:lvlJc w:val="left"/>
      <w:pPr>
        <w:ind w:left="1240" w:hanging="358"/>
      </w:pPr>
      <w:rPr>
        <w:rFonts w:hint="default"/>
      </w:rPr>
    </w:lvl>
    <w:lvl w:ilvl="3">
      <w:start w:val="1"/>
      <w:numFmt w:val="bullet"/>
      <w:lvlText w:val="•"/>
      <w:lvlJc w:val="left"/>
      <w:pPr>
        <w:ind w:left="1300" w:hanging="358"/>
      </w:pPr>
      <w:rPr>
        <w:rFonts w:hint="default"/>
      </w:rPr>
    </w:lvl>
    <w:lvl w:ilvl="4">
      <w:start w:val="1"/>
      <w:numFmt w:val="bullet"/>
      <w:lvlText w:val="•"/>
      <w:lvlJc w:val="left"/>
      <w:pPr>
        <w:ind w:left="2425" w:hanging="358"/>
      </w:pPr>
      <w:rPr>
        <w:rFonts w:hint="default"/>
      </w:rPr>
    </w:lvl>
    <w:lvl w:ilvl="5">
      <w:start w:val="1"/>
      <w:numFmt w:val="bullet"/>
      <w:lvlText w:val="•"/>
      <w:lvlJc w:val="left"/>
      <w:pPr>
        <w:ind w:left="3551" w:hanging="358"/>
      </w:pPr>
      <w:rPr>
        <w:rFonts w:hint="default"/>
      </w:rPr>
    </w:lvl>
    <w:lvl w:ilvl="6">
      <w:start w:val="1"/>
      <w:numFmt w:val="bullet"/>
      <w:lvlText w:val="•"/>
      <w:lvlJc w:val="left"/>
      <w:pPr>
        <w:ind w:left="4677" w:hanging="358"/>
      </w:pPr>
      <w:rPr>
        <w:rFonts w:hint="default"/>
      </w:rPr>
    </w:lvl>
    <w:lvl w:ilvl="7">
      <w:start w:val="1"/>
      <w:numFmt w:val="bullet"/>
      <w:lvlText w:val="•"/>
      <w:lvlJc w:val="left"/>
      <w:pPr>
        <w:ind w:left="5802" w:hanging="358"/>
      </w:pPr>
      <w:rPr>
        <w:rFonts w:hint="default"/>
      </w:rPr>
    </w:lvl>
    <w:lvl w:ilvl="8">
      <w:start w:val="1"/>
      <w:numFmt w:val="bullet"/>
      <w:lvlText w:val="•"/>
      <w:lvlJc w:val="left"/>
      <w:pPr>
        <w:ind w:left="6928" w:hanging="358"/>
      </w:pPr>
      <w:rPr>
        <w:rFonts w:hint="default"/>
      </w:rPr>
    </w:lvl>
  </w:abstractNum>
  <w:abstractNum w:abstractNumId="18">
    <w:multiLevelType w:val="hybridMultilevel"/>
    <w:lvl w:ilvl="0">
      <w:start w:val="1"/>
      <w:numFmt w:val="lowerLetter"/>
      <w:lvlText w:val="%1."/>
      <w:lvlJc w:val="left"/>
      <w:pPr>
        <w:ind w:left="1011" w:hanging="425"/>
        <w:jc w:val="left"/>
      </w:pPr>
      <w:rPr>
        <w:rFonts w:hint="default"/>
        <w:spacing w:val="-1"/>
        <w:w w:val="100"/>
      </w:rPr>
    </w:lvl>
    <w:lvl w:ilvl="1">
      <w:start w:val="1"/>
      <w:numFmt w:val="bullet"/>
      <w:lvlText w:val="•"/>
      <w:lvlJc w:val="left"/>
      <w:pPr>
        <w:ind w:left="1836" w:hanging="425"/>
      </w:pPr>
      <w:rPr>
        <w:rFonts w:hint="default"/>
      </w:rPr>
    </w:lvl>
    <w:lvl w:ilvl="2">
      <w:start w:val="1"/>
      <w:numFmt w:val="bullet"/>
      <w:lvlText w:val="•"/>
      <w:lvlJc w:val="left"/>
      <w:pPr>
        <w:ind w:left="2652" w:hanging="425"/>
      </w:pPr>
      <w:rPr>
        <w:rFonts w:hint="default"/>
      </w:rPr>
    </w:lvl>
    <w:lvl w:ilvl="3">
      <w:start w:val="1"/>
      <w:numFmt w:val="bullet"/>
      <w:lvlText w:val="•"/>
      <w:lvlJc w:val="left"/>
      <w:pPr>
        <w:ind w:left="3468" w:hanging="425"/>
      </w:pPr>
      <w:rPr>
        <w:rFonts w:hint="default"/>
      </w:rPr>
    </w:lvl>
    <w:lvl w:ilvl="4">
      <w:start w:val="1"/>
      <w:numFmt w:val="bullet"/>
      <w:lvlText w:val="•"/>
      <w:lvlJc w:val="left"/>
      <w:pPr>
        <w:ind w:left="4284" w:hanging="425"/>
      </w:pPr>
      <w:rPr>
        <w:rFonts w:hint="default"/>
      </w:rPr>
    </w:lvl>
    <w:lvl w:ilvl="5">
      <w:start w:val="1"/>
      <w:numFmt w:val="bullet"/>
      <w:lvlText w:val="•"/>
      <w:lvlJc w:val="left"/>
      <w:pPr>
        <w:ind w:left="5100" w:hanging="425"/>
      </w:pPr>
      <w:rPr>
        <w:rFonts w:hint="default"/>
      </w:rPr>
    </w:lvl>
    <w:lvl w:ilvl="6">
      <w:start w:val="1"/>
      <w:numFmt w:val="bullet"/>
      <w:lvlText w:val="•"/>
      <w:lvlJc w:val="left"/>
      <w:pPr>
        <w:ind w:left="5916" w:hanging="425"/>
      </w:pPr>
      <w:rPr>
        <w:rFonts w:hint="default"/>
      </w:rPr>
    </w:lvl>
    <w:lvl w:ilvl="7">
      <w:start w:val="1"/>
      <w:numFmt w:val="bullet"/>
      <w:lvlText w:val="•"/>
      <w:lvlJc w:val="left"/>
      <w:pPr>
        <w:ind w:left="6732" w:hanging="425"/>
      </w:pPr>
      <w:rPr>
        <w:rFonts w:hint="default"/>
      </w:rPr>
    </w:lvl>
    <w:lvl w:ilvl="8">
      <w:start w:val="1"/>
      <w:numFmt w:val="bullet"/>
      <w:lvlText w:val="•"/>
      <w:lvlJc w:val="left"/>
      <w:pPr>
        <w:ind w:left="7548" w:hanging="425"/>
      </w:pPr>
      <w:rPr>
        <w:rFonts w:hint="default"/>
      </w:rPr>
    </w:lvl>
  </w:abstractNum>
  <w:abstractNum w:abstractNumId="17">
    <w:multiLevelType w:val="hybridMultilevel"/>
    <w:lvl w:ilvl="0">
      <w:start w:val="8"/>
      <w:numFmt w:val="decimal"/>
      <w:lvlText w:val="%1"/>
      <w:lvlJc w:val="left"/>
      <w:pPr>
        <w:ind w:left="565" w:hanging="404"/>
        <w:jc w:val="left"/>
      </w:pPr>
      <w:rPr>
        <w:rFonts w:hint="default"/>
      </w:rPr>
    </w:lvl>
    <w:lvl w:ilvl="1">
      <w:start w:val="1"/>
      <w:numFmt w:val="decimal"/>
      <w:lvlText w:val="%1.%2"/>
      <w:lvlJc w:val="left"/>
      <w:pPr>
        <w:ind w:left="565" w:hanging="404"/>
        <w:jc w:val="right"/>
      </w:pPr>
      <w:rPr>
        <w:rFonts w:hint="default" w:ascii="Arial" w:hAnsi="Arial" w:eastAsia="Arial" w:cs="Arial"/>
        <w:b/>
        <w:bCs/>
        <w:w w:val="99"/>
        <w:sz w:val="24"/>
        <w:szCs w:val="24"/>
      </w:rPr>
    </w:lvl>
    <w:lvl w:ilvl="2">
      <w:start w:val="1"/>
      <w:numFmt w:val="lowerLetter"/>
      <w:lvlText w:val="%3)"/>
      <w:lvlJc w:val="left"/>
      <w:pPr>
        <w:ind w:left="874" w:hanging="351"/>
        <w:jc w:val="left"/>
      </w:pPr>
      <w:rPr>
        <w:rFonts w:hint="default" w:ascii="Arial" w:hAnsi="Arial" w:eastAsia="Arial" w:cs="Arial"/>
        <w:spacing w:val="-1"/>
        <w:w w:val="100"/>
        <w:sz w:val="22"/>
        <w:szCs w:val="22"/>
      </w:rPr>
    </w:lvl>
    <w:lvl w:ilvl="3">
      <w:start w:val="1"/>
      <w:numFmt w:val="bullet"/>
      <w:lvlText w:val="•"/>
      <w:lvlJc w:val="left"/>
      <w:pPr>
        <w:ind w:left="2724" w:hanging="351"/>
      </w:pPr>
      <w:rPr>
        <w:rFonts w:hint="default"/>
      </w:rPr>
    </w:lvl>
    <w:lvl w:ilvl="4">
      <w:start w:val="1"/>
      <w:numFmt w:val="bullet"/>
      <w:lvlText w:val="•"/>
      <w:lvlJc w:val="left"/>
      <w:pPr>
        <w:ind w:left="3646" w:hanging="351"/>
      </w:pPr>
      <w:rPr>
        <w:rFonts w:hint="default"/>
      </w:rPr>
    </w:lvl>
    <w:lvl w:ilvl="5">
      <w:start w:val="1"/>
      <w:numFmt w:val="bullet"/>
      <w:lvlText w:val="•"/>
      <w:lvlJc w:val="left"/>
      <w:pPr>
        <w:ind w:left="4568" w:hanging="351"/>
      </w:pPr>
      <w:rPr>
        <w:rFonts w:hint="default"/>
      </w:rPr>
    </w:lvl>
    <w:lvl w:ilvl="6">
      <w:start w:val="1"/>
      <w:numFmt w:val="bullet"/>
      <w:lvlText w:val="•"/>
      <w:lvlJc w:val="left"/>
      <w:pPr>
        <w:ind w:left="5491" w:hanging="351"/>
      </w:pPr>
      <w:rPr>
        <w:rFonts w:hint="default"/>
      </w:rPr>
    </w:lvl>
    <w:lvl w:ilvl="7">
      <w:start w:val="1"/>
      <w:numFmt w:val="bullet"/>
      <w:lvlText w:val="•"/>
      <w:lvlJc w:val="left"/>
      <w:pPr>
        <w:ind w:left="6413" w:hanging="351"/>
      </w:pPr>
      <w:rPr>
        <w:rFonts w:hint="default"/>
      </w:rPr>
    </w:lvl>
    <w:lvl w:ilvl="8">
      <w:start w:val="1"/>
      <w:numFmt w:val="bullet"/>
      <w:lvlText w:val="•"/>
      <w:lvlJc w:val="left"/>
      <w:pPr>
        <w:ind w:left="7335" w:hanging="351"/>
      </w:pPr>
      <w:rPr>
        <w:rFonts w:hint="default"/>
      </w:rPr>
    </w:lvl>
  </w:abstractNum>
  <w:abstractNum w:abstractNumId="16">
    <w:multiLevelType w:val="hybridMultilevel"/>
    <w:lvl w:ilvl="0">
      <w:start w:val="1"/>
      <w:numFmt w:val="bullet"/>
      <w:lvlText w:val=""/>
      <w:lvlJc w:val="left"/>
      <w:pPr>
        <w:ind w:left="589" w:hanging="144"/>
      </w:pPr>
      <w:rPr>
        <w:rFonts w:hint="default" w:ascii="Symbol" w:hAnsi="Symbol" w:eastAsia="Symbol" w:cs="Symbol"/>
        <w:w w:val="100"/>
        <w:sz w:val="24"/>
        <w:szCs w:val="24"/>
      </w:rPr>
    </w:lvl>
    <w:lvl w:ilvl="1">
      <w:start w:val="1"/>
      <w:numFmt w:val="bullet"/>
      <w:lvlText w:val="•"/>
      <w:lvlJc w:val="left"/>
      <w:pPr>
        <w:ind w:left="1440" w:hanging="144"/>
      </w:pPr>
      <w:rPr>
        <w:rFonts w:hint="default"/>
      </w:rPr>
    </w:lvl>
    <w:lvl w:ilvl="2">
      <w:start w:val="1"/>
      <w:numFmt w:val="bullet"/>
      <w:lvlText w:val="•"/>
      <w:lvlJc w:val="left"/>
      <w:pPr>
        <w:ind w:left="2300" w:hanging="144"/>
      </w:pPr>
      <w:rPr>
        <w:rFonts w:hint="default"/>
      </w:rPr>
    </w:lvl>
    <w:lvl w:ilvl="3">
      <w:start w:val="1"/>
      <w:numFmt w:val="bullet"/>
      <w:lvlText w:val="•"/>
      <w:lvlJc w:val="left"/>
      <w:pPr>
        <w:ind w:left="3160" w:hanging="144"/>
      </w:pPr>
      <w:rPr>
        <w:rFonts w:hint="default"/>
      </w:rPr>
    </w:lvl>
    <w:lvl w:ilvl="4">
      <w:start w:val="1"/>
      <w:numFmt w:val="bullet"/>
      <w:lvlText w:val="•"/>
      <w:lvlJc w:val="left"/>
      <w:pPr>
        <w:ind w:left="4020" w:hanging="144"/>
      </w:pPr>
      <w:rPr>
        <w:rFonts w:hint="default"/>
      </w:rPr>
    </w:lvl>
    <w:lvl w:ilvl="5">
      <w:start w:val="1"/>
      <w:numFmt w:val="bullet"/>
      <w:lvlText w:val="•"/>
      <w:lvlJc w:val="left"/>
      <w:pPr>
        <w:ind w:left="4880" w:hanging="144"/>
      </w:pPr>
      <w:rPr>
        <w:rFonts w:hint="default"/>
      </w:rPr>
    </w:lvl>
    <w:lvl w:ilvl="6">
      <w:start w:val="1"/>
      <w:numFmt w:val="bullet"/>
      <w:lvlText w:val="•"/>
      <w:lvlJc w:val="left"/>
      <w:pPr>
        <w:ind w:left="5740" w:hanging="144"/>
      </w:pPr>
      <w:rPr>
        <w:rFonts w:hint="default"/>
      </w:rPr>
    </w:lvl>
    <w:lvl w:ilvl="7">
      <w:start w:val="1"/>
      <w:numFmt w:val="bullet"/>
      <w:lvlText w:val="•"/>
      <w:lvlJc w:val="left"/>
      <w:pPr>
        <w:ind w:left="6600" w:hanging="144"/>
      </w:pPr>
      <w:rPr>
        <w:rFonts w:hint="default"/>
      </w:rPr>
    </w:lvl>
    <w:lvl w:ilvl="8">
      <w:start w:val="1"/>
      <w:numFmt w:val="bullet"/>
      <w:lvlText w:val="•"/>
      <w:lvlJc w:val="left"/>
      <w:pPr>
        <w:ind w:left="7460" w:hanging="144"/>
      </w:pPr>
      <w:rPr>
        <w:rFonts w:hint="default"/>
      </w:rPr>
    </w:lvl>
  </w:abstractNum>
  <w:abstractNum w:abstractNumId="15">
    <w:multiLevelType w:val="hybridMultilevel"/>
    <w:lvl w:ilvl="0">
      <w:start w:val="1"/>
      <w:numFmt w:val="bullet"/>
      <w:lvlText w:val=""/>
      <w:lvlJc w:val="left"/>
      <w:pPr>
        <w:ind w:left="882" w:hanging="360"/>
      </w:pPr>
      <w:rPr>
        <w:rFonts w:hint="default" w:ascii="Symbol" w:hAnsi="Symbol" w:eastAsia="Symbol" w:cs="Symbol"/>
        <w:w w:val="100"/>
        <w:sz w:val="16"/>
        <w:szCs w:val="16"/>
      </w:rPr>
    </w:lvl>
    <w:lvl w:ilvl="1">
      <w:start w:val="1"/>
      <w:numFmt w:val="bullet"/>
      <w:lvlText w:val="•"/>
      <w:lvlJc w:val="left"/>
      <w:pPr>
        <w:ind w:left="1710" w:hanging="360"/>
      </w:pPr>
      <w:rPr>
        <w:rFonts w:hint="default"/>
      </w:rPr>
    </w:lvl>
    <w:lvl w:ilvl="2">
      <w:start w:val="1"/>
      <w:numFmt w:val="bullet"/>
      <w:lvlText w:val="•"/>
      <w:lvlJc w:val="left"/>
      <w:pPr>
        <w:ind w:left="2540" w:hanging="360"/>
      </w:pPr>
      <w:rPr>
        <w:rFonts w:hint="default"/>
      </w:rPr>
    </w:lvl>
    <w:lvl w:ilvl="3">
      <w:start w:val="1"/>
      <w:numFmt w:val="bullet"/>
      <w:lvlText w:val="•"/>
      <w:lvlJc w:val="left"/>
      <w:pPr>
        <w:ind w:left="3370" w:hanging="360"/>
      </w:pPr>
      <w:rPr>
        <w:rFonts w:hint="default"/>
      </w:rPr>
    </w:lvl>
    <w:lvl w:ilvl="4">
      <w:start w:val="1"/>
      <w:numFmt w:val="bullet"/>
      <w:lvlText w:val="•"/>
      <w:lvlJc w:val="left"/>
      <w:pPr>
        <w:ind w:left="4200" w:hanging="360"/>
      </w:pPr>
      <w:rPr>
        <w:rFonts w:hint="default"/>
      </w:rPr>
    </w:lvl>
    <w:lvl w:ilvl="5">
      <w:start w:val="1"/>
      <w:numFmt w:val="bullet"/>
      <w:lvlText w:val="•"/>
      <w:lvlJc w:val="left"/>
      <w:pPr>
        <w:ind w:left="5030" w:hanging="360"/>
      </w:pPr>
      <w:rPr>
        <w:rFonts w:hint="default"/>
      </w:rPr>
    </w:lvl>
    <w:lvl w:ilvl="6">
      <w:start w:val="1"/>
      <w:numFmt w:val="bullet"/>
      <w:lvlText w:val="•"/>
      <w:lvlJc w:val="left"/>
      <w:pPr>
        <w:ind w:left="5860" w:hanging="360"/>
      </w:pPr>
      <w:rPr>
        <w:rFonts w:hint="default"/>
      </w:rPr>
    </w:lvl>
    <w:lvl w:ilvl="7">
      <w:start w:val="1"/>
      <w:numFmt w:val="bullet"/>
      <w:lvlText w:val="•"/>
      <w:lvlJc w:val="left"/>
      <w:pPr>
        <w:ind w:left="6690" w:hanging="360"/>
      </w:pPr>
      <w:rPr>
        <w:rFonts w:hint="default"/>
      </w:rPr>
    </w:lvl>
    <w:lvl w:ilvl="8">
      <w:start w:val="1"/>
      <w:numFmt w:val="bullet"/>
      <w:lvlText w:val="•"/>
      <w:lvlJc w:val="left"/>
      <w:pPr>
        <w:ind w:left="7520" w:hanging="360"/>
      </w:pPr>
      <w:rPr>
        <w:rFonts w:hint="default"/>
      </w:rPr>
    </w:lvl>
  </w:abstractNum>
  <w:abstractNum w:abstractNumId="14">
    <w:multiLevelType w:val="hybridMultilevel"/>
    <w:lvl w:ilvl="0">
      <w:start w:val="4"/>
      <w:numFmt w:val="upperRoman"/>
      <w:lvlText w:val="%1."/>
      <w:lvlJc w:val="left"/>
      <w:pPr>
        <w:ind w:left="2427" w:hanging="423"/>
        <w:jc w:val="right"/>
      </w:pPr>
      <w:rPr>
        <w:rFonts w:hint="default" w:ascii="Arial" w:hAnsi="Arial" w:eastAsia="Arial" w:cs="Arial"/>
        <w:b/>
        <w:bCs/>
        <w:spacing w:val="-1"/>
        <w:w w:val="100"/>
        <w:sz w:val="28"/>
        <w:szCs w:val="28"/>
      </w:rPr>
    </w:lvl>
    <w:lvl w:ilvl="1">
      <w:start w:val="1"/>
      <w:numFmt w:val="bullet"/>
      <w:lvlText w:val="•"/>
      <w:lvlJc w:val="left"/>
      <w:pPr>
        <w:ind w:left="3096" w:hanging="423"/>
      </w:pPr>
      <w:rPr>
        <w:rFonts w:hint="default"/>
      </w:rPr>
    </w:lvl>
    <w:lvl w:ilvl="2">
      <w:start w:val="1"/>
      <w:numFmt w:val="bullet"/>
      <w:lvlText w:val="•"/>
      <w:lvlJc w:val="left"/>
      <w:pPr>
        <w:ind w:left="3772" w:hanging="423"/>
      </w:pPr>
      <w:rPr>
        <w:rFonts w:hint="default"/>
      </w:rPr>
    </w:lvl>
    <w:lvl w:ilvl="3">
      <w:start w:val="1"/>
      <w:numFmt w:val="bullet"/>
      <w:lvlText w:val="•"/>
      <w:lvlJc w:val="left"/>
      <w:pPr>
        <w:ind w:left="4448" w:hanging="423"/>
      </w:pPr>
      <w:rPr>
        <w:rFonts w:hint="default"/>
      </w:rPr>
    </w:lvl>
    <w:lvl w:ilvl="4">
      <w:start w:val="1"/>
      <w:numFmt w:val="bullet"/>
      <w:lvlText w:val="•"/>
      <w:lvlJc w:val="left"/>
      <w:pPr>
        <w:ind w:left="5124" w:hanging="423"/>
      </w:pPr>
      <w:rPr>
        <w:rFonts w:hint="default"/>
      </w:rPr>
    </w:lvl>
    <w:lvl w:ilvl="5">
      <w:start w:val="1"/>
      <w:numFmt w:val="bullet"/>
      <w:lvlText w:val="•"/>
      <w:lvlJc w:val="left"/>
      <w:pPr>
        <w:ind w:left="5800" w:hanging="423"/>
      </w:pPr>
      <w:rPr>
        <w:rFonts w:hint="default"/>
      </w:rPr>
    </w:lvl>
    <w:lvl w:ilvl="6">
      <w:start w:val="1"/>
      <w:numFmt w:val="bullet"/>
      <w:lvlText w:val="•"/>
      <w:lvlJc w:val="left"/>
      <w:pPr>
        <w:ind w:left="6476" w:hanging="423"/>
      </w:pPr>
      <w:rPr>
        <w:rFonts w:hint="default"/>
      </w:rPr>
    </w:lvl>
    <w:lvl w:ilvl="7">
      <w:start w:val="1"/>
      <w:numFmt w:val="bullet"/>
      <w:lvlText w:val="•"/>
      <w:lvlJc w:val="left"/>
      <w:pPr>
        <w:ind w:left="7152" w:hanging="423"/>
      </w:pPr>
      <w:rPr>
        <w:rFonts w:hint="default"/>
      </w:rPr>
    </w:lvl>
    <w:lvl w:ilvl="8">
      <w:start w:val="1"/>
      <w:numFmt w:val="bullet"/>
      <w:lvlText w:val="•"/>
      <w:lvlJc w:val="left"/>
      <w:pPr>
        <w:ind w:left="7828" w:hanging="423"/>
      </w:pPr>
      <w:rPr>
        <w:rFonts w:hint="default"/>
      </w:rPr>
    </w:lvl>
  </w:abstractNum>
  <w:abstractNum w:abstractNumId="13">
    <w:multiLevelType w:val="hybridMultilevel"/>
    <w:lvl w:ilvl="0">
      <w:start w:val="1"/>
      <w:numFmt w:val="bullet"/>
      <w:lvlText w:val=""/>
      <w:lvlJc w:val="left"/>
      <w:pPr>
        <w:ind w:left="589" w:hanging="144"/>
      </w:pPr>
      <w:rPr>
        <w:rFonts w:hint="default" w:ascii="Wingdings" w:hAnsi="Wingdings" w:eastAsia="Wingdings" w:cs="Wingdings"/>
        <w:w w:val="100"/>
        <w:sz w:val="24"/>
        <w:szCs w:val="24"/>
      </w:rPr>
    </w:lvl>
    <w:lvl w:ilvl="1">
      <w:start w:val="1"/>
      <w:numFmt w:val="bullet"/>
      <w:lvlText w:val="•"/>
      <w:lvlJc w:val="left"/>
      <w:pPr>
        <w:ind w:left="1440" w:hanging="144"/>
      </w:pPr>
      <w:rPr>
        <w:rFonts w:hint="default"/>
      </w:rPr>
    </w:lvl>
    <w:lvl w:ilvl="2">
      <w:start w:val="1"/>
      <w:numFmt w:val="bullet"/>
      <w:lvlText w:val="•"/>
      <w:lvlJc w:val="left"/>
      <w:pPr>
        <w:ind w:left="2300" w:hanging="144"/>
      </w:pPr>
      <w:rPr>
        <w:rFonts w:hint="default"/>
      </w:rPr>
    </w:lvl>
    <w:lvl w:ilvl="3">
      <w:start w:val="1"/>
      <w:numFmt w:val="bullet"/>
      <w:lvlText w:val="•"/>
      <w:lvlJc w:val="left"/>
      <w:pPr>
        <w:ind w:left="3160" w:hanging="144"/>
      </w:pPr>
      <w:rPr>
        <w:rFonts w:hint="default"/>
      </w:rPr>
    </w:lvl>
    <w:lvl w:ilvl="4">
      <w:start w:val="1"/>
      <w:numFmt w:val="bullet"/>
      <w:lvlText w:val="•"/>
      <w:lvlJc w:val="left"/>
      <w:pPr>
        <w:ind w:left="4020" w:hanging="144"/>
      </w:pPr>
      <w:rPr>
        <w:rFonts w:hint="default"/>
      </w:rPr>
    </w:lvl>
    <w:lvl w:ilvl="5">
      <w:start w:val="1"/>
      <w:numFmt w:val="bullet"/>
      <w:lvlText w:val="•"/>
      <w:lvlJc w:val="left"/>
      <w:pPr>
        <w:ind w:left="4880" w:hanging="144"/>
      </w:pPr>
      <w:rPr>
        <w:rFonts w:hint="default"/>
      </w:rPr>
    </w:lvl>
    <w:lvl w:ilvl="6">
      <w:start w:val="1"/>
      <w:numFmt w:val="bullet"/>
      <w:lvlText w:val="•"/>
      <w:lvlJc w:val="left"/>
      <w:pPr>
        <w:ind w:left="5740" w:hanging="144"/>
      </w:pPr>
      <w:rPr>
        <w:rFonts w:hint="default"/>
      </w:rPr>
    </w:lvl>
    <w:lvl w:ilvl="7">
      <w:start w:val="1"/>
      <w:numFmt w:val="bullet"/>
      <w:lvlText w:val="•"/>
      <w:lvlJc w:val="left"/>
      <w:pPr>
        <w:ind w:left="6600" w:hanging="144"/>
      </w:pPr>
      <w:rPr>
        <w:rFonts w:hint="default"/>
      </w:rPr>
    </w:lvl>
    <w:lvl w:ilvl="8">
      <w:start w:val="1"/>
      <w:numFmt w:val="bullet"/>
      <w:lvlText w:val="•"/>
      <w:lvlJc w:val="left"/>
      <w:pPr>
        <w:ind w:left="7460" w:hanging="144"/>
      </w:pPr>
      <w:rPr>
        <w:rFonts w:hint="default"/>
      </w:rPr>
    </w:lvl>
  </w:abstractNum>
  <w:abstractNum w:abstractNumId="12">
    <w:multiLevelType w:val="hybridMultilevel"/>
    <w:lvl w:ilvl="0">
      <w:start w:val="1"/>
      <w:numFmt w:val="lowerLetter"/>
      <w:lvlText w:val="%1)"/>
      <w:lvlJc w:val="left"/>
      <w:pPr>
        <w:ind w:left="1230" w:hanging="360"/>
        <w:jc w:val="left"/>
      </w:pPr>
      <w:rPr>
        <w:rFonts w:hint="default" w:ascii="Arial" w:hAnsi="Arial" w:eastAsia="Arial" w:cs="Arial"/>
        <w:w w:val="99"/>
        <w:sz w:val="24"/>
        <w:szCs w:val="24"/>
      </w:rPr>
    </w:lvl>
    <w:lvl w:ilvl="1">
      <w:start w:val="1"/>
      <w:numFmt w:val="bullet"/>
      <w:lvlText w:val="•"/>
      <w:lvlJc w:val="left"/>
      <w:pPr>
        <w:ind w:left="2090" w:hanging="360"/>
      </w:pPr>
      <w:rPr>
        <w:rFonts w:hint="default"/>
      </w:rPr>
    </w:lvl>
    <w:lvl w:ilvl="2">
      <w:start w:val="1"/>
      <w:numFmt w:val="bullet"/>
      <w:lvlText w:val="•"/>
      <w:lvlJc w:val="left"/>
      <w:pPr>
        <w:ind w:left="2940" w:hanging="360"/>
      </w:pPr>
      <w:rPr>
        <w:rFonts w:hint="default"/>
      </w:rPr>
    </w:lvl>
    <w:lvl w:ilvl="3">
      <w:start w:val="1"/>
      <w:numFmt w:val="bullet"/>
      <w:lvlText w:val="•"/>
      <w:lvlJc w:val="left"/>
      <w:pPr>
        <w:ind w:left="3790" w:hanging="360"/>
      </w:pPr>
      <w:rPr>
        <w:rFonts w:hint="default"/>
      </w:rPr>
    </w:lvl>
    <w:lvl w:ilvl="4">
      <w:start w:val="1"/>
      <w:numFmt w:val="bullet"/>
      <w:lvlText w:val="•"/>
      <w:lvlJc w:val="left"/>
      <w:pPr>
        <w:ind w:left="4640" w:hanging="360"/>
      </w:pPr>
      <w:rPr>
        <w:rFonts w:hint="default"/>
      </w:rPr>
    </w:lvl>
    <w:lvl w:ilvl="5">
      <w:start w:val="1"/>
      <w:numFmt w:val="bullet"/>
      <w:lvlText w:val="•"/>
      <w:lvlJc w:val="left"/>
      <w:pPr>
        <w:ind w:left="5490" w:hanging="360"/>
      </w:pPr>
      <w:rPr>
        <w:rFonts w:hint="default"/>
      </w:rPr>
    </w:lvl>
    <w:lvl w:ilvl="6">
      <w:start w:val="1"/>
      <w:numFmt w:val="bullet"/>
      <w:lvlText w:val="•"/>
      <w:lvlJc w:val="left"/>
      <w:pPr>
        <w:ind w:left="6340" w:hanging="360"/>
      </w:pPr>
      <w:rPr>
        <w:rFonts w:hint="default"/>
      </w:rPr>
    </w:lvl>
    <w:lvl w:ilvl="7">
      <w:start w:val="1"/>
      <w:numFmt w:val="bullet"/>
      <w:lvlText w:val="•"/>
      <w:lvlJc w:val="left"/>
      <w:pPr>
        <w:ind w:left="7190" w:hanging="360"/>
      </w:pPr>
      <w:rPr>
        <w:rFonts w:hint="default"/>
      </w:rPr>
    </w:lvl>
    <w:lvl w:ilvl="8">
      <w:start w:val="1"/>
      <w:numFmt w:val="bullet"/>
      <w:lvlText w:val="•"/>
      <w:lvlJc w:val="left"/>
      <w:pPr>
        <w:ind w:left="8040" w:hanging="360"/>
      </w:pPr>
      <w:rPr>
        <w:rFonts w:hint="default"/>
      </w:rPr>
    </w:lvl>
  </w:abstractNum>
  <w:abstractNum w:abstractNumId="11">
    <w:multiLevelType w:val="hybridMultilevel"/>
    <w:lvl w:ilvl="0">
      <w:start w:val="2"/>
      <w:numFmt w:val="decimal"/>
      <w:lvlText w:val="%1"/>
      <w:lvlJc w:val="left"/>
      <w:pPr>
        <w:ind w:left="564" w:hanging="403"/>
        <w:jc w:val="left"/>
      </w:pPr>
      <w:rPr>
        <w:rFonts w:hint="default"/>
      </w:rPr>
    </w:lvl>
    <w:lvl w:ilvl="1">
      <w:start w:val="3"/>
      <w:numFmt w:val="decimal"/>
      <w:lvlText w:val="%1.%2"/>
      <w:lvlJc w:val="left"/>
      <w:pPr>
        <w:ind w:left="564" w:hanging="403"/>
        <w:jc w:val="left"/>
      </w:pPr>
      <w:rPr>
        <w:rFonts w:hint="default" w:ascii="Arial" w:hAnsi="Arial" w:eastAsia="Arial" w:cs="Arial"/>
        <w:b/>
        <w:bCs/>
        <w:w w:val="99"/>
        <w:sz w:val="24"/>
        <w:szCs w:val="24"/>
      </w:rPr>
    </w:lvl>
    <w:lvl w:ilvl="2">
      <w:start w:val="1"/>
      <w:numFmt w:val="bullet"/>
      <w:lvlText w:val="•"/>
      <w:lvlJc w:val="left"/>
      <w:pPr>
        <w:ind w:left="2284" w:hanging="403"/>
      </w:pPr>
      <w:rPr>
        <w:rFonts w:hint="default"/>
      </w:rPr>
    </w:lvl>
    <w:lvl w:ilvl="3">
      <w:start w:val="1"/>
      <w:numFmt w:val="bullet"/>
      <w:lvlText w:val="•"/>
      <w:lvlJc w:val="left"/>
      <w:pPr>
        <w:ind w:left="3146" w:hanging="403"/>
      </w:pPr>
      <w:rPr>
        <w:rFonts w:hint="default"/>
      </w:rPr>
    </w:lvl>
    <w:lvl w:ilvl="4">
      <w:start w:val="1"/>
      <w:numFmt w:val="bullet"/>
      <w:lvlText w:val="•"/>
      <w:lvlJc w:val="left"/>
      <w:pPr>
        <w:ind w:left="4008" w:hanging="403"/>
      </w:pPr>
      <w:rPr>
        <w:rFonts w:hint="default"/>
      </w:rPr>
    </w:lvl>
    <w:lvl w:ilvl="5">
      <w:start w:val="1"/>
      <w:numFmt w:val="bullet"/>
      <w:lvlText w:val="•"/>
      <w:lvlJc w:val="left"/>
      <w:pPr>
        <w:ind w:left="4870" w:hanging="403"/>
      </w:pPr>
      <w:rPr>
        <w:rFonts w:hint="default"/>
      </w:rPr>
    </w:lvl>
    <w:lvl w:ilvl="6">
      <w:start w:val="1"/>
      <w:numFmt w:val="bullet"/>
      <w:lvlText w:val="•"/>
      <w:lvlJc w:val="left"/>
      <w:pPr>
        <w:ind w:left="5732" w:hanging="403"/>
      </w:pPr>
      <w:rPr>
        <w:rFonts w:hint="default"/>
      </w:rPr>
    </w:lvl>
    <w:lvl w:ilvl="7">
      <w:start w:val="1"/>
      <w:numFmt w:val="bullet"/>
      <w:lvlText w:val="•"/>
      <w:lvlJc w:val="left"/>
      <w:pPr>
        <w:ind w:left="6594" w:hanging="403"/>
      </w:pPr>
      <w:rPr>
        <w:rFonts w:hint="default"/>
      </w:rPr>
    </w:lvl>
    <w:lvl w:ilvl="8">
      <w:start w:val="1"/>
      <w:numFmt w:val="bullet"/>
      <w:lvlText w:val="•"/>
      <w:lvlJc w:val="left"/>
      <w:pPr>
        <w:ind w:left="7456" w:hanging="403"/>
      </w:pPr>
      <w:rPr>
        <w:rFonts w:hint="default"/>
      </w:rPr>
    </w:lvl>
  </w:abstractNum>
  <w:abstractNum w:abstractNumId="10">
    <w:multiLevelType w:val="hybridMultilevel"/>
    <w:lvl w:ilvl="0">
      <w:start w:val="1"/>
      <w:numFmt w:val="upperLetter"/>
      <w:lvlText w:val="%1."/>
      <w:lvlJc w:val="left"/>
      <w:pPr>
        <w:ind w:left="882" w:hanging="360"/>
        <w:jc w:val="left"/>
      </w:pPr>
      <w:rPr>
        <w:rFonts w:hint="default" w:ascii="Arial" w:hAnsi="Arial" w:eastAsia="Arial" w:cs="Arial"/>
        <w:w w:val="100"/>
        <w:sz w:val="24"/>
        <w:szCs w:val="24"/>
      </w:rPr>
    </w:lvl>
    <w:lvl w:ilvl="1">
      <w:start w:val="1"/>
      <w:numFmt w:val="lowerLetter"/>
      <w:lvlText w:val="%2."/>
      <w:lvlJc w:val="left"/>
      <w:pPr>
        <w:ind w:left="1155" w:hanging="286"/>
        <w:jc w:val="left"/>
      </w:pPr>
      <w:rPr>
        <w:rFonts w:hint="default" w:ascii="Arial" w:hAnsi="Arial" w:eastAsia="Arial" w:cs="Arial"/>
        <w:spacing w:val="-1"/>
        <w:w w:val="100"/>
        <w:sz w:val="22"/>
        <w:szCs w:val="22"/>
      </w:rPr>
    </w:lvl>
    <w:lvl w:ilvl="2">
      <w:start w:val="1"/>
      <w:numFmt w:val="bullet"/>
      <w:lvlText w:val="•"/>
      <w:lvlJc w:val="left"/>
      <w:pPr>
        <w:ind w:left="1120" w:hanging="286"/>
      </w:pPr>
      <w:rPr>
        <w:rFonts w:hint="default"/>
      </w:rPr>
    </w:lvl>
    <w:lvl w:ilvl="3">
      <w:start w:val="1"/>
      <w:numFmt w:val="bullet"/>
      <w:lvlText w:val="•"/>
      <w:lvlJc w:val="left"/>
      <w:pPr>
        <w:ind w:left="1160" w:hanging="286"/>
      </w:pPr>
      <w:rPr>
        <w:rFonts w:hint="default"/>
      </w:rPr>
    </w:lvl>
    <w:lvl w:ilvl="4">
      <w:start w:val="1"/>
      <w:numFmt w:val="bullet"/>
      <w:lvlText w:val="•"/>
      <w:lvlJc w:val="left"/>
      <w:pPr>
        <w:ind w:left="2305" w:hanging="286"/>
      </w:pPr>
      <w:rPr>
        <w:rFonts w:hint="default"/>
      </w:rPr>
    </w:lvl>
    <w:lvl w:ilvl="5">
      <w:start w:val="1"/>
      <w:numFmt w:val="bullet"/>
      <w:lvlText w:val="•"/>
      <w:lvlJc w:val="left"/>
      <w:pPr>
        <w:ind w:left="3451" w:hanging="286"/>
      </w:pPr>
      <w:rPr>
        <w:rFonts w:hint="default"/>
      </w:rPr>
    </w:lvl>
    <w:lvl w:ilvl="6">
      <w:start w:val="1"/>
      <w:numFmt w:val="bullet"/>
      <w:lvlText w:val="•"/>
      <w:lvlJc w:val="left"/>
      <w:pPr>
        <w:ind w:left="4597" w:hanging="286"/>
      </w:pPr>
      <w:rPr>
        <w:rFonts w:hint="default"/>
      </w:rPr>
    </w:lvl>
    <w:lvl w:ilvl="7">
      <w:start w:val="1"/>
      <w:numFmt w:val="bullet"/>
      <w:lvlText w:val="•"/>
      <w:lvlJc w:val="left"/>
      <w:pPr>
        <w:ind w:left="5742" w:hanging="286"/>
      </w:pPr>
      <w:rPr>
        <w:rFonts w:hint="default"/>
      </w:rPr>
    </w:lvl>
    <w:lvl w:ilvl="8">
      <w:start w:val="1"/>
      <w:numFmt w:val="bullet"/>
      <w:lvlText w:val="•"/>
      <w:lvlJc w:val="left"/>
      <w:pPr>
        <w:ind w:left="6888" w:hanging="286"/>
      </w:pPr>
      <w:rPr>
        <w:rFonts w:hint="default"/>
      </w:rPr>
    </w:lvl>
  </w:abstractNum>
  <w:abstractNum w:abstractNumId="9">
    <w:multiLevelType w:val="hybridMultilevel"/>
    <w:lvl w:ilvl="0">
      <w:start w:val="1"/>
      <w:numFmt w:val="lowerLetter"/>
      <w:lvlText w:val="%1."/>
      <w:lvlJc w:val="left"/>
      <w:pPr>
        <w:ind w:left="589" w:hanging="279"/>
        <w:jc w:val="left"/>
      </w:pPr>
      <w:rPr>
        <w:rFonts w:hint="default" w:ascii="Arial" w:hAnsi="Arial" w:eastAsia="Arial" w:cs="Arial"/>
        <w:w w:val="99"/>
        <w:sz w:val="24"/>
        <w:szCs w:val="24"/>
      </w:rPr>
    </w:lvl>
    <w:lvl w:ilvl="1">
      <w:start w:val="1"/>
      <w:numFmt w:val="bullet"/>
      <w:lvlText w:val="•"/>
      <w:lvlJc w:val="left"/>
      <w:pPr>
        <w:ind w:left="1440" w:hanging="279"/>
      </w:pPr>
      <w:rPr>
        <w:rFonts w:hint="default"/>
      </w:rPr>
    </w:lvl>
    <w:lvl w:ilvl="2">
      <w:start w:val="1"/>
      <w:numFmt w:val="bullet"/>
      <w:lvlText w:val="•"/>
      <w:lvlJc w:val="left"/>
      <w:pPr>
        <w:ind w:left="2300" w:hanging="279"/>
      </w:pPr>
      <w:rPr>
        <w:rFonts w:hint="default"/>
      </w:rPr>
    </w:lvl>
    <w:lvl w:ilvl="3">
      <w:start w:val="1"/>
      <w:numFmt w:val="bullet"/>
      <w:lvlText w:val="•"/>
      <w:lvlJc w:val="left"/>
      <w:pPr>
        <w:ind w:left="3160" w:hanging="279"/>
      </w:pPr>
      <w:rPr>
        <w:rFonts w:hint="default"/>
      </w:rPr>
    </w:lvl>
    <w:lvl w:ilvl="4">
      <w:start w:val="1"/>
      <w:numFmt w:val="bullet"/>
      <w:lvlText w:val="•"/>
      <w:lvlJc w:val="left"/>
      <w:pPr>
        <w:ind w:left="4020" w:hanging="279"/>
      </w:pPr>
      <w:rPr>
        <w:rFonts w:hint="default"/>
      </w:rPr>
    </w:lvl>
    <w:lvl w:ilvl="5">
      <w:start w:val="1"/>
      <w:numFmt w:val="bullet"/>
      <w:lvlText w:val="•"/>
      <w:lvlJc w:val="left"/>
      <w:pPr>
        <w:ind w:left="4880" w:hanging="279"/>
      </w:pPr>
      <w:rPr>
        <w:rFonts w:hint="default"/>
      </w:rPr>
    </w:lvl>
    <w:lvl w:ilvl="6">
      <w:start w:val="1"/>
      <w:numFmt w:val="bullet"/>
      <w:lvlText w:val="•"/>
      <w:lvlJc w:val="left"/>
      <w:pPr>
        <w:ind w:left="5740" w:hanging="279"/>
      </w:pPr>
      <w:rPr>
        <w:rFonts w:hint="default"/>
      </w:rPr>
    </w:lvl>
    <w:lvl w:ilvl="7">
      <w:start w:val="1"/>
      <w:numFmt w:val="bullet"/>
      <w:lvlText w:val="•"/>
      <w:lvlJc w:val="left"/>
      <w:pPr>
        <w:ind w:left="6600" w:hanging="279"/>
      </w:pPr>
      <w:rPr>
        <w:rFonts w:hint="default"/>
      </w:rPr>
    </w:lvl>
    <w:lvl w:ilvl="8">
      <w:start w:val="1"/>
      <w:numFmt w:val="bullet"/>
      <w:lvlText w:val="•"/>
      <w:lvlJc w:val="left"/>
      <w:pPr>
        <w:ind w:left="7460" w:hanging="279"/>
      </w:pPr>
      <w:rPr>
        <w:rFonts w:hint="default"/>
      </w:rPr>
    </w:lvl>
  </w:abstractNum>
  <w:abstractNum w:abstractNumId="8">
    <w:multiLevelType w:val="hybridMultilevel"/>
    <w:lvl w:ilvl="0">
      <w:start w:val="1"/>
      <w:numFmt w:val="bullet"/>
      <w:lvlText w:val=""/>
      <w:lvlJc w:val="left"/>
      <w:pPr>
        <w:ind w:left="445" w:hanging="284"/>
      </w:pPr>
      <w:rPr>
        <w:rFonts w:hint="default" w:ascii="Symbol" w:hAnsi="Symbol" w:eastAsia="Symbol" w:cs="Symbol"/>
        <w:w w:val="100"/>
        <w:sz w:val="24"/>
        <w:szCs w:val="24"/>
      </w:rPr>
    </w:lvl>
    <w:lvl w:ilvl="1">
      <w:start w:val="1"/>
      <w:numFmt w:val="bullet"/>
      <w:lvlText w:val="-"/>
      <w:lvlJc w:val="left"/>
      <w:pPr>
        <w:ind w:left="728" w:hanging="284"/>
      </w:pPr>
      <w:rPr>
        <w:rFonts w:hint="default"/>
        <w:spacing w:val="-15"/>
        <w:w w:val="99"/>
      </w:rPr>
    </w:lvl>
    <w:lvl w:ilvl="2">
      <w:start w:val="1"/>
      <w:numFmt w:val="bullet"/>
      <w:lvlText w:val="•"/>
      <w:lvlJc w:val="left"/>
      <w:pPr>
        <w:ind w:left="1660" w:hanging="284"/>
      </w:pPr>
      <w:rPr>
        <w:rFonts w:hint="default"/>
      </w:rPr>
    </w:lvl>
    <w:lvl w:ilvl="3">
      <w:start w:val="1"/>
      <w:numFmt w:val="bullet"/>
      <w:lvlText w:val="•"/>
      <w:lvlJc w:val="left"/>
      <w:pPr>
        <w:ind w:left="2600" w:hanging="284"/>
      </w:pPr>
      <w:rPr>
        <w:rFonts w:hint="default"/>
      </w:rPr>
    </w:lvl>
    <w:lvl w:ilvl="4">
      <w:start w:val="1"/>
      <w:numFmt w:val="bullet"/>
      <w:lvlText w:val="•"/>
      <w:lvlJc w:val="left"/>
      <w:pPr>
        <w:ind w:left="3540" w:hanging="284"/>
      </w:pPr>
      <w:rPr>
        <w:rFonts w:hint="default"/>
      </w:rPr>
    </w:lvl>
    <w:lvl w:ilvl="5">
      <w:start w:val="1"/>
      <w:numFmt w:val="bullet"/>
      <w:lvlText w:val="•"/>
      <w:lvlJc w:val="left"/>
      <w:pPr>
        <w:ind w:left="4480" w:hanging="284"/>
      </w:pPr>
      <w:rPr>
        <w:rFonts w:hint="default"/>
      </w:rPr>
    </w:lvl>
    <w:lvl w:ilvl="6">
      <w:start w:val="1"/>
      <w:numFmt w:val="bullet"/>
      <w:lvlText w:val="•"/>
      <w:lvlJc w:val="left"/>
      <w:pPr>
        <w:ind w:left="5420" w:hanging="284"/>
      </w:pPr>
      <w:rPr>
        <w:rFonts w:hint="default"/>
      </w:rPr>
    </w:lvl>
    <w:lvl w:ilvl="7">
      <w:start w:val="1"/>
      <w:numFmt w:val="bullet"/>
      <w:lvlText w:val="•"/>
      <w:lvlJc w:val="left"/>
      <w:pPr>
        <w:ind w:left="6360" w:hanging="284"/>
      </w:pPr>
      <w:rPr>
        <w:rFonts w:hint="default"/>
      </w:rPr>
    </w:lvl>
    <w:lvl w:ilvl="8">
      <w:start w:val="1"/>
      <w:numFmt w:val="bullet"/>
      <w:lvlText w:val="•"/>
      <w:lvlJc w:val="left"/>
      <w:pPr>
        <w:ind w:left="7300" w:hanging="284"/>
      </w:pPr>
      <w:rPr>
        <w:rFonts w:hint="default"/>
      </w:rPr>
    </w:lvl>
  </w:abstractNum>
  <w:abstractNum w:abstractNumId="7">
    <w:multiLevelType w:val="hybridMultilevel"/>
    <w:lvl w:ilvl="0">
      <w:start w:val="1"/>
      <w:numFmt w:val="decimal"/>
      <w:lvlText w:val="%1"/>
      <w:lvlJc w:val="left"/>
      <w:pPr>
        <w:ind w:left="564" w:hanging="403"/>
        <w:jc w:val="left"/>
      </w:pPr>
      <w:rPr>
        <w:rFonts w:hint="default"/>
      </w:rPr>
    </w:lvl>
    <w:lvl w:ilvl="1">
      <w:start w:val="2"/>
      <w:numFmt w:val="decimal"/>
      <w:lvlText w:val="%1.%2"/>
      <w:lvlJc w:val="left"/>
      <w:pPr>
        <w:ind w:left="564" w:hanging="403"/>
        <w:jc w:val="left"/>
      </w:pPr>
      <w:rPr>
        <w:rFonts w:hint="default" w:ascii="Arial" w:hAnsi="Arial" w:eastAsia="Arial" w:cs="Arial"/>
        <w:b/>
        <w:bCs/>
        <w:w w:val="99"/>
        <w:sz w:val="24"/>
        <w:szCs w:val="24"/>
      </w:rPr>
    </w:lvl>
    <w:lvl w:ilvl="2">
      <w:start w:val="1"/>
      <w:numFmt w:val="bullet"/>
      <w:lvlText w:val="•"/>
      <w:lvlJc w:val="left"/>
      <w:pPr>
        <w:ind w:left="2284" w:hanging="403"/>
      </w:pPr>
      <w:rPr>
        <w:rFonts w:hint="default"/>
      </w:rPr>
    </w:lvl>
    <w:lvl w:ilvl="3">
      <w:start w:val="1"/>
      <w:numFmt w:val="bullet"/>
      <w:lvlText w:val="•"/>
      <w:lvlJc w:val="left"/>
      <w:pPr>
        <w:ind w:left="3146" w:hanging="403"/>
      </w:pPr>
      <w:rPr>
        <w:rFonts w:hint="default"/>
      </w:rPr>
    </w:lvl>
    <w:lvl w:ilvl="4">
      <w:start w:val="1"/>
      <w:numFmt w:val="bullet"/>
      <w:lvlText w:val="•"/>
      <w:lvlJc w:val="left"/>
      <w:pPr>
        <w:ind w:left="4008" w:hanging="403"/>
      </w:pPr>
      <w:rPr>
        <w:rFonts w:hint="default"/>
      </w:rPr>
    </w:lvl>
    <w:lvl w:ilvl="5">
      <w:start w:val="1"/>
      <w:numFmt w:val="bullet"/>
      <w:lvlText w:val="•"/>
      <w:lvlJc w:val="left"/>
      <w:pPr>
        <w:ind w:left="4870" w:hanging="403"/>
      </w:pPr>
      <w:rPr>
        <w:rFonts w:hint="default"/>
      </w:rPr>
    </w:lvl>
    <w:lvl w:ilvl="6">
      <w:start w:val="1"/>
      <w:numFmt w:val="bullet"/>
      <w:lvlText w:val="•"/>
      <w:lvlJc w:val="left"/>
      <w:pPr>
        <w:ind w:left="5732" w:hanging="403"/>
      </w:pPr>
      <w:rPr>
        <w:rFonts w:hint="default"/>
      </w:rPr>
    </w:lvl>
    <w:lvl w:ilvl="7">
      <w:start w:val="1"/>
      <w:numFmt w:val="bullet"/>
      <w:lvlText w:val="•"/>
      <w:lvlJc w:val="left"/>
      <w:pPr>
        <w:ind w:left="6594" w:hanging="403"/>
      </w:pPr>
      <w:rPr>
        <w:rFonts w:hint="default"/>
      </w:rPr>
    </w:lvl>
    <w:lvl w:ilvl="8">
      <w:start w:val="1"/>
      <w:numFmt w:val="bullet"/>
      <w:lvlText w:val="•"/>
      <w:lvlJc w:val="left"/>
      <w:pPr>
        <w:ind w:left="7456" w:hanging="403"/>
      </w:pPr>
      <w:rPr>
        <w:rFonts w:hint="default"/>
      </w:rPr>
    </w:lvl>
  </w:abstractNum>
  <w:abstractNum w:abstractNumId="6">
    <w:multiLevelType w:val="hybridMultilevel"/>
    <w:lvl w:ilvl="0">
      <w:start w:val="2"/>
      <w:numFmt w:val="upperLetter"/>
      <w:lvlText w:val="%1."/>
      <w:lvlJc w:val="left"/>
      <w:pPr>
        <w:ind w:left="589" w:hanging="428"/>
        <w:jc w:val="left"/>
      </w:pPr>
      <w:rPr>
        <w:rFonts w:hint="default" w:ascii="Arial" w:hAnsi="Arial" w:eastAsia="Arial" w:cs="Arial"/>
        <w:w w:val="100"/>
        <w:sz w:val="24"/>
        <w:szCs w:val="24"/>
      </w:rPr>
    </w:lvl>
    <w:lvl w:ilvl="1">
      <w:start w:val="1"/>
      <w:numFmt w:val="bullet"/>
      <w:lvlText w:val="•"/>
      <w:lvlJc w:val="left"/>
      <w:pPr>
        <w:ind w:left="1440" w:hanging="428"/>
      </w:pPr>
      <w:rPr>
        <w:rFonts w:hint="default"/>
      </w:rPr>
    </w:lvl>
    <w:lvl w:ilvl="2">
      <w:start w:val="1"/>
      <w:numFmt w:val="bullet"/>
      <w:lvlText w:val="•"/>
      <w:lvlJc w:val="left"/>
      <w:pPr>
        <w:ind w:left="2300" w:hanging="428"/>
      </w:pPr>
      <w:rPr>
        <w:rFonts w:hint="default"/>
      </w:rPr>
    </w:lvl>
    <w:lvl w:ilvl="3">
      <w:start w:val="1"/>
      <w:numFmt w:val="bullet"/>
      <w:lvlText w:val="•"/>
      <w:lvlJc w:val="left"/>
      <w:pPr>
        <w:ind w:left="3160" w:hanging="428"/>
      </w:pPr>
      <w:rPr>
        <w:rFonts w:hint="default"/>
      </w:rPr>
    </w:lvl>
    <w:lvl w:ilvl="4">
      <w:start w:val="1"/>
      <w:numFmt w:val="bullet"/>
      <w:lvlText w:val="•"/>
      <w:lvlJc w:val="left"/>
      <w:pPr>
        <w:ind w:left="4020" w:hanging="428"/>
      </w:pPr>
      <w:rPr>
        <w:rFonts w:hint="default"/>
      </w:rPr>
    </w:lvl>
    <w:lvl w:ilvl="5">
      <w:start w:val="1"/>
      <w:numFmt w:val="bullet"/>
      <w:lvlText w:val="•"/>
      <w:lvlJc w:val="left"/>
      <w:pPr>
        <w:ind w:left="4880" w:hanging="428"/>
      </w:pPr>
      <w:rPr>
        <w:rFonts w:hint="default"/>
      </w:rPr>
    </w:lvl>
    <w:lvl w:ilvl="6">
      <w:start w:val="1"/>
      <w:numFmt w:val="bullet"/>
      <w:lvlText w:val="•"/>
      <w:lvlJc w:val="left"/>
      <w:pPr>
        <w:ind w:left="5740" w:hanging="428"/>
      </w:pPr>
      <w:rPr>
        <w:rFonts w:hint="default"/>
      </w:rPr>
    </w:lvl>
    <w:lvl w:ilvl="7">
      <w:start w:val="1"/>
      <w:numFmt w:val="bullet"/>
      <w:lvlText w:val="•"/>
      <w:lvlJc w:val="left"/>
      <w:pPr>
        <w:ind w:left="6600" w:hanging="428"/>
      </w:pPr>
      <w:rPr>
        <w:rFonts w:hint="default"/>
      </w:rPr>
    </w:lvl>
    <w:lvl w:ilvl="8">
      <w:start w:val="1"/>
      <w:numFmt w:val="bullet"/>
      <w:lvlText w:val="•"/>
      <w:lvlJc w:val="left"/>
      <w:pPr>
        <w:ind w:left="7460" w:hanging="428"/>
      </w:pPr>
      <w:rPr>
        <w:rFonts w:hint="default"/>
      </w:rPr>
    </w:lvl>
  </w:abstractNum>
  <w:abstractNum w:abstractNumId="5">
    <w:multiLevelType w:val="hybridMultilevel"/>
    <w:lvl w:ilvl="0">
      <w:start w:val="1"/>
      <w:numFmt w:val="decimal"/>
      <w:lvlText w:val="%1."/>
      <w:lvlJc w:val="left"/>
      <w:pPr>
        <w:ind w:left="430" w:hanging="269"/>
        <w:jc w:val="left"/>
      </w:pPr>
      <w:rPr>
        <w:rFonts w:hint="default" w:ascii="Arial" w:hAnsi="Arial" w:eastAsia="Arial" w:cs="Arial"/>
        <w:b/>
        <w:bCs/>
        <w:spacing w:val="-6"/>
        <w:w w:val="99"/>
        <w:sz w:val="24"/>
        <w:szCs w:val="24"/>
      </w:rPr>
    </w:lvl>
    <w:lvl w:ilvl="1">
      <w:start w:val="1"/>
      <w:numFmt w:val="decimal"/>
      <w:lvlText w:val="%1.%2"/>
      <w:lvlJc w:val="left"/>
      <w:pPr>
        <w:ind w:left="589" w:hanging="428"/>
        <w:jc w:val="left"/>
      </w:pPr>
      <w:rPr>
        <w:rFonts w:hint="default" w:ascii="Arial" w:hAnsi="Arial" w:eastAsia="Arial" w:cs="Arial"/>
        <w:b/>
        <w:bCs/>
        <w:w w:val="99"/>
        <w:sz w:val="24"/>
        <w:szCs w:val="24"/>
      </w:rPr>
    </w:lvl>
    <w:lvl w:ilvl="2">
      <w:start w:val="1"/>
      <w:numFmt w:val="decimal"/>
      <w:lvlText w:val="%1.%2.%3"/>
      <w:lvlJc w:val="left"/>
      <w:pPr>
        <w:ind w:left="763" w:hanging="602"/>
        <w:jc w:val="left"/>
      </w:pPr>
      <w:rPr>
        <w:rFonts w:hint="default" w:ascii="Arial" w:hAnsi="Arial" w:eastAsia="Arial" w:cs="Arial"/>
        <w:b/>
        <w:bCs/>
        <w:spacing w:val="-2"/>
        <w:w w:val="99"/>
        <w:sz w:val="24"/>
        <w:szCs w:val="24"/>
      </w:rPr>
    </w:lvl>
    <w:lvl w:ilvl="3">
      <w:start w:val="1"/>
      <w:numFmt w:val="bullet"/>
      <w:lvlText w:val="•"/>
      <w:lvlJc w:val="left"/>
      <w:pPr>
        <w:ind w:left="760" w:hanging="602"/>
      </w:pPr>
      <w:rPr>
        <w:rFonts w:hint="default"/>
      </w:rPr>
    </w:lvl>
    <w:lvl w:ilvl="4">
      <w:start w:val="1"/>
      <w:numFmt w:val="bullet"/>
      <w:lvlText w:val="•"/>
      <w:lvlJc w:val="left"/>
      <w:pPr>
        <w:ind w:left="1962" w:hanging="602"/>
      </w:pPr>
      <w:rPr>
        <w:rFonts w:hint="default"/>
      </w:rPr>
    </w:lvl>
    <w:lvl w:ilvl="5">
      <w:start w:val="1"/>
      <w:numFmt w:val="bullet"/>
      <w:lvlText w:val="•"/>
      <w:lvlJc w:val="left"/>
      <w:pPr>
        <w:ind w:left="3165" w:hanging="602"/>
      </w:pPr>
      <w:rPr>
        <w:rFonts w:hint="default"/>
      </w:rPr>
    </w:lvl>
    <w:lvl w:ilvl="6">
      <w:start w:val="1"/>
      <w:numFmt w:val="bullet"/>
      <w:lvlText w:val="•"/>
      <w:lvlJc w:val="left"/>
      <w:pPr>
        <w:ind w:left="4368" w:hanging="602"/>
      </w:pPr>
      <w:rPr>
        <w:rFonts w:hint="default"/>
      </w:rPr>
    </w:lvl>
    <w:lvl w:ilvl="7">
      <w:start w:val="1"/>
      <w:numFmt w:val="bullet"/>
      <w:lvlText w:val="•"/>
      <w:lvlJc w:val="left"/>
      <w:pPr>
        <w:ind w:left="5571" w:hanging="602"/>
      </w:pPr>
      <w:rPr>
        <w:rFonts w:hint="default"/>
      </w:rPr>
    </w:lvl>
    <w:lvl w:ilvl="8">
      <w:start w:val="1"/>
      <w:numFmt w:val="bullet"/>
      <w:lvlText w:val="•"/>
      <w:lvlJc w:val="left"/>
      <w:pPr>
        <w:ind w:left="6774" w:hanging="602"/>
      </w:pPr>
      <w:rPr>
        <w:rFonts w:hint="default"/>
      </w:rPr>
    </w:lvl>
  </w:abstractNum>
  <w:abstractNum w:abstractNumId="4">
    <w:multiLevelType w:val="hybridMultilevel"/>
    <w:lvl w:ilvl="0">
      <w:start w:val="1"/>
      <w:numFmt w:val="upperRoman"/>
      <w:lvlText w:val="%1."/>
      <w:lvlJc w:val="left"/>
      <w:pPr>
        <w:ind w:left="3997" w:hanging="236"/>
        <w:jc w:val="right"/>
      </w:pPr>
      <w:rPr>
        <w:rFonts w:hint="default" w:ascii="Arial" w:hAnsi="Arial" w:eastAsia="Arial" w:cs="Arial"/>
        <w:b/>
        <w:bCs/>
        <w:w w:val="100"/>
        <w:sz w:val="28"/>
        <w:szCs w:val="28"/>
      </w:rPr>
    </w:lvl>
    <w:lvl w:ilvl="1">
      <w:start w:val="1"/>
      <w:numFmt w:val="bullet"/>
      <w:lvlText w:val="•"/>
      <w:lvlJc w:val="left"/>
      <w:pPr>
        <w:ind w:left="4518" w:hanging="236"/>
      </w:pPr>
      <w:rPr>
        <w:rFonts w:hint="default"/>
      </w:rPr>
    </w:lvl>
    <w:lvl w:ilvl="2">
      <w:start w:val="1"/>
      <w:numFmt w:val="bullet"/>
      <w:lvlText w:val="•"/>
      <w:lvlJc w:val="left"/>
      <w:pPr>
        <w:ind w:left="5036" w:hanging="236"/>
      </w:pPr>
      <w:rPr>
        <w:rFonts w:hint="default"/>
      </w:rPr>
    </w:lvl>
    <w:lvl w:ilvl="3">
      <w:start w:val="1"/>
      <w:numFmt w:val="bullet"/>
      <w:lvlText w:val="•"/>
      <w:lvlJc w:val="left"/>
      <w:pPr>
        <w:ind w:left="5554" w:hanging="236"/>
      </w:pPr>
      <w:rPr>
        <w:rFonts w:hint="default"/>
      </w:rPr>
    </w:lvl>
    <w:lvl w:ilvl="4">
      <w:start w:val="1"/>
      <w:numFmt w:val="bullet"/>
      <w:lvlText w:val="•"/>
      <w:lvlJc w:val="left"/>
      <w:pPr>
        <w:ind w:left="6072" w:hanging="236"/>
      </w:pPr>
      <w:rPr>
        <w:rFonts w:hint="default"/>
      </w:rPr>
    </w:lvl>
    <w:lvl w:ilvl="5">
      <w:start w:val="1"/>
      <w:numFmt w:val="bullet"/>
      <w:lvlText w:val="•"/>
      <w:lvlJc w:val="left"/>
      <w:pPr>
        <w:ind w:left="6590" w:hanging="236"/>
      </w:pPr>
      <w:rPr>
        <w:rFonts w:hint="default"/>
      </w:rPr>
    </w:lvl>
    <w:lvl w:ilvl="6">
      <w:start w:val="1"/>
      <w:numFmt w:val="bullet"/>
      <w:lvlText w:val="•"/>
      <w:lvlJc w:val="left"/>
      <w:pPr>
        <w:ind w:left="7108" w:hanging="236"/>
      </w:pPr>
      <w:rPr>
        <w:rFonts w:hint="default"/>
      </w:rPr>
    </w:lvl>
    <w:lvl w:ilvl="7">
      <w:start w:val="1"/>
      <w:numFmt w:val="bullet"/>
      <w:lvlText w:val="•"/>
      <w:lvlJc w:val="left"/>
      <w:pPr>
        <w:ind w:left="7626" w:hanging="236"/>
      </w:pPr>
      <w:rPr>
        <w:rFonts w:hint="default"/>
      </w:rPr>
    </w:lvl>
    <w:lvl w:ilvl="8">
      <w:start w:val="1"/>
      <w:numFmt w:val="bullet"/>
      <w:lvlText w:val="•"/>
      <w:lvlJc w:val="left"/>
      <w:pPr>
        <w:ind w:left="8144" w:hanging="236"/>
      </w:pPr>
      <w:rPr>
        <w:rFonts w:hint="default"/>
      </w:rPr>
    </w:lvl>
  </w:abstractNum>
  <w:abstractNum w:abstractNumId="3">
    <w:multiLevelType w:val="hybridMultilevel"/>
    <w:lvl w:ilvl="0">
      <w:start w:val="9"/>
      <w:numFmt w:val="decimal"/>
      <w:lvlText w:val="%1"/>
      <w:lvlJc w:val="left"/>
      <w:pPr>
        <w:ind w:left="1105" w:hanging="389"/>
        <w:jc w:val="left"/>
      </w:pPr>
      <w:rPr>
        <w:rFonts w:hint="default"/>
      </w:rPr>
    </w:lvl>
    <w:lvl w:ilvl="1">
      <w:start w:val="1"/>
      <w:numFmt w:val="decimal"/>
      <w:lvlText w:val="%1.%2."/>
      <w:lvlJc w:val="left"/>
      <w:pPr>
        <w:ind w:left="1105" w:hanging="389"/>
        <w:jc w:val="left"/>
      </w:pPr>
      <w:rPr>
        <w:rFonts w:hint="default" w:ascii="Arial" w:hAnsi="Arial" w:eastAsia="Arial" w:cs="Arial"/>
        <w:spacing w:val="-1"/>
        <w:w w:val="99"/>
        <w:sz w:val="20"/>
        <w:szCs w:val="20"/>
      </w:rPr>
    </w:lvl>
    <w:lvl w:ilvl="2">
      <w:start w:val="1"/>
      <w:numFmt w:val="decimal"/>
      <w:lvlText w:val="%1.%2.%3."/>
      <w:lvlJc w:val="left"/>
      <w:pPr>
        <w:ind w:left="1938" w:hanging="555"/>
        <w:jc w:val="left"/>
      </w:pPr>
      <w:rPr>
        <w:rFonts w:hint="default" w:ascii="Arial" w:hAnsi="Arial" w:eastAsia="Arial" w:cs="Arial"/>
        <w:spacing w:val="-1"/>
        <w:w w:val="99"/>
        <w:sz w:val="20"/>
        <w:szCs w:val="20"/>
      </w:rPr>
    </w:lvl>
    <w:lvl w:ilvl="3">
      <w:start w:val="1"/>
      <w:numFmt w:val="bullet"/>
      <w:lvlText w:val="•"/>
      <w:lvlJc w:val="left"/>
      <w:pPr>
        <w:ind w:left="3548" w:hanging="555"/>
      </w:pPr>
      <w:rPr>
        <w:rFonts w:hint="default"/>
      </w:rPr>
    </w:lvl>
    <w:lvl w:ilvl="4">
      <w:start w:val="1"/>
      <w:numFmt w:val="bullet"/>
      <w:lvlText w:val="•"/>
      <w:lvlJc w:val="left"/>
      <w:pPr>
        <w:ind w:left="4353" w:hanging="555"/>
      </w:pPr>
      <w:rPr>
        <w:rFonts w:hint="default"/>
      </w:rPr>
    </w:lvl>
    <w:lvl w:ilvl="5">
      <w:start w:val="1"/>
      <w:numFmt w:val="bullet"/>
      <w:lvlText w:val="•"/>
      <w:lvlJc w:val="left"/>
      <w:pPr>
        <w:ind w:left="5157" w:hanging="555"/>
      </w:pPr>
      <w:rPr>
        <w:rFonts w:hint="default"/>
      </w:rPr>
    </w:lvl>
    <w:lvl w:ilvl="6">
      <w:start w:val="1"/>
      <w:numFmt w:val="bullet"/>
      <w:lvlText w:val="•"/>
      <w:lvlJc w:val="left"/>
      <w:pPr>
        <w:ind w:left="5962" w:hanging="555"/>
      </w:pPr>
      <w:rPr>
        <w:rFonts w:hint="default"/>
      </w:rPr>
    </w:lvl>
    <w:lvl w:ilvl="7">
      <w:start w:val="1"/>
      <w:numFmt w:val="bullet"/>
      <w:lvlText w:val="•"/>
      <w:lvlJc w:val="left"/>
      <w:pPr>
        <w:ind w:left="6766" w:hanging="555"/>
      </w:pPr>
      <w:rPr>
        <w:rFonts w:hint="default"/>
      </w:rPr>
    </w:lvl>
    <w:lvl w:ilvl="8">
      <w:start w:val="1"/>
      <w:numFmt w:val="bullet"/>
      <w:lvlText w:val="•"/>
      <w:lvlJc w:val="left"/>
      <w:pPr>
        <w:ind w:left="7571" w:hanging="555"/>
      </w:pPr>
      <w:rPr>
        <w:rFonts w:hint="default"/>
      </w:rPr>
    </w:lvl>
  </w:abstractNum>
  <w:abstractNum w:abstractNumId="2">
    <w:multiLevelType w:val="hybridMultilevel"/>
    <w:lvl w:ilvl="0">
      <w:start w:val="8"/>
      <w:numFmt w:val="decimal"/>
      <w:lvlText w:val="%1"/>
      <w:lvlJc w:val="left"/>
      <w:pPr>
        <w:ind w:left="1105" w:hanging="389"/>
        <w:jc w:val="left"/>
      </w:pPr>
      <w:rPr>
        <w:rFonts w:hint="default"/>
      </w:rPr>
    </w:lvl>
    <w:lvl w:ilvl="1">
      <w:start w:val="1"/>
      <w:numFmt w:val="decimal"/>
      <w:lvlText w:val="%1.%2."/>
      <w:lvlJc w:val="left"/>
      <w:pPr>
        <w:ind w:left="1105" w:hanging="389"/>
        <w:jc w:val="left"/>
      </w:pPr>
      <w:rPr>
        <w:rFonts w:hint="default" w:ascii="Arial" w:hAnsi="Arial" w:eastAsia="Arial" w:cs="Arial"/>
        <w:spacing w:val="-1"/>
        <w:w w:val="99"/>
        <w:sz w:val="20"/>
        <w:szCs w:val="20"/>
      </w:rPr>
    </w:lvl>
    <w:lvl w:ilvl="2">
      <w:start w:val="1"/>
      <w:numFmt w:val="decimal"/>
      <w:lvlText w:val="%1.%2.%3."/>
      <w:lvlJc w:val="left"/>
      <w:pPr>
        <w:ind w:left="1661" w:hanging="557"/>
        <w:jc w:val="left"/>
      </w:pPr>
      <w:rPr>
        <w:rFonts w:hint="default" w:ascii="Arial" w:hAnsi="Arial" w:eastAsia="Arial" w:cs="Arial"/>
        <w:spacing w:val="-1"/>
        <w:w w:val="99"/>
        <w:sz w:val="20"/>
        <w:szCs w:val="20"/>
      </w:rPr>
    </w:lvl>
    <w:lvl w:ilvl="3">
      <w:start w:val="1"/>
      <w:numFmt w:val="bullet"/>
      <w:lvlText w:val="•"/>
      <w:lvlJc w:val="left"/>
      <w:pPr>
        <w:ind w:left="3331" w:hanging="557"/>
      </w:pPr>
      <w:rPr>
        <w:rFonts w:hint="default"/>
      </w:rPr>
    </w:lvl>
    <w:lvl w:ilvl="4">
      <w:start w:val="1"/>
      <w:numFmt w:val="bullet"/>
      <w:lvlText w:val="•"/>
      <w:lvlJc w:val="left"/>
      <w:pPr>
        <w:ind w:left="4166" w:hanging="557"/>
      </w:pPr>
      <w:rPr>
        <w:rFonts w:hint="default"/>
      </w:rPr>
    </w:lvl>
    <w:lvl w:ilvl="5">
      <w:start w:val="1"/>
      <w:numFmt w:val="bullet"/>
      <w:lvlText w:val="•"/>
      <w:lvlJc w:val="left"/>
      <w:pPr>
        <w:ind w:left="5002" w:hanging="557"/>
      </w:pPr>
      <w:rPr>
        <w:rFonts w:hint="default"/>
      </w:rPr>
    </w:lvl>
    <w:lvl w:ilvl="6">
      <w:start w:val="1"/>
      <w:numFmt w:val="bullet"/>
      <w:lvlText w:val="•"/>
      <w:lvlJc w:val="left"/>
      <w:pPr>
        <w:ind w:left="5837" w:hanging="557"/>
      </w:pPr>
      <w:rPr>
        <w:rFonts w:hint="default"/>
      </w:rPr>
    </w:lvl>
    <w:lvl w:ilvl="7">
      <w:start w:val="1"/>
      <w:numFmt w:val="bullet"/>
      <w:lvlText w:val="•"/>
      <w:lvlJc w:val="left"/>
      <w:pPr>
        <w:ind w:left="6673" w:hanging="557"/>
      </w:pPr>
      <w:rPr>
        <w:rFonts w:hint="default"/>
      </w:rPr>
    </w:lvl>
    <w:lvl w:ilvl="8">
      <w:start w:val="1"/>
      <w:numFmt w:val="bullet"/>
      <w:lvlText w:val="•"/>
      <w:lvlJc w:val="left"/>
      <w:pPr>
        <w:ind w:left="7508" w:hanging="557"/>
      </w:pPr>
      <w:rPr>
        <w:rFonts w:hint="default"/>
      </w:rPr>
    </w:lvl>
  </w:abstractNum>
  <w:abstractNum w:abstractNumId="1">
    <w:multiLevelType w:val="hybridMultilevel"/>
    <w:lvl w:ilvl="0">
      <w:start w:val="2"/>
      <w:numFmt w:val="decimal"/>
      <w:lvlText w:val="%1"/>
      <w:lvlJc w:val="left"/>
      <w:pPr>
        <w:ind w:left="937" w:hanging="389"/>
        <w:jc w:val="left"/>
      </w:pPr>
      <w:rPr>
        <w:rFonts w:hint="default"/>
      </w:rPr>
    </w:lvl>
    <w:lvl w:ilvl="1">
      <w:start w:val="1"/>
      <w:numFmt w:val="decimal"/>
      <w:lvlText w:val="%1.%2."/>
      <w:lvlJc w:val="left"/>
      <w:pPr>
        <w:ind w:left="937" w:hanging="389"/>
        <w:jc w:val="left"/>
      </w:pPr>
      <w:rPr>
        <w:rFonts w:hint="default" w:ascii="Arial" w:hAnsi="Arial" w:eastAsia="Arial" w:cs="Arial"/>
        <w:spacing w:val="0"/>
        <w:w w:val="99"/>
        <w:sz w:val="20"/>
        <w:szCs w:val="20"/>
      </w:rPr>
    </w:lvl>
    <w:lvl w:ilvl="2">
      <w:start w:val="1"/>
      <w:numFmt w:val="bullet"/>
      <w:lvlText w:val="•"/>
      <w:lvlJc w:val="left"/>
      <w:pPr>
        <w:ind w:left="2588" w:hanging="389"/>
      </w:pPr>
      <w:rPr>
        <w:rFonts w:hint="default"/>
      </w:rPr>
    </w:lvl>
    <w:lvl w:ilvl="3">
      <w:start w:val="1"/>
      <w:numFmt w:val="bullet"/>
      <w:lvlText w:val="•"/>
      <w:lvlJc w:val="left"/>
      <w:pPr>
        <w:ind w:left="3412" w:hanging="389"/>
      </w:pPr>
      <w:rPr>
        <w:rFonts w:hint="default"/>
      </w:rPr>
    </w:lvl>
    <w:lvl w:ilvl="4">
      <w:start w:val="1"/>
      <w:numFmt w:val="bullet"/>
      <w:lvlText w:val="•"/>
      <w:lvlJc w:val="left"/>
      <w:pPr>
        <w:ind w:left="4236" w:hanging="389"/>
      </w:pPr>
      <w:rPr>
        <w:rFonts w:hint="default"/>
      </w:rPr>
    </w:lvl>
    <w:lvl w:ilvl="5">
      <w:start w:val="1"/>
      <w:numFmt w:val="bullet"/>
      <w:lvlText w:val="•"/>
      <w:lvlJc w:val="left"/>
      <w:pPr>
        <w:ind w:left="5060" w:hanging="389"/>
      </w:pPr>
      <w:rPr>
        <w:rFonts w:hint="default"/>
      </w:rPr>
    </w:lvl>
    <w:lvl w:ilvl="6">
      <w:start w:val="1"/>
      <w:numFmt w:val="bullet"/>
      <w:lvlText w:val="•"/>
      <w:lvlJc w:val="left"/>
      <w:pPr>
        <w:ind w:left="5884" w:hanging="389"/>
      </w:pPr>
      <w:rPr>
        <w:rFonts w:hint="default"/>
      </w:rPr>
    </w:lvl>
    <w:lvl w:ilvl="7">
      <w:start w:val="1"/>
      <w:numFmt w:val="bullet"/>
      <w:lvlText w:val="•"/>
      <w:lvlJc w:val="left"/>
      <w:pPr>
        <w:ind w:left="6708" w:hanging="389"/>
      </w:pPr>
      <w:rPr>
        <w:rFonts w:hint="default"/>
      </w:rPr>
    </w:lvl>
    <w:lvl w:ilvl="8">
      <w:start w:val="1"/>
      <w:numFmt w:val="bullet"/>
      <w:lvlText w:val="•"/>
      <w:lvlJc w:val="left"/>
      <w:pPr>
        <w:ind w:left="7532" w:hanging="389"/>
      </w:pPr>
      <w:rPr>
        <w:rFonts w:hint="default"/>
      </w:rPr>
    </w:lvl>
  </w:abstractNum>
  <w:abstractNum w:abstractNumId="0">
    <w:multiLevelType w:val="hybridMultilevel"/>
    <w:lvl w:ilvl="0">
      <w:start w:val="1"/>
      <w:numFmt w:val="upperRoman"/>
      <w:lvlText w:val="%1."/>
      <w:lvlJc w:val="left"/>
      <w:pPr>
        <w:ind w:left="346" w:hanging="185"/>
        <w:jc w:val="left"/>
      </w:pPr>
      <w:rPr>
        <w:rFonts w:hint="default" w:ascii="Arial" w:hAnsi="Arial" w:eastAsia="Arial" w:cs="Arial"/>
        <w:w w:val="100"/>
        <w:sz w:val="22"/>
        <w:szCs w:val="22"/>
      </w:rPr>
    </w:lvl>
    <w:lvl w:ilvl="1">
      <w:start w:val="1"/>
      <w:numFmt w:val="decimal"/>
      <w:lvlText w:val="%2."/>
      <w:lvlJc w:val="left"/>
      <w:pPr>
        <w:ind w:left="598" w:hanging="221"/>
        <w:jc w:val="right"/>
      </w:pPr>
      <w:rPr>
        <w:rFonts w:hint="default" w:ascii="Arial" w:hAnsi="Arial" w:eastAsia="Arial" w:cs="Arial"/>
        <w:spacing w:val="-1"/>
        <w:w w:val="99"/>
        <w:sz w:val="20"/>
        <w:szCs w:val="20"/>
      </w:rPr>
    </w:lvl>
    <w:lvl w:ilvl="2">
      <w:start w:val="1"/>
      <w:numFmt w:val="decimal"/>
      <w:lvlText w:val="%2.%3"/>
      <w:lvlJc w:val="left"/>
      <w:pPr>
        <w:ind w:left="932" w:hanging="332"/>
        <w:jc w:val="left"/>
      </w:pPr>
      <w:rPr>
        <w:rFonts w:hint="default" w:ascii="Arial" w:hAnsi="Arial" w:eastAsia="Arial" w:cs="Arial"/>
        <w:spacing w:val="-1"/>
        <w:w w:val="99"/>
        <w:sz w:val="20"/>
        <w:szCs w:val="20"/>
      </w:rPr>
    </w:lvl>
    <w:lvl w:ilvl="3">
      <w:start w:val="1"/>
      <w:numFmt w:val="bullet"/>
      <w:lvlText w:val="•"/>
      <w:lvlJc w:val="left"/>
      <w:pPr>
        <w:ind w:left="1000" w:hanging="332"/>
      </w:pPr>
      <w:rPr>
        <w:rFonts w:hint="default"/>
      </w:rPr>
    </w:lvl>
    <w:lvl w:ilvl="4">
      <w:start w:val="1"/>
      <w:numFmt w:val="bullet"/>
      <w:lvlText w:val="•"/>
      <w:lvlJc w:val="left"/>
      <w:pPr>
        <w:ind w:left="2168" w:hanging="332"/>
      </w:pPr>
      <w:rPr>
        <w:rFonts w:hint="default"/>
      </w:rPr>
    </w:lvl>
    <w:lvl w:ilvl="5">
      <w:start w:val="1"/>
      <w:numFmt w:val="bullet"/>
      <w:lvlText w:val="•"/>
      <w:lvlJc w:val="left"/>
      <w:pPr>
        <w:ind w:left="3337" w:hanging="332"/>
      </w:pPr>
      <w:rPr>
        <w:rFonts w:hint="default"/>
      </w:rPr>
    </w:lvl>
    <w:lvl w:ilvl="6">
      <w:start w:val="1"/>
      <w:numFmt w:val="bullet"/>
      <w:lvlText w:val="•"/>
      <w:lvlJc w:val="left"/>
      <w:pPr>
        <w:ind w:left="4505" w:hanging="332"/>
      </w:pPr>
      <w:rPr>
        <w:rFonts w:hint="default"/>
      </w:rPr>
    </w:lvl>
    <w:lvl w:ilvl="7">
      <w:start w:val="1"/>
      <w:numFmt w:val="bullet"/>
      <w:lvlText w:val="•"/>
      <w:lvlJc w:val="left"/>
      <w:pPr>
        <w:ind w:left="5674" w:hanging="332"/>
      </w:pPr>
      <w:rPr>
        <w:rFonts w:hint="default"/>
      </w:rPr>
    </w:lvl>
    <w:lvl w:ilvl="8">
      <w:start w:val="1"/>
      <w:numFmt w:val="bullet"/>
      <w:lvlText w:val="•"/>
      <w:lvlJc w:val="left"/>
      <w:pPr>
        <w:ind w:left="6842" w:hanging="332"/>
      </w:pPr>
      <w:rPr>
        <w:rFonts w:hint="default"/>
      </w:rPr>
    </w:lvl>
  </w:abstract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26"/>
      <w:ind w:left="495" w:hanging="333"/>
    </w:pPr>
    <w:rPr>
      <w:rFonts w:ascii="Arial" w:hAnsi="Arial" w:eastAsia="Arial" w:cs="Arial"/>
      <w:sz w:val="22"/>
      <w:szCs w:val="22"/>
    </w:rPr>
  </w:style>
  <w:style w:styleId="TOC2" w:type="paragraph">
    <w:name w:val="TOC 2"/>
    <w:basedOn w:val="Normal"/>
    <w:uiPriority w:val="1"/>
    <w:qFormat/>
    <w:pPr>
      <w:spacing w:before="126"/>
      <w:ind w:left="598" w:hanging="220"/>
    </w:pPr>
    <w:rPr>
      <w:rFonts w:ascii="Arial" w:hAnsi="Arial" w:eastAsia="Arial" w:cs="Arial"/>
      <w:sz w:val="20"/>
      <w:szCs w:val="20"/>
    </w:rPr>
  </w:style>
  <w:style w:styleId="TOC3" w:type="paragraph">
    <w:name w:val="TOC 3"/>
    <w:basedOn w:val="Normal"/>
    <w:uiPriority w:val="1"/>
    <w:qFormat/>
    <w:pPr>
      <w:spacing w:before="126"/>
      <w:ind w:left="605" w:hanging="223"/>
    </w:pPr>
    <w:rPr>
      <w:rFonts w:ascii="Arial" w:hAnsi="Arial" w:eastAsia="Arial" w:cs="Arial"/>
      <w:sz w:val="20"/>
      <w:szCs w:val="20"/>
    </w:rPr>
  </w:style>
  <w:style w:styleId="TOC4" w:type="paragraph">
    <w:name w:val="TOC 4"/>
    <w:basedOn w:val="Normal"/>
    <w:uiPriority w:val="1"/>
    <w:qFormat/>
    <w:pPr>
      <w:spacing w:before="126"/>
      <w:ind w:left="994" w:hanging="388"/>
    </w:pPr>
    <w:rPr>
      <w:rFonts w:ascii="Arial" w:hAnsi="Arial" w:eastAsia="Arial" w:cs="Arial"/>
      <w:sz w:val="20"/>
      <w:szCs w:val="20"/>
    </w:rPr>
  </w:style>
  <w:style w:styleId="TOC5" w:type="paragraph">
    <w:name w:val="TOC 5"/>
    <w:basedOn w:val="Normal"/>
    <w:uiPriority w:val="1"/>
    <w:qFormat/>
    <w:pPr>
      <w:spacing w:before="126"/>
      <w:ind w:left="661" w:right="126"/>
    </w:pPr>
    <w:rPr>
      <w:rFonts w:ascii="Arial" w:hAnsi="Arial" w:eastAsia="Arial" w:cs="Arial"/>
      <w:sz w:val="20"/>
      <w:szCs w:val="20"/>
    </w:rPr>
  </w:style>
  <w:style w:styleId="TOC6" w:type="paragraph">
    <w:name w:val="TOC 6"/>
    <w:basedOn w:val="Normal"/>
    <w:uiPriority w:val="1"/>
    <w:qFormat/>
    <w:pPr>
      <w:spacing w:before="126"/>
      <w:ind w:left="1105" w:hanging="389"/>
    </w:pPr>
    <w:rPr>
      <w:rFonts w:ascii="Arial" w:hAnsi="Arial" w:eastAsia="Arial" w:cs="Arial"/>
      <w:sz w:val="20"/>
      <w:szCs w:val="20"/>
    </w:rPr>
  </w:style>
  <w:style w:styleId="TOC7" w:type="paragraph">
    <w:name w:val="TOC 7"/>
    <w:basedOn w:val="Normal"/>
    <w:uiPriority w:val="1"/>
    <w:qFormat/>
    <w:pPr>
      <w:spacing w:before="126"/>
      <w:ind w:left="1105" w:hanging="389"/>
    </w:pPr>
    <w:rPr>
      <w:rFonts w:ascii="Arial" w:hAnsi="Arial" w:eastAsia="Arial" w:cs="Arial"/>
      <w:b/>
      <w:bCs/>
      <w:i/>
    </w:rPr>
  </w:style>
  <w:style w:styleId="TOC8" w:type="paragraph">
    <w:name w:val="TOC 8"/>
    <w:basedOn w:val="Normal"/>
    <w:uiPriority w:val="1"/>
    <w:qFormat/>
    <w:pPr>
      <w:spacing w:before="126"/>
      <w:ind w:left="1659" w:hanging="554"/>
    </w:pPr>
    <w:rPr>
      <w:rFonts w:ascii="Arial" w:hAnsi="Arial" w:eastAsia="Arial" w:cs="Arial"/>
      <w:sz w:val="20"/>
      <w:szCs w:val="20"/>
    </w:rPr>
  </w:style>
  <w:style w:styleId="TOC9" w:type="paragraph">
    <w:name w:val="TOC 9"/>
    <w:basedOn w:val="Normal"/>
    <w:uiPriority w:val="1"/>
    <w:qFormat/>
    <w:pPr>
      <w:spacing w:before="126"/>
      <w:ind w:left="1938" w:hanging="555"/>
    </w:pPr>
    <w:rPr>
      <w:rFonts w:ascii="Arial" w:hAnsi="Arial" w:eastAsia="Arial" w:cs="Arial"/>
      <w:sz w:val="20"/>
      <w:szCs w:val="20"/>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5"/>
      <w:ind w:left="735"/>
      <w:outlineLvl w:val="1"/>
    </w:pPr>
    <w:rPr>
      <w:rFonts w:ascii="Arial" w:hAnsi="Arial" w:eastAsia="Arial" w:cs="Arial"/>
      <w:b/>
      <w:bCs/>
      <w:sz w:val="28"/>
      <w:szCs w:val="28"/>
    </w:rPr>
  </w:style>
  <w:style w:styleId="Heading2" w:type="paragraph">
    <w:name w:val="Heading 2"/>
    <w:basedOn w:val="Normal"/>
    <w:uiPriority w:val="1"/>
    <w:qFormat/>
    <w:pPr>
      <w:ind w:left="162"/>
      <w:jc w:val="both"/>
      <w:outlineLvl w:val="2"/>
    </w:pPr>
    <w:rPr>
      <w:rFonts w:ascii="Arial" w:hAnsi="Arial" w:eastAsia="Arial" w:cs="Arial"/>
      <w:b/>
      <w:bCs/>
      <w:sz w:val="24"/>
      <w:szCs w:val="24"/>
    </w:rPr>
  </w:style>
  <w:style w:styleId="ListParagraph" w:type="paragraph">
    <w:name w:val="List Paragraph"/>
    <w:basedOn w:val="Normal"/>
    <w:uiPriority w:val="1"/>
    <w:qFormat/>
    <w:pPr>
      <w:spacing w:before="3"/>
      <w:ind w:left="522"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image" Target="media/image3.jpeg"/><Relationship Id="rId10" Type="http://schemas.openxmlformats.org/officeDocument/2006/relationships/image" Target="media/image4.png"/><Relationship Id="rId11" Type="http://schemas.openxmlformats.org/officeDocument/2006/relationships/hyperlink" Target="http://www.genecards.org/cgi-bin/carddisp.pl?gene=GSTM1" TargetMode="External"/><Relationship Id="rId12" Type="http://schemas.openxmlformats.org/officeDocument/2006/relationships/image" Target="media/image5.png"/><Relationship Id="rId13" Type="http://schemas.openxmlformats.org/officeDocument/2006/relationships/hyperlink" Target="http://www.genecards.org/cgi-bin/carddisp.pl?gene=GSTT1" TargetMode="External"/><Relationship Id="rId14" Type="http://schemas.openxmlformats.org/officeDocument/2006/relationships/image" Target="media/image6.png"/><Relationship Id="rId15" Type="http://schemas.openxmlformats.org/officeDocument/2006/relationships/hyperlink" Target="http://www.genecards.org/cgi-bin/carddisp.pl?gene=GSTP1" TargetMode="External"/><Relationship Id="rId16" Type="http://schemas.openxmlformats.org/officeDocument/2006/relationships/image" Target="media/image7.jpeg"/><Relationship Id="rId17" Type="http://schemas.openxmlformats.org/officeDocument/2006/relationships/header" Target="header2.xml"/><Relationship Id="rId18" Type="http://schemas.openxmlformats.org/officeDocument/2006/relationships/header" Target="header3.xml"/><Relationship Id="rId19" Type="http://schemas.openxmlformats.org/officeDocument/2006/relationships/image" Target="media/image8.png"/><Relationship Id="rId20" Type="http://schemas.openxmlformats.org/officeDocument/2006/relationships/hyperlink" Target="http://www.who.int/mediacentre/news/releases/2004/pr15/es/" TargetMode="External"/><Relationship Id="rId21" Type="http://schemas.openxmlformats.org/officeDocument/2006/relationships/image" Target="media/image9.png"/><Relationship Id="rId22" Type="http://schemas.openxmlformats.org/officeDocument/2006/relationships/hyperlink" Target="http://www.scielo.sa.cr/scielo.php?script=sci_arttext&amp;amp;pid=S0034-" TargetMode="External"/><Relationship Id="rId23" Type="http://schemas.openxmlformats.org/officeDocument/2006/relationships/hyperlink" Target="http://cenavece.salud.gob.mx/programas/interior/saludbucal/descargas/pdf/sivepab201" TargetMode="External"/><Relationship Id="rId24" Type="http://schemas.openxmlformats.org/officeDocument/2006/relationships/image" Target="media/image10.jpeg"/><Relationship Id="rId25" Type="http://schemas.openxmlformats.org/officeDocument/2006/relationships/image" Target="media/image11.jpeg"/><Relationship Id="rId26" Type="http://schemas.openxmlformats.org/officeDocument/2006/relationships/footer" Target="footer2.xml"/><Relationship Id="rId27" Type="http://schemas.openxmlformats.org/officeDocument/2006/relationships/footer" Target="footer3.xml"/><Relationship Id="rId28" Type="http://schemas.openxmlformats.org/officeDocument/2006/relationships/image" Target="media/image12.jpeg"/><Relationship Id="rId29" Type="http://schemas.openxmlformats.org/officeDocument/2006/relationships/image" Target="media/image13.jpeg"/><Relationship Id="rId3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mimi</dc:creator>
  <dc:title>Presencia de Polimorfismos en Individuos con Caries</dc:title>
  <dcterms:created xsi:type="dcterms:W3CDTF">2017-05-20T02:54:20Z</dcterms:created>
  <dcterms:modified xsi:type="dcterms:W3CDTF">2017-05-20T02:54:20Z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2013-08-05T00:00:00Z</vt:filetime>
  </property>
  <property fmtid="{D5CDD505-2E9C-101B-9397-08002B2CF9AE}" pid="3" name="Creator">
    <vt:lpwstr>Microsoft® Office Word 2007</vt:lpwstr>
  </property>
  <property fmtid="{D5CDD505-2E9C-101B-9397-08002B2CF9AE}" pid="4" name="LastSaved">
    <vt:filetime>2017-05-20T00:00:00Z</vt:filetime>
  </property>
</Properties>
</file>