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5"/>
        <w:rPr>
          <w:rFonts w:ascii="Times New Roman"/>
          <w:sz w:val="15"/>
        </w:rPr>
      </w:pPr>
    </w:p>
    <w:p>
      <w:pPr>
        <w:spacing w:before="68"/>
        <w:ind w:left="2369" w:right="1194" w:firstLine="0"/>
        <w:jc w:val="center"/>
        <w:rPr>
          <w:b/>
          <w:sz w:val="25"/>
        </w:rPr>
      </w:pPr>
      <w:r>
        <w:rPr/>
        <w:pict>
          <v:group style="position:absolute;margin-left:55.263359pt;margin-top:-8.932451pt;width:94pt;height:560pt;mso-position-horizontal-relative:page;mso-position-vertical-relative:paragraph;z-index:-40240" coordorigin="1105,-179" coordsize="1880,11200">
            <v:shape style="position:absolute;left:1105;top:-179;width:1879;height:1694" type="#_x0000_t75" stroked="false">
              <v:imagedata r:id="rId5" o:title=""/>
            </v:shape>
            <v:line style="position:absolute" from="2037,1243" to="2037,10997" stroked="true" strokeweight="2.348996pt" strokecolor="#000000"/>
            <w10:wrap type="none"/>
          </v:group>
        </w:pict>
      </w:r>
      <w:r>
        <w:rPr>
          <w:b/>
          <w:sz w:val="25"/>
        </w:rPr>
        <w:t>UNIVERSIDAD AUTÓNOMA DEL ESTADO DE MÉXICO</w:t>
      </w:r>
    </w:p>
    <w:p>
      <w:pPr>
        <w:pStyle w:val="BodyText"/>
        <w:spacing w:before="9"/>
        <w:rPr>
          <w:b/>
          <w:sz w:val="21"/>
        </w:rPr>
      </w:pPr>
    </w:p>
    <w:p>
      <w:pPr>
        <w:spacing w:before="1"/>
        <w:ind w:left="3498" w:right="0" w:firstLine="0"/>
        <w:jc w:val="left"/>
        <w:rPr>
          <w:b/>
          <w:i/>
          <w:sz w:val="25"/>
        </w:rPr>
      </w:pPr>
      <w:r>
        <w:rPr>
          <w:b/>
          <w:i/>
          <w:sz w:val="25"/>
        </w:rPr>
        <w:t>FACULTAD DE ODONTOLOGÍA</w:t>
      </w:r>
    </w:p>
    <w:p>
      <w:pPr>
        <w:pStyle w:val="BodyText"/>
        <w:spacing w:before="9"/>
        <w:rPr>
          <w:b/>
          <w:i/>
          <w:sz w:val="30"/>
        </w:rPr>
      </w:pPr>
    </w:p>
    <w:p>
      <w:pPr>
        <w:spacing w:before="0"/>
        <w:ind w:left="4297" w:right="0" w:firstLine="0"/>
        <w:jc w:val="left"/>
        <w:rPr>
          <w:b/>
          <w:sz w:val="25"/>
        </w:rPr>
      </w:pPr>
      <w:r>
        <w:rPr>
          <w:b/>
          <w:sz w:val="25"/>
        </w:rPr>
        <w:t>CENTRO DE INVESTIGACIÓN</w:t>
      </w:r>
    </w:p>
    <w:p>
      <w:pPr>
        <w:spacing w:line="362" w:lineRule="auto" w:before="143"/>
        <w:ind w:left="2369" w:right="1721" w:firstLine="0"/>
        <w:jc w:val="center"/>
        <w:rPr>
          <w:b/>
          <w:sz w:val="25"/>
        </w:rPr>
      </w:pPr>
      <w:r>
        <w:rPr>
          <w:b/>
          <w:sz w:val="25"/>
        </w:rPr>
        <w:t>Y ESTUDIOS AVANZADOS EN ODONTOLOGÍA “DR. KEISABURO MIYATA”</w:t>
      </w:r>
    </w:p>
    <w:p>
      <w:pPr>
        <w:pStyle w:val="BodyText"/>
        <w:rPr>
          <w:b/>
        </w:rPr>
      </w:pPr>
    </w:p>
    <w:p>
      <w:pPr>
        <w:spacing w:line="360" w:lineRule="auto" w:before="158"/>
        <w:ind w:left="1498" w:right="0" w:firstLine="12"/>
        <w:jc w:val="left"/>
        <w:rPr>
          <w:b/>
          <w:sz w:val="25"/>
        </w:rPr>
      </w:pPr>
      <w:r>
        <w:rPr>
          <w:b/>
          <w:sz w:val="25"/>
        </w:rPr>
        <w:t>“Plasma Rico en Factores de Crecimiento Aplicados al Tratamiento de Lesiones Periapicales de Origen Endodóntico: Reporte de Dos Casos”</w:t>
      </w:r>
    </w:p>
    <w:p>
      <w:pPr>
        <w:pStyle w:val="BodyText"/>
        <w:rPr>
          <w:b/>
        </w:rPr>
      </w:pPr>
    </w:p>
    <w:p>
      <w:pPr>
        <w:pStyle w:val="BodyText"/>
        <w:rPr>
          <w:b/>
        </w:rPr>
      </w:pPr>
    </w:p>
    <w:p>
      <w:pPr>
        <w:pStyle w:val="BodyText"/>
        <w:spacing w:before="9"/>
        <w:rPr>
          <w:b/>
          <w:sz w:val="27"/>
        </w:rPr>
      </w:pPr>
    </w:p>
    <w:p>
      <w:pPr>
        <w:spacing w:before="0"/>
        <w:ind w:left="1835" w:right="1194" w:firstLine="0"/>
        <w:jc w:val="center"/>
        <w:rPr>
          <w:b/>
          <w:sz w:val="25"/>
        </w:rPr>
      </w:pPr>
      <w:r>
        <w:rPr>
          <w:b/>
          <w:sz w:val="25"/>
        </w:rPr>
        <w:t>PROYECTO TERMINAL</w:t>
      </w:r>
    </w:p>
    <w:p>
      <w:pPr>
        <w:pStyle w:val="BodyText"/>
        <w:rPr>
          <w:b/>
        </w:rPr>
      </w:pPr>
    </w:p>
    <w:p>
      <w:pPr>
        <w:pStyle w:val="BodyText"/>
        <w:spacing w:before="11"/>
        <w:rPr>
          <w:b/>
          <w:sz w:val="25"/>
        </w:rPr>
      </w:pPr>
    </w:p>
    <w:p>
      <w:pPr>
        <w:spacing w:line="362" w:lineRule="auto" w:before="0"/>
        <w:ind w:left="2369" w:right="1721" w:firstLine="0"/>
        <w:jc w:val="center"/>
        <w:rPr>
          <w:b/>
          <w:sz w:val="25"/>
        </w:rPr>
      </w:pPr>
      <w:r>
        <w:rPr>
          <w:b/>
          <w:sz w:val="25"/>
        </w:rPr>
        <w:t>QUE PARA OBTENER EL DIPLOMA DE: ESPECIALISTA EN ENDODONCIA</w:t>
      </w:r>
    </w:p>
    <w:p>
      <w:pPr>
        <w:pStyle w:val="BodyText"/>
        <w:rPr>
          <w:b/>
        </w:rPr>
      </w:pPr>
    </w:p>
    <w:p>
      <w:pPr>
        <w:spacing w:before="158"/>
        <w:ind w:left="1838" w:right="1194" w:firstLine="0"/>
        <w:jc w:val="center"/>
        <w:rPr>
          <w:b/>
          <w:sz w:val="25"/>
        </w:rPr>
      </w:pPr>
      <w:r>
        <w:rPr>
          <w:b/>
          <w:sz w:val="25"/>
        </w:rPr>
        <w:t>PRESENTA:</w:t>
      </w:r>
    </w:p>
    <w:p>
      <w:pPr>
        <w:spacing w:before="144"/>
        <w:ind w:left="1838" w:right="1194" w:firstLine="0"/>
        <w:jc w:val="center"/>
        <w:rPr>
          <w:b/>
          <w:sz w:val="25"/>
        </w:rPr>
      </w:pPr>
      <w:r>
        <w:rPr>
          <w:b/>
          <w:sz w:val="25"/>
        </w:rPr>
        <w:t>Lic. en O. TERESA EVELYN VELÁZQUEZ REYNOSO</w:t>
      </w:r>
    </w:p>
    <w:p>
      <w:pPr>
        <w:pStyle w:val="BodyText"/>
        <w:rPr>
          <w:b/>
        </w:rPr>
      </w:pPr>
    </w:p>
    <w:p>
      <w:pPr>
        <w:pStyle w:val="BodyText"/>
        <w:spacing w:before="2"/>
        <w:rPr>
          <w:b/>
          <w:sz w:val="26"/>
        </w:rPr>
      </w:pPr>
    </w:p>
    <w:p>
      <w:pPr>
        <w:spacing w:before="0"/>
        <w:ind w:left="1842" w:right="1194" w:firstLine="0"/>
        <w:jc w:val="center"/>
        <w:rPr>
          <w:b/>
          <w:sz w:val="25"/>
        </w:rPr>
      </w:pPr>
      <w:r>
        <w:rPr>
          <w:b/>
          <w:sz w:val="25"/>
        </w:rPr>
        <w:t>DIRECTOR:</w:t>
      </w:r>
    </w:p>
    <w:p>
      <w:pPr>
        <w:spacing w:before="146"/>
        <w:ind w:left="3087" w:right="0" w:firstLine="0"/>
        <w:jc w:val="left"/>
        <w:rPr>
          <w:b/>
          <w:sz w:val="25"/>
        </w:rPr>
      </w:pPr>
      <w:r>
        <w:rPr>
          <w:b/>
          <w:sz w:val="25"/>
        </w:rPr>
        <w:t>E.E. BRISSA ITZEL JIMÉNEZ VALDÉS</w:t>
      </w:r>
    </w:p>
    <w:p>
      <w:pPr>
        <w:pStyle w:val="BodyText"/>
        <w:rPr>
          <w:b/>
        </w:rPr>
      </w:pPr>
    </w:p>
    <w:p>
      <w:pPr>
        <w:pStyle w:val="BodyText"/>
        <w:spacing w:before="2"/>
        <w:rPr>
          <w:b/>
          <w:sz w:val="26"/>
        </w:rPr>
      </w:pPr>
    </w:p>
    <w:p>
      <w:pPr>
        <w:spacing w:before="0"/>
        <w:ind w:left="1840" w:right="1194" w:firstLine="0"/>
        <w:jc w:val="center"/>
        <w:rPr>
          <w:b/>
          <w:sz w:val="25"/>
        </w:rPr>
      </w:pPr>
      <w:r>
        <w:rPr>
          <w:b/>
          <w:sz w:val="25"/>
        </w:rPr>
        <w:t>ASESORES:</w:t>
      </w:r>
    </w:p>
    <w:p>
      <w:pPr>
        <w:spacing w:before="144"/>
        <w:ind w:left="2696" w:right="0" w:firstLine="0"/>
        <w:jc w:val="left"/>
        <w:rPr>
          <w:b/>
          <w:sz w:val="25"/>
        </w:rPr>
      </w:pPr>
      <w:r>
        <w:rPr>
          <w:b/>
          <w:sz w:val="25"/>
        </w:rPr>
        <w:t>C.M.F. GERARDO GUADARRAMA ÁLVAREZ</w:t>
      </w:r>
    </w:p>
    <w:p>
      <w:pPr>
        <w:spacing w:before="146"/>
        <w:ind w:left="3428" w:right="0" w:firstLine="0"/>
        <w:jc w:val="left"/>
        <w:rPr>
          <w:b/>
          <w:sz w:val="25"/>
        </w:rPr>
      </w:pPr>
      <w:r>
        <w:rPr>
          <w:b/>
          <w:sz w:val="25"/>
        </w:rPr>
        <w:t>E.E. EDUARDO GOMEZ PIZANO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214"/>
        <w:ind w:left="2663" w:right="0" w:firstLine="0"/>
        <w:jc w:val="left"/>
        <w:rPr>
          <w:b/>
          <w:sz w:val="25"/>
        </w:rPr>
      </w:pPr>
      <w:r>
        <w:rPr/>
        <w:drawing>
          <wp:anchor distT="0" distB="0" distL="0" distR="0" allowOverlap="1" layoutInCell="1" locked="0" behindDoc="0" simplePos="0" relativeHeight="1048">
            <wp:simplePos x="0" y="0"/>
            <wp:positionH relativeFrom="page">
              <wp:posOffset>808445</wp:posOffset>
            </wp:positionH>
            <wp:positionV relativeFrom="paragraph">
              <wp:posOffset>-445288</wp:posOffset>
            </wp:positionV>
            <wp:extent cx="999181" cy="1169598"/>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999181" cy="1169598"/>
                    </a:xfrm>
                    <a:prstGeom prst="rect">
                      <a:avLst/>
                    </a:prstGeom>
                  </pic:spPr>
                </pic:pic>
              </a:graphicData>
            </a:graphic>
          </wp:anchor>
        </w:drawing>
      </w:r>
      <w:r>
        <w:rPr>
          <w:b/>
          <w:sz w:val="25"/>
        </w:rPr>
        <w:t>TOLUCA, ESTADO DE MÉXICO, DICIEMBRE 2014</w:t>
      </w:r>
    </w:p>
    <w:p>
      <w:pPr>
        <w:spacing w:after="0"/>
        <w:jc w:val="left"/>
        <w:rPr>
          <w:sz w:val="25"/>
        </w:rPr>
        <w:sectPr>
          <w:type w:val="continuous"/>
          <w:pgSz w:w="12240" w:h="15840"/>
          <w:pgMar w:top="980" w:bottom="280" w:left="1000" w:right="1220"/>
        </w:sectPr>
      </w:pPr>
    </w:p>
    <w:p>
      <w:pPr>
        <w:pStyle w:val="BodyText"/>
        <w:rPr>
          <w:b/>
          <w:sz w:val="20"/>
        </w:rPr>
      </w:pPr>
    </w:p>
    <w:p>
      <w:pPr>
        <w:pStyle w:val="BodyText"/>
        <w:spacing w:before="3"/>
        <w:rPr>
          <w:b/>
          <w:sz w:val="26"/>
        </w:rPr>
      </w:pPr>
    </w:p>
    <w:p>
      <w:pPr>
        <w:spacing w:before="61"/>
        <w:ind w:left="162" w:right="0" w:firstLine="0"/>
        <w:jc w:val="left"/>
        <w:rPr>
          <w:rFonts w:ascii="Cambria"/>
          <w:b/>
          <w:sz w:val="28"/>
        </w:rPr>
      </w:pPr>
      <w:r>
        <w:rPr>
          <w:rFonts w:ascii="Cambria"/>
          <w:b/>
          <w:color w:val="365F91"/>
          <w:sz w:val="28"/>
        </w:rPr>
        <w:t>Contenido</w:t>
      </w:r>
    </w:p>
    <w:sdt>
      <w:sdtPr>
        <w:docPartObj>
          <w:docPartGallery w:val="Table of Contents"/>
          <w:docPartUnique/>
        </w:docPartObj>
      </w:sdtPr>
      <w:sdtEndPr/>
      <w:sdtContent>
        <w:p>
          <w:pPr>
            <w:pStyle w:val="TOC1"/>
            <w:numPr>
              <w:ilvl w:val="0"/>
              <w:numId w:val="1"/>
            </w:numPr>
            <w:tabs>
              <w:tab w:pos="601" w:val="left" w:leader="none"/>
              <w:tab w:pos="602" w:val="left" w:leader="none"/>
              <w:tab w:pos="8992" w:val="right" w:leader="dot"/>
            </w:tabs>
            <w:spacing w:line="240" w:lineRule="auto" w:before="50" w:after="0"/>
            <w:ind w:left="601" w:right="0" w:hanging="439"/>
            <w:jc w:val="left"/>
          </w:pPr>
          <w:hyperlink w:history="true" w:anchor="_bookmark0">
            <w:r>
              <w:rPr/>
              <w:t>INTRODUCCIÓN</w:t>
              <w:tab/>
              <w:t>1</w:t>
            </w:r>
          </w:hyperlink>
        </w:p>
        <w:p>
          <w:pPr>
            <w:pStyle w:val="TOC1"/>
            <w:numPr>
              <w:ilvl w:val="0"/>
              <w:numId w:val="1"/>
            </w:numPr>
            <w:tabs>
              <w:tab w:pos="601" w:val="left" w:leader="none"/>
              <w:tab w:pos="602" w:val="left" w:leader="none"/>
              <w:tab w:pos="8992" w:val="right" w:leader="dot"/>
            </w:tabs>
            <w:spacing w:line="240" w:lineRule="auto" w:before="142" w:after="0"/>
            <w:ind w:left="601" w:right="0" w:hanging="439"/>
            <w:jc w:val="left"/>
          </w:pPr>
          <w:hyperlink w:history="true" w:anchor="_bookmark1">
            <w:r>
              <w:rPr/>
              <w:t>ANTECEDENTES</w:t>
              <w:tab/>
              <w:t>4</w:t>
            </w:r>
          </w:hyperlink>
        </w:p>
        <w:p>
          <w:pPr>
            <w:pStyle w:val="TOC2"/>
            <w:numPr>
              <w:ilvl w:val="1"/>
              <w:numId w:val="1"/>
            </w:numPr>
            <w:tabs>
              <w:tab w:pos="769" w:val="left" w:leader="none"/>
              <w:tab w:pos="8992" w:val="right" w:leader="dot"/>
            </w:tabs>
            <w:spacing w:line="240" w:lineRule="auto" w:before="139" w:after="0"/>
            <w:ind w:left="768" w:right="0" w:hanging="386"/>
            <w:jc w:val="left"/>
          </w:pPr>
          <w:hyperlink w:history="true" w:anchor="_bookmark2">
            <w:r>
              <w:rPr/>
              <w:t>Factores Asociados al Fracaso del</w:t>
            </w:r>
            <w:r>
              <w:rPr>
                <w:spacing w:val="-3"/>
              </w:rPr>
              <w:t> </w:t>
            </w:r>
            <w:r>
              <w:rPr/>
              <w:t>Tratamiento Endodóntico</w:t>
              <w:tab/>
              <w:t>4</w:t>
            </w:r>
          </w:hyperlink>
        </w:p>
        <w:p>
          <w:pPr>
            <w:pStyle w:val="TOC3"/>
            <w:numPr>
              <w:ilvl w:val="2"/>
              <w:numId w:val="1"/>
            </w:numPr>
            <w:tabs>
              <w:tab w:pos="1163" w:val="left" w:leader="none"/>
              <w:tab w:pos="8992" w:val="right" w:leader="dot"/>
            </w:tabs>
            <w:spacing w:line="240" w:lineRule="auto" w:before="139" w:after="0"/>
            <w:ind w:left="1162" w:right="0" w:hanging="561"/>
            <w:jc w:val="left"/>
            <w:rPr>
              <w:b w:val="0"/>
            </w:rPr>
          </w:pPr>
          <w:hyperlink w:history="true" w:anchor="_bookmark3">
            <w:r>
              <w:rPr/>
              <w:t>Persistencia de la infección en el</w:t>
            </w:r>
            <w:r>
              <w:rPr>
                <w:spacing w:val="-10"/>
              </w:rPr>
              <w:t> </w:t>
            </w:r>
            <w:r>
              <w:rPr/>
              <w:t>conducto</w:t>
            </w:r>
            <w:r>
              <w:rPr>
                <w:spacing w:val="-2"/>
              </w:rPr>
              <w:t> </w:t>
            </w:r>
            <w:r>
              <w:rPr/>
              <w:t>radicular</w:t>
            </w:r>
            <w:r>
              <w:rPr>
                <w:b w:val="0"/>
              </w:rPr>
              <w:tab/>
              <w:t>4</w:t>
            </w:r>
          </w:hyperlink>
        </w:p>
        <w:p>
          <w:pPr>
            <w:pStyle w:val="TOC3"/>
            <w:numPr>
              <w:ilvl w:val="2"/>
              <w:numId w:val="1"/>
            </w:numPr>
            <w:tabs>
              <w:tab w:pos="1164" w:val="left" w:leader="none"/>
              <w:tab w:pos="8992" w:val="right" w:leader="dot"/>
            </w:tabs>
            <w:spacing w:line="240" w:lineRule="auto" w:before="142" w:after="0"/>
            <w:ind w:left="1164" w:right="0" w:hanging="563"/>
            <w:jc w:val="left"/>
            <w:rPr>
              <w:b w:val="0"/>
            </w:rPr>
          </w:pPr>
          <w:hyperlink w:history="true" w:anchor="_bookmark4">
            <w:r>
              <w:rPr/>
              <w:t>Sobreobturación</w:t>
            </w:r>
            <w:r>
              <w:rPr>
                <w:spacing w:val="-2"/>
              </w:rPr>
              <w:t> </w:t>
            </w:r>
            <w:r>
              <w:rPr/>
              <w:t>del</w:t>
            </w:r>
            <w:r>
              <w:rPr>
                <w:spacing w:val="-3"/>
              </w:rPr>
              <w:t> </w:t>
            </w:r>
            <w:r>
              <w:rPr/>
              <w:t>conducto</w:t>
            </w:r>
            <w:r>
              <w:rPr>
                <w:b w:val="0"/>
              </w:rPr>
              <w:tab/>
              <w:t>5</w:t>
            </w:r>
          </w:hyperlink>
        </w:p>
        <w:p>
          <w:pPr>
            <w:pStyle w:val="TOC3"/>
            <w:numPr>
              <w:ilvl w:val="2"/>
              <w:numId w:val="1"/>
            </w:numPr>
            <w:tabs>
              <w:tab w:pos="1163" w:val="left" w:leader="none"/>
              <w:tab w:pos="8992" w:val="right" w:leader="dot"/>
            </w:tabs>
            <w:spacing w:line="240" w:lineRule="auto" w:before="139" w:after="0"/>
            <w:ind w:left="1162" w:right="0" w:hanging="561"/>
            <w:jc w:val="left"/>
            <w:rPr>
              <w:b w:val="0"/>
            </w:rPr>
          </w:pPr>
          <w:hyperlink w:history="true" w:anchor="_bookmark5">
            <w:r>
              <w:rPr/>
              <w:t>Presencia de</w:t>
            </w:r>
            <w:r>
              <w:rPr>
                <w:spacing w:val="-5"/>
              </w:rPr>
              <w:t> </w:t>
            </w:r>
            <w:r>
              <w:rPr/>
              <w:t>lesiones</w:t>
            </w:r>
            <w:r>
              <w:rPr>
                <w:spacing w:val="-1"/>
              </w:rPr>
              <w:t> </w:t>
            </w:r>
            <w:r>
              <w:rPr/>
              <w:t>perirradiculares</w:t>
            </w:r>
            <w:r>
              <w:rPr>
                <w:b w:val="0"/>
              </w:rPr>
              <w:tab/>
              <w:t>5</w:t>
            </w:r>
          </w:hyperlink>
        </w:p>
        <w:p>
          <w:pPr>
            <w:pStyle w:val="TOC3"/>
            <w:numPr>
              <w:ilvl w:val="2"/>
              <w:numId w:val="1"/>
            </w:numPr>
            <w:tabs>
              <w:tab w:pos="1164" w:val="left" w:leader="none"/>
              <w:tab w:pos="8992" w:val="right" w:leader="dot"/>
            </w:tabs>
            <w:spacing w:line="240" w:lineRule="auto" w:before="139" w:after="0"/>
            <w:ind w:left="1164" w:right="0" w:hanging="563"/>
            <w:jc w:val="left"/>
            <w:rPr>
              <w:b w:val="0"/>
            </w:rPr>
          </w:pPr>
          <w:hyperlink w:history="true" w:anchor="_bookmark6">
            <w:r>
              <w:rPr/>
              <w:t>Sellado</w:t>
            </w:r>
            <w:r>
              <w:rPr>
                <w:spacing w:val="-2"/>
              </w:rPr>
              <w:t> </w:t>
            </w:r>
            <w:r>
              <w:rPr/>
              <w:t>coronal</w:t>
            </w:r>
            <w:r>
              <w:rPr>
                <w:b w:val="0"/>
              </w:rPr>
              <w:tab/>
              <w:t>6</w:t>
            </w:r>
          </w:hyperlink>
        </w:p>
        <w:p>
          <w:pPr>
            <w:pStyle w:val="TOC3"/>
            <w:numPr>
              <w:ilvl w:val="2"/>
              <w:numId w:val="1"/>
            </w:numPr>
            <w:tabs>
              <w:tab w:pos="1163" w:val="left" w:leader="none"/>
              <w:tab w:pos="8992" w:val="right" w:leader="dot"/>
            </w:tabs>
            <w:spacing w:line="240" w:lineRule="auto" w:before="142" w:after="0"/>
            <w:ind w:left="1162" w:right="0" w:hanging="561"/>
            <w:jc w:val="left"/>
            <w:rPr>
              <w:b w:val="0"/>
            </w:rPr>
          </w:pPr>
          <w:hyperlink w:history="true" w:anchor="_bookmark7">
            <w:r>
              <w:rPr/>
              <w:t>Tratamiento del</w:t>
            </w:r>
            <w:r>
              <w:rPr>
                <w:spacing w:val="-2"/>
              </w:rPr>
              <w:t> </w:t>
            </w:r>
            <w:r>
              <w:rPr/>
              <w:t>fracaso</w:t>
            </w:r>
            <w:r>
              <w:rPr>
                <w:spacing w:val="-2"/>
              </w:rPr>
              <w:t> </w:t>
            </w:r>
            <w:r>
              <w:rPr/>
              <w:t>endodóntico</w:t>
            </w:r>
            <w:r>
              <w:rPr>
                <w:b w:val="0"/>
              </w:rPr>
              <w:tab/>
              <w:t>7</w:t>
            </w:r>
          </w:hyperlink>
        </w:p>
        <w:p>
          <w:pPr>
            <w:pStyle w:val="TOC2"/>
            <w:numPr>
              <w:ilvl w:val="1"/>
              <w:numId w:val="1"/>
            </w:numPr>
            <w:tabs>
              <w:tab w:pos="767" w:val="left" w:leader="none"/>
              <w:tab w:pos="8992" w:val="right" w:leader="dot"/>
            </w:tabs>
            <w:spacing w:line="240" w:lineRule="auto" w:before="140" w:after="0"/>
            <w:ind w:left="766" w:right="0" w:hanging="384"/>
            <w:jc w:val="left"/>
          </w:pPr>
          <w:hyperlink w:history="true" w:anchor="_bookmark8">
            <w:r>
              <w:rPr/>
              <w:t>Patología</w:t>
            </w:r>
            <w:r>
              <w:rPr>
                <w:spacing w:val="-3"/>
              </w:rPr>
              <w:t> </w:t>
            </w:r>
            <w:r>
              <w:rPr/>
              <w:t>Periapical</w:t>
              <w:tab/>
              <w:t>7</w:t>
            </w:r>
          </w:hyperlink>
        </w:p>
        <w:p>
          <w:pPr>
            <w:pStyle w:val="TOC3"/>
            <w:numPr>
              <w:ilvl w:val="2"/>
              <w:numId w:val="1"/>
            </w:numPr>
            <w:tabs>
              <w:tab w:pos="1163" w:val="left" w:leader="none"/>
              <w:tab w:pos="8992" w:val="right" w:leader="dot"/>
            </w:tabs>
            <w:spacing w:line="240" w:lineRule="auto" w:before="142" w:after="0"/>
            <w:ind w:left="1162" w:right="0" w:hanging="561"/>
            <w:jc w:val="left"/>
            <w:rPr>
              <w:b w:val="0"/>
            </w:rPr>
          </w:pPr>
          <w:hyperlink w:history="true" w:anchor="_bookmark9">
            <w:r>
              <w:rPr/>
              <w:t>Periodontitis</w:t>
            </w:r>
            <w:r>
              <w:rPr>
                <w:spacing w:val="-3"/>
              </w:rPr>
              <w:t> </w:t>
            </w:r>
            <w:r>
              <w:rPr/>
              <w:t>apical</w:t>
            </w:r>
            <w:r>
              <w:rPr>
                <w:spacing w:val="-5"/>
              </w:rPr>
              <w:t> </w:t>
            </w:r>
            <w:r>
              <w:rPr/>
              <w:t>aguda</w:t>
            </w:r>
            <w:r>
              <w:rPr>
                <w:b w:val="0"/>
              </w:rPr>
              <w:tab/>
              <w:t>8</w:t>
            </w:r>
          </w:hyperlink>
        </w:p>
        <w:p>
          <w:pPr>
            <w:pStyle w:val="TOC3"/>
            <w:numPr>
              <w:ilvl w:val="2"/>
              <w:numId w:val="1"/>
            </w:numPr>
            <w:tabs>
              <w:tab w:pos="1163" w:val="left" w:leader="none"/>
              <w:tab w:pos="8992" w:val="right" w:leader="dot"/>
            </w:tabs>
            <w:spacing w:line="240" w:lineRule="auto" w:before="139" w:after="0"/>
            <w:ind w:left="1162" w:right="0" w:hanging="561"/>
            <w:jc w:val="left"/>
            <w:rPr>
              <w:b w:val="0"/>
            </w:rPr>
          </w:pPr>
          <w:hyperlink w:history="true" w:anchor="_bookmark10">
            <w:r>
              <w:rPr/>
              <w:t>Periodontitis</w:t>
            </w:r>
            <w:r>
              <w:rPr>
                <w:spacing w:val="-3"/>
              </w:rPr>
              <w:t> </w:t>
            </w:r>
            <w:r>
              <w:rPr/>
              <w:t>apical</w:t>
            </w:r>
            <w:r>
              <w:rPr>
                <w:spacing w:val="-5"/>
              </w:rPr>
              <w:t> </w:t>
            </w:r>
            <w:r>
              <w:rPr/>
              <w:t>crónica</w:t>
            </w:r>
            <w:r>
              <w:rPr>
                <w:b w:val="0"/>
              </w:rPr>
              <w:tab/>
              <w:t>9</w:t>
            </w:r>
          </w:hyperlink>
        </w:p>
        <w:p>
          <w:pPr>
            <w:pStyle w:val="TOC3"/>
            <w:numPr>
              <w:ilvl w:val="2"/>
              <w:numId w:val="1"/>
            </w:numPr>
            <w:tabs>
              <w:tab w:pos="1163" w:val="left" w:leader="none"/>
              <w:tab w:pos="8992" w:val="right" w:leader="dot"/>
            </w:tabs>
            <w:spacing w:line="240" w:lineRule="auto" w:before="139" w:after="0"/>
            <w:ind w:left="1162" w:right="0" w:hanging="561"/>
            <w:jc w:val="left"/>
            <w:rPr>
              <w:b w:val="0"/>
            </w:rPr>
          </w:pPr>
          <w:hyperlink w:history="true" w:anchor="_bookmark11">
            <w:r>
              <w:rPr/>
              <w:t>Absceso</w:t>
            </w:r>
            <w:r>
              <w:rPr>
                <w:spacing w:val="-2"/>
              </w:rPr>
              <w:t> </w:t>
            </w:r>
            <w:r>
              <w:rPr/>
              <w:t>periapical</w:t>
            </w:r>
            <w:r>
              <w:rPr>
                <w:spacing w:val="-3"/>
              </w:rPr>
              <w:t> </w:t>
            </w:r>
            <w:r>
              <w:rPr/>
              <w:t>agudo</w:t>
            </w:r>
            <w:r>
              <w:rPr>
                <w:b w:val="0"/>
              </w:rPr>
              <w:tab/>
              <w:t>9</w:t>
            </w:r>
          </w:hyperlink>
        </w:p>
        <w:p>
          <w:pPr>
            <w:pStyle w:val="TOC3"/>
            <w:numPr>
              <w:ilvl w:val="2"/>
              <w:numId w:val="1"/>
            </w:numPr>
            <w:tabs>
              <w:tab w:pos="1163" w:val="left" w:leader="none"/>
              <w:tab w:pos="8993" w:val="right" w:leader="dot"/>
            </w:tabs>
            <w:spacing w:line="240" w:lineRule="auto" w:before="142" w:after="0"/>
            <w:ind w:left="1162" w:right="0" w:hanging="561"/>
            <w:jc w:val="left"/>
            <w:rPr>
              <w:b w:val="0"/>
            </w:rPr>
          </w:pPr>
          <w:hyperlink w:history="true" w:anchor="_bookmark12">
            <w:r>
              <w:rPr/>
              <w:t>Absceso</w:t>
            </w:r>
            <w:r>
              <w:rPr>
                <w:spacing w:val="-2"/>
              </w:rPr>
              <w:t> </w:t>
            </w:r>
            <w:r>
              <w:rPr/>
              <w:t>periapical crónico</w:t>
            </w:r>
            <w:r>
              <w:rPr>
                <w:b w:val="0"/>
              </w:rPr>
              <w:tab/>
              <w:t>10</w:t>
            </w:r>
          </w:hyperlink>
        </w:p>
        <w:p>
          <w:pPr>
            <w:pStyle w:val="TOC3"/>
            <w:numPr>
              <w:ilvl w:val="2"/>
              <w:numId w:val="1"/>
            </w:numPr>
            <w:tabs>
              <w:tab w:pos="1163" w:val="left" w:leader="none"/>
              <w:tab w:pos="8993" w:val="right" w:leader="dot"/>
            </w:tabs>
            <w:spacing w:line="240" w:lineRule="auto" w:before="139" w:after="0"/>
            <w:ind w:left="1162" w:right="0" w:hanging="561"/>
            <w:jc w:val="left"/>
            <w:rPr>
              <w:b w:val="0"/>
            </w:rPr>
          </w:pPr>
          <w:hyperlink w:history="true" w:anchor="_bookmark13">
            <w:r>
              <w:rPr/>
              <w:t>Quiste</w:t>
            </w:r>
            <w:r>
              <w:rPr>
                <w:spacing w:val="-3"/>
              </w:rPr>
              <w:t> </w:t>
            </w:r>
            <w:r>
              <w:rPr/>
              <w:t>periapical</w:t>
            </w:r>
            <w:r>
              <w:rPr>
                <w:b w:val="0"/>
              </w:rPr>
              <w:tab/>
              <w:t>10</w:t>
            </w:r>
          </w:hyperlink>
        </w:p>
        <w:p>
          <w:pPr>
            <w:pStyle w:val="TOC2"/>
            <w:numPr>
              <w:ilvl w:val="1"/>
              <w:numId w:val="1"/>
            </w:numPr>
            <w:tabs>
              <w:tab w:pos="769" w:val="left" w:leader="none"/>
              <w:tab w:pos="8993" w:val="right" w:leader="dot"/>
            </w:tabs>
            <w:spacing w:line="240" w:lineRule="auto" w:before="139" w:after="0"/>
            <w:ind w:left="768" w:right="0" w:hanging="386"/>
            <w:jc w:val="left"/>
          </w:pPr>
          <w:hyperlink w:history="true" w:anchor="_bookmark14">
            <w:r>
              <w:rPr/>
              <w:t>Cirugía</w:t>
            </w:r>
            <w:r>
              <w:rPr>
                <w:spacing w:val="-1"/>
              </w:rPr>
              <w:t> </w:t>
            </w:r>
            <w:r>
              <w:rPr/>
              <w:t>Endodóntica</w:t>
              <w:tab/>
              <w:t>13</w:t>
            </w:r>
          </w:hyperlink>
        </w:p>
        <w:p>
          <w:pPr>
            <w:pStyle w:val="TOC3"/>
            <w:numPr>
              <w:ilvl w:val="2"/>
              <w:numId w:val="1"/>
            </w:numPr>
            <w:tabs>
              <w:tab w:pos="1163" w:val="left" w:leader="none"/>
              <w:tab w:pos="8993" w:val="right" w:leader="dot"/>
            </w:tabs>
            <w:spacing w:line="240" w:lineRule="auto" w:before="142" w:after="0"/>
            <w:ind w:left="1162" w:right="0" w:hanging="561"/>
            <w:jc w:val="left"/>
            <w:rPr>
              <w:b w:val="0"/>
            </w:rPr>
          </w:pPr>
          <w:hyperlink w:history="true" w:anchor="_bookmark15">
            <w:r>
              <w:rPr/>
              <w:t>Indicaciones del</w:t>
            </w:r>
            <w:r>
              <w:rPr>
                <w:spacing w:val="-1"/>
              </w:rPr>
              <w:t> </w:t>
            </w:r>
            <w:r>
              <w:rPr/>
              <w:t>tratamiento</w:t>
            </w:r>
            <w:r>
              <w:rPr>
                <w:spacing w:val="-2"/>
              </w:rPr>
              <w:t> </w:t>
            </w:r>
            <w:r>
              <w:rPr/>
              <w:t>quirúrgico</w:t>
            </w:r>
            <w:r>
              <w:rPr>
                <w:b w:val="0"/>
              </w:rPr>
              <w:tab/>
              <w:t>13</w:t>
            </w:r>
          </w:hyperlink>
        </w:p>
        <w:p>
          <w:pPr>
            <w:pStyle w:val="TOC3"/>
            <w:numPr>
              <w:ilvl w:val="2"/>
              <w:numId w:val="1"/>
            </w:numPr>
            <w:tabs>
              <w:tab w:pos="1163" w:val="left" w:leader="none"/>
              <w:tab w:pos="8993" w:val="right" w:leader="dot"/>
            </w:tabs>
            <w:spacing w:line="240" w:lineRule="auto" w:before="139" w:after="0"/>
            <w:ind w:left="1162" w:right="0" w:hanging="561"/>
            <w:jc w:val="left"/>
            <w:rPr>
              <w:b w:val="0"/>
            </w:rPr>
          </w:pPr>
          <w:hyperlink w:history="true" w:anchor="_bookmark16">
            <w:r>
              <w:rPr/>
              <w:t>Contraindicaciones de la</w:t>
            </w:r>
            <w:r>
              <w:rPr>
                <w:spacing w:val="-5"/>
              </w:rPr>
              <w:t> </w:t>
            </w:r>
            <w:r>
              <w:rPr/>
              <w:t>cirugía</w:t>
            </w:r>
            <w:r>
              <w:rPr>
                <w:spacing w:val="-2"/>
              </w:rPr>
              <w:t> </w:t>
            </w:r>
            <w:r>
              <w:rPr/>
              <w:t>endodóntica</w:t>
            </w:r>
            <w:r>
              <w:rPr>
                <w:b w:val="0"/>
              </w:rPr>
              <w:tab/>
              <w:t>14</w:t>
            </w:r>
          </w:hyperlink>
        </w:p>
        <w:p>
          <w:pPr>
            <w:pStyle w:val="TOC2"/>
            <w:numPr>
              <w:ilvl w:val="1"/>
              <w:numId w:val="1"/>
            </w:numPr>
            <w:tabs>
              <w:tab w:pos="769" w:val="left" w:leader="none"/>
              <w:tab w:pos="8993" w:val="right" w:leader="dot"/>
            </w:tabs>
            <w:spacing w:line="240" w:lineRule="auto" w:before="140" w:after="0"/>
            <w:ind w:left="768" w:right="0" w:hanging="386"/>
            <w:jc w:val="left"/>
          </w:pPr>
          <w:hyperlink w:history="true" w:anchor="_bookmark17">
            <w:r>
              <w:rPr/>
              <w:t>Regeneración Tisular Guiada e</w:t>
            </w:r>
            <w:r>
              <w:rPr>
                <w:spacing w:val="-4"/>
              </w:rPr>
              <w:t> </w:t>
            </w:r>
            <w:r>
              <w:rPr/>
              <w:t>Injertos</w:t>
            </w:r>
            <w:r>
              <w:rPr>
                <w:spacing w:val="-3"/>
              </w:rPr>
              <w:t> </w:t>
            </w:r>
            <w:r>
              <w:rPr/>
              <w:t>Óseos</w:t>
              <w:tab/>
              <w:t>14</w:t>
            </w:r>
          </w:hyperlink>
        </w:p>
        <w:p>
          <w:pPr>
            <w:pStyle w:val="TOC3"/>
            <w:numPr>
              <w:ilvl w:val="2"/>
              <w:numId w:val="1"/>
            </w:numPr>
            <w:tabs>
              <w:tab w:pos="1163" w:val="left" w:leader="none"/>
              <w:tab w:pos="8993" w:val="right" w:leader="dot"/>
            </w:tabs>
            <w:spacing w:line="240" w:lineRule="auto" w:before="142" w:after="0"/>
            <w:ind w:left="1162" w:right="0" w:hanging="561"/>
            <w:jc w:val="left"/>
            <w:rPr>
              <w:b w:val="0"/>
            </w:rPr>
          </w:pPr>
          <w:hyperlink w:history="true" w:anchor="_bookmark18">
            <w:r>
              <w:rPr/>
              <w:t>Indicaciones de los</w:t>
            </w:r>
            <w:r>
              <w:rPr>
                <w:spacing w:val="-5"/>
              </w:rPr>
              <w:t> </w:t>
            </w:r>
            <w:r>
              <w:rPr/>
              <w:t>injertos</w:t>
            </w:r>
            <w:r>
              <w:rPr>
                <w:spacing w:val="-1"/>
              </w:rPr>
              <w:t> </w:t>
            </w:r>
            <w:r>
              <w:rPr/>
              <w:t>óseos</w:t>
            </w:r>
            <w:r>
              <w:rPr>
                <w:b w:val="0"/>
              </w:rPr>
              <w:tab/>
              <w:t>16</w:t>
            </w:r>
          </w:hyperlink>
        </w:p>
        <w:p>
          <w:pPr>
            <w:pStyle w:val="TOC3"/>
            <w:tabs>
              <w:tab w:pos="8993" w:val="right" w:leader="dot"/>
            </w:tabs>
            <w:ind w:left="601" w:firstLine="0"/>
            <w:rPr>
              <w:b w:val="0"/>
            </w:rPr>
          </w:pPr>
          <w:hyperlink w:history="true" w:anchor="_bookmark19">
            <w:r>
              <w:rPr/>
              <w:t>2.4.3. Técnica para la colocación de</w:t>
            </w:r>
            <w:r>
              <w:rPr>
                <w:spacing w:val="-12"/>
              </w:rPr>
              <w:t> </w:t>
            </w:r>
            <w:r>
              <w:rPr/>
              <w:t>injertos</w:t>
            </w:r>
            <w:r>
              <w:rPr>
                <w:spacing w:val="-1"/>
              </w:rPr>
              <w:t> </w:t>
            </w:r>
            <w:r>
              <w:rPr/>
              <w:t>óseos</w:t>
            </w:r>
            <w:r>
              <w:rPr>
                <w:b w:val="0"/>
              </w:rPr>
              <w:tab/>
              <w:t>18</w:t>
            </w:r>
          </w:hyperlink>
        </w:p>
        <w:p>
          <w:pPr>
            <w:pStyle w:val="TOC2"/>
            <w:numPr>
              <w:ilvl w:val="1"/>
              <w:numId w:val="1"/>
            </w:numPr>
            <w:tabs>
              <w:tab w:pos="767" w:val="left" w:leader="none"/>
              <w:tab w:pos="8993" w:val="right" w:leader="dot"/>
            </w:tabs>
            <w:spacing w:line="240" w:lineRule="auto" w:before="139" w:after="0"/>
            <w:ind w:left="766" w:right="0" w:hanging="384"/>
            <w:jc w:val="left"/>
          </w:pPr>
          <w:hyperlink w:history="true" w:anchor="_bookmark20">
            <w:r>
              <w:rPr/>
              <w:t>Plasma Rico en Factores</w:t>
            </w:r>
            <w:r>
              <w:rPr>
                <w:spacing w:val="-2"/>
              </w:rPr>
              <w:t> </w:t>
            </w:r>
            <w:r>
              <w:rPr/>
              <w:t>de Crecimiento</w:t>
              <w:tab/>
              <w:t>19</w:t>
            </w:r>
          </w:hyperlink>
        </w:p>
        <w:p>
          <w:pPr>
            <w:pStyle w:val="TOC3"/>
            <w:numPr>
              <w:ilvl w:val="2"/>
              <w:numId w:val="1"/>
            </w:numPr>
            <w:tabs>
              <w:tab w:pos="1164" w:val="left" w:leader="none"/>
              <w:tab w:pos="8993" w:val="right" w:leader="dot"/>
            </w:tabs>
            <w:spacing w:line="240" w:lineRule="auto" w:before="142" w:after="0"/>
            <w:ind w:left="1164" w:right="0" w:hanging="563"/>
            <w:jc w:val="left"/>
            <w:rPr>
              <w:b w:val="0"/>
            </w:rPr>
          </w:pPr>
          <w:hyperlink w:history="true" w:anchor="_bookmark21">
            <w:r>
              <w:rPr/>
              <w:t>Factores de crecimiento implicados en la cicatrización de</w:t>
            </w:r>
            <w:r>
              <w:rPr>
                <w:spacing w:val="-17"/>
              </w:rPr>
              <w:t> </w:t>
            </w:r>
            <w:r>
              <w:rPr/>
              <w:t>los</w:t>
            </w:r>
            <w:r>
              <w:rPr>
                <w:spacing w:val="-1"/>
              </w:rPr>
              <w:t> </w:t>
            </w:r>
            <w:r>
              <w:rPr/>
              <w:t>tejidos</w:t>
            </w:r>
            <w:r>
              <w:rPr>
                <w:b w:val="0"/>
              </w:rPr>
              <w:tab/>
              <w:t>20</w:t>
            </w:r>
          </w:hyperlink>
        </w:p>
        <w:p>
          <w:pPr>
            <w:pStyle w:val="TOC3"/>
            <w:numPr>
              <w:ilvl w:val="2"/>
              <w:numId w:val="1"/>
            </w:numPr>
            <w:tabs>
              <w:tab w:pos="1164" w:val="left" w:leader="none"/>
              <w:tab w:pos="8993" w:val="right" w:leader="dot"/>
            </w:tabs>
            <w:spacing w:line="240" w:lineRule="auto" w:before="139" w:after="0"/>
            <w:ind w:left="1164" w:right="0" w:hanging="563"/>
            <w:jc w:val="left"/>
            <w:rPr>
              <w:b w:val="0"/>
            </w:rPr>
          </w:pPr>
          <w:hyperlink w:history="true" w:anchor="_bookmark22">
            <w:r>
              <w:rPr/>
              <w:t>Obtención del plasma rico en factores</w:t>
            </w:r>
            <w:r>
              <w:rPr>
                <w:spacing w:val="-8"/>
              </w:rPr>
              <w:t> </w:t>
            </w:r>
            <w:r>
              <w:rPr/>
              <w:t>de</w:t>
            </w:r>
            <w:r>
              <w:rPr>
                <w:spacing w:val="-3"/>
              </w:rPr>
              <w:t> </w:t>
            </w:r>
            <w:r>
              <w:rPr/>
              <w:t>crecimiento</w:t>
            </w:r>
            <w:r>
              <w:rPr>
                <w:b w:val="0"/>
              </w:rPr>
              <w:tab/>
              <w:t>21</w:t>
            </w:r>
          </w:hyperlink>
        </w:p>
        <w:p>
          <w:pPr>
            <w:pStyle w:val="TOC1"/>
            <w:numPr>
              <w:ilvl w:val="0"/>
              <w:numId w:val="1"/>
            </w:numPr>
            <w:tabs>
              <w:tab w:pos="601" w:val="left" w:leader="none"/>
              <w:tab w:pos="602" w:val="left" w:leader="none"/>
              <w:tab w:pos="8993" w:val="right" w:leader="dot"/>
            </w:tabs>
            <w:spacing w:line="240" w:lineRule="auto" w:before="139" w:after="0"/>
            <w:ind w:left="601" w:right="0" w:hanging="439"/>
            <w:jc w:val="left"/>
          </w:pPr>
          <w:hyperlink w:history="true" w:anchor="_bookmark23">
            <w:r>
              <w:rPr/>
              <w:t>OBJETIVO</w:t>
              <w:tab/>
              <w:t>24</w:t>
            </w:r>
          </w:hyperlink>
        </w:p>
        <w:p>
          <w:pPr>
            <w:pStyle w:val="TOC1"/>
            <w:numPr>
              <w:ilvl w:val="0"/>
              <w:numId w:val="1"/>
            </w:numPr>
            <w:tabs>
              <w:tab w:pos="601" w:val="left" w:leader="none"/>
              <w:tab w:pos="602" w:val="left" w:leader="none"/>
              <w:tab w:pos="8993" w:val="right" w:leader="dot"/>
            </w:tabs>
            <w:spacing w:line="240" w:lineRule="auto" w:before="142" w:after="0"/>
            <w:ind w:left="601" w:right="0" w:hanging="439"/>
            <w:jc w:val="left"/>
          </w:pPr>
          <w:hyperlink w:history="true" w:anchor="_bookmark24">
            <w:r>
              <w:rPr/>
              <w:t>REPORTES</w:t>
            </w:r>
            <w:r>
              <w:rPr>
                <w:spacing w:val="-3"/>
              </w:rPr>
              <w:t> </w:t>
            </w:r>
            <w:r>
              <w:rPr/>
              <w:t>DE</w:t>
            </w:r>
            <w:r>
              <w:rPr>
                <w:spacing w:val="-2"/>
              </w:rPr>
              <w:t> </w:t>
            </w:r>
            <w:r>
              <w:rPr/>
              <w:t>CASOS</w:t>
              <w:tab/>
              <w:t>25</w:t>
            </w:r>
          </w:hyperlink>
        </w:p>
        <w:p>
          <w:pPr>
            <w:pStyle w:val="TOC2"/>
            <w:numPr>
              <w:ilvl w:val="1"/>
              <w:numId w:val="1"/>
            </w:numPr>
            <w:tabs>
              <w:tab w:pos="767" w:val="left" w:leader="none"/>
              <w:tab w:pos="8993" w:val="right" w:leader="dot"/>
            </w:tabs>
            <w:spacing w:line="240" w:lineRule="auto" w:before="140" w:after="0"/>
            <w:ind w:left="766" w:right="0" w:hanging="384"/>
            <w:jc w:val="left"/>
          </w:pPr>
          <w:hyperlink w:history="true" w:anchor="_bookmark25">
            <w:r>
              <w:rPr/>
              <w:t>Presentación de Caso</w:t>
            </w:r>
            <w:r>
              <w:rPr>
                <w:spacing w:val="-6"/>
              </w:rPr>
              <w:t> </w:t>
            </w:r>
            <w:r>
              <w:rPr/>
              <w:t>Clínico</w:t>
            </w:r>
            <w:r>
              <w:rPr>
                <w:spacing w:val="-2"/>
              </w:rPr>
              <w:t> </w:t>
            </w:r>
            <w:r>
              <w:rPr/>
              <w:t>1</w:t>
              <w:tab/>
              <w:t>25</w:t>
            </w:r>
          </w:hyperlink>
        </w:p>
        <w:p>
          <w:pPr>
            <w:pStyle w:val="TOC2"/>
            <w:numPr>
              <w:ilvl w:val="1"/>
              <w:numId w:val="1"/>
            </w:numPr>
            <w:tabs>
              <w:tab w:pos="767" w:val="left" w:leader="none"/>
              <w:tab w:pos="8993" w:val="right" w:leader="dot"/>
            </w:tabs>
            <w:spacing w:line="240" w:lineRule="auto" w:before="139" w:after="0"/>
            <w:ind w:left="766" w:right="0" w:hanging="384"/>
            <w:jc w:val="left"/>
          </w:pPr>
          <w:hyperlink w:history="true" w:anchor="_bookmark53">
            <w:r>
              <w:rPr/>
              <w:t>Presentación de Caso</w:t>
            </w:r>
            <w:r>
              <w:rPr>
                <w:spacing w:val="-6"/>
              </w:rPr>
              <w:t> </w:t>
            </w:r>
            <w:r>
              <w:rPr/>
              <w:t>Clínico</w:t>
            </w:r>
            <w:r>
              <w:rPr>
                <w:spacing w:val="-2"/>
              </w:rPr>
              <w:t> </w:t>
            </w:r>
            <w:r>
              <w:rPr/>
              <w:t>2</w:t>
              <w:tab/>
              <w:t>41</w:t>
            </w:r>
          </w:hyperlink>
        </w:p>
        <w:p>
          <w:pPr>
            <w:pStyle w:val="TOC1"/>
            <w:numPr>
              <w:ilvl w:val="0"/>
              <w:numId w:val="1"/>
            </w:numPr>
            <w:tabs>
              <w:tab w:pos="601" w:val="left" w:leader="none"/>
              <w:tab w:pos="602" w:val="left" w:leader="none"/>
              <w:tab w:pos="8993" w:val="right" w:leader="dot"/>
            </w:tabs>
            <w:spacing w:line="240" w:lineRule="auto" w:before="142" w:after="0"/>
            <w:ind w:left="601" w:right="0" w:hanging="439"/>
            <w:jc w:val="left"/>
          </w:pPr>
          <w:hyperlink w:history="true" w:anchor="_bookmark70">
            <w:r>
              <w:rPr/>
              <w:t>DISCUSIÓN</w:t>
              <w:tab/>
              <w:t>52</w:t>
            </w:r>
          </w:hyperlink>
        </w:p>
        <w:p>
          <w:pPr>
            <w:pStyle w:val="TOC1"/>
            <w:numPr>
              <w:ilvl w:val="0"/>
              <w:numId w:val="1"/>
            </w:numPr>
            <w:tabs>
              <w:tab w:pos="601" w:val="left" w:leader="none"/>
              <w:tab w:pos="602" w:val="left" w:leader="none"/>
              <w:tab w:pos="8993" w:val="right" w:leader="dot"/>
            </w:tabs>
            <w:spacing w:line="240" w:lineRule="auto" w:before="139" w:after="0"/>
            <w:ind w:left="601" w:right="0" w:hanging="439"/>
            <w:jc w:val="left"/>
          </w:pPr>
          <w:hyperlink w:history="true" w:anchor="_bookmark71">
            <w:r>
              <w:rPr/>
              <w:t>CONCLUSIÓN</w:t>
              <w:tab/>
              <w:t>56</w:t>
            </w:r>
          </w:hyperlink>
        </w:p>
      </w:sdtContent>
    </w:sdt>
    <w:p>
      <w:pPr>
        <w:pStyle w:val="BodyText"/>
        <w:spacing w:before="9"/>
        <w:rPr>
          <w:rFonts w:ascii="Calibri"/>
          <w:sz w:val="14"/>
        </w:rPr>
      </w:pPr>
      <w:r>
        <w:rPr/>
        <w:pict>
          <v:group style="position:absolute;margin-left:82.164001pt;margin-top:10.961899pt;width:447.8pt;height:4.5pt;mso-position-horizontal-relative:page;mso-position-vertical-relative:paragraph;z-index:1072;mso-wrap-distance-left:0;mso-wrap-distance-right:0" coordorigin="1643,219" coordsize="8956,90">
            <v:line style="position:absolute" from="1673,249" to="10569,249" stroked="true" strokeweight="3pt" strokecolor="#000000"/>
            <v:line style="position:absolute" from="1673,301" to="10569,301" stroked="true" strokeweight=".72003pt" strokecolor="#000000"/>
            <w10:wrap type="topAndBottom"/>
          </v:group>
        </w:pict>
      </w:r>
    </w:p>
    <w:p>
      <w:pPr>
        <w:spacing w:after="0"/>
        <w:rPr>
          <w:rFonts w:ascii="Calibri"/>
          <w:sz w:val="14"/>
        </w:rPr>
        <w:sectPr>
          <w:headerReference w:type="default" r:id="rId7"/>
          <w:pgSz w:w="12240" w:h="15840"/>
          <w:pgMar w:header="744" w:footer="0" w:top="1080" w:bottom="280" w:left="1540" w:right="1540"/>
        </w:sectPr>
      </w:pPr>
    </w:p>
    <w:p>
      <w:pPr>
        <w:pStyle w:val="BodyText"/>
        <w:spacing w:before="1"/>
        <w:rPr>
          <w:rFonts w:ascii="Calibri"/>
          <w:sz w:val="21"/>
        </w:rPr>
      </w:pPr>
    </w:p>
    <w:p>
      <w:pPr>
        <w:pStyle w:val="ListParagraph"/>
        <w:numPr>
          <w:ilvl w:val="0"/>
          <w:numId w:val="1"/>
        </w:numPr>
        <w:tabs>
          <w:tab w:pos="601" w:val="left" w:leader="none"/>
          <w:tab w:pos="602" w:val="left" w:leader="none"/>
          <w:tab w:pos="8993" w:val="right" w:leader="dot"/>
        </w:tabs>
        <w:spacing w:line="240" w:lineRule="auto" w:before="56" w:after="0"/>
        <w:ind w:left="601" w:right="0" w:hanging="439"/>
        <w:jc w:val="left"/>
        <w:rPr>
          <w:rFonts w:ascii="Calibri" w:hAnsi="Calibri"/>
          <w:sz w:val="22"/>
        </w:rPr>
      </w:pPr>
      <w:hyperlink w:history="true" w:anchor="_bookmark72">
        <w:r>
          <w:rPr>
            <w:rFonts w:ascii="Calibri" w:hAnsi="Calibri"/>
            <w:sz w:val="22"/>
          </w:rPr>
          <w:t>REFERENCIAS</w:t>
        </w:r>
        <w:r>
          <w:rPr>
            <w:rFonts w:ascii="Calibri" w:hAnsi="Calibri"/>
            <w:spacing w:val="-1"/>
            <w:sz w:val="22"/>
          </w:rPr>
          <w:t> </w:t>
        </w:r>
        <w:r>
          <w:rPr>
            <w:rFonts w:ascii="Calibri" w:hAnsi="Calibri"/>
            <w:sz w:val="22"/>
          </w:rPr>
          <w:t>BIBLIOGRÁFICAS</w:t>
          <w:tab/>
          <w:t>57</w:t>
        </w:r>
      </w:hyperlink>
    </w:p>
    <w:p>
      <w:pPr>
        <w:pStyle w:val="ListParagraph"/>
        <w:numPr>
          <w:ilvl w:val="0"/>
          <w:numId w:val="1"/>
        </w:numPr>
        <w:tabs>
          <w:tab w:pos="601" w:val="left" w:leader="none"/>
          <w:tab w:pos="602" w:val="left" w:leader="none"/>
          <w:tab w:pos="8993" w:val="right" w:leader="dot"/>
        </w:tabs>
        <w:spacing w:line="240" w:lineRule="auto" w:before="142" w:after="0"/>
        <w:ind w:left="601" w:right="0" w:hanging="439"/>
        <w:jc w:val="left"/>
        <w:rPr>
          <w:rFonts w:ascii="Calibri"/>
          <w:sz w:val="22"/>
        </w:rPr>
      </w:pPr>
      <w:hyperlink w:history="true" w:anchor="_bookmark73">
        <w:r>
          <w:rPr>
            <w:rFonts w:ascii="Calibri"/>
            <w:sz w:val="22"/>
          </w:rPr>
          <w:t>ANEXOS</w:t>
          <w:tab/>
          <w:t>62</w:t>
        </w:r>
      </w:hyperlink>
    </w:p>
    <w:p>
      <w:pPr>
        <w:tabs>
          <w:tab w:pos="8993" w:val="right" w:leader="dot"/>
        </w:tabs>
        <w:spacing w:before="139"/>
        <w:ind w:left="382" w:right="0" w:firstLine="0"/>
        <w:jc w:val="left"/>
        <w:rPr>
          <w:rFonts w:ascii="Calibri"/>
          <w:sz w:val="22"/>
        </w:rPr>
      </w:pPr>
      <w:r>
        <w:rPr>
          <w:rFonts w:ascii="Calibri"/>
          <w:sz w:val="22"/>
        </w:rPr>
        <w:t>ANEXO</w:t>
      </w:r>
      <w:r>
        <w:rPr>
          <w:rFonts w:ascii="Calibri"/>
          <w:spacing w:val="-2"/>
          <w:sz w:val="22"/>
        </w:rPr>
        <w:t> </w:t>
      </w:r>
      <w:r>
        <w:rPr>
          <w:rFonts w:ascii="Calibri"/>
          <w:sz w:val="22"/>
        </w:rPr>
        <w:t>1</w:t>
        <w:tab/>
        <w:t>62</w:t>
      </w:r>
    </w:p>
    <w:p>
      <w:pPr>
        <w:tabs>
          <w:tab w:pos="8993" w:val="right" w:leader="dot"/>
        </w:tabs>
        <w:spacing w:before="139"/>
        <w:ind w:left="382" w:right="0" w:firstLine="0"/>
        <w:jc w:val="left"/>
        <w:rPr>
          <w:rFonts w:ascii="Calibri"/>
          <w:sz w:val="22"/>
        </w:rPr>
      </w:pPr>
      <w:r>
        <w:rPr>
          <w:rFonts w:ascii="Calibri"/>
          <w:sz w:val="22"/>
        </w:rPr>
        <w:t>ANEXO</w:t>
      </w:r>
      <w:r>
        <w:rPr>
          <w:rFonts w:ascii="Calibri"/>
          <w:spacing w:val="-2"/>
          <w:sz w:val="22"/>
        </w:rPr>
        <w:t> </w:t>
      </w:r>
      <w:r>
        <w:rPr>
          <w:rFonts w:ascii="Calibri"/>
          <w:sz w:val="22"/>
        </w:rPr>
        <w:t>2</w:t>
        <w:tab/>
        <w:t>63</w:t>
      </w:r>
    </w:p>
    <w:p>
      <w:pPr>
        <w:tabs>
          <w:tab w:pos="8993" w:val="right" w:leader="dot"/>
        </w:tabs>
        <w:spacing w:before="142"/>
        <w:ind w:left="382" w:right="0" w:firstLine="0"/>
        <w:jc w:val="left"/>
        <w:rPr>
          <w:rFonts w:ascii="Calibri"/>
          <w:sz w:val="22"/>
        </w:rPr>
      </w:pPr>
      <w:r>
        <w:rPr>
          <w:rFonts w:ascii="Calibri"/>
          <w:sz w:val="22"/>
        </w:rPr>
        <w:t>ANEXO</w:t>
      </w:r>
      <w:r>
        <w:rPr>
          <w:rFonts w:ascii="Calibri"/>
          <w:spacing w:val="-2"/>
          <w:sz w:val="22"/>
        </w:rPr>
        <w:t> </w:t>
      </w:r>
      <w:r>
        <w:rPr>
          <w:rFonts w:ascii="Calibri"/>
          <w:sz w:val="22"/>
        </w:rPr>
        <w:t>3</w:t>
        <w:tab/>
        <w:t>63</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2"/>
        </w:rPr>
      </w:pPr>
      <w:r>
        <w:rPr/>
        <w:pict>
          <v:group style="position:absolute;margin-left:82.164001pt;margin-top:9.579575pt;width:447.8pt;height:4.5pt;mso-position-horizontal-relative:page;mso-position-vertical-relative:paragraph;z-index:1096;mso-wrap-distance-left:0;mso-wrap-distance-right:0" coordorigin="1643,192" coordsize="8956,90">
            <v:line style="position:absolute" from="1673,222" to="10569,222" stroked="true" strokeweight="3pt" strokecolor="#000000"/>
            <v:line style="position:absolute" from="1673,273" to="10569,273" stroked="true" strokeweight=".72003pt" strokecolor="#000000"/>
            <w10:wrap type="topAndBottom"/>
          </v:group>
        </w:pict>
      </w:r>
    </w:p>
    <w:p>
      <w:pPr>
        <w:spacing w:after="0"/>
        <w:rPr>
          <w:rFonts w:ascii="Calibri"/>
          <w:sz w:val="12"/>
        </w:rPr>
        <w:sectPr>
          <w:pgSz w:w="12240" w:h="15840"/>
          <w:pgMar w:header="744" w:footer="0" w:top="1080" w:bottom="280" w:left="1540" w:right="1540"/>
        </w:sectPr>
      </w:pPr>
    </w:p>
    <w:p>
      <w:pPr>
        <w:pStyle w:val="BodyText"/>
        <w:rPr>
          <w:rFonts w:ascii="Calibri"/>
          <w:sz w:val="20"/>
        </w:rPr>
      </w:pPr>
    </w:p>
    <w:p>
      <w:pPr>
        <w:pStyle w:val="BodyText"/>
        <w:spacing w:before="1"/>
        <w:rPr>
          <w:rFonts w:ascii="Calibri"/>
          <w:sz w:val="23"/>
        </w:rPr>
      </w:pPr>
    </w:p>
    <w:p>
      <w:pPr>
        <w:pStyle w:val="Heading1"/>
        <w:numPr>
          <w:ilvl w:val="0"/>
          <w:numId w:val="2"/>
        </w:numPr>
        <w:tabs>
          <w:tab w:pos="882" w:val="left" w:leader="none"/>
        </w:tabs>
        <w:spacing w:line="240" w:lineRule="auto" w:before="70" w:after="0"/>
        <w:ind w:left="882" w:right="0" w:hanging="360"/>
        <w:jc w:val="left"/>
      </w:pPr>
      <w:bookmarkStart w:name="_bookmark0" w:id="1"/>
      <w:bookmarkEnd w:id="1"/>
      <w:r>
        <w:rPr>
          <w:b w:val="0"/>
        </w:rPr>
      </w:r>
      <w:bookmarkStart w:name="_bookmark0" w:id="2"/>
      <w:bookmarkEnd w:id="2"/>
      <w:r>
        <w:rPr/>
        <w:t>INT</w:t>
      </w:r>
      <w:r>
        <w:rPr/>
        <w:t>RODUCCIÓN</w:t>
      </w:r>
    </w:p>
    <w:p>
      <w:pPr>
        <w:pStyle w:val="BodyText"/>
        <w:spacing w:before="4"/>
        <w:rPr>
          <w:b/>
          <w:sz w:val="29"/>
        </w:rPr>
      </w:pPr>
    </w:p>
    <w:p>
      <w:pPr>
        <w:pStyle w:val="BodyText"/>
        <w:spacing w:line="360" w:lineRule="auto" w:before="1"/>
        <w:ind w:left="162" w:right="154"/>
        <w:jc w:val="both"/>
      </w:pPr>
      <w:r>
        <w:rPr/>
        <w:t>Dentro de las principales metas universales del tratamiento endodóntico se encuentra prevenir o curar la periodontitis apical causada por la infección del sistema de conductos radiculares (1). Estudios epidemiológicos revelan que el </w:t>
      </w:r>
      <w:r>
        <w:rPr>
          <w:spacing w:val="2"/>
        </w:rPr>
        <w:t>33- </w:t>
      </w:r>
      <w:r>
        <w:rPr/>
        <w:t>60% de los dientes obturados presenta periodontitis apical, lo que sugiere la persistencia</w:t>
      </w:r>
      <w:r>
        <w:rPr>
          <w:spacing w:val="-12"/>
        </w:rPr>
        <w:t> </w:t>
      </w:r>
      <w:r>
        <w:rPr/>
        <w:t>de</w:t>
      </w:r>
      <w:r>
        <w:rPr>
          <w:spacing w:val="-9"/>
        </w:rPr>
        <w:t> </w:t>
      </w:r>
      <w:r>
        <w:rPr/>
        <w:t>la</w:t>
      </w:r>
      <w:r>
        <w:rPr>
          <w:spacing w:val="-12"/>
        </w:rPr>
        <w:t> </w:t>
      </w:r>
      <w:r>
        <w:rPr/>
        <w:t>infección</w:t>
      </w:r>
      <w:r>
        <w:rPr>
          <w:spacing w:val="-9"/>
        </w:rPr>
        <w:t> </w:t>
      </w:r>
      <w:r>
        <w:rPr/>
        <w:t>primaria</w:t>
      </w:r>
      <w:r>
        <w:rPr>
          <w:spacing w:val="-12"/>
        </w:rPr>
        <w:t> </w:t>
      </w:r>
      <w:r>
        <w:rPr/>
        <w:t>o</w:t>
      </w:r>
      <w:r>
        <w:rPr>
          <w:spacing w:val="-12"/>
        </w:rPr>
        <w:t> </w:t>
      </w:r>
      <w:r>
        <w:rPr/>
        <w:t>aparición</w:t>
      </w:r>
      <w:r>
        <w:rPr>
          <w:spacing w:val="-12"/>
        </w:rPr>
        <w:t> </w:t>
      </w:r>
      <w:r>
        <w:rPr/>
        <w:t>de</w:t>
      </w:r>
      <w:r>
        <w:rPr>
          <w:spacing w:val="-12"/>
        </w:rPr>
        <w:t> </w:t>
      </w:r>
      <w:r>
        <w:rPr/>
        <w:t>infección</w:t>
      </w:r>
      <w:r>
        <w:rPr>
          <w:spacing w:val="-12"/>
        </w:rPr>
        <w:t> </w:t>
      </w:r>
      <w:r>
        <w:rPr/>
        <w:t>posterior</w:t>
      </w:r>
      <w:r>
        <w:rPr>
          <w:spacing w:val="-11"/>
        </w:rPr>
        <w:t> </w:t>
      </w:r>
      <w:r>
        <w:rPr/>
        <w:t>al</w:t>
      </w:r>
      <w:r>
        <w:rPr>
          <w:spacing w:val="-11"/>
        </w:rPr>
        <w:t> </w:t>
      </w:r>
      <w:r>
        <w:rPr/>
        <w:t>tratamiento endodóntico (1, 2). En la mayoría de los casos, el fracaso del tratamiento es resultado de la persistencia de microorganismos en la porción apical del conducto radicular, aún en un diente aparentemente bien obturado (3). El estado periapical preoperatorio parece ser también decisivo en el pronóstico del tratamiento endodóntico y aunque la extensión apical de la obturación del conducto radicular parece no ser un factor determinante en el fracaso endodóntico, los órganos dentarios sobreobturados en presencia de una lesión perirradicular han mostrado tener un pronóstico menos favorable (4, 5). Otro factor es el papel de la obturación coronal, está demostrado que no es capaz de impedir la invasión bacteriana, los microorganismos</w:t>
      </w:r>
      <w:r>
        <w:rPr>
          <w:spacing w:val="-21"/>
        </w:rPr>
        <w:t> </w:t>
      </w:r>
      <w:r>
        <w:rPr/>
        <w:t>pueden</w:t>
      </w:r>
      <w:r>
        <w:rPr>
          <w:spacing w:val="-18"/>
        </w:rPr>
        <w:t> </w:t>
      </w:r>
      <w:r>
        <w:rPr/>
        <w:t>recolonizar</w:t>
      </w:r>
      <w:r>
        <w:rPr>
          <w:spacing w:val="-19"/>
        </w:rPr>
        <w:t> </w:t>
      </w:r>
      <w:r>
        <w:rPr/>
        <w:t>el</w:t>
      </w:r>
      <w:r>
        <w:rPr>
          <w:spacing w:val="-21"/>
        </w:rPr>
        <w:t> </w:t>
      </w:r>
      <w:r>
        <w:rPr/>
        <w:t>sistema</w:t>
      </w:r>
      <w:r>
        <w:rPr>
          <w:spacing w:val="-20"/>
        </w:rPr>
        <w:t> </w:t>
      </w:r>
      <w:r>
        <w:rPr/>
        <w:t>de</w:t>
      </w:r>
      <w:r>
        <w:rPr>
          <w:spacing w:val="-18"/>
        </w:rPr>
        <w:t> </w:t>
      </w:r>
      <w:r>
        <w:rPr/>
        <w:t>conductos</w:t>
      </w:r>
      <w:r>
        <w:rPr>
          <w:spacing w:val="-21"/>
        </w:rPr>
        <w:t> </w:t>
      </w:r>
      <w:r>
        <w:rPr/>
        <w:t>radiculares</w:t>
      </w:r>
      <w:r>
        <w:rPr>
          <w:spacing w:val="-18"/>
        </w:rPr>
        <w:t> </w:t>
      </w:r>
      <w:r>
        <w:rPr/>
        <w:t>y</w:t>
      </w:r>
      <w:r>
        <w:rPr>
          <w:spacing w:val="-21"/>
        </w:rPr>
        <w:t> </w:t>
      </w:r>
      <w:r>
        <w:rPr/>
        <w:t>alcanzar los tejidos periapicales lo que induce o perpetúa la enfermedad periapical (3). Puesto</w:t>
      </w:r>
      <w:r>
        <w:rPr>
          <w:spacing w:val="-17"/>
        </w:rPr>
        <w:t> </w:t>
      </w:r>
      <w:r>
        <w:rPr/>
        <w:t>que</w:t>
      </w:r>
      <w:r>
        <w:rPr>
          <w:spacing w:val="-17"/>
        </w:rPr>
        <w:t> </w:t>
      </w:r>
      <w:r>
        <w:rPr/>
        <w:t>los</w:t>
      </w:r>
      <w:r>
        <w:rPr>
          <w:spacing w:val="-19"/>
        </w:rPr>
        <w:t> </w:t>
      </w:r>
      <w:r>
        <w:rPr/>
        <w:t>microorganismos</w:t>
      </w:r>
      <w:r>
        <w:rPr>
          <w:spacing w:val="-17"/>
        </w:rPr>
        <w:t> </w:t>
      </w:r>
      <w:r>
        <w:rPr/>
        <w:t>pueden</w:t>
      </w:r>
      <w:r>
        <w:rPr>
          <w:spacing w:val="-19"/>
        </w:rPr>
        <w:t> </w:t>
      </w:r>
      <w:r>
        <w:rPr/>
        <w:t>establecerse</w:t>
      </w:r>
      <w:r>
        <w:rPr>
          <w:spacing w:val="-17"/>
        </w:rPr>
        <w:t> </w:t>
      </w:r>
      <w:r>
        <w:rPr/>
        <w:t>en</w:t>
      </w:r>
      <w:r>
        <w:rPr>
          <w:spacing w:val="-17"/>
        </w:rPr>
        <w:t> </w:t>
      </w:r>
      <w:r>
        <w:rPr/>
        <w:t>los</w:t>
      </w:r>
      <w:r>
        <w:rPr>
          <w:spacing w:val="-17"/>
        </w:rPr>
        <w:t> </w:t>
      </w:r>
      <w:r>
        <w:rPr/>
        <w:t>tejidos</w:t>
      </w:r>
      <w:r>
        <w:rPr>
          <w:spacing w:val="-20"/>
        </w:rPr>
        <w:t> </w:t>
      </w:r>
      <w:r>
        <w:rPr/>
        <w:t>perirradiculares se tornan inaccesibles a los procedimientos de desinfección endodóntica convencionales y por lo tanto, la infección extraradicular en forma de biofilm es considerada</w:t>
      </w:r>
      <w:r>
        <w:rPr>
          <w:spacing w:val="-17"/>
        </w:rPr>
        <w:t> </w:t>
      </w:r>
      <w:r>
        <w:rPr/>
        <w:t>como</w:t>
      </w:r>
      <w:r>
        <w:rPr>
          <w:spacing w:val="-19"/>
        </w:rPr>
        <w:t> </w:t>
      </w:r>
      <w:r>
        <w:rPr/>
        <w:t>un</w:t>
      </w:r>
      <w:r>
        <w:rPr>
          <w:spacing w:val="-19"/>
        </w:rPr>
        <w:t> </w:t>
      </w:r>
      <w:r>
        <w:rPr/>
        <w:t>factor</w:t>
      </w:r>
      <w:r>
        <w:rPr>
          <w:spacing w:val="-18"/>
        </w:rPr>
        <w:t> </w:t>
      </w:r>
      <w:r>
        <w:rPr/>
        <w:t>de</w:t>
      </w:r>
      <w:r>
        <w:rPr>
          <w:spacing w:val="-19"/>
        </w:rPr>
        <w:t> </w:t>
      </w:r>
      <w:r>
        <w:rPr/>
        <w:t>fracaso</w:t>
      </w:r>
      <w:r>
        <w:rPr>
          <w:spacing w:val="-17"/>
        </w:rPr>
        <w:t> </w:t>
      </w:r>
      <w:r>
        <w:rPr/>
        <w:t>de</w:t>
      </w:r>
      <w:r>
        <w:rPr>
          <w:spacing w:val="-17"/>
        </w:rPr>
        <w:t> </w:t>
      </w:r>
      <w:r>
        <w:rPr/>
        <w:t>la</w:t>
      </w:r>
      <w:r>
        <w:rPr>
          <w:spacing w:val="-17"/>
        </w:rPr>
        <w:t> </w:t>
      </w:r>
      <w:r>
        <w:rPr/>
        <w:t>terapia</w:t>
      </w:r>
      <w:r>
        <w:rPr>
          <w:spacing w:val="-17"/>
        </w:rPr>
        <w:t> </w:t>
      </w:r>
      <w:r>
        <w:rPr/>
        <w:t>pulpar</w:t>
      </w:r>
      <w:r>
        <w:rPr>
          <w:spacing w:val="-13"/>
        </w:rPr>
        <w:t> </w:t>
      </w:r>
      <w:r>
        <w:rPr/>
        <w:t>la</w:t>
      </w:r>
      <w:r>
        <w:rPr>
          <w:spacing w:val="-17"/>
        </w:rPr>
        <w:t> </w:t>
      </w:r>
      <w:r>
        <w:rPr/>
        <w:t>cual</w:t>
      </w:r>
      <w:r>
        <w:rPr>
          <w:spacing w:val="-18"/>
        </w:rPr>
        <w:t> </w:t>
      </w:r>
      <w:r>
        <w:rPr/>
        <w:t>deberá</w:t>
      </w:r>
      <w:r>
        <w:rPr>
          <w:spacing w:val="-18"/>
        </w:rPr>
        <w:t> </w:t>
      </w:r>
      <w:r>
        <w:rPr/>
        <w:t>ser</w:t>
      </w:r>
      <w:r>
        <w:rPr>
          <w:spacing w:val="-18"/>
        </w:rPr>
        <w:t> </w:t>
      </w:r>
      <w:r>
        <w:rPr/>
        <w:t>tratada a través de procedimientos de cirugía endodóntica</w:t>
      </w:r>
      <w:r>
        <w:rPr>
          <w:spacing w:val="-17"/>
        </w:rPr>
        <w:t> </w:t>
      </w:r>
      <w:r>
        <w:rPr/>
        <w:t>(3).</w:t>
      </w:r>
    </w:p>
    <w:p>
      <w:pPr>
        <w:pStyle w:val="BodyText"/>
        <w:spacing w:line="360" w:lineRule="auto" w:before="202"/>
        <w:ind w:left="162" w:right="155"/>
        <w:jc w:val="both"/>
      </w:pPr>
      <w:r>
        <w:rPr/>
        <w:t>La cirugía endodóntica es un procedimiento para tratar la periodontitis apical en casos donde no ha existido reparación después del retratamiento convencional, o en algunas instancias, después de un tratamiento endodóntico primario. Se ha reportado que la tasa de éxito va de un 25% a 90%. Este porcentaje se ve alterado cuando existen factores tales como la presencia de tracto sinusal persistente y el tamaño  de  la  lesión  apical  (6).</w:t>
      </w:r>
      <w:r>
        <w:rPr>
          <w:spacing w:val="-26"/>
        </w:rPr>
        <w:t> </w:t>
      </w:r>
      <w:r>
        <w:rPr/>
        <w:t>Normalmente  comprende  el  curetaje  periapical</w:t>
      </w:r>
    </w:p>
    <w:p>
      <w:pPr>
        <w:pStyle w:val="BodyText"/>
        <w:spacing w:before="2"/>
        <w:ind w:left="162"/>
        <w:jc w:val="both"/>
      </w:pPr>
      <w:r>
        <w:rPr/>
        <w:t>seguido de la resección apical y la retro-obturación. En casos específicos,  cuando</w:t>
      </w:r>
    </w:p>
    <w:p>
      <w:pPr>
        <w:spacing w:after="0"/>
        <w:jc w:val="both"/>
        <w:sectPr>
          <w:footerReference w:type="default" r:id="rId8"/>
          <w:pgSz w:w="12240" w:h="15840"/>
          <w:pgMar w:footer="1572" w:header="744" w:top="1080" w:bottom="1760" w:left="1540" w:right="1540"/>
          <w:pgNumType w:start="1"/>
        </w:sectPr>
      </w:pPr>
    </w:p>
    <w:p>
      <w:pPr>
        <w:pStyle w:val="BodyText"/>
        <w:spacing w:before="4"/>
        <w:rPr>
          <w:sz w:val="21"/>
        </w:rPr>
      </w:pPr>
    </w:p>
    <w:p>
      <w:pPr>
        <w:pStyle w:val="BodyText"/>
        <w:spacing w:line="360" w:lineRule="auto" w:before="69"/>
        <w:ind w:left="162" w:right="163"/>
        <w:jc w:val="both"/>
      </w:pPr>
      <w:r>
        <w:rPr/>
        <w:t>las bacterias colonizan solo las ramificaciones, la región fuera del conducto o cuando</w:t>
      </w:r>
      <w:r>
        <w:rPr>
          <w:spacing w:val="-13"/>
        </w:rPr>
        <w:t> </w:t>
      </w:r>
      <w:r>
        <w:rPr/>
        <w:t>la</w:t>
      </w:r>
      <w:r>
        <w:rPr>
          <w:spacing w:val="-13"/>
        </w:rPr>
        <w:t> </w:t>
      </w:r>
      <w:r>
        <w:rPr/>
        <w:t>lesión</w:t>
      </w:r>
      <w:r>
        <w:rPr>
          <w:spacing w:val="-12"/>
        </w:rPr>
        <w:t> </w:t>
      </w:r>
      <w:r>
        <w:rPr/>
        <w:t>se</w:t>
      </w:r>
      <w:r>
        <w:rPr>
          <w:spacing w:val="-13"/>
        </w:rPr>
        <w:t> </w:t>
      </w:r>
      <w:r>
        <w:rPr/>
        <w:t>debe</w:t>
      </w:r>
      <w:r>
        <w:rPr>
          <w:spacing w:val="-13"/>
        </w:rPr>
        <w:t> </w:t>
      </w:r>
      <w:r>
        <w:rPr/>
        <w:t>a</w:t>
      </w:r>
      <w:r>
        <w:rPr>
          <w:spacing w:val="-15"/>
        </w:rPr>
        <w:t> </w:t>
      </w:r>
      <w:r>
        <w:rPr/>
        <w:t>un</w:t>
      </w:r>
      <w:r>
        <w:rPr>
          <w:spacing w:val="-13"/>
        </w:rPr>
        <w:t> </w:t>
      </w:r>
      <w:r>
        <w:rPr/>
        <w:t>cuerpo</w:t>
      </w:r>
      <w:r>
        <w:rPr>
          <w:spacing w:val="-13"/>
        </w:rPr>
        <w:t> </w:t>
      </w:r>
      <w:r>
        <w:rPr/>
        <w:t>extraño,</w:t>
      </w:r>
      <w:r>
        <w:rPr>
          <w:spacing w:val="-13"/>
        </w:rPr>
        <w:t> </w:t>
      </w:r>
      <w:r>
        <w:rPr/>
        <w:t>el</w:t>
      </w:r>
      <w:r>
        <w:rPr>
          <w:spacing w:val="-14"/>
        </w:rPr>
        <w:t> </w:t>
      </w:r>
      <w:r>
        <w:rPr/>
        <w:t>procedimiento</w:t>
      </w:r>
      <w:r>
        <w:rPr>
          <w:spacing w:val="-13"/>
        </w:rPr>
        <w:t> </w:t>
      </w:r>
      <w:r>
        <w:rPr/>
        <w:t>quirúrgico</w:t>
      </w:r>
      <w:r>
        <w:rPr>
          <w:spacing w:val="-13"/>
        </w:rPr>
        <w:t> </w:t>
      </w:r>
      <w:r>
        <w:rPr/>
        <w:t>removerá efectivamente</w:t>
      </w:r>
      <w:r>
        <w:rPr>
          <w:spacing w:val="-14"/>
        </w:rPr>
        <w:t> </w:t>
      </w:r>
      <w:r>
        <w:rPr/>
        <w:t>los</w:t>
      </w:r>
      <w:r>
        <w:rPr>
          <w:spacing w:val="-15"/>
        </w:rPr>
        <w:t> </w:t>
      </w:r>
      <w:r>
        <w:rPr/>
        <w:t>sitios</w:t>
      </w:r>
      <w:r>
        <w:rPr>
          <w:spacing w:val="-15"/>
        </w:rPr>
        <w:t> </w:t>
      </w:r>
      <w:r>
        <w:rPr/>
        <w:t>de</w:t>
      </w:r>
      <w:r>
        <w:rPr>
          <w:spacing w:val="-14"/>
        </w:rPr>
        <w:t> </w:t>
      </w:r>
      <w:r>
        <w:rPr/>
        <w:t>infección</w:t>
      </w:r>
      <w:r>
        <w:rPr>
          <w:spacing w:val="-14"/>
        </w:rPr>
        <w:t> </w:t>
      </w:r>
      <w:r>
        <w:rPr/>
        <w:t>y</w:t>
      </w:r>
      <w:r>
        <w:rPr>
          <w:spacing w:val="-17"/>
        </w:rPr>
        <w:t> </w:t>
      </w:r>
      <w:r>
        <w:rPr/>
        <w:t>aumentará</w:t>
      </w:r>
      <w:r>
        <w:rPr>
          <w:spacing w:val="-15"/>
        </w:rPr>
        <w:t> </w:t>
      </w:r>
      <w:r>
        <w:rPr/>
        <w:t>las</w:t>
      </w:r>
      <w:r>
        <w:rPr>
          <w:spacing w:val="-14"/>
        </w:rPr>
        <w:t> </w:t>
      </w:r>
      <w:r>
        <w:rPr/>
        <w:t>probabilidades</w:t>
      </w:r>
      <w:r>
        <w:rPr>
          <w:spacing w:val="-17"/>
        </w:rPr>
        <w:t> </w:t>
      </w:r>
      <w:r>
        <w:rPr/>
        <w:t>de</w:t>
      </w:r>
      <w:r>
        <w:rPr>
          <w:spacing w:val="-14"/>
        </w:rPr>
        <w:t> </w:t>
      </w:r>
      <w:r>
        <w:rPr/>
        <w:t>curación</w:t>
      </w:r>
      <w:r>
        <w:rPr>
          <w:spacing w:val="-14"/>
        </w:rPr>
        <w:t> </w:t>
      </w:r>
      <w:r>
        <w:rPr/>
        <w:t>(7).</w:t>
      </w:r>
    </w:p>
    <w:p>
      <w:pPr>
        <w:pStyle w:val="BodyText"/>
        <w:spacing w:line="360" w:lineRule="auto" w:before="204"/>
        <w:ind w:left="162" w:right="163"/>
        <w:jc w:val="both"/>
      </w:pPr>
      <w:r>
        <w:rPr/>
        <w:t>En la actualidad, el uso de técnicas de regeneración tisular guiada (RTG) ha sido propuesto como un complemento de la cirugía endodóntica para promover la curación ósea. Los principios de la RTG se han utilizado para restituir defectos óseos y periodontales (8). La ingeniería de tejidos o RTG implica el uso de las ciencias biológicas para desarrollar sustitutos biológicos y restaurar, mantener o mejorar la función de los tejidos (9). La regeneración de tejidos mediante el uso de barreras de membrana y/o materiales de injerto óseo en cirugía periapical es un ejemplo de ingeniería tisular guiada (9).</w:t>
      </w:r>
    </w:p>
    <w:p>
      <w:pPr>
        <w:pStyle w:val="BodyText"/>
        <w:spacing w:line="360" w:lineRule="auto" w:before="202"/>
        <w:ind w:left="162" w:right="155"/>
        <w:jc w:val="both"/>
      </w:pPr>
      <w:r>
        <w:rPr/>
        <w:t>En</w:t>
      </w:r>
      <w:r>
        <w:rPr>
          <w:spacing w:val="-4"/>
        </w:rPr>
        <w:t> </w:t>
      </w:r>
      <w:r>
        <w:rPr/>
        <w:t>años</w:t>
      </w:r>
      <w:r>
        <w:rPr>
          <w:spacing w:val="-7"/>
        </w:rPr>
        <w:t> </w:t>
      </w:r>
      <w:r>
        <w:rPr/>
        <w:t>recientes</w:t>
      </w:r>
      <w:r>
        <w:rPr>
          <w:spacing w:val="-7"/>
        </w:rPr>
        <w:t> </w:t>
      </w:r>
      <w:r>
        <w:rPr/>
        <w:t>el</w:t>
      </w:r>
      <w:r>
        <w:rPr>
          <w:spacing w:val="-5"/>
        </w:rPr>
        <w:t> </w:t>
      </w:r>
      <w:r>
        <w:rPr/>
        <w:t>plasma</w:t>
      </w:r>
      <w:r>
        <w:rPr>
          <w:spacing w:val="-6"/>
        </w:rPr>
        <w:t> </w:t>
      </w:r>
      <w:r>
        <w:rPr/>
        <w:t>rico</w:t>
      </w:r>
      <w:r>
        <w:rPr>
          <w:spacing w:val="-4"/>
        </w:rPr>
        <w:t> </w:t>
      </w:r>
      <w:r>
        <w:rPr/>
        <w:t>en</w:t>
      </w:r>
      <w:r>
        <w:rPr>
          <w:spacing w:val="-6"/>
        </w:rPr>
        <w:t> </w:t>
      </w:r>
      <w:r>
        <w:rPr/>
        <w:t>plaquetas</w:t>
      </w:r>
      <w:r>
        <w:rPr>
          <w:spacing w:val="-4"/>
        </w:rPr>
        <w:t> </w:t>
      </w:r>
      <w:r>
        <w:rPr/>
        <w:t>(PRP)</w:t>
      </w:r>
      <w:r>
        <w:rPr>
          <w:spacing w:val="-5"/>
        </w:rPr>
        <w:t> </w:t>
      </w:r>
      <w:r>
        <w:rPr/>
        <w:t>combinado</w:t>
      </w:r>
      <w:r>
        <w:rPr>
          <w:spacing w:val="-6"/>
        </w:rPr>
        <w:t> </w:t>
      </w:r>
      <w:r>
        <w:rPr/>
        <w:t>con</w:t>
      </w:r>
      <w:r>
        <w:rPr>
          <w:spacing w:val="-4"/>
        </w:rPr>
        <w:t> </w:t>
      </w:r>
      <w:r>
        <w:rPr/>
        <w:t>los</w:t>
      </w:r>
      <w:r>
        <w:rPr>
          <w:spacing w:val="-6"/>
        </w:rPr>
        <w:t> </w:t>
      </w:r>
      <w:r>
        <w:rPr/>
        <w:t>materiales de injerto ha sido implementado en cirugía oral con el propósito de incrementar el rango de curación en los procesos de regeneración ósea y periodontal debido a su alto contenido de factores de crecimiento (10,</w:t>
      </w:r>
      <w:r>
        <w:rPr>
          <w:spacing w:val="-14"/>
        </w:rPr>
        <w:t> </w:t>
      </w:r>
      <w:r>
        <w:rPr/>
        <w:t>11).</w:t>
      </w:r>
    </w:p>
    <w:p>
      <w:pPr>
        <w:pStyle w:val="BodyText"/>
        <w:spacing w:line="360" w:lineRule="auto" w:before="204"/>
        <w:ind w:left="162" w:right="156"/>
        <w:jc w:val="both"/>
      </w:pPr>
      <w:r>
        <w:rPr/>
        <w:t>La utilización de materiales autólogos para la regeneración de tejidos comenzó en 1965 cuando Marshall Urist describe la importancia de la proteína morfogenética ósea</w:t>
      </w:r>
      <w:r>
        <w:rPr>
          <w:spacing w:val="-18"/>
        </w:rPr>
        <w:t> </w:t>
      </w:r>
      <w:r>
        <w:rPr/>
        <w:t>(BMPs)</w:t>
      </w:r>
      <w:r>
        <w:rPr>
          <w:spacing w:val="-17"/>
        </w:rPr>
        <w:t> </w:t>
      </w:r>
      <w:r>
        <w:rPr/>
        <w:t>en</w:t>
      </w:r>
      <w:r>
        <w:rPr>
          <w:spacing w:val="-18"/>
        </w:rPr>
        <w:t> </w:t>
      </w:r>
      <w:r>
        <w:rPr/>
        <w:t>la</w:t>
      </w:r>
      <w:r>
        <w:rPr>
          <w:spacing w:val="-16"/>
        </w:rPr>
        <w:t> </w:t>
      </w:r>
      <w:r>
        <w:rPr/>
        <w:t>regeneración</w:t>
      </w:r>
      <w:r>
        <w:rPr>
          <w:spacing w:val="-18"/>
        </w:rPr>
        <w:t> </w:t>
      </w:r>
      <w:r>
        <w:rPr/>
        <w:t>de</w:t>
      </w:r>
      <w:r>
        <w:rPr>
          <w:spacing w:val="-18"/>
        </w:rPr>
        <w:t> </w:t>
      </w:r>
      <w:r>
        <w:rPr/>
        <w:t>tejidos</w:t>
      </w:r>
      <w:r>
        <w:rPr>
          <w:spacing w:val="-19"/>
        </w:rPr>
        <w:t> </w:t>
      </w:r>
      <w:r>
        <w:rPr/>
        <w:t>(12).</w:t>
      </w:r>
      <w:r>
        <w:rPr>
          <w:spacing w:val="-17"/>
        </w:rPr>
        <w:t> </w:t>
      </w:r>
      <w:r>
        <w:rPr/>
        <w:t>Más</w:t>
      </w:r>
      <w:r>
        <w:rPr>
          <w:spacing w:val="-16"/>
        </w:rPr>
        <w:t> </w:t>
      </w:r>
      <w:r>
        <w:rPr/>
        <w:t>tarde</w:t>
      </w:r>
      <w:r>
        <w:rPr>
          <w:spacing w:val="-18"/>
        </w:rPr>
        <w:t> </w:t>
      </w:r>
      <w:r>
        <w:rPr/>
        <w:t>Matras</w:t>
      </w:r>
      <w:r>
        <w:rPr>
          <w:spacing w:val="-19"/>
        </w:rPr>
        <w:t> </w:t>
      </w:r>
      <w:r>
        <w:rPr/>
        <w:t>en</w:t>
      </w:r>
      <w:r>
        <w:rPr>
          <w:spacing w:val="-16"/>
        </w:rPr>
        <w:t> </w:t>
      </w:r>
      <w:r>
        <w:rPr/>
        <w:t>1972</w:t>
      </w:r>
      <w:r>
        <w:rPr>
          <w:spacing w:val="-18"/>
        </w:rPr>
        <w:t> </w:t>
      </w:r>
      <w:r>
        <w:rPr/>
        <w:t>demostró la capacidad de la fibrina como adhesivo celular y con gran actividad hemostática (13), pero fue hasta 1990 que Gibble y col. describen el gel autólogo de fibrina con fines regenerativos (14). Simultáneamente Marx y col. describen una técnica de procesamiento de la sangre para obtener el PRP con la finalidad de aumentar la viabilidad de los injertos óseos (15). En 1999 Eduardo Anitua con el propósito de mejorar la técnica de Marx, realizó una serie de investigaciones para obtener un plasma</w:t>
      </w:r>
      <w:r>
        <w:rPr>
          <w:spacing w:val="-6"/>
        </w:rPr>
        <w:t> </w:t>
      </w:r>
      <w:r>
        <w:rPr/>
        <w:t>rico</w:t>
      </w:r>
      <w:r>
        <w:rPr>
          <w:spacing w:val="-6"/>
        </w:rPr>
        <w:t> </w:t>
      </w:r>
      <w:r>
        <w:rPr/>
        <w:t>en</w:t>
      </w:r>
      <w:r>
        <w:rPr>
          <w:spacing w:val="-8"/>
        </w:rPr>
        <w:t> </w:t>
      </w:r>
      <w:r>
        <w:rPr/>
        <w:t>factores</w:t>
      </w:r>
      <w:r>
        <w:rPr>
          <w:spacing w:val="-7"/>
        </w:rPr>
        <w:t> </w:t>
      </w:r>
      <w:r>
        <w:rPr/>
        <w:t>de</w:t>
      </w:r>
      <w:r>
        <w:rPr>
          <w:spacing w:val="-6"/>
        </w:rPr>
        <w:t> </w:t>
      </w:r>
      <w:r>
        <w:rPr/>
        <w:t>crecimiento</w:t>
      </w:r>
      <w:r>
        <w:rPr>
          <w:spacing w:val="-6"/>
        </w:rPr>
        <w:t> </w:t>
      </w:r>
      <w:r>
        <w:rPr/>
        <w:t>(PRGF)</w:t>
      </w:r>
      <w:r>
        <w:rPr>
          <w:spacing w:val="-8"/>
        </w:rPr>
        <w:t> </w:t>
      </w:r>
      <w:r>
        <w:rPr/>
        <w:t>con</w:t>
      </w:r>
      <w:r>
        <w:rPr>
          <w:spacing w:val="-6"/>
        </w:rPr>
        <w:t> </w:t>
      </w:r>
      <w:r>
        <w:rPr/>
        <w:t>una</w:t>
      </w:r>
      <w:r>
        <w:rPr>
          <w:spacing w:val="-6"/>
        </w:rPr>
        <w:t> </w:t>
      </w:r>
      <w:r>
        <w:rPr/>
        <w:t>cantidad</w:t>
      </w:r>
      <w:r>
        <w:rPr>
          <w:spacing w:val="-6"/>
        </w:rPr>
        <w:t> </w:t>
      </w:r>
      <w:r>
        <w:rPr/>
        <w:t>mínima</w:t>
      </w:r>
      <w:r>
        <w:rPr>
          <w:spacing w:val="1"/>
        </w:rPr>
        <w:t> </w:t>
      </w:r>
      <w:r>
        <w:rPr/>
        <w:t>de</w:t>
      </w:r>
      <w:r>
        <w:rPr>
          <w:spacing w:val="-6"/>
        </w:rPr>
        <w:t> </w:t>
      </w:r>
      <w:r>
        <w:rPr/>
        <w:t>sangre utilizando calcio para la activación plaquetaria y liberación de los factores de crecimiento contenidos en los gránulos alfa de las plaquetas (16, 17). En relación</w:t>
      </w:r>
      <w:r>
        <w:rPr>
          <w:spacing w:val="-34"/>
        </w:rPr>
        <w:t> </w:t>
      </w:r>
      <w:r>
        <w:rPr/>
        <w:t>a los materiales activadores de plaquetas se han sugerido la trombina bovina (puede presentar reacción inmunológica) y el cloruro de calcio (CaCl2), el cual causa </w:t>
      </w:r>
      <w:r>
        <w:rPr>
          <w:spacing w:val="45"/>
        </w:rPr>
        <w:t> </w:t>
      </w:r>
      <w:r>
        <w:rPr/>
        <w:t>lisis</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62"/>
        <w:jc w:val="both"/>
      </w:pPr>
      <w:r>
        <w:rPr/>
        <w:t>de</w:t>
      </w:r>
      <w:r>
        <w:rPr>
          <w:spacing w:val="-16"/>
        </w:rPr>
        <w:t> </w:t>
      </w:r>
      <w:r>
        <w:rPr/>
        <w:t>los</w:t>
      </w:r>
      <w:r>
        <w:rPr>
          <w:spacing w:val="-16"/>
        </w:rPr>
        <w:t> </w:t>
      </w:r>
      <w:r>
        <w:rPr/>
        <w:t>gránulos</w:t>
      </w:r>
      <w:r>
        <w:rPr>
          <w:spacing w:val="-18"/>
        </w:rPr>
        <w:t> </w:t>
      </w:r>
      <w:r>
        <w:rPr/>
        <w:t>plaquetarios</w:t>
      </w:r>
      <w:r>
        <w:rPr>
          <w:spacing w:val="-16"/>
        </w:rPr>
        <w:t> </w:t>
      </w:r>
      <w:r>
        <w:rPr/>
        <w:t>permitiendo</w:t>
      </w:r>
      <w:r>
        <w:rPr>
          <w:spacing w:val="-16"/>
        </w:rPr>
        <w:t> </w:t>
      </w:r>
      <w:r>
        <w:rPr/>
        <w:t>la</w:t>
      </w:r>
      <w:r>
        <w:rPr>
          <w:spacing w:val="-16"/>
        </w:rPr>
        <w:t> </w:t>
      </w:r>
      <w:r>
        <w:rPr/>
        <w:t>liberación</w:t>
      </w:r>
      <w:r>
        <w:rPr>
          <w:spacing w:val="-16"/>
        </w:rPr>
        <w:t> </w:t>
      </w:r>
      <w:r>
        <w:rPr/>
        <w:t>de</w:t>
      </w:r>
      <w:r>
        <w:rPr>
          <w:spacing w:val="-16"/>
        </w:rPr>
        <w:t> </w:t>
      </w:r>
      <w:r>
        <w:rPr/>
        <w:t>los</w:t>
      </w:r>
      <w:r>
        <w:rPr>
          <w:spacing w:val="-18"/>
        </w:rPr>
        <w:t> </w:t>
      </w:r>
      <w:r>
        <w:rPr/>
        <w:t>factores</w:t>
      </w:r>
      <w:r>
        <w:rPr>
          <w:spacing w:val="-19"/>
        </w:rPr>
        <w:t> </w:t>
      </w:r>
      <w:r>
        <w:rPr/>
        <w:t>de</w:t>
      </w:r>
      <w:r>
        <w:rPr>
          <w:spacing w:val="-16"/>
        </w:rPr>
        <w:t> </w:t>
      </w:r>
      <w:r>
        <w:rPr/>
        <w:t>crecimiento. Los factores de crecimiento estimulan varias funciones biológicas involucradas en los</w:t>
      </w:r>
      <w:r>
        <w:rPr>
          <w:spacing w:val="-8"/>
        </w:rPr>
        <w:t> </w:t>
      </w:r>
      <w:r>
        <w:rPr/>
        <w:t>procesos</w:t>
      </w:r>
      <w:r>
        <w:rPr>
          <w:spacing w:val="-10"/>
        </w:rPr>
        <w:t> </w:t>
      </w:r>
      <w:r>
        <w:rPr/>
        <w:t>de</w:t>
      </w:r>
      <w:r>
        <w:rPr>
          <w:spacing w:val="-10"/>
        </w:rPr>
        <w:t> </w:t>
      </w:r>
      <w:r>
        <w:rPr/>
        <w:t>curación</w:t>
      </w:r>
      <w:r>
        <w:rPr>
          <w:spacing w:val="-8"/>
        </w:rPr>
        <w:t> </w:t>
      </w:r>
      <w:r>
        <w:rPr/>
        <w:t>tales</w:t>
      </w:r>
      <w:r>
        <w:rPr>
          <w:spacing w:val="-8"/>
        </w:rPr>
        <w:t> </w:t>
      </w:r>
      <w:r>
        <w:rPr/>
        <w:t>como</w:t>
      </w:r>
      <w:r>
        <w:rPr>
          <w:spacing w:val="-8"/>
        </w:rPr>
        <w:t> </w:t>
      </w:r>
      <w:r>
        <w:rPr/>
        <w:t>la</w:t>
      </w:r>
      <w:r>
        <w:rPr>
          <w:spacing w:val="-8"/>
        </w:rPr>
        <w:t> </w:t>
      </w:r>
      <w:r>
        <w:rPr/>
        <w:t>quimiotaxis,</w:t>
      </w:r>
      <w:r>
        <w:rPr>
          <w:spacing w:val="-9"/>
        </w:rPr>
        <w:t> </w:t>
      </w:r>
      <w:r>
        <w:rPr/>
        <w:t>la</w:t>
      </w:r>
      <w:r>
        <w:rPr>
          <w:spacing w:val="-8"/>
        </w:rPr>
        <w:t> </w:t>
      </w:r>
      <w:r>
        <w:rPr/>
        <w:t>angiogénesis,</w:t>
      </w:r>
      <w:r>
        <w:rPr>
          <w:spacing w:val="-8"/>
        </w:rPr>
        <w:t> </w:t>
      </w:r>
      <w:r>
        <w:rPr/>
        <w:t>la</w:t>
      </w:r>
      <w:r>
        <w:rPr>
          <w:spacing w:val="-10"/>
        </w:rPr>
        <w:t> </w:t>
      </w:r>
      <w:r>
        <w:rPr/>
        <w:t>proliferación celular, la diferenciación y la modulación de mecanismos participantes en la regeneración de tejidos, beneficios que pueden ser aplicados al tratamiento de lesiones de origen endodóntico tratadas quirúrgicamente</w:t>
      </w:r>
      <w:r>
        <w:rPr>
          <w:spacing w:val="-26"/>
        </w:rPr>
        <w:t> </w:t>
      </w:r>
      <w:r>
        <w:rPr/>
        <w:t>(18).</w:t>
      </w:r>
    </w:p>
    <w:p>
      <w:pPr>
        <w:pStyle w:val="BodyText"/>
        <w:spacing w:line="360" w:lineRule="auto" w:before="204"/>
        <w:ind w:left="162" w:right="157"/>
        <w:jc w:val="both"/>
      </w:pPr>
      <w:r>
        <w:rPr/>
        <w:t>El reporte de los siguientes casos clínicos refieren el manejo de dos lesiones periapicales,</w:t>
      </w:r>
      <w:r>
        <w:rPr>
          <w:spacing w:val="-13"/>
        </w:rPr>
        <w:t> </w:t>
      </w:r>
      <w:r>
        <w:rPr/>
        <w:t>la</w:t>
      </w:r>
      <w:r>
        <w:rPr>
          <w:spacing w:val="-15"/>
        </w:rPr>
        <w:t> </w:t>
      </w:r>
      <w:r>
        <w:rPr/>
        <w:t>primera</w:t>
      </w:r>
      <w:r>
        <w:rPr>
          <w:spacing w:val="-13"/>
        </w:rPr>
        <w:t> </w:t>
      </w:r>
      <w:r>
        <w:rPr/>
        <w:t>originada</w:t>
      </w:r>
      <w:r>
        <w:rPr>
          <w:spacing w:val="-15"/>
        </w:rPr>
        <w:t> </w:t>
      </w:r>
      <w:r>
        <w:rPr/>
        <w:t>por</w:t>
      </w:r>
      <w:r>
        <w:rPr>
          <w:spacing w:val="-17"/>
        </w:rPr>
        <w:t> </w:t>
      </w:r>
      <w:r>
        <w:rPr/>
        <w:t>una</w:t>
      </w:r>
      <w:r>
        <w:rPr>
          <w:spacing w:val="-13"/>
        </w:rPr>
        <w:t> </w:t>
      </w:r>
      <w:r>
        <w:rPr/>
        <w:t>infección</w:t>
      </w:r>
      <w:r>
        <w:rPr>
          <w:spacing w:val="-12"/>
        </w:rPr>
        <w:t> </w:t>
      </w:r>
      <w:r>
        <w:rPr/>
        <w:t>recurrente</w:t>
      </w:r>
      <w:r>
        <w:rPr>
          <w:spacing w:val="-13"/>
        </w:rPr>
        <w:t> </w:t>
      </w:r>
      <w:r>
        <w:rPr/>
        <w:t>después</w:t>
      </w:r>
      <w:r>
        <w:rPr>
          <w:spacing w:val="-16"/>
        </w:rPr>
        <w:t> </w:t>
      </w:r>
      <w:r>
        <w:rPr/>
        <w:t>de</w:t>
      </w:r>
      <w:r>
        <w:rPr>
          <w:spacing w:val="-13"/>
        </w:rPr>
        <w:t> </w:t>
      </w:r>
      <w:r>
        <w:rPr/>
        <w:t>realizado un</w:t>
      </w:r>
      <w:r>
        <w:rPr>
          <w:spacing w:val="-19"/>
        </w:rPr>
        <w:t> </w:t>
      </w:r>
      <w:r>
        <w:rPr/>
        <w:t>tratamiento</w:t>
      </w:r>
      <w:r>
        <w:rPr>
          <w:spacing w:val="-18"/>
        </w:rPr>
        <w:t> </w:t>
      </w:r>
      <w:r>
        <w:rPr/>
        <w:t>endodóntico</w:t>
      </w:r>
      <w:r>
        <w:rPr>
          <w:spacing w:val="-17"/>
        </w:rPr>
        <w:t> </w:t>
      </w:r>
      <w:r>
        <w:rPr/>
        <w:t>convencional</w:t>
      </w:r>
      <w:r>
        <w:rPr>
          <w:spacing w:val="-18"/>
        </w:rPr>
        <w:t> </w:t>
      </w:r>
      <w:r>
        <w:rPr/>
        <w:t>y</w:t>
      </w:r>
      <w:r>
        <w:rPr>
          <w:spacing w:val="-20"/>
        </w:rPr>
        <w:t> </w:t>
      </w:r>
      <w:r>
        <w:rPr/>
        <w:t>la</w:t>
      </w:r>
      <w:r>
        <w:rPr>
          <w:spacing w:val="-22"/>
        </w:rPr>
        <w:t> </w:t>
      </w:r>
      <w:r>
        <w:rPr/>
        <w:t>segunda</w:t>
      </w:r>
      <w:r>
        <w:rPr>
          <w:spacing w:val="-19"/>
        </w:rPr>
        <w:t> </w:t>
      </w:r>
      <w:r>
        <w:rPr/>
        <w:t>generada</w:t>
      </w:r>
      <w:r>
        <w:rPr>
          <w:spacing w:val="-19"/>
        </w:rPr>
        <w:t> </w:t>
      </w:r>
      <w:r>
        <w:rPr/>
        <w:t>por</w:t>
      </w:r>
      <w:r>
        <w:rPr>
          <w:spacing w:val="-20"/>
        </w:rPr>
        <w:t> </w:t>
      </w:r>
      <w:r>
        <w:rPr/>
        <w:t>necrosis</w:t>
      </w:r>
      <w:r>
        <w:rPr>
          <w:spacing w:val="-20"/>
        </w:rPr>
        <w:t> </w:t>
      </w:r>
      <w:r>
        <w:rPr/>
        <w:t>pulpar en un diente con restauración coronal deficiente, ambas fueron tratadas quirúrgicamente</w:t>
      </w:r>
      <w:r>
        <w:rPr>
          <w:spacing w:val="-16"/>
        </w:rPr>
        <w:t> </w:t>
      </w:r>
      <w:r>
        <w:rPr/>
        <w:t>para</w:t>
      </w:r>
      <w:r>
        <w:rPr>
          <w:spacing w:val="-17"/>
        </w:rPr>
        <w:t> </w:t>
      </w:r>
      <w:r>
        <w:rPr/>
        <w:t>eliminar</w:t>
      </w:r>
      <w:r>
        <w:rPr>
          <w:spacing w:val="-16"/>
        </w:rPr>
        <w:t> </w:t>
      </w:r>
      <w:r>
        <w:rPr/>
        <w:t>la</w:t>
      </w:r>
      <w:r>
        <w:rPr>
          <w:spacing w:val="-17"/>
        </w:rPr>
        <w:t> </w:t>
      </w:r>
      <w:r>
        <w:rPr/>
        <w:t>infección</w:t>
      </w:r>
      <w:r>
        <w:rPr>
          <w:spacing w:val="-17"/>
        </w:rPr>
        <w:t> </w:t>
      </w:r>
      <w:r>
        <w:rPr/>
        <w:t>extraradicular</w:t>
      </w:r>
      <w:r>
        <w:rPr>
          <w:spacing w:val="-16"/>
        </w:rPr>
        <w:t> </w:t>
      </w:r>
      <w:r>
        <w:rPr/>
        <w:t>y</w:t>
      </w:r>
      <w:r>
        <w:rPr>
          <w:spacing w:val="-17"/>
        </w:rPr>
        <w:t> </w:t>
      </w:r>
      <w:r>
        <w:rPr/>
        <w:t>promover</w:t>
      </w:r>
      <w:r>
        <w:rPr>
          <w:spacing w:val="-16"/>
        </w:rPr>
        <w:t> </w:t>
      </w:r>
      <w:r>
        <w:rPr/>
        <w:t>la</w:t>
      </w:r>
      <w:r>
        <w:rPr>
          <w:spacing w:val="-14"/>
        </w:rPr>
        <w:t> </w:t>
      </w:r>
      <w:r>
        <w:rPr/>
        <w:t>regeneración del tejido periodontal y óseo tras la aplicación de injerto de hueso liofilizado en combinación con</w:t>
      </w:r>
      <w:r>
        <w:rPr>
          <w:spacing w:val="-9"/>
        </w:rPr>
        <w:t> </w:t>
      </w:r>
      <w:r>
        <w:rPr/>
        <w:t>PRGF.</w:t>
      </w:r>
    </w:p>
    <w:p>
      <w:pPr>
        <w:spacing w:after="0" w:line="360" w:lineRule="auto"/>
        <w:jc w:val="both"/>
        <w:sectPr>
          <w:pgSz w:w="12240" w:h="15840"/>
          <w:pgMar w:header="744" w:footer="1572" w:top="1080" w:bottom="1760" w:left="1540" w:right="1540"/>
        </w:sectPr>
      </w:pPr>
    </w:p>
    <w:p>
      <w:pPr>
        <w:pStyle w:val="BodyText"/>
        <w:spacing w:before="6"/>
        <w:rPr>
          <w:sz w:val="21"/>
        </w:rPr>
      </w:pPr>
    </w:p>
    <w:p>
      <w:pPr>
        <w:pStyle w:val="Heading1"/>
        <w:numPr>
          <w:ilvl w:val="0"/>
          <w:numId w:val="2"/>
        </w:numPr>
        <w:tabs>
          <w:tab w:pos="882" w:val="left" w:leader="none"/>
        </w:tabs>
        <w:spacing w:line="240" w:lineRule="auto" w:before="70" w:after="0"/>
        <w:ind w:left="882" w:right="0" w:hanging="360"/>
        <w:jc w:val="left"/>
      </w:pPr>
      <w:bookmarkStart w:name="_bookmark1" w:id="3"/>
      <w:bookmarkEnd w:id="3"/>
      <w:r>
        <w:rPr>
          <w:b w:val="0"/>
        </w:rPr>
      </w:r>
      <w:bookmarkStart w:name="_bookmark1" w:id="4"/>
      <w:bookmarkEnd w:id="4"/>
      <w:r>
        <w:rPr/>
        <w:t>A</w:t>
      </w:r>
      <w:r>
        <w:rPr/>
        <w:t>NTECEDENTES</w:t>
      </w:r>
    </w:p>
    <w:p>
      <w:pPr>
        <w:pStyle w:val="BodyText"/>
        <w:spacing w:before="2"/>
        <w:rPr>
          <w:b/>
          <w:sz w:val="29"/>
        </w:rPr>
      </w:pPr>
    </w:p>
    <w:p>
      <w:pPr>
        <w:pStyle w:val="Heading1"/>
        <w:numPr>
          <w:ilvl w:val="1"/>
          <w:numId w:val="3"/>
        </w:numPr>
        <w:tabs>
          <w:tab w:pos="633" w:val="left" w:leader="none"/>
        </w:tabs>
        <w:spacing w:line="240" w:lineRule="auto" w:before="1" w:after="0"/>
        <w:ind w:left="632" w:right="0" w:hanging="470"/>
        <w:jc w:val="both"/>
      </w:pPr>
      <w:bookmarkStart w:name="_bookmark2" w:id="5"/>
      <w:bookmarkEnd w:id="5"/>
      <w:r>
        <w:rPr>
          <w:b w:val="0"/>
        </w:rPr>
      </w:r>
      <w:bookmarkStart w:name="_bookmark2" w:id="6"/>
      <w:bookmarkEnd w:id="6"/>
      <w:r>
        <w:rPr/>
        <w:t>F</w:t>
      </w:r>
      <w:r>
        <w:rPr/>
        <w:t>actores Asociados al Fracaso del Tratamiento</w:t>
      </w:r>
      <w:r>
        <w:rPr>
          <w:spacing w:val="-25"/>
        </w:rPr>
        <w:t> </w:t>
      </w:r>
      <w:r>
        <w:rPr/>
        <w:t>Endodóntico</w:t>
      </w:r>
    </w:p>
    <w:p>
      <w:pPr>
        <w:pStyle w:val="BodyText"/>
        <w:spacing w:before="6"/>
        <w:rPr>
          <w:b/>
          <w:sz w:val="22"/>
        </w:rPr>
      </w:pPr>
    </w:p>
    <w:p>
      <w:pPr>
        <w:pStyle w:val="BodyText"/>
        <w:spacing w:line="360" w:lineRule="auto"/>
        <w:ind w:left="162" w:right="154"/>
        <w:jc w:val="both"/>
      </w:pPr>
      <w:r>
        <w:rPr/>
        <w:t>La clave del éxito en el tratamiento endodóntico es el completo desbridamiento del sistema de conductos de tejido pulpar vital, infectado o necrótico y la obtención del completo sellado del espacio del conducto para prevenir la generación y persistencia de infección y/o reinfección de la cavidad pulpar. Numerosos factores han sido asociados al fracaso del tratamiento endodóntico. Estos incluyen cultivos positivos,</w:t>
      </w:r>
      <w:r>
        <w:rPr>
          <w:spacing w:val="-11"/>
        </w:rPr>
        <w:t> </w:t>
      </w:r>
      <w:r>
        <w:rPr/>
        <w:t>tejido</w:t>
      </w:r>
      <w:r>
        <w:rPr>
          <w:spacing w:val="-13"/>
        </w:rPr>
        <w:t> </w:t>
      </w:r>
      <w:r>
        <w:rPr/>
        <w:t>pulpar</w:t>
      </w:r>
      <w:r>
        <w:rPr>
          <w:spacing w:val="-14"/>
        </w:rPr>
        <w:t> </w:t>
      </w:r>
      <w:r>
        <w:rPr/>
        <w:t>necrótico</w:t>
      </w:r>
      <w:r>
        <w:rPr>
          <w:spacing w:val="-13"/>
        </w:rPr>
        <w:t> </w:t>
      </w:r>
      <w:r>
        <w:rPr/>
        <w:t>residual,</w:t>
      </w:r>
      <w:r>
        <w:rPr>
          <w:spacing w:val="-14"/>
        </w:rPr>
        <w:t> </w:t>
      </w:r>
      <w:r>
        <w:rPr/>
        <w:t>fractura</w:t>
      </w:r>
      <w:r>
        <w:rPr>
          <w:spacing w:val="-11"/>
        </w:rPr>
        <w:t> </w:t>
      </w:r>
      <w:r>
        <w:rPr/>
        <w:t>de</w:t>
      </w:r>
      <w:r>
        <w:rPr>
          <w:spacing w:val="-10"/>
        </w:rPr>
        <w:t> </w:t>
      </w:r>
      <w:r>
        <w:rPr/>
        <w:t>instrumentos,</w:t>
      </w:r>
      <w:r>
        <w:rPr>
          <w:spacing w:val="-11"/>
        </w:rPr>
        <w:t> </w:t>
      </w:r>
      <w:r>
        <w:rPr/>
        <w:t>sobreobturación del conducto radicular, perforaciones, fracturas radiculares, presencia de lesiones perirradiculares y enfermedad periodontal entre otros</w:t>
      </w:r>
      <w:r>
        <w:rPr>
          <w:spacing w:val="-16"/>
        </w:rPr>
        <w:t> </w:t>
      </w:r>
      <w:r>
        <w:rPr/>
        <w:t>(3).</w:t>
      </w:r>
    </w:p>
    <w:p>
      <w:pPr>
        <w:pStyle w:val="Heading1"/>
        <w:numPr>
          <w:ilvl w:val="2"/>
          <w:numId w:val="3"/>
        </w:numPr>
        <w:tabs>
          <w:tab w:pos="832" w:val="left" w:leader="none"/>
        </w:tabs>
        <w:spacing w:line="240" w:lineRule="auto" w:before="204" w:after="0"/>
        <w:ind w:left="831" w:right="0" w:hanging="669"/>
        <w:jc w:val="both"/>
      </w:pPr>
      <w:bookmarkStart w:name="_bookmark3" w:id="7"/>
      <w:bookmarkEnd w:id="7"/>
      <w:r>
        <w:rPr>
          <w:b w:val="0"/>
        </w:rPr>
      </w:r>
      <w:bookmarkStart w:name="_bookmark3" w:id="8"/>
      <w:bookmarkEnd w:id="8"/>
      <w:r>
        <w:rPr/>
        <w:t>P</w:t>
      </w:r>
      <w:r>
        <w:rPr/>
        <w:t>ersistencia de la infección en el conducto</w:t>
      </w:r>
      <w:r>
        <w:rPr>
          <w:spacing w:val="-11"/>
        </w:rPr>
        <w:t> </w:t>
      </w:r>
      <w:r>
        <w:rPr/>
        <w:t>radicular</w:t>
      </w:r>
    </w:p>
    <w:p>
      <w:pPr>
        <w:pStyle w:val="BodyText"/>
        <w:spacing w:before="4"/>
        <w:rPr>
          <w:b/>
          <w:sz w:val="29"/>
        </w:rPr>
      </w:pPr>
    </w:p>
    <w:p>
      <w:pPr>
        <w:pStyle w:val="BodyText"/>
        <w:spacing w:line="360" w:lineRule="auto" w:before="1"/>
        <w:ind w:left="162" w:right="156"/>
        <w:jc w:val="both"/>
      </w:pPr>
      <w:r>
        <w:rPr/>
        <w:t>Clínicamente el fracaso endodóntico es determinado con base en hallazgos radiográficos y signos o síntomas clínicos en el diente tratado (3,4). Radiográficamente,</w:t>
      </w:r>
      <w:r>
        <w:rPr>
          <w:spacing w:val="-18"/>
        </w:rPr>
        <w:t> </w:t>
      </w:r>
      <w:r>
        <w:rPr/>
        <w:t>una</w:t>
      </w:r>
      <w:r>
        <w:rPr>
          <w:spacing w:val="-16"/>
        </w:rPr>
        <w:t> </w:t>
      </w:r>
      <w:r>
        <w:rPr/>
        <w:t>buena</w:t>
      </w:r>
      <w:r>
        <w:rPr>
          <w:spacing w:val="-18"/>
        </w:rPr>
        <w:t> </w:t>
      </w:r>
      <w:r>
        <w:rPr/>
        <w:t>obturación</w:t>
      </w:r>
      <w:r>
        <w:rPr>
          <w:spacing w:val="-17"/>
        </w:rPr>
        <w:t> </w:t>
      </w:r>
      <w:r>
        <w:rPr/>
        <w:t>del</w:t>
      </w:r>
      <w:r>
        <w:rPr>
          <w:spacing w:val="-16"/>
        </w:rPr>
        <w:t> </w:t>
      </w:r>
      <w:r>
        <w:rPr/>
        <w:t>conducto</w:t>
      </w:r>
      <w:r>
        <w:rPr>
          <w:spacing w:val="-16"/>
        </w:rPr>
        <w:t> </w:t>
      </w:r>
      <w:r>
        <w:rPr/>
        <w:t>no</w:t>
      </w:r>
      <w:r>
        <w:rPr>
          <w:spacing w:val="-18"/>
        </w:rPr>
        <w:t> </w:t>
      </w:r>
      <w:r>
        <w:rPr/>
        <w:t>necesariamente</w:t>
      </w:r>
      <w:r>
        <w:rPr>
          <w:spacing w:val="-17"/>
        </w:rPr>
        <w:t> </w:t>
      </w:r>
      <w:r>
        <w:rPr/>
        <w:t>asegura la limpieza completa y/o llenado tridimensional del espacio del conducto radicular. Esto está fuertemente soportado por estudios histológicos donde se encontró que parte del conducto radicular usualmente no es tocado durante el desbridamiento químico-mecánico</w:t>
      </w:r>
      <w:r>
        <w:rPr>
          <w:spacing w:val="-7"/>
        </w:rPr>
        <w:t> </w:t>
      </w:r>
      <w:r>
        <w:rPr/>
        <w:t>dejando</w:t>
      </w:r>
      <w:r>
        <w:rPr>
          <w:spacing w:val="-7"/>
        </w:rPr>
        <w:t> </w:t>
      </w:r>
      <w:r>
        <w:rPr/>
        <w:t>áreas</w:t>
      </w:r>
      <w:r>
        <w:rPr>
          <w:spacing w:val="-8"/>
        </w:rPr>
        <w:t> </w:t>
      </w:r>
      <w:r>
        <w:rPr/>
        <w:t>con</w:t>
      </w:r>
      <w:r>
        <w:rPr>
          <w:spacing w:val="-7"/>
        </w:rPr>
        <w:t> </w:t>
      </w:r>
      <w:r>
        <w:rPr/>
        <w:t>contenido</w:t>
      </w:r>
      <w:r>
        <w:rPr>
          <w:spacing w:val="-7"/>
        </w:rPr>
        <w:t> </w:t>
      </w:r>
      <w:r>
        <w:rPr/>
        <w:t>de</w:t>
      </w:r>
      <w:r>
        <w:rPr>
          <w:spacing w:val="-7"/>
        </w:rPr>
        <w:t> </w:t>
      </w:r>
      <w:r>
        <w:rPr/>
        <w:t>tejido</w:t>
      </w:r>
      <w:r>
        <w:rPr>
          <w:spacing w:val="-7"/>
        </w:rPr>
        <w:t> </w:t>
      </w:r>
      <w:r>
        <w:rPr/>
        <w:t>inflamado</w:t>
      </w:r>
      <w:r>
        <w:rPr>
          <w:spacing w:val="-9"/>
        </w:rPr>
        <w:t> </w:t>
      </w:r>
      <w:r>
        <w:rPr/>
        <w:t>o</w:t>
      </w:r>
      <w:r>
        <w:rPr>
          <w:spacing w:val="-7"/>
        </w:rPr>
        <w:t> </w:t>
      </w:r>
      <w:r>
        <w:rPr/>
        <w:t>necrótico</w:t>
      </w:r>
      <w:r>
        <w:rPr>
          <w:spacing w:val="-7"/>
        </w:rPr>
        <w:t> </w:t>
      </w:r>
      <w:r>
        <w:rPr>
          <w:spacing w:val="-2"/>
        </w:rPr>
        <w:t>que </w:t>
      </w:r>
      <w:r>
        <w:rPr/>
        <w:t>sirve de sustrato a las bacterias (3). La infección persistente es causada por microorganismos que permanecen después de la desinfección intrarradicular sobreviviendo en los conductos obturados. Las infecciones secundarias son originadas generalmente por microorganismos introducidos vía conducto por una asepsia insuficiente durante el tratamiento o filtración vía coronal en tratamientos expuestos a la cavidad oral (5). Cuando se han aplicado técnicas anaeróbicas estrictas</w:t>
      </w:r>
      <w:r>
        <w:rPr>
          <w:spacing w:val="-15"/>
        </w:rPr>
        <w:t> </w:t>
      </w:r>
      <w:r>
        <w:rPr/>
        <w:t>para</w:t>
      </w:r>
      <w:r>
        <w:rPr>
          <w:spacing w:val="-15"/>
        </w:rPr>
        <w:t> </w:t>
      </w:r>
      <w:r>
        <w:rPr/>
        <w:t>la</w:t>
      </w:r>
      <w:r>
        <w:rPr>
          <w:spacing w:val="-14"/>
        </w:rPr>
        <w:t> </w:t>
      </w:r>
      <w:r>
        <w:rPr/>
        <w:t>obtención</w:t>
      </w:r>
      <w:r>
        <w:rPr>
          <w:spacing w:val="-11"/>
        </w:rPr>
        <w:t> </w:t>
      </w:r>
      <w:r>
        <w:rPr/>
        <w:t>de</w:t>
      </w:r>
      <w:r>
        <w:rPr>
          <w:spacing w:val="-14"/>
        </w:rPr>
        <w:t> </w:t>
      </w:r>
      <w:r>
        <w:rPr/>
        <w:t>muestras</w:t>
      </w:r>
      <w:r>
        <w:rPr>
          <w:spacing w:val="-15"/>
        </w:rPr>
        <w:t> </w:t>
      </w:r>
      <w:r>
        <w:rPr/>
        <w:t>endodónticas,</w:t>
      </w:r>
      <w:r>
        <w:rPr>
          <w:spacing w:val="-14"/>
        </w:rPr>
        <w:t> </w:t>
      </w:r>
      <w:r>
        <w:rPr/>
        <w:t>se</w:t>
      </w:r>
      <w:r>
        <w:rPr>
          <w:spacing w:val="-14"/>
        </w:rPr>
        <w:t> </w:t>
      </w:r>
      <w:r>
        <w:rPr/>
        <w:t>encontró</w:t>
      </w:r>
      <w:r>
        <w:rPr>
          <w:spacing w:val="-12"/>
        </w:rPr>
        <w:t> </w:t>
      </w:r>
      <w:r>
        <w:rPr/>
        <w:t>que</w:t>
      </w:r>
      <w:r>
        <w:rPr>
          <w:spacing w:val="-12"/>
        </w:rPr>
        <w:t> </w:t>
      </w:r>
      <w:r>
        <w:rPr/>
        <w:t>las</w:t>
      </w:r>
      <w:r>
        <w:rPr>
          <w:spacing w:val="-14"/>
        </w:rPr>
        <w:t> </w:t>
      </w:r>
      <w:r>
        <w:rPr/>
        <w:t>bacterias anaerobias obligadas eran dominantes en los conductos radiculares infectados y podrían constituir el 90% de la flora, por lo tanto las bacterias tienen un papel decisivo en el desarrollo de la periodontitis apical post-tratamiento</w:t>
      </w:r>
      <w:r>
        <w:rPr>
          <w:spacing w:val="-25"/>
        </w:rPr>
        <w:t> </w:t>
      </w:r>
      <w:r>
        <w:rPr/>
        <w:t>(1).</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61"/>
        <w:jc w:val="both"/>
      </w:pPr>
      <w:r>
        <w:rPr/>
        <w:t>Kakehashi</w:t>
      </w:r>
      <w:r>
        <w:rPr>
          <w:spacing w:val="-17"/>
        </w:rPr>
        <w:t> </w:t>
      </w:r>
      <w:r>
        <w:rPr/>
        <w:t>et</w:t>
      </w:r>
      <w:r>
        <w:rPr>
          <w:spacing w:val="-16"/>
        </w:rPr>
        <w:t> </w:t>
      </w:r>
      <w:r>
        <w:rPr/>
        <w:t>al.</w:t>
      </w:r>
      <w:r>
        <w:rPr>
          <w:spacing w:val="-16"/>
        </w:rPr>
        <w:t> </w:t>
      </w:r>
      <w:r>
        <w:rPr/>
        <w:t>(19)</w:t>
      </w:r>
      <w:r>
        <w:rPr>
          <w:spacing w:val="-17"/>
        </w:rPr>
        <w:t> </w:t>
      </w:r>
      <w:r>
        <w:rPr/>
        <w:t>expusieron</w:t>
      </w:r>
      <w:r>
        <w:rPr>
          <w:spacing w:val="-16"/>
        </w:rPr>
        <w:t> </w:t>
      </w:r>
      <w:r>
        <w:rPr/>
        <w:t>pulpas</w:t>
      </w:r>
      <w:r>
        <w:rPr>
          <w:spacing w:val="-16"/>
        </w:rPr>
        <w:t> </w:t>
      </w:r>
      <w:r>
        <w:rPr/>
        <w:t>dentales</w:t>
      </w:r>
      <w:r>
        <w:rPr>
          <w:spacing w:val="-16"/>
        </w:rPr>
        <w:t> </w:t>
      </w:r>
      <w:r>
        <w:rPr/>
        <w:t>de</w:t>
      </w:r>
      <w:r>
        <w:rPr>
          <w:spacing w:val="-16"/>
        </w:rPr>
        <w:t> </w:t>
      </w:r>
      <w:r>
        <w:rPr/>
        <w:t>ratas</w:t>
      </w:r>
      <w:r>
        <w:rPr>
          <w:spacing w:val="-16"/>
        </w:rPr>
        <w:t> </w:t>
      </w:r>
      <w:r>
        <w:rPr/>
        <w:t>libres</w:t>
      </w:r>
      <w:r>
        <w:rPr>
          <w:spacing w:val="-16"/>
        </w:rPr>
        <w:t> </w:t>
      </w:r>
      <w:r>
        <w:rPr/>
        <w:t>de</w:t>
      </w:r>
      <w:r>
        <w:rPr>
          <w:spacing w:val="-16"/>
        </w:rPr>
        <w:t> </w:t>
      </w:r>
      <w:r>
        <w:rPr/>
        <w:t>gérmenes</w:t>
      </w:r>
      <w:r>
        <w:rPr>
          <w:spacing w:val="-16"/>
        </w:rPr>
        <w:t> </w:t>
      </w:r>
      <w:r>
        <w:rPr/>
        <w:t>y</w:t>
      </w:r>
      <w:r>
        <w:rPr>
          <w:spacing w:val="-19"/>
        </w:rPr>
        <w:t> </w:t>
      </w:r>
      <w:r>
        <w:rPr/>
        <w:t>ratas con</w:t>
      </w:r>
      <w:r>
        <w:rPr>
          <w:spacing w:val="-6"/>
        </w:rPr>
        <w:t> </w:t>
      </w:r>
      <w:r>
        <w:rPr/>
        <w:t>de</w:t>
      </w:r>
      <w:r>
        <w:rPr>
          <w:spacing w:val="-6"/>
        </w:rPr>
        <w:t> </w:t>
      </w:r>
      <w:r>
        <w:rPr/>
        <w:t>gérmenes</w:t>
      </w:r>
      <w:r>
        <w:rPr>
          <w:spacing w:val="-7"/>
        </w:rPr>
        <w:t> </w:t>
      </w:r>
      <w:r>
        <w:rPr/>
        <w:t>a</w:t>
      </w:r>
      <w:r>
        <w:rPr>
          <w:spacing w:val="-4"/>
        </w:rPr>
        <w:t> </w:t>
      </w:r>
      <w:r>
        <w:rPr/>
        <w:t>la</w:t>
      </w:r>
      <w:r>
        <w:rPr>
          <w:spacing w:val="-9"/>
        </w:rPr>
        <w:t> </w:t>
      </w:r>
      <w:r>
        <w:rPr/>
        <w:t>cavidad</w:t>
      </w:r>
      <w:r>
        <w:rPr>
          <w:spacing w:val="-6"/>
        </w:rPr>
        <w:t> </w:t>
      </w:r>
      <w:r>
        <w:rPr/>
        <w:t>oral.</w:t>
      </w:r>
      <w:r>
        <w:rPr>
          <w:spacing w:val="-7"/>
        </w:rPr>
        <w:t> </w:t>
      </w:r>
      <w:r>
        <w:rPr/>
        <w:t>Reportaron</w:t>
      </w:r>
      <w:r>
        <w:rPr>
          <w:spacing w:val="-6"/>
        </w:rPr>
        <w:t> </w:t>
      </w:r>
      <w:r>
        <w:rPr/>
        <w:t>que</w:t>
      </w:r>
      <w:r>
        <w:rPr>
          <w:spacing w:val="-6"/>
        </w:rPr>
        <w:t> </w:t>
      </w:r>
      <w:r>
        <w:rPr/>
        <w:t>la</w:t>
      </w:r>
      <w:r>
        <w:rPr>
          <w:spacing w:val="-6"/>
        </w:rPr>
        <w:t> </w:t>
      </w:r>
      <w:r>
        <w:rPr/>
        <w:t>necrosis</w:t>
      </w:r>
      <w:r>
        <w:rPr>
          <w:spacing w:val="-7"/>
        </w:rPr>
        <w:t> </w:t>
      </w:r>
      <w:r>
        <w:rPr/>
        <w:t>pulpar</w:t>
      </w:r>
      <w:r>
        <w:rPr>
          <w:spacing w:val="-7"/>
        </w:rPr>
        <w:t> </w:t>
      </w:r>
      <w:r>
        <w:rPr/>
        <w:t>y</w:t>
      </w:r>
      <w:r>
        <w:rPr>
          <w:spacing w:val="-9"/>
        </w:rPr>
        <w:t> </w:t>
      </w:r>
      <w:r>
        <w:rPr/>
        <w:t>la</w:t>
      </w:r>
      <w:r>
        <w:rPr>
          <w:spacing w:val="-6"/>
        </w:rPr>
        <w:t> </w:t>
      </w:r>
      <w:r>
        <w:rPr/>
        <w:t>aparición de lesiones perirradiculares se desarrollaban solamente en las ratas con</w:t>
      </w:r>
      <w:r>
        <w:rPr>
          <w:spacing w:val="-39"/>
        </w:rPr>
        <w:t> </w:t>
      </w:r>
      <w:r>
        <w:rPr/>
        <w:t>gérmenes cuya pulpa dental fue expuesta a la cavidad oral mientras que en aquellas que se mantuvieron</w:t>
      </w:r>
      <w:r>
        <w:rPr>
          <w:spacing w:val="-7"/>
        </w:rPr>
        <w:t> </w:t>
      </w:r>
      <w:r>
        <w:rPr/>
        <w:t>libres</w:t>
      </w:r>
      <w:r>
        <w:rPr>
          <w:spacing w:val="-8"/>
        </w:rPr>
        <w:t> </w:t>
      </w:r>
      <w:r>
        <w:rPr/>
        <w:t>de</w:t>
      </w:r>
      <w:r>
        <w:rPr>
          <w:spacing w:val="-9"/>
        </w:rPr>
        <w:t> </w:t>
      </w:r>
      <w:r>
        <w:rPr/>
        <w:t>gérmenes</w:t>
      </w:r>
      <w:r>
        <w:rPr>
          <w:spacing w:val="-10"/>
        </w:rPr>
        <w:t> </w:t>
      </w:r>
      <w:r>
        <w:rPr/>
        <w:t>había</w:t>
      </w:r>
      <w:r>
        <w:rPr>
          <w:spacing w:val="-7"/>
        </w:rPr>
        <w:t> </w:t>
      </w:r>
      <w:r>
        <w:rPr/>
        <w:t>reparación</w:t>
      </w:r>
      <w:r>
        <w:rPr>
          <w:spacing w:val="-7"/>
        </w:rPr>
        <w:t> </w:t>
      </w:r>
      <w:r>
        <w:rPr/>
        <w:t>de</w:t>
      </w:r>
      <w:r>
        <w:rPr>
          <w:spacing w:val="-7"/>
        </w:rPr>
        <w:t> </w:t>
      </w:r>
      <w:r>
        <w:rPr/>
        <w:t>la</w:t>
      </w:r>
      <w:r>
        <w:rPr>
          <w:spacing w:val="-7"/>
        </w:rPr>
        <w:t> </w:t>
      </w:r>
      <w:r>
        <w:rPr/>
        <w:t>lesión</w:t>
      </w:r>
      <w:r>
        <w:rPr>
          <w:spacing w:val="-7"/>
        </w:rPr>
        <w:t> </w:t>
      </w:r>
      <w:r>
        <w:rPr/>
        <w:t>pulpar</w:t>
      </w:r>
      <w:r>
        <w:rPr>
          <w:spacing w:val="-8"/>
        </w:rPr>
        <w:t> </w:t>
      </w:r>
      <w:r>
        <w:rPr/>
        <w:t>con</w:t>
      </w:r>
      <w:r>
        <w:rPr>
          <w:spacing w:val="-9"/>
        </w:rPr>
        <w:t> </w:t>
      </w:r>
      <w:r>
        <w:rPr/>
        <w:t>formación de puente dentinario, demostrando que el proceso de curación no es compatible con la presencia de bacterias</w:t>
      </w:r>
      <w:r>
        <w:rPr>
          <w:spacing w:val="-11"/>
        </w:rPr>
        <w:t> </w:t>
      </w:r>
      <w:r>
        <w:rPr/>
        <w:t>(19).</w:t>
      </w:r>
    </w:p>
    <w:p>
      <w:pPr>
        <w:pStyle w:val="Heading1"/>
        <w:numPr>
          <w:ilvl w:val="2"/>
          <w:numId w:val="3"/>
        </w:numPr>
        <w:tabs>
          <w:tab w:pos="831" w:val="left" w:leader="none"/>
        </w:tabs>
        <w:spacing w:line="240" w:lineRule="auto" w:before="204" w:after="0"/>
        <w:ind w:left="830" w:right="0" w:hanging="668"/>
        <w:jc w:val="both"/>
      </w:pPr>
      <w:bookmarkStart w:name="_bookmark4" w:id="9"/>
      <w:bookmarkEnd w:id="9"/>
      <w:r>
        <w:rPr>
          <w:b w:val="0"/>
        </w:rPr>
      </w:r>
      <w:bookmarkStart w:name="_bookmark4" w:id="10"/>
      <w:bookmarkEnd w:id="10"/>
      <w:r>
        <w:rPr/>
        <w:t>Sob</w:t>
      </w:r>
      <w:r>
        <w:rPr/>
        <w:t>reobturación del</w:t>
      </w:r>
      <w:r>
        <w:rPr>
          <w:spacing w:val="-7"/>
        </w:rPr>
        <w:t> </w:t>
      </w:r>
      <w:r>
        <w:rPr/>
        <w:t>conducto</w:t>
      </w:r>
    </w:p>
    <w:p>
      <w:pPr>
        <w:pStyle w:val="BodyText"/>
        <w:spacing w:before="5"/>
        <w:rPr>
          <w:b/>
          <w:sz w:val="29"/>
        </w:rPr>
      </w:pPr>
    </w:p>
    <w:p>
      <w:pPr>
        <w:pStyle w:val="BodyText"/>
        <w:spacing w:line="360" w:lineRule="auto"/>
        <w:ind w:left="162" w:right="156"/>
        <w:jc w:val="both"/>
      </w:pPr>
      <w:r>
        <w:rPr/>
        <w:t>Es un deber en nuestra práctica clínica evitar forzar materiales de obturación fuera de</w:t>
      </w:r>
      <w:r>
        <w:rPr>
          <w:spacing w:val="-18"/>
        </w:rPr>
        <w:t> </w:t>
      </w:r>
      <w:r>
        <w:rPr/>
        <w:t>los</w:t>
      </w:r>
      <w:r>
        <w:rPr>
          <w:spacing w:val="-19"/>
        </w:rPr>
        <w:t> </w:t>
      </w:r>
      <w:r>
        <w:rPr/>
        <w:t>tejidos</w:t>
      </w:r>
      <w:r>
        <w:rPr>
          <w:spacing w:val="-20"/>
        </w:rPr>
        <w:t> </w:t>
      </w:r>
      <w:r>
        <w:rPr/>
        <w:t>periapicales.</w:t>
      </w:r>
      <w:r>
        <w:rPr>
          <w:spacing w:val="-18"/>
        </w:rPr>
        <w:t> </w:t>
      </w:r>
      <w:r>
        <w:rPr/>
        <w:t>Estudios</w:t>
      </w:r>
      <w:r>
        <w:rPr>
          <w:spacing w:val="-18"/>
        </w:rPr>
        <w:t> </w:t>
      </w:r>
      <w:r>
        <w:rPr/>
        <w:t>radiográficos</w:t>
      </w:r>
      <w:r>
        <w:rPr>
          <w:spacing w:val="-18"/>
        </w:rPr>
        <w:t> </w:t>
      </w:r>
      <w:r>
        <w:rPr/>
        <w:t>han</w:t>
      </w:r>
      <w:r>
        <w:rPr>
          <w:spacing w:val="-19"/>
        </w:rPr>
        <w:t> </w:t>
      </w:r>
      <w:r>
        <w:rPr/>
        <w:t>demostrado</w:t>
      </w:r>
      <w:r>
        <w:rPr>
          <w:spacing w:val="-19"/>
        </w:rPr>
        <w:t> </w:t>
      </w:r>
      <w:r>
        <w:rPr/>
        <w:t>que</w:t>
      </w:r>
      <w:r>
        <w:rPr>
          <w:spacing w:val="-18"/>
        </w:rPr>
        <w:t> </w:t>
      </w:r>
      <w:r>
        <w:rPr/>
        <w:t>con</w:t>
      </w:r>
      <w:r>
        <w:rPr>
          <w:spacing w:val="-19"/>
        </w:rPr>
        <w:t> </w:t>
      </w:r>
      <w:r>
        <w:rPr/>
        <w:t>el</w:t>
      </w:r>
      <w:r>
        <w:rPr>
          <w:spacing w:val="-20"/>
        </w:rPr>
        <w:t> </w:t>
      </w:r>
      <w:r>
        <w:rPr/>
        <w:t>tiempo estos materiales pueden ser eliminados por los tejidos perirradiculares. Sin embargo, materiales como los cementos selladores pueden ser mantenidos como partículas microscópicas no visibles radiográficamente (3). La sobrepreparación y sobreobturación dentro del ligamento periodontal y el hueso alveolar inicialmente produce una respuesta inflamatoria aguda que con el tiempo se convierte en inflamación crónica persistente. Por otra parte, el empacamiento de virutas dentinarias dentro del foramen apical parece contribuir en la disminución de la inflamación</w:t>
      </w:r>
      <w:r>
        <w:rPr>
          <w:spacing w:val="-15"/>
        </w:rPr>
        <w:t> </w:t>
      </w:r>
      <w:r>
        <w:rPr/>
        <w:t>periapical</w:t>
      </w:r>
      <w:r>
        <w:rPr>
          <w:spacing w:val="-16"/>
        </w:rPr>
        <w:t> </w:t>
      </w:r>
      <w:r>
        <w:rPr/>
        <w:t>al</w:t>
      </w:r>
      <w:r>
        <w:rPr>
          <w:spacing w:val="-16"/>
        </w:rPr>
        <w:t> </w:t>
      </w:r>
      <w:r>
        <w:rPr/>
        <w:t>formar</w:t>
      </w:r>
      <w:r>
        <w:rPr>
          <w:spacing w:val="-14"/>
        </w:rPr>
        <w:t> </w:t>
      </w:r>
      <w:r>
        <w:rPr/>
        <w:t>un</w:t>
      </w:r>
      <w:r>
        <w:rPr>
          <w:spacing w:val="-13"/>
        </w:rPr>
        <w:t> </w:t>
      </w:r>
      <w:r>
        <w:rPr/>
        <w:t>tapón</w:t>
      </w:r>
      <w:r>
        <w:rPr>
          <w:spacing w:val="-15"/>
        </w:rPr>
        <w:t> </w:t>
      </w:r>
      <w:r>
        <w:rPr/>
        <w:t>apical</w:t>
      </w:r>
      <w:r>
        <w:rPr>
          <w:spacing w:val="-14"/>
        </w:rPr>
        <w:t> </w:t>
      </w:r>
      <w:r>
        <w:rPr/>
        <w:t>de</w:t>
      </w:r>
      <w:r>
        <w:rPr>
          <w:spacing w:val="-15"/>
        </w:rPr>
        <w:t> </w:t>
      </w:r>
      <w:r>
        <w:rPr/>
        <w:t>remanente</w:t>
      </w:r>
      <w:r>
        <w:rPr>
          <w:spacing w:val="-13"/>
        </w:rPr>
        <w:t> </w:t>
      </w:r>
      <w:r>
        <w:rPr/>
        <w:t>dentinario</w:t>
      </w:r>
      <w:r>
        <w:rPr>
          <w:spacing w:val="-13"/>
        </w:rPr>
        <w:t> </w:t>
      </w:r>
      <w:r>
        <w:rPr/>
        <w:t>reduciendo la irritación química de los componentes del cemento sellador o de la gutapercha, no obstante también se ha observado mayor tendencia de proliferación epitelial y formación de quistes en estos casos</w:t>
      </w:r>
      <w:r>
        <w:rPr>
          <w:spacing w:val="-12"/>
        </w:rPr>
        <w:t> </w:t>
      </w:r>
      <w:r>
        <w:rPr/>
        <w:t>(20).</w:t>
      </w:r>
    </w:p>
    <w:p>
      <w:pPr>
        <w:pStyle w:val="Heading1"/>
        <w:numPr>
          <w:ilvl w:val="2"/>
          <w:numId w:val="3"/>
        </w:numPr>
        <w:tabs>
          <w:tab w:pos="831" w:val="left" w:leader="none"/>
        </w:tabs>
        <w:spacing w:line="240" w:lineRule="auto" w:before="204" w:after="0"/>
        <w:ind w:left="830" w:right="0" w:hanging="668"/>
        <w:jc w:val="both"/>
      </w:pPr>
      <w:bookmarkStart w:name="_bookmark5" w:id="11"/>
      <w:bookmarkEnd w:id="11"/>
      <w:r>
        <w:rPr>
          <w:b w:val="0"/>
        </w:rPr>
      </w:r>
      <w:bookmarkStart w:name="_bookmark5" w:id="12"/>
      <w:bookmarkEnd w:id="12"/>
      <w:r>
        <w:rPr/>
        <w:t>P</w:t>
      </w:r>
      <w:r>
        <w:rPr/>
        <w:t>resencia de lesiones</w:t>
      </w:r>
      <w:r>
        <w:rPr>
          <w:spacing w:val="-17"/>
        </w:rPr>
        <w:t> </w:t>
      </w:r>
      <w:r>
        <w:rPr/>
        <w:t>perirradiculares</w:t>
      </w:r>
    </w:p>
    <w:p>
      <w:pPr>
        <w:pStyle w:val="BodyText"/>
        <w:spacing w:before="2"/>
        <w:rPr>
          <w:b/>
          <w:sz w:val="29"/>
        </w:rPr>
      </w:pPr>
    </w:p>
    <w:p>
      <w:pPr>
        <w:pStyle w:val="BodyText"/>
        <w:spacing w:line="360" w:lineRule="auto"/>
        <w:ind w:left="162" w:right="161"/>
        <w:jc w:val="both"/>
      </w:pPr>
      <w:r>
        <w:rPr/>
        <w:t>Un gran número de estudios han demostrado que el rango de éxito en la terapia endodóntica</w:t>
      </w:r>
      <w:r>
        <w:rPr>
          <w:spacing w:val="-14"/>
        </w:rPr>
        <w:t> </w:t>
      </w:r>
      <w:r>
        <w:rPr/>
        <w:t>está</w:t>
      </w:r>
      <w:r>
        <w:rPr>
          <w:spacing w:val="-14"/>
        </w:rPr>
        <w:t> </w:t>
      </w:r>
      <w:r>
        <w:rPr/>
        <w:t>influenciada</w:t>
      </w:r>
      <w:r>
        <w:rPr>
          <w:spacing w:val="-14"/>
        </w:rPr>
        <w:t> </w:t>
      </w:r>
      <w:r>
        <w:rPr/>
        <w:t>significativamente</w:t>
      </w:r>
      <w:r>
        <w:rPr>
          <w:spacing w:val="-14"/>
        </w:rPr>
        <w:t> </w:t>
      </w:r>
      <w:r>
        <w:rPr/>
        <w:t>por</w:t>
      </w:r>
      <w:r>
        <w:rPr>
          <w:spacing w:val="-16"/>
        </w:rPr>
        <w:t> </w:t>
      </w:r>
      <w:r>
        <w:rPr/>
        <w:t>la</w:t>
      </w:r>
      <w:r>
        <w:rPr>
          <w:spacing w:val="-14"/>
        </w:rPr>
        <w:t> </w:t>
      </w:r>
      <w:r>
        <w:rPr/>
        <w:t>presencia</w:t>
      </w:r>
      <w:r>
        <w:rPr>
          <w:spacing w:val="-14"/>
        </w:rPr>
        <w:t> </w:t>
      </w:r>
      <w:r>
        <w:rPr/>
        <w:t>o</w:t>
      </w:r>
      <w:r>
        <w:rPr>
          <w:spacing w:val="-17"/>
        </w:rPr>
        <w:t> </w:t>
      </w:r>
      <w:r>
        <w:rPr/>
        <w:t>ausencia</w:t>
      </w:r>
      <w:r>
        <w:rPr>
          <w:spacing w:val="-17"/>
        </w:rPr>
        <w:t> </w:t>
      </w:r>
      <w:r>
        <w:rPr/>
        <w:t>de</w:t>
      </w:r>
      <w:r>
        <w:rPr>
          <w:spacing w:val="-14"/>
        </w:rPr>
        <w:t> </w:t>
      </w:r>
      <w:r>
        <w:rPr/>
        <w:t>una lesión pre-terapéutica visible radiográficamente (4). Además, no todas las lesiones perirradiculares son detectables radiográficamente y un gran porcentaje de estas lesiones se muestran asintomáticas (3). Seltzer et al. (21) observaron histológicamente  que  la  curación  completa  de  la  mayoría  de  las       </w:t>
      </w:r>
      <w:r>
        <w:rPr>
          <w:spacing w:val="37"/>
        </w:rPr>
        <w:t> </w:t>
      </w:r>
      <w:r>
        <w:rPr/>
        <w:t>lesiones</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7"/>
        <w:jc w:val="both"/>
      </w:pPr>
      <w:r>
        <w:rPr/>
        <w:t>perirradiculares no se logra después del tratamiento endodóntico. Existe evidencia de la correlación entre el tamaño de la lesión perirradicular y el número de células bacterianas en el conducto infectado (3).</w:t>
      </w:r>
    </w:p>
    <w:p>
      <w:pPr>
        <w:pStyle w:val="BodyText"/>
        <w:spacing w:line="360" w:lineRule="auto" w:before="204"/>
        <w:ind w:left="162" w:right="155"/>
        <w:jc w:val="both"/>
      </w:pPr>
      <w:r>
        <w:rPr/>
        <w:t>Los</w:t>
      </w:r>
      <w:r>
        <w:rPr>
          <w:spacing w:val="-8"/>
        </w:rPr>
        <w:t> </w:t>
      </w:r>
      <w:r>
        <w:rPr/>
        <w:t>productos</w:t>
      </w:r>
      <w:r>
        <w:rPr>
          <w:spacing w:val="-8"/>
        </w:rPr>
        <w:t> </w:t>
      </w:r>
      <w:r>
        <w:rPr/>
        <w:t>bacterianos</w:t>
      </w:r>
      <w:r>
        <w:rPr>
          <w:spacing w:val="-8"/>
        </w:rPr>
        <w:t> </w:t>
      </w:r>
      <w:r>
        <w:rPr/>
        <w:t>no</w:t>
      </w:r>
      <w:r>
        <w:rPr>
          <w:spacing w:val="-7"/>
        </w:rPr>
        <w:t> </w:t>
      </w:r>
      <w:r>
        <w:rPr/>
        <w:t>pueden</w:t>
      </w:r>
      <w:r>
        <w:rPr>
          <w:spacing w:val="-7"/>
        </w:rPr>
        <w:t> </w:t>
      </w:r>
      <w:r>
        <w:rPr/>
        <w:t>ser</w:t>
      </w:r>
      <w:r>
        <w:rPr>
          <w:spacing w:val="-6"/>
        </w:rPr>
        <w:t> </w:t>
      </w:r>
      <w:r>
        <w:rPr/>
        <w:t>confinados</w:t>
      </w:r>
      <w:r>
        <w:rPr>
          <w:spacing w:val="-5"/>
        </w:rPr>
        <w:t> </w:t>
      </w:r>
      <w:r>
        <w:rPr/>
        <w:t>solo</w:t>
      </w:r>
      <w:r>
        <w:rPr>
          <w:spacing w:val="-7"/>
        </w:rPr>
        <w:t> </w:t>
      </w:r>
      <w:r>
        <w:rPr/>
        <w:t>al</w:t>
      </w:r>
      <w:r>
        <w:rPr>
          <w:spacing w:val="-8"/>
        </w:rPr>
        <w:t> </w:t>
      </w:r>
      <w:r>
        <w:rPr/>
        <w:t>espacio</w:t>
      </w:r>
      <w:r>
        <w:rPr>
          <w:spacing w:val="-7"/>
        </w:rPr>
        <w:t> </w:t>
      </w:r>
      <w:r>
        <w:rPr/>
        <w:t>intraconducto, sino que también acceden a regiones más allá del foramen apical. El biofilm es la forma de crecimiento bacteriano para sobrevivir a las condiciones ambientales y nutricionales desfavorables (22). Costerton definió como biofilm a la condensación de</w:t>
      </w:r>
      <w:r>
        <w:rPr>
          <w:spacing w:val="-18"/>
        </w:rPr>
        <w:t> </w:t>
      </w:r>
      <w:r>
        <w:rPr/>
        <w:t>microorganismos</w:t>
      </w:r>
      <w:r>
        <w:rPr>
          <w:spacing w:val="-19"/>
        </w:rPr>
        <w:t> </w:t>
      </w:r>
      <w:r>
        <w:rPr/>
        <w:t>en</w:t>
      </w:r>
      <w:r>
        <w:rPr>
          <w:spacing w:val="-16"/>
        </w:rPr>
        <w:t> </w:t>
      </w:r>
      <w:r>
        <w:rPr/>
        <w:t>capas</w:t>
      </w:r>
      <w:r>
        <w:rPr>
          <w:spacing w:val="-19"/>
        </w:rPr>
        <w:t> </w:t>
      </w:r>
      <w:r>
        <w:rPr/>
        <w:t>finas</w:t>
      </w:r>
      <w:r>
        <w:rPr>
          <w:spacing w:val="-16"/>
        </w:rPr>
        <w:t> </w:t>
      </w:r>
      <w:r>
        <w:rPr/>
        <w:t>(bacterias,</w:t>
      </w:r>
      <w:r>
        <w:rPr>
          <w:spacing w:val="-16"/>
        </w:rPr>
        <w:t> </w:t>
      </w:r>
      <w:r>
        <w:rPr/>
        <w:t>hongos,</w:t>
      </w:r>
      <w:r>
        <w:rPr>
          <w:spacing w:val="-18"/>
        </w:rPr>
        <w:t> </w:t>
      </w:r>
      <w:r>
        <w:rPr/>
        <w:t>protozoos)</w:t>
      </w:r>
      <w:r>
        <w:rPr>
          <w:spacing w:val="-19"/>
        </w:rPr>
        <w:t> </w:t>
      </w:r>
      <w:r>
        <w:rPr/>
        <w:t>que</w:t>
      </w:r>
      <w:r>
        <w:rPr>
          <w:spacing w:val="-16"/>
        </w:rPr>
        <w:t> </w:t>
      </w:r>
      <w:r>
        <w:rPr/>
        <w:t>puede</w:t>
      </w:r>
      <w:r>
        <w:rPr>
          <w:spacing w:val="-18"/>
        </w:rPr>
        <w:t> </w:t>
      </w:r>
      <w:r>
        <w:rPr/>
        <w:t>existir en diferentes estructuras superficiales de la naturaleza (22). Inicialmente las bacterias</w:t>
      </w:r>
      <w:r>
        <w:rPr>
          <w:spacing w:val="-6"/>
        </w:rPr>
        <w:t> </w:t>
      </w:r>
      <w:r>
        <w:rPr/>
        <w:t>se</w:t>
      </w:r>
      <w:r>
        <w:rPr>
          <w:spacing w:val="-6"/>
        </w:rPr>
        <w:t> </w:t>
      </w:r>
      <w:r>
        <w:rPr/>
        <w:t>encuentran</w:t>
      </w:r>
      <w:r>
        <w:rPr>
          <w:spacing w:val="-8"/>
        </w:rPr>
        <w:t> </w:t>
      </w:r>
      <w:r>
        <w:rPr/>
        <w:t>flotando</w:t>
      </w:r>
      <w:r>
        <w:rPr>
          <w:spacing w:val="-6"/>
        </w:rPr>
        <w:t> </w:t>
      </w:r>
      <w:r>
        <w:rPr/>
        <w:t>libremente</w:t>
      </w:r>
      <w:r>
        <w:rPr>
          <w:spacing w:val="-5"/>
        </w:rPr>
        <w:t> </w:t>
      </w:r>
      <w:r>
        <w:rPr/>
        <w:t>en</w:t>
      </w:r>
      <w:r>
        <w:rPr>
          <w:spacing w:val="-6"/>
        </w:rPr>
        <w:t> </w:t>
      </w:r>
      <w:r>
        <w:rPr/>
        <w:t>medio</w:t>
      </w:r>
      <w:r>
        <w:rPr>
          <w:spacing w:val="-8"/>
        </w:rPr>
        <w:t> </w:t>
      </w:r>
      <w:r>
        <w:rPr/>
        <w:t>acuoso</w:t>
      </w:r>
      <w:r>
        <w:rPr>
          <w:spacing w:val="-6"/>
        </w:rPr>
        <w:t> </w:t>
      </w:r>
      <w:r>
        <w:rPr/>
        <w:t>(estado</w:t>
      </w:r>
      <w:r>
        <w:rPr>
          <w:spacing w:val="-6"/>
        </w:rPr>
        <w:t> </w:t>
      </w:r>
      <w:r>
        <w:rPr/>
        <w:t>planctónico), y es un prerrequisito en la formación de biofilm. El biofilm por tanto, puede establecerse en cualquier superficie con sustratos orgánicos e inorgánicos donde prevalecen los microorganismos planctónicos (24). Se ha demostrado que estas agregaciones bacterianas son la causa de la persistencia de periodontitis apical resistente al tratamiento. La concentración bacteriana en las paredes de los conductos infectados sugiere que los mecanismos para la formación de biofilm también existen dentro del espacio del conducto radicular. El biofilm está presente en</w:t>
      </w:r>
      <w:r>
        <w:rPr>
          <w:spacing w:val="-8"/>
        </w:rPr>
        <w:t> </w:t>
      </w:r>
      <w:r>
        <w:rPr/>
        <w:t>la</w:t>
      </w:r>
      <w:r>
        <w:rPr>
          <w:spacing w:val="-8"/>
        </w:rPr>
        <w:t> </w:t>
      </w:r>
      <w:r>
        <w:rPr/>
        <w:t>superficie</w:t>
      </w:r>
      <w:r>
        <w:rPr>
          <w:spacing w:val="-8"/>
        </w:rPr>
        <w:t> </w:t>
      </w:r>
      <w:r>
        <w:rPr/>
        <w:t>radicular</w:t>
      </w:r>
      <w:r>
        <w:rPr>
          <w:spacing w:val="-10"/>
        </w:rPr>
        <w:t> </w:t>
      </w:r>
      <w:r>
        <w:rPr/>
        <w:t>externa</w:t>
      </w:r>
      <w:r>
        <w:rPr>
          <w:spacing w:val="-8"/>
        </w:rPr>
        <w:t> </w:t>
      </w:r>
      <w:r>
        <w:rPr/>
        <w:t>o</w:t>
      </w:r>
      <w:r>
        <w:rPr>
          <w:spacing w:val="-8"/>
        </w:rPr>
        <w:t> </w:t>
      </w:r>
      <w:r>
        <w:rPr/>
        <w:t>dentro</w:t>
      </w:r>
      <w:r>
        <w:rPr>
          <w:spacing w:val="-9"/>
        </w:rPr>
        <w:t> </w:t>
      </w:r>
      <w:r>
        <w:rPr/>
        <w:t>de</w:t>
      </w:r>
      <w:r>
        <w:rPr>
          <w:spacing w:val="-8"/>
        </w:rPr>
        <w:t> </w:t>
      </w:r>
      <w:r>
        <w:rPr/>
        <w:t>los</w:t>
      </w:r>
      <w:r>
        <w:rPr>
          <w:spacing w:val="-9"/>
        </w:rPr>
        <w:t> </w:t>
      </w:r>
      <w:r>
        <w:rPr/>
        <w:t>conductos</w:t>
      </w:r>
      <w:r>
        <w:rPr>
          <w:spacing w:val="-9"/>
        </w:rPr>
        <w:t> </w:t>
      </w:r>
      <w:r>
        <w:rPr/>
        <w:t>y</w:t>
      </w:r>
      <w:r>
        <w:rPr>
          <w:spacing w:val="-12"/>
        </w:rPr>
        <w:t> </w:t>
      </w:r>
      <w:r>
        <w:rPr/>
        <w:t>es</w:t>
      </w:r>
      <w:r>
        <w:rPr>
          <w:spacing w:val="-9"/>
        </w:rPr>
        <w:t> </w:t>
      </w:r>
      <w:r>
        <w:rPr/>
        <w:t>probable</w:t>
      </w:r>
      <w:r>
        <w:rPr>
          <w:spacing w:val="-9"/>
        </w:rPr>
        <w:t> </w:t>
      </w:r>
      <w:r>
        <w:rPr/>
        <w:t>que</w:t>
      </w:r>
      <w:r>
        <w:rPr>
          <w:spacing w:val="-8"/>
        </w:rPr>
        <w:t> </w:t>
      </w:r>
      <w:r>
        <w:rPr/>
        <w:t>tenga distintas implicaciones clínicas especialmente desde el punto de vista del tratamiento</w:t>
      </w:r>
      <w:r>
        <w:rPr>
          <w:spacing w:val="-3"/>
        </w:rPr>
        <w:t> </w:t>
      </w:r>
      <w:r>
        <w:rPr/>
        <w:t>(22-25).</w:t>
      </w:r>
    </w:p>
    <w:p>
      <w:pPr>
        <w:pStyle w:val="Heading1"/>
        <w:numPr>
          <w:ilvl w:val="2"/>
          <w:numId w:val="3"/>
        </w:numPr>
        <w:tabs>
          <w:tab w:pos="831" w:val="left" w:leader="none"/>
        </w:tabs>
        <w:spacing w:line="240" w:lineRule="auto" w:before="204" w:after="0"/>
        <w:ind w:left="830" w:right="0" w:hanging="668"/>
        <w:jc w:val="both"/>
      </w:pPr>
      <w:bookmarkStart w:name="_bookmark6" w:id="13"/>
      <w:bookmarkEnd w:id="13"/>
      <w:r>
        <w:rPr>
          <w:b w:val="0"/>
        </w:rPr>
      </w:r>
      <w:bookmarkStart w:name="_bookmark6" w:id="14"/>
      <w:bookmarkEnd w:id="14"/>
      <w:r>
        <w:rPr/>
        <w:t>S</w:t>
      </w:r>
      <w:r>
        <w:rPr/>
        <w:t>ellado</w:t>
      </w:r>
      <w:r>
        <w:rPr>
          <w:spacing w:val="-3"/>
        </w:rPr>
        <w:t> </w:t>
      </w:r>
      <w:r>
        <w:rPr/>
        <w:t>coronal</w:t>
      </w:r>
    </w:p>
    <w:p>
      <w:pPr>
        <w:pStyle w:val="BodyText"/>
        <w:spacing w:before="4"/>
        <w:rPr>
          <w:b/>
          <w:sz w:val="29"/>
        </w:rPr>
      </w:pPr>
    </w:p>
    <w:p>
      <w:pPr>
        <w:pStyle w:val="BodyText"/>
        <w:spacing w:line="360" w:lineRule="auto" w:before="1"/>
        <w:ind w:left="162" w:right="156"/>
        <w:jc w:val="both"/>
      </w:pPr>
      <w:r>
        <w:rPr/>
        <w:t>Un tratamiento de conductos puede ser contaminado desde la cavidad oral por las siguientes situaciones: A) filtración a través de la restauración temporal o permanente; B) fractura o desalojo de la restauración; C) fisuras o fracturas en la estructura dental o D) caries recurrente por el retraso en la colocación de la restauración definitiva (3).</w:t>
      </w:r>
    </w:p>
    <w:p>
      <w:pPr>
        <w:pStyle w:val="BodyText"/>
        <w:spacing w:line="360" w:lineRule="auto" w:before="202"/>
        <w:ind w:left="162" w:right="158"/>
        <w:jc w:val="both"/>
      </w:pPr>
      <w:r>
        <w:rPr/>
        <w:t>Según el estudio de Siqueira et al. (26) la re-contaminación de los conductos por filtración</w:t>
      </w:r>
      <w:r>
        <w:rPr>
          <w:spacing w:val="-4"/>
        </w:rPr>
        <w:t> </w:t>
      </w:r>
      <w:r>
        <w:rPr/>
        <w:t>coronal</w:t>
      </w:r>
      <w:r>
        <w:rPr>
          <w:spacing w:val="-5"/>
        </w:rPr>
        <w:t> </w:t>
      </w:r>
      <w:r>
        <w:rPr/>
        <w:t>puede</w:t>
      </w:r>
      <w:r>
        <w:rPr>
          <w:spacing w:val="-6"/>
        </w:rPr>
        <w:t> </w:t>
      </w:r>
      <w:r>
        <w:rPr/>
        <w:t>ocurrir</w:t>
      </w:r>
      <w:r>
        <w:rPr>
          <w:spacing w:val="-6"/>
        </w:rPr>
        <w:t> </w:t>
      </w:r>
      <w:r>
        <w:rPr/>
        <w:t>a</w:t>
      </w:r>
      <w:r>
        <w:rPr>
          <w:spacing w:val="-6"/>
        </w:rPr>
        <w:t> </w:t>
      </w:r>
      <w:r>
        <w:rPr/>
        <w:t>través</w:t>
      </w:r>
      <w:r>
        <w:rPr>
          <w:spacing w:val="-7"/>
        </w:rPr>
        <w:t> </w:t>
      </w:r>
      <w:r>
        <w:rPr/>
        <w:t>de:</w:t>
      </w:r>
      <w:r>
        <w:rPr>
          <w:spacing w:val="-6"/>
        </w:rPr>
        <w:t> </w:t>
      </w:r>
      <w:r>
        <w:rPr/>
        <w:t>la</w:t>
      </w:r>
      <w:r>
        <w:rPr>
          <w:spacing w:val="-9"/>
        </w:rPr>
        <w:t> </w:t>
      </w:r>
      <w:r>
        <w:rPr/>
        <w:t>disolución</w:t>
      </w:r>
      <w:r>
        <w:rPr>
          <w:spacing w:val="-5"/>
        </w:rPr>
        <w:t> </w:t>
      </w:r>
      <w:r>
        <w:rPr/>
        <w:t>del</w:t>
      </w:r>
      <w:r>
        <w:rPr>
          <w:spacing w:val="-7"/>
        </w:rPr>
        <w:t> </w:t>
      </w:r>
      <w:r>
        <w:rPr/>
        <w:t>cemento</w:t>
      </w:r>
      <w:r>
        <w:rPr>
          <w:spacing w:val="-6"/>
        </w:rPr>
        <w:t> </w:t>
      </w:r>
      <w:r>
        <w:rPr/>
        <w:t>sellador</w:t>
      </w:r>
      <w:r>
        <w:rPr>
          <w:spacing w:val="-7"/>
        </w:rPr>
        <w:t> </w:t>
      </w:r>
      <w:r>
        <w:rPr/>
        <w:t>por</w:t>
      </w:r>
      <w:r>
        <w:rPr>
          <w:spacing w:val="-7"/>
        </w:rPr>
        <w:t> </w:t>
      </w:r>
      <w:r>
        <w:rPr/>
        <w:t>la</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6"/>
        <w:jc w:val="both"/>
      </w:pPr>
      <w:r>
        <w:rPr/>
        <w:t>saliva; percolación de saliva en la interfase entre el cemento sellador y las paredes dentinarias y/o entre el sellador y la gutapercha. Clínicamente es imposible determinar si el sistema de conductos radiculares es re-contaminado completamente</w:t>
      </w:r>
      <w:r>
        <w:rPr>
          <w:spacing w:val="-16"/>
        </w:rPr>
        <w:t> </w:t>
      </w:r>
      <w:r>
        <w:rPr/>
        <w:t>después</w:t>
      </w:r>
      <w:r>
        <w:rPr>
          <w:spacing w:val="-15"/>
        </w:rPr>
        <w:t> </w:t>
      </w:r>
      <w:r>
        <w:rPr/>
        <w:t>de</w:t>
      </w:r>
      <w:r>
        <w:rPr>
          <w:spacing w:val="-14"/>
        </w:rPr>
        <w:t> </w:t>
      </w:r>
      <w:r>
        <w:rPr/>
        <w:t>la</w:t>
      </w:r>
      <w:r>
        <w:rPr>
          <w:spacing w:val="-17"/>
        </w:rPr>
        <w:t> </w:t>
      </w:r>
      <w:r>
        <w:rPr/>
        <w:t>exposición</w:t>
      </w:r>
      <w:r>
        <w:rPr>
          <w:spacing w:val="-16"/>
        </w:rPr>
        <w:t> </w:t>
      </w:r>
      <w:r>
        <w:rPr/>
        <w:t>a</w:t>
      </w:r>
      <w:r>
        <w:rPr>
          <w:spacing w:val="-16"/>
        </w:rPr>
        <w:t> </w:t>
      </w:r>
      <w:r>
        <w:rPr/>
        <w:t>la</w:t>
      </w:r>
      <w:r>
        <w:rPr>
          <w:spacing w:val="-17"/>
        </w:rPr>
        <w:t> </w:t>
      </w:r>
      <w:r>
        <w:rPr/>
        <w:t>saliva.</w:t>
      </w:r>
      <w:r>
        <w:rPr>
          <w:spacing w:val="-14"/>
        </w:rPr>
        <w:t> </w:t>
      </w:r>
      <w:r>
        <w:rPr/>
        <w:t>Sin</w:t>
      </w:r>
      <w:r>
        <w:rPr>
          <w:spacing w:val="-17"/>
        </w:rPr>
        <w:t> </w:t>
      </w:r>
      <w:r>
        <w:rPr/>
        <w:t>embargo,</w:t>
      </w:r>
      <w:r>
        <w:rPr>
          <w:spacing w:val="-14"/>
        </w:rPr>
        <w:t> </w:t>
      </w:r>
      <w:r>
        <w:rPr/>
        <w:t>se</w:t>
      </w:r>
      <w:r>
        <w:rPr>
          <w:spacing w:val="-14"/>
        </w:rPr>
        <w:t> </w:t>
      </w:r>
      <w:r>
        <w:rPr/>
        <w:t>considera</w:t>
      </w:r>
      <w:r>
        <w:rPr>
          <w:spacing w:val="-17"/>
        </w:rPr>
        <w:t> </w:t>
      </w:r>
      <w:r>
        <w:rPr/>
        <w:t>que una exposición mayor a 30 días podría ser indicación de retratamiento</w:t>
      </w:r>
      <w:r>
        <w:rPr>
          <w:spacing w:val="-25"/>
        </w:rPr>
        <w:t> </w:t>
      </w:r>
      <w:r>
        <w:rPr/>
        <w:t>(3).</w:t>
      </w:r>
    </w:p>
    <w:p>
      <w:pPr>
        <w:pStyle w:val="Heading1"/>
        <w:numPr>
          <w:ilvl w:val="2"/>
          <w:numId w:val="3"/>
        </w:numPr>
        <w:tabs>
          <w:tab w:pos="831" w:val="left" w:leader="none"/>
        </w:tabs>
        <w:spacing w:line="240" w:lineRule="auto" w:before="204" w:after="0"/>
        <w:ind w:left="830" w:right="0" w:hanging="668"/>
        <w:jc w:val="both"/>
      </w:pPr>
      <w:bookmarkStart w:name="_bookmark7" w:id="15"/>
      <w:bookmarkEnd w:id="15"/>
      <w:r>
        <w:rPr>
          <w:b w:val="0"/>
        </w:rPr>
      </w:r>
      <w:bookmarkStart w:name="_bookmark7" w:id="16"/>
      <w:bookmarkEnd w:id="16"/>
      <w:r>
        <w:rPr/>
        <w:t>Trat</w:t>
      </w:r>
      <w:r>
        <w:rPr/>
        <w:t>amiento del fracaso</w:t>
      </w:r>
      <w:r>
        <w:rPr>
          <w:spacing w:val="-7"/>
        </w:rPr>
        <w:t> </w:t>
      </w:r>
      <w:r>
        <w:rPr/>
        <w:t>endodóntico</w:t>
      </w:r>
    </w:p>
    <w:p>
      <w:pPr>
        <w:pStyle w:val="BodyText"/>
        <w:spacing w:before="4"/>
        <w:rPr>
          <w:b/>
          <w:sz w:val="29"/>
        </w:rPr>
      </w:pPr>
    </w:p>
    <w:p>
      <w:pPr>
        <w:pStyle w:val="BodyText"/>
        <w:spacing w:line="360" w:lineRule="auto" w:before="1"/>
        <w:ind w:left="162" w:right="158"/>
        <w:jc w:val="both"/>
      </w:pPr>
      <w:r>
        <w:rPr/>
        <w:t>Las principales opciones de tratamiento incluyen el retratamiento ortógrado o convencional</w:t>
      </w:r>
      <w:r>
        <w:rPr>
          <w:spacing w:val="-8"/>
        </w:rPr>
        <w:t> </w:t>
      </w:r>
      <w:r>
        <w:rPr/>
        <w:t>y</w:t>
      </w:r>
      <w:r>
        <w:rPr>
          <w:spacing w:val="-8"/>
        </w:rPr>
        <w:t> </w:t>
      </w:r>
      <w:r>
        <w:rPr/>
        <w:t>la</w:t>
      </w:r>
      <w:r>
        <w:rPr>
          <w:spacing w:val="-5"/>
        </w:rPr>
        <w:t> </w:t>
      </w:r>
      <w:r>
        <w:rPr/>
        <w:t>cirugía</w:t>
      </w:r>
      <w:r>
        <w:rPr>
          <w:spacing w:val="-5"/>
        </w:rPr>
        <w:t> </w:t>
      </w:r>
      <w:r>
        <w:rPr/>
        <w:t>periapical.</w:t>
      </w:r>
      <w:r>
        <w:rPr>
          <w:spacing w:val="-7"/>
        </w:rPr>
        <w:t> </w:t>
      </w:r>
      <w:r>
        <w:rPr/>
        <w:t>La</w:t>
      </w:r>
      <w:r>
        <w:rPr>
          <w:spacing w:val="-7"/>
        </w:rPr>
        <w:t> </w:t>
      </w:r>
      <w:r>
        <w:rPr/>
        <w:t>selección de</w:t>
      </w:r>
      <w:r>
        <w:rPr>
          <w:spacing w:val="-5"/>
        </w:rPr>
        <w:t> </w:t>
      </w:r>
      <w:r>
        <w:rPr/>
        <w:t>la</w:t>
      </w:r>
      <w:r>
        <w:rPr>
          <w:spacing w:val="-7"/>
        </w:rPr>
        <w:t> </w:t>
      </w:r>
      <w:r>
        <w:rPr/>
        <w:t>alternativa</w:t>
      </w:r>
      <w:r>
        <w:rPr>
          <w:spacing w:val="-5"/>
        </w:rPr>
        <w:t> </w:t>
      </w:r>
      <w:r>
        <w:rPr/>
        <w:t>de</w:t>
      </w:r>
      <w:r>
        <w:rPr>
          <w:spacing w:val="-7"/>
        </w:rPr>
        <w:t> </w:t>
      </w:r>
      <w:r>
        <w:rPr/>
        <w:t>tratamiento</w:t>
      </w:r>
      <w:r>
        <w:rPr>
          <w:spacing w:val="-7"/>
        </w:rPr>
        <w:t> </w:t>
      </w:r>
      <w:r>
        <w:rPr/>
        <w:t>se basa</w:t>
      </w:r>
      <w:r>
        <w:rPr>
          <w:spacing w:val="-6"/>
        </w:rPr>
        <w:t> </w:t>
      </w:r>
      <w:r>
        <w:rPr/>
        <w:t>en</w:t>
      </w:r>
      <w:r>
        <w:rPr>
          <w:spacing w:val="-6"/>
        </w:rPr>
        <w:t> </w:t>
      </w:r>
      <w:r>
        <w:rPr/>
        <w:t>la</w:t>
      </w:r>
      <w:r>
        <w:rPr>
          <w:spacing w:val="-6"/>
        </w:rPr>
        <w:t> </w:t>
      </w:r>
      <w:r>
        <w:rPr/>
        <w:t>evaluación</w:t>
      </w:r>
      <w:r>
        <w:rPr>
          <w:spacing w:val="-8"/>
        </w:rPr>
        <w:t> </w:t>
      </w:r>
      <w:r>
        <w:rPr/>
        <w:t>de</w:t>
      </w:r>
      <w:r>
        <w:rPr>
          <w:spacing w:val="-6"/>
        </w:rPr>
        <w:t> </w:t>
      </w:r>
      <w:r>
        <w:rPr/>
        <w:t>sus</w:t>
      </w:r>
      <w:r>
        <w:rPr>
          <w:spacing w:val="-7"/>
        </w:rPr>
        <w:t> </w:t>
      </w:r>
      <w:r>
        <w:rPr/>
        <w:t>respectivos</w:t>
      </w:r>
      <w:r>
        <w:rPr>
          <w:spacing w:val="-7"/>
        </w:rPr>
        <w:t> </w:t>
      </w:r>
      <w:r>
        <w:rPr/>
        <w:t>riesgos</w:t>
      </w:r>
      <w:r>
        <w:rPr>
          <w:spacing w:val="-7"/>
        </w:rPr>
        <w:t> </w:t>
      </w:r>
      <w:r>
        <w:rPr/>
        <w:t>y</w:t>
      </w:r>
      <w:r>
        <w:rPr>
          <w:spacing w:val="-7"/>
        </w:rPr>
        <w:t> </w:t>
      </w:r>
      <w:r>
        <w:rPr/>
        <w:t>beneficios.</w:t>
      </w:r>
      <w:r>
        <w:rPr>
          <w:spacing w:val="-6"/>
        </w:rPr>
        <w:t> </w:t>
      </w:r>
      <w:r>
        <w:rPr/>
        <w:t>El</w:t>
      </w:r>
      <w:r>
        <w:rPr>
          <w:spacing w:val="-7"/>
        </w:rPr>
        <w:t> </w:t>
      </w:r>
      <w:r>
        <w:rPr/>
        <w:t>principal</w:t>
      </w:r>
      <w:r>
        <w:rPr>
          <w:spacing w:val="-7"/>
        </w:rPr>
        <w:t> </w:t>
      </w:r>
      <w:r>
        <w:rPr/>
        <w:t>beneficio a considerar es la probabilidad de curación o el éxito del tratamiento (27). En la mayoría de los casos en los cuales el tratamiento endodóntico fracasa, en general la</w:t>
      </w:r>
      <w:r>
        <w:rPr>
          <w:spacing w:val="-5"/>
        </w:rPr>
        <w:t> </w:t>
      </w:r>
      <w:r>
        <w:rPr/>
        <w:t>opción</w:t>
      </w:r>
      <w:r>
        <w:rPr>
          <w:spacing w:val="-7"/>
        </w:rPr>
        <w:t> </w:t>
      </w:r>
      <w:r>
        <w:rPr/>
        <w:t>elegida</w:t>
      </w:r>
      <w:r>
        <w:rPr>
          <w:spacing w:val="-7"/>
        </w:rPr>
        <w:t> </w:t>
      </w:r>
      <w:r>
        <w:rPr/>
        <w:t>es</w:t>
      </w:r>
      <w:r>
        <w:rPr>
          <w:spacing w:val="-8"/>
        </w:rPr>
        <w:t> </w:t>
      </w:r>
      <w:r>
        <w:rPr/>
        <w:t>el</w:t>
      </w:r>
      <w:r>
        <w:rPr>
          <w:spacing w:val="-8"/>
        </w:rPr>
        <w:t> </w:t>
      </w:r>
      <w:r>
        <w:rPr/>
        <w:t>re-tratamiento</w:t>
      </w:r>
      <w:r>
        <w:rPr>
          <w:spacing w:val="-6"/>
        </w:rPr>
        <w:t> </w:t>
      </w:r>
      <w:r>
        <w:rPr/>
        <w:t>convencional</w:t>
      </w:r>
      <w:r>
        <w:rPr>
          <w:spacing w:val="-6"/>
        </w:rPr>
        <w:t> </w:t>
      </w:r>
      <w:r>
        <w:rPr/>
        <w:t>y</w:t>
      </w:r>
      <w:r>
        <w:rPr>
          <w:spacing w:val="-8"/>
        </w:rPr>
        <w:t> </w:t>
      </w:r>
      <w:r>
        <w:rPr/>
        <w:t>la</w:t>
      </w:r>
      <w:r>
        <w:rPr>
          <w:spacing w:val="-5"/>
        </w:rPr>
        <w:t> </w:t>
      </w:r>
      <w:r>
        <w:rPr/>
        <w:t>cirugía</w:t>
      </w:r>
      <w:r>
        <w:rPr>
          <w:spacing w:val="-5"/>
        </w:rPr>
        <w:t> </w:t>
      </w:r>
      <w:r>
        <w:rPr/>
        <w:t>periapical</w:t>
      </w:r>
      <w:r>
        <w:rPr>
          <w:spacing w:val="-5"/>
        </w:rPr>
        <w:t> </w:t>
      </w:r>
      <w:r>
        <w:rPr/>
        <w:t>constituye solo una alternativa para casos en los cuales el retratamiento ortógrado no es posible.</w:t>
      </w:r>
    </w:p>
    <w:p>
      <w:pPr>
        <w:pStyle w:val="BodyText"/>
        <w:spacing w:line="360" w:lineRule="auto" w:before="204"/>
        <w:ind w:left="162" w:right="158"/>
        <w:jc w:val="both"/>
      </w:pPr>
      <w:r>
        <w:rPr/>
        <w:t>En dientes que no presentan lesión periapical inicial, el desarrollo de una lesión subsecuente</w:t>
      </w:r>
      <w:r>
        <w:rPr>
          <w:spacing w:val="-9"/>
        </w:rPr>
        <w:t> </w:t>
      </w:r>
      <w:r>
        <w:rPr/>
        <w:t>garantiza</w:t>
      </w:r>
      <w:r>
        <w:rPr>
          <w:spacing w:val="-9"/>
        </w:rPr>
        <w:t> </w:t>
      </w:r>
      <w:r>
        <w:rPr/>
        <w:t>que</w:t>
      </w:r>
      <w:r>
        <w:rPr>
          <w:spacing w:val="-9"/>
        </w:rPr>
        <w:t> </w:t>
      </w:r>
      <w:r>
        <w:rPr/>
        <w:t>el</w:t>
      </w:r>
      <w:r>
        <w:rPr>
          <w:spacing w:val="-11"/>
        </w:rPr>
        <w:t> </w:t>
      </w:r>
      <w:r>
        <w:rPr/>
        <w:t>diente</w:t>
      </w:r>
      <w:r>
        <w:rPr>
          <w:spacing w:val="-9"/>
        </w:rPr>
        <w:t> </w:t>
      </w:r>
      <w:r>
        <w:rPr/>
        <w:t>debe</w:t>
      </w:r>
      <w:r>
        <w:rPr>
          <w:spacing w:val="-12"/>
        </w:rPr>
        <w:t> </w:t>
      </w:r>
      <w:r>
        <w:rPr/>
        <w:t>ser</w:t>
      </w:r>
      <w:r>
        <w:rPr>
          <w:spacing w:val="-13"/>
        </w:rPr>
        <w:t> </w:t>
      </w:r>
      <w:r>
        <w:rPr/>
        <w:t>re-tratado.</w:t>
      </w:r>
      <w:r>
        <w:rPr>
          <w:spacing w:val="-10"/>
        </w:rPr>
        <w:t> </w:t>
      </w:r>
      <w:r>
        <w:rPr/>
        <w:t>Para</w:t>
      </w:r>
      <w:r>
        <w:rPr>
          <w:spacing w:val="-10"/>
        </w:rPr>
        <w:t> </w:t>
      </w:r>
      <w:r>
        <w:rPr/>
        <w:t>casos</w:t>
      </w:r>
      <w:r>
        <w:rPr>
          <w:spacing w:val="-13"/>
        </w:rPr>
        <w:t> </w:t>
      </w:r>
      <w:r>
        <w:rPr/>
        <w:t>de</w:t>
      </w:r>
      <w:r>
        <w:rPr>
          <w:spacing w:val="-12"/>
        </w:rPr>
        <w:t> </w:t>
      </w:r>
      <w:r>
        <w:rPr/>
        <w:t>dientes</w:t>
      </w:r>
      <w:r>
        <w:rPr>
          <w:spacing w:val="-10"/>
        </w:rPr>
        <w:t> </w:t>
      </w:r>
      <w:r>
        <w:rPr/>
        <w:t>con lesiones preoperatorias, el tiempo de observación postoperatoria es un factor importante para decidir si se requiere re-tratamiento. Un seguimiento de por lo menos 4 años es considerado como un periodo de observación ideal</w:t>
      </w:r>
      <w:r>
        <w:rPr>
          <w:spacing w:val="-26"/>
        </w:rPr>
        <w:t> </w:t>
      </w:r>
      <w:r>
        <w:rPr/>
        <w:t>(28).</w:t>
      </w:r>
    </w:p>
    <w:p>
      <w:pPr>
        <w:pStyle w:val="Heading1"/>
        <w:numPr>
          <w:ilvl w:val="1"/>
          <w:numId w:val="4"/>
        </w:numPr>
        <w:tabs>
          <w:tab w:pos="630" w:val="left" w:leader="none"/>
        </w:tabs>
        <w:spacing w:line="240" w:lineRule="auto" w:before="204" w:after="0"/>
        <w:ind w:left="629" w:right="0" w:hanging="467"/>
        <w:jc w:val="both"/>
      </w:pPr>
      <w:bookmarkStart w:name="_bookmark8" w:id="17"/>
      <w:bookmarkEnd w:id="17"/>
      <w:r>
        <w:rPr>
          <w:b w:val="0"/>
        </w:rPr>
      </w:r>
      <w:bookmarkStart w:name="_bookmark8" w:id="18"/>
      <w:bookmarkEnd w:id="18"/>
      <w:r>
        <w:rPr/>
        <w:t>P</w:t>
      </w:r>
      <w:r>
        <w:rPr/>
        <w:t>atología</w:t>
      </w:r>
      <w:r>
        <w:rPr>
          <w:spacing w:val="-8"/>
        </w:rPr>
        <w:t> </w:t>
      </w:r>
      <w:r>
        <w:rPr/>
        <w:t>Periapical</w:t>
      </w:r>
    </w:p>
    <w:p>
      <w:pPr>
        <w:pStyle w:val="BodyText"/>
        <w:spacing w:before="3"/>
        <w:rPr>
          <w:b/>
          <w:sz w:val="22"/>
        </w:rPr>
      </w:pPr>
    </w:p>
    <w:p>
      <w:pPr>
        <w:pStyle w:val="BodyText"/>
        <w:spacing w:line="360" w:lineRule="auto" w:before="1"/>
        <w:ind w:left="162" w:right="156"/>
        <w:jc w:val="both"/>
      </w:pPr>
      <w:r>
        <w:rPr/>
        <w:t>La presencia de infección microbiana en el sistema de conductos radiculares es la mayor</w:t>
      </w:r>
      <w:r>
        <w:rPr>
          <w:spacing w:val="-15"/>
        </w:rPr>
        <w:t> </w:t>
      </w:r>
      <w:r>
        <w:rPr/>
        <w:t>causa</w:t>
      </w:r>
      <w:r>
        <w:rPr>
          <w:spacing w:val="-16"/>
        </w:rPr>
        <w:t> </w:t>
      </w:r>
      <w:r>
        <w:rPr/>
        <w:t>de</w:t>
      </w:r>
      <w:r>
        <w:rPr>
          <w:spacing w:val="-16"/>
        </w:rPr>
        <w:t> </w:t>
      </w:r>
      <w:r>
        <w:rPr/>
        <w:t>periodontitis</w:t>
      </w:r>
      <w:r>
        <w:rPr>
          <w:spacing w:val="-14"/>
        </w:rPr>
        <w:t> </w:t>
      </w:r>
      <w:r>
        <w:rPr/>
        <w:t>apical</w:t>
      </w:r>
      <w:r>
        <w:rPr>
          <w:spacing w:val="-14"/>
        </w:rPr>
        <w:t> </w:t>
      </w:r>
      <w:r>
        <w:rPr/>
        <w:t>postratamiento</w:t>
      </w:r>
      <w:r>
        <w:rPr>
          <w:spacing w:val="-15"/>
        </w:rPr>
        <w:t> </w:t>
      </w:r>
      <w:r>
        <w:rPr/>
        <w:t>en</w:t>
      </w:r>
      <w:r>
        <w:rPr>
          <w:spacing w:val="-13"/>
        </w:rPr>
        <w:t> </w:t>
      </w:r>
      <w:r>
        <w:rPr/>
        <w:t>dientes</w:t>
      </w:r>
      <w:r>
        <w:rPr>
          <w:spacing w:val="-14"/>
        </w:rPr>
        <w:t> </w:t>
      </w:r>
      <w:r>
        <w:rPr/>
        <w:t>que</w:t>
      </w:r>
      <w:r>
        <w:rPr>
          <w:spacing w:val="-13"/>
        </w:rPr>
        <w:t> </w:t>
      </w:r>
      <w:r>
        <w:rPr/>
        <w:t>han</w:t>
      </w:r>
      <w:r>
        <w:rPr>
          <w:spacing w:val="-13"/>
        </w:rPr>
        <w:t> </w:t>
      </w:r>
      <w:r>
        <w:rPr/>
        <w:t>sido</w:t>
      </w:r>
      <w:r>
        <w:rPr>
          <w:spacing w:val="-13"/>
        </w:rPr>
        <w:t> </w:t>
      </w:r>
      <w:r>
        <w:rPr/>
        <w:t>tratados endodónticamente (28). El tratamiento, por consiguiente, es la eliminación o la reducción substancial de los agentes infecciosos del conducto radicular y la exclusión de una posterior reinfección del conducto por medio de la obturación radicular. Cuando el tratamiento es llevado apropiadamente, la reparación de la lesión periapical con frecuencia es seguida por regeneración ósea, lo cual se caracteriza  por  una  reducción  gradual  de  la  radiolucencia  en  el  </w:t>
      </w:r>
      <w:r>
        <w:rPr>
          <w:spacing w:val="25"/>
        </w:rPr>
        <w:t> </w:t>
      </w:r>
      <w:r>
        <w:rPr/>
        <w:t>seguimiento</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9"/>
        <w:jc w:val="both"/>
      </w:pPr>
      <w:r>
        <w:rPr/>
        <w:t>radiográfico. Si la reparación y disminución de la lesión apical no ocurre y la periodontitis apical persiste aún después de un año del tratamiento se refiere</w:t>
      </w:r>
      <w:r>
        <w:rPr>
          <w:spacing w:val="-42"/>
        </w:rPr>
        <w:t> </w:t>
      </w:r>
      <w:r>
        <w:rPr/>
        <w:t>como “fracaso endodóntico”. En algunos casos, factores etiológicos no microbianos localizados más allá del foramen apical (dentro de los tejidos periapicales inflamados), pueden también mantener activa la enfermedad en órganos dentales obturados radicularmente. Estos factores incluyen la reacción a cuerpo extraño, reacción a materiales exógenos, cristales de colesterol endógenos, una condición quística de la lesión y la infección extra radicular por actinomicosis</w:t>
      </w:r>
      <w:r>
        <w:rPr>
          <w:spacing w:val="-23"/>
        </w:rPr>
        <w:t> </w:t>
      </w:r>
      <w:r>
        <w:rPr/>
        <w:t>(29).</w:t>
      </w:r>
    </w:p>
    <w:p>
      <w:pPr>
        <w:pStyle w:val="BodyText"/>
        <w:spacing w:line="360" w:lineRule="auto" w:before="204"/>
        <w:ind w:left="162" w:right="157"/>
        <w:jc w:val="both"/>
      </w:pPr>
      <w:r>
        <w:rPr/>
        <w:t>Las categorizaciones histológicas de las lesiones periapicales están basadas en la distribución de las células inflamatorias dentro de las lesiones y la presencia o ausencia de células epiteliales. También se ha determinado qué tipo de lesiones pueden evolucionar en quiste y cuál es su relación con el sistema de conductos radiculares y el foramen apical (30). Las lesiones inflamatorias han sido diagnosticadas y clasificadas de acuerdo a las siguientes definiciones histopatológicas.</w:t>
      </w:r>
    </w:p>
    <w:p>
      <w:pPr>
        <w:pStyle w:val="Heading1"/>
        <w:numPr>
          <w:ilvl w:val="2"/>
          <w:numId w:val="4"/>
        </w:numPr>
        <w:tabs>
          <w:tab w:pos="831" w:val="left" w:leader="none"/>
        </w:tabs>
        <w:spacing w:line="240" w:lineRule="auto" w:before="202" w:after="0"/>
        <w:ind w:left="830" w:right="0" w:hanging="668"/>
        <w:jc w:val="both"/>
      </w:pPr>
      <w:bookmarkStart w:name="_bookmark9" w:id="19"/>
      <w:bookmarkEnd w:id="19"/>
      <w:r>
        <w:rPr>
          <w:b w:val="0"/>
        </w:rPr>
      </w:r>
      <w:bookmarkStart w:name="_bookmark9" w:id="20"/>
      <w:bookmarkEnd w:id="20"/>
      <w:r>
        <w:rPr/>
        <w:t>P</w:t>
      </w:r>
      <w:r>
        <w:rPr/>
        <w:t>eriodontitis apical</w:t>
      </w:r>
      <w:r>
        <w:rPr>
          <w:spacing w:val="-6"/>
        </w:rPr>
        <w:t> </w:t>
      </w:r>
      <w:r>
        <w:rPr/>
        <w:t>aguda</w:t>
      </w:r>
    </w:p>
    <w:p>
      <w:pPr>
        <w:pStyle w:val="BodyText"/>
        <w:spacing w:before="5"/>
        <w:rPr>
          <w:b/>
          <w:sz w:val="29"/>
        </w:rPr>
      </w:pPr>
    </w:p>
    <w:p>
      <w:pPr>
        <w:pStyle w:val="BodyText"/>
        <w:spacing w:line="360" w:lineRule="auto"/>
        <w:ind w:left="162" w:right="156"/>
        <w:jc w:val="both"/>
      </w:pPr>
      <w:r>
        <w:rPr/>
        <w:t>La</w:t>
      </w:r>
      <w:r>
        <w:rPr>
          <w:spacing w:val="-20"/>
        </w:rPr>
        <w:t> </w:t>
      </w:r>
      <w:r>
        <w:rPr/>
        <w:t>periodontitis</w:t>
      </w:r>
      <w:r>
        <w:rPr>
          <w:spacing w:val="-21"/>
        </w:rPr>
        <w:t> </w:t>
      </w:r>
      <w:r>
        <w:rPr/>
        <w:t>apical</w:t>
      </w:r>
      <w:r>
        <w:rPr>
          <w:spacing w:val="-21"/>
        </w:rPr>
        <w:t> </w:t>
      </w:r>
      <w:r>
        <w:rPr/>
        <w:t>aguda</w:t>
      </w:r>
      <w:r>
        <w:rPr>
          <w:spacing w:val="28"/>
        </w:rPr>
        <w:t> </w:t>
      </w:r>
      <w:r>
        <w:rPr/>
        <w:t>suele</w:t>
      </w:r>
      <w:r>
        <w:rPr>
          <w:spacing w:val="-20"/>
        </w:rPr>
        <w:t> </w:t>
      </w:r>
      <w:r>
        <w:rPr/>
        <w:t>estar</w:t>
      </w:r>
      <w:r>
        <w:rPr>
          <w:spacing w:val="-21"/>
        </w:rPr>
        <w:t> </w:t>
      </w:r>
      <w:r>
        <w:rPr/>
        <w:t>causada</w:t>
      </w:r>
      <w:r>
        <w:rPr>
          <w:spacing w:val="-21"/>
        </w:rPr>
        <w:t> </w:t>
      </w:r>
      <w:r>
        <w:rPr/>
        <w:t>por</w:t>
      </w:r>
      <w:r>
        <w:rPr>
          <w:spacing w:val="-21"/>
        </w:rPr>
        <w:t> </w:t>
      </w:r>
      <w:r>
        <w:rPr/>
        <w:t>microorganismos</w:t>
      </w:r>
      <w:r>
        <w:rPr>
          <w:spacing w:val="-21"/>
        </w:rPr>
        <w:t> </w:t>
      </w:r>
      <w:r>
        <w:rPr/>
        <w:t>que</w:t>
      </w:r>
      <w:r>
        <w:rPr>
          <w:spacing w:val="-20"/>
        </w:rPr>
        <w:t> </w:t>
      </w:r>
      <w:r>
        <w:rPr/>
        <w:t>invaden los tejidos periapicales desde el conducto radicular, por traumatismo o por una lesión</w:t>
      </w:r>
      <w:r>
        <w:rPr>
          <w:spacing w:val="-17"/>
        </w:rPr>
        <w:t> </w:t>
      </w:r>
      <w:r>
        <w:rPr/>
        <w:t>debida</w:t>
      </w:r>
      <w:r>
        <w:rPr>
          <w:spacing w:val="-17"/>
        </w:rPr>
        <w:t> </w:t>
      </w:r>
      <w:r>
        <w:rPr/>
        <w:t>a</w:t>
      </w:r>
      <w:r>
        <w:rPr>
          <w:spacing w:val="-14"/>
        </w:rPr>
        <w:t> </w:t>
      </w:r>
      <w:r>
        <w:rPr/>
        <w:t>instrumentación</w:t>
      </w:r>
      <w:r>
        <w:rPr>
          <w:spacing w:val="-17"/>
        </w:rPr>
        <w:t> </w:t>
      </w:r>
      <w:r>
        <w:rPr/>
        <w:t>o</w:t>
      </w:r>
      <w:r>
        <w:rPr>
          <w:spacing w:val="-14"/>
        </w:rPr>
        <w:t> </w:t>
      </w:r>
      <w:r>
        <w:rPr/>
        <w:t>irritación</w:t>
      </w:r>
      <w:r>
        <w:rPr>
          <w:spacing w:val="-16"/>
        </w:rPr>
        <w:t> </w:t>
      </w:r>
      <w:r>
        <w:rPr/>
        <w:t>por</w:t>
      </w:r>
      <w:r>
        <w:rPr>
          <w:spacing w:val="-16"/>
        </w:rPr>
        <w:t> </w:t>
      </w:r>
      <w:r>
        <w:rPr/>
        <w:t>sustancias</w:t>
      </w:r>
      <w:r>
        <w:rPr>
          <w:spacing w:val="-14"/>
        </w:rPr>
        <w:t> </w:t>
      </w:r>
      <w:r>
        <w:rPr/>
        <w:t>químicas</w:t>
      </w:r>
      <w:r>
        <w:rPr>
          <w:spacing w:val="-19"/>
        </w:rPr>
        <w:t> </w:t>
      </w:r>
      <w:r>
        <w:rPr/>
        <w:t>o</w:t>
      </w:r>
      <w:r>
        <w:rPr>
          <w:spacing w:val="-14"/>
        </w:rPr>
        <w:t> </w:t>
      </w:r>
      <w:r>
        <w:rPr/>
        <w:t>por</w:t>
      </w:r>
      <w:r>
        <w:rPr>
          <w:spacing w:val="-18"/>
        </w:rPr>
        <w:t> </w:t>
      </w:r>
      <w:r>
        <w:rPr/>
        <w:t>materiales endodónticos, que pueden provocar una respuesta intensa y de corta duración en el huésped (29). Un diente con periodontitis apical aguda tendrá una respuesta dolorosa exagerada a la presión y percusión. Estos dientes pueden o</w:t>
      </w:r>
      <w:r>
        <w:rPr>
          <w:spacing w:val="-35"/>
        </w:rPr>
        <w:t> </w:t>
      </w:r>
      <w:r>
        <w:rPr/>
        <w:t>no responder a las pruebas de sensibilidad y la imagen radiográfica generalmente exhibe ensanchamiento del espacio del ligamento periodontal pero sin radiolucidez periapical (31). La lesión apical aguda puede seguir varios cursos posibles, entre ellos, la curación espontánea, la extensión en el hueso (absceso alveolar), la “perforación” con apertura al exterior (fistulización y formación de un tracto sinusal) (29).</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Heading1"/>
        <w:numPr>
          <w:ilvl w:val="2"/>
          <w:numId w:val="4"/>
        </w:numPr>
        <w:tabs>
          <w:tab w:pos="831" w:val="left" w:leader="none"/>
        </w:tabs>
        <w:spacing w:line="240" w:lineRule="auto" w:before="69" w:after="0"/>
        <w:ind w:left="830" w:right="0" w:hanging="668"/>
        <w:jc w:val="both"/>
      </w:pPr>
      <w:bookmarkStart w:name="_bookmark10" w:id="21"/>
      <w:bookmarkEnd w:id="21"/>
      <w:r>
        <w:rPr>
          <w:b w:val="0"/>
        </w:rPr>
      </w:r>
      <w:bookmarkStart w:name="_bookmark10" w:id="22"/>
      <w:bookmarkEnd w:id="22"/>
      <w:r>
        <w:rPr/>
        <w:t>P</w:t>
      </w:r>
      <w:r>
        <w:rPr/>
        <w:t>eriodontitis apical</w:t>
      </w:r>
      <w:r>
        <w:rPr>
          <w:spacing w:val="-5"/>
        </w:rPr>
        <w:t> </w:t>
      </w:r>
      <w:r>
        <w:rPr/>
        <w:t>crónica</w:t>
      </w:r>
    </w:p>
    <w:p>
      <w:pPr>
        <w:pStyle w:val="BodyText"/>
        <w:spacing w:before="5"/>
        <w:rPr>
          <w:b/>
          <w:sz w:val="29"/>
        </w:rPr>
      </w:pPr>
    </w:p>
    <w:p>
      <w:pPr>
        <w:pStyle w:val="BodyText"/>
        <w:spacing w:line="360" w:lineRule="auto"/>
        <w:ind w:left="162" w:right="158"/>
        <w:jc w:val="both"/>
      </w:pPr>
      <w:r>
        <w:rPr/>
        <w:t>Su origen es la presencia continua de irritantes. Un diente con periodontitis apical crónica generalmente se presenta sin síntomas clínicos. Estos dientes no responden a las pruebas de sensibilidad y en la imagen radiográfica se observa radiolucidez periapical a menudo rodeando el tercio apical radicular. Generalmente no presentan sensibilidad a la presión pero pueden tener respuesta positiva a la percusión (31). Las lesiones crónicas pueden permanecer estáticas por un largo periodo de tiempo sin cambios radiográficos importantes. Sin embargo con el transcurso del tiempo el delicado equilibrio en el periápice puede ser alterado por uno o más factores y convertirse espontáneamente en aguda con manifestaciones clínicas y agrandamiento de la lesión debido a la reabsorción ósea apical durante las</w:t>
      </w:r>
      <w:r>
        <w:rPr>
          <w:spacing w:val="-12"/>
        </w:rPr>
        <w:t> </w:t>
      </w:r>
      <w:r>
        <w:rPr/>
        <w:t>fases</w:t>
      </w:r>
      <w:r>
        <w:rPr>
          <w:spacing w:val="-13"/>
        </w:rPr>
        <w:t> </w:t>
      </w:r>
      <w:r>
        <w:rPr/>
        <w:t>agudas</w:t>
      </w:r>
      <w:r>
        <w:rPr>
          <w:spacing w:val="-13"/>
        </w:rPr>
        <w:t> </w:t>
      </w:r>
      <w:r>
        <w:rPr/>
        <w:t>(30).</w:t>
      </w:r>
      <w:r>
        <w:rPr>
          <w:spacing w:val="-13"/>
        </w:rPr>
        <w:t> </w:t>
      </w:r>
      <w:r>
        <w:rPr/>
        <w:t>La</w:t>
      </w:r>
      <w:r>
        <w:rPr>
          <w:spacing w:val="-12"/>
        </w:rPr>
        <w:t> </w:t>
      </w:r>
      <w:r>
        <w:rPr/>
        <w:t>periodontitis</w:t>
      </w:r>
      <w:r>
        <w:rPr>
          <w:spacing w:val="-13"/>
        </w:rPr>
        <w:t> </w:t>
      </w:r>
      <w:r>
        <w:rPr/>
        <w:t>apical</w:t>
      </w:r>
      <w:r>
        <w:rPr>
          <w:spacing w:val="-14"/>
        </w:rPr>
        <w:t> </w:t>
      </w:r>
      <w:r>
        <w:rPr/>
        <w:t>crónica</w:t>
      </w:r>
      <w:r>
        <w:rPr>
          <w:spacing w:val="-10"/>
        </w:rPr>
        <w:t> </w:t>
      </w:r>
      <w:r>
        <w:rPr/>
        <w:t>se</w:t>
      </w:r>
      <w:r>
        <w:rPr>
          <w:spacing w:val="-12"/>
        </w:rPr>
        <w:t> </w:t>
      </w:r>
      <w:r>
        <w:rPr/>
        <w:t>designa</w:t>
      </w:r>
      <w:r>
        <w:rPr>
          <w:spacing w:val="-9"/>
        </w:rPr>
        <w:t> </w:t>
      </w:r>
      <w:r>
        <w:rPr/>
        <w:t>comúnmente</w:t>
      </w:r>
      <w:r>
        <w:rPr>
          <w:spacing w:val="-9"/>
        </w:rPr>
        <w:t> </w:t>
      </w:r>
      <w:r>
        <w:rPr/>
        <w:t>como granuloma dental o periapical y se compone de un tejido granulomatoso, con infiltrados celulares, fibroblastos y una cápsula fibrosa bien desarrollada</w:t>
      </w:r>
      <w:r>
        <w:rPr>
          <w:spacing w:val="-23"/>
        </w:rPr>
        <w:t> </w:t>
      </w:r>
      <w:r>
        <w:rPr/>
        <w:t>(31).</w:t>
      </w:r>
    </w:p>
    <w:p>
      <w:pPr>
        <w:pStyle w:val="Heading1"/>
        <w:numPr>
          <w:ilvl w:val="2"/>
          <w:numId w:val="4"/>
        </w:numPr>
        <w:tabs>
          <w:tab w:pos="834" w:val="left" w:leader="none"/>
        </w:tabs>
        <w:spacing w:line="240" w:lineRule="auto" w:before="204" w:after="0"/>
        <w:ind w:left="833" w:right="0" w:hanging="671"/>
        <w:jc w:val="both"/>
      </w:pPr>
      <w:bookmarkStart w:name="_bookmark11" w:id="23"/>
      <w:bookmarkEnd w:id="23"/>
      <w:r>
        <w:rPr>
          <w:b w:val="0"/>
        </w:rPr>
      </w:r>
      <w:bookmarkStart w:name="_bookmark11" w:id="24"/>
      <w:bookmarkEnd w:id="24"/>
      <w:r>
        <w:rPr/>
        <w:t>A</w:t>
      </w:r>
      <w:r>
        <w:rPr/>
        <w:t>bsceso periapical</w:t>
      </w:r>
      <w:r>
        <w:rPr>
          <w:spacing w:val="-13"/>
        </w:rPr>
        <w:t> </w:t>
      </w:r>
      <w:r>
        <w:rPr/>
        <w:t>agudo</w:t>
      </w:r>
    </w:p>
    <w:p>
      <w:pPr>
        <w:pStyle w:val="BodyText"/>
        <w:spacing w:before="4"/>
        <w:rPr>
          <w:b/>
          <w:sz w:val="29"/>
        </w:rPr>
      </w:pPr>
    </w:p>
    <w:p>
      <w:pPr>
        <w:pStyle w:val="BodyText"/>
        <w:spacing w:line="360" w:lineRule="auto" w:before="1"/>
        <w:ind w:left="162" w:right="159"/>
        <w:jc w:val="both"/>
      </w:pPr>
      <w:r>
        <w:rPr/>
        <w:t>Esta</w:t>
      </w:r>
      <w:r>
        <w:rPr>
          <w:spacing w:val="-19"/>
        </w:rPr>
        <w:t> </w:t>
      </w:r>
      <w:r>
        <w:rPr/>
        <w:t>patología</w:t>
      </w:r>
      <w:r>
        <w:rPr>
          <w:spacing w:val="-19"/>
        </w:rPr>
        <w:t> </w:t>
      </w:r>
      <w:r>
        <w:rPr/>
        <w:t>presenta</w:t>
      </w:r>
      <w:r>
        <w:rPr>
          <w:spacing w:val="-19"/>
        </w:rPr>
        <w:t> </w:t>
      </w:r>
      <w:r>
        <w:rPr/>
        <w:t>un</w:t>
      </w:r>
      <w:r>
        <w:rPr>
          <w:spacing w:val="-21"/>
        </w:rPr>
        <w:t> </w:t>
      </w:r>
      <w:r>
        <w:rPr/>
        <w:t>foco</w:t>
      </w:r>
      <w:r>
        <w:rPr>
          <w:spacing w:val="-21"/>
        </w:rPr>
        <w:t> </w:t>
      </w:r>
      <w:r>
        <w:rPr/>
        <w:t>de</w:t>
      </w:r>
      <w:r>
        <w:rPr>
          <w:spacing w:val="-19"/>
        </w:rPr>
        <w:t> </w:t>
      </w:r>
      <w:r>
        <w:rPr/>
        <w:t>inflamación</w:t>
      </w:r>
      <w:r>
        <w:rPr>
          <w:spacing w:val="-19"/>
        </w:rPr>
        <w:t> </w:t>
      </w:r>
      <w:r>
        <w:rPr/>
        <w:t>aguda</w:t>
      </w:r>
      <w:r>
        <w:rPr>
          <w:spacing w:val="-19"/>
        </w:rPr>
        <w:t> </w:t>
      </w:r>
      <w:r>
        <w:rPr/>
        <w:t>caracterizado</w:t>
      </w:r>
      <w:r>
        <w:rPr>
          <w:spacing w:val="-21"/>
        </w:rPr>
        <w:t> </w:t>
      </w:r>
      <w:r>
        <w:rPr/>
        <w:t>por</w:t>
      </w:r>
      <w:r>
        <w:rPr>
          <w:spacing w:val="-20"/>
        </w:rPr>
        <w:t> </w:t>
      </w:r>
      <w:r>
        <w:rPr/>
        <w:t>la</w:t>
      </w:r>
      <w:r>
        <w:rPr>
          <w:spacing w:val="-19"/>
        </w:rPr>
        <w:t> </w:t>
      </w:r>
      <w:r>
        <w:rPr/>
        <w:t>presencia de una colección de leucocitos polimorfonucleares (PMN) degenerados dentro de un granuloma crónico ya existente (28, 33). Existe dilatación de los vasos sanguíneos en el ligamento periodontal y en los espacios medulares del hueso adyacente. Estos espacios medulares también están infiltrados por células inflamatorias. El tejido alrededor del área de supuración contiene un exudado seroso. Las células principales alrededor de la lesión son las de destrucción y fagocitosis,</w:t>
      </w:r>
      <w:r>
        <w:rPr>
          <w:spacing w:val="-16"/>
        </w:rPr>
        <w:t> </w:t>
      </w:r>
      <w:r>
        <w:rPr/>
        <w:t>como</w:t>
      </w:r>
      <w:r>
        <w:rPr>
          <w:spacing w:val="-16"/>
        </w:rPr>
        <w:t> </w:t>
      </w:r>
      <w:r>
        <w:rPr/>
        <w:t>neutrófilos,</w:t>
      </w:r>
      <w:r>
        <w:rPr>
          <w:spacing w:val="-18"/>
        </w:rPr>
        <w:t> </w:t>
      </w:r>
      <w:r>
        <w:rPr/>
        <w:t>macrófagos</w:t>
      </w:r>
      <w:r>
        <w:rPr>
          <w:spacing w:val="-16"/>
        </w:rPr>
        <w:t> </w:t>
      </w:r>
      <w:r>
        <w:rPr/>
        <w:t>y</w:t>
      </w:r>
      <w:r>
        <w:rPr>
          <w:spacing w:val="-18"/>
        </w:rPr>
        <w:t> </w:t>
      </w:r>
      <w:r>
        <w:rPr/>
        <w:t>otras</w:t>
      </w:r>
      <w:r>
        <w:rPr>
          <w:spacing w:val="-16"/>
        </w:rPr>
        <w:t> </w:t>
      </w:r>
      <w:r>
        <w:rPr/>
        <w:t>células</w:t>
      </w:r>
      <w:r>
        <w:rPr>
          <w:spacing w:val="-16"/>
        </w:rPr>
        <w:t> </w:t>
      </w:r>
      <w:r>
        <w:rPr/>
        <w:t>presentadoras</w:t>
      </w:r>
      <w:r>
        <w:rPr>
          <w:spacing w:val="-16"/>
        </w:rPr>
        <w:t> </w:t>
      </w:r>
      <w:r>
        <w:rPr/>
        <w:t>de</w:t>
      </w:r>
      <w:r>
        <w:rPr>
          <w:spacing w:val="-16"/>
        </w:rPr>
        <w:t> </w:t>
      </w:r>
      <w:r>
        <w:rPr/>
        <w:t>antígeno (33).</w:t>
      </w:r>
    </w:p>
    <w:p>
      <w:pPr>
        <w:pStyle w:val="BodyText"/>
        <w:spacing w:line="360" w:lineRule="auto" w:before="202"/>
        <w:ind w:left="162" w:right="156"/>
        <w:jc w:val="both"/>
      </w:pPr>
      <w:r>
        <w:rPr/>
        <w:t>El</w:t>
      </w:r>
      <w:r>
        <w:rPr>
          <w:spacing w:val="-12"/>
        </w:rPr>
        <w:t> </w:t>
      </w:r>
      <w:r>
        <w:rPr/>
        <w:t>diente</w:t>
      </w:r>
      <w:r>
        <w:rPr>
          <w:spacing w:val="-11"/>
        </w:rPr>
        <w:t> </w:t>
      </w:r>
      <w:r>
        <w:rPr/>
        <w:t>con</w:t>
      </w:r>
      <w:r>
        <w:rPr>
          <w:spacing w:val="-13"/>
        </w:rPr>
        <w:t> </w:t>
      </w:r>
      <w:r>
        <w:rPr/>
        <w:t>absceso</w:t>
      </w:r>
      <w:r>
        <w:rPr>
          <w:spacing w:val="-13"/>
        </w:rPr>
        <w:t> </w:t>
      </w:r>
      <w:r>
        <w:rPr/>
        <w:t>perirradicular</w:t>
      </w:r>
      <w:r>
        <w:rPr>
          <w:spacing w:val="-12"/>
        </w:rPr>
        <w:t> </w:t>
      </w:r>
      <w:r>
        <w:rPr/>
        <w:t>agudo</w:t>
      </w:r>
      <w:r>
        <w:rPr>
          <w:spacing w:val="-13"/>
        </w:rPr>
        <w:t> </w:t>
      </w:r>
      <w:r>
        <w:rPr/>
        <w:t>presentará</w:t>
      </w:r>
      <w:r>
        <w:rPr>
          <w:spacing w:val="-11"/>
        </w:rPr>
        <w:t> </w:t>
      </w:r>
      <w:r>
        <w:rPr/>
        <w:t>dolor</w:t>
      </w:r>
      <w:r>
        <w:rPr>
          <w:spacing w:val="-12"/>
        </w:rPr>
        <w:t> </w:t>
      </w:r>
      <w:r>
        <w:rPr/>
        <w:t>exagerado</w:t>
      </w:r>
      <w:r>
        <w:rPr>
          <w:spacing w:val="-11"/>
        </w:rPr>
        <w:t> </w:t>
      </w:r>
      <w:r>
        <w:rPr/>
        <w:t>a</w:t>
      </w:r>
      <w:r>
        <w:rPr>
          <w:spacing w:val="-11"/>
        </w:rPr>
        <w:t> </w:t>
      </w:r>
      <w:r>
        <w:rPr/>
        <w:t>la</w:t>
      </w:r>
      <w:r>
        <w:rPr>
          <w:spacing w:val="-13"/>
        </w:rPr>
        <w:t> </w:t>
      </w:r>
      <w:r>
        <w:rPr/>
        <w:t>presión, percusión</w:t>
      </w:r>
      <w:r>
        <w:rPr>
          <w:spacing w:val="-19"/>
        </w:rPr>
        <w:t> </w:t>
      </w:r>
      <w:r>
        <w:rPr/>
        <w:t>y</w:t>
      </w:r>
      <w:r>
        <w:rPr>
          <w:spacing w:val="-22"/>
        </w:rPr>
        <w:t> </w:t>
      </w:r>
      <w:r>
        <w:rPr/>
        <w:t>palpación.</w:t>
      </w:r>
      <w:r>
        <w:rPr>
          <w:spacing w:val="-22"/>
        </w:rPr>
        <w:t> </w:t>
      </w:r>
      <w:r>
        <w:rPr/>
        <w:t>Estos</w:t>
      </w:r>
      <w:r>
        <w:rPr>
          <w:spacing w:val="-20"/>
        </w:rPr>
        <w:t> </w:t>
      </w:r>
      <w:r>
        <w:rPr/>
        <w:t>dientes</w:t>
      </w:r>
      <w:r>
        <w:rPr>
          <w:spacing w:val="-22"/>
        </w:rPr>
        <w:t> </w:t>
      </w:r>
      <w:r>
        <w:rPr/>
        <w:t>no</w:t>
      </w:r>
      <w:r>
        <w:rPr>
          <w:spacing w:val="-19"/>
        </w:rPr>
        <w:t> </w:t>
      </w:r>
      <w:r>
        <w:rPr/>
        <w:t>responden</w:t>
      </w:r>
      <w:r>
        <w:rPr>
          <w:spacing w:val="-19"/>
        </w:rPr>
        <w:t> </w:t>
      </w:r>
      <w:r>
        <w:rPr/>
        <w:t>a</w:t>
      </w:r>
      <w:r>
        <w:rPr>
          <w:spacing w:val="-19"/>
        </w:rPr>
        <w:t> </w:t>
      </w:r>
      <w:r>
        <w:rPr/>
        <w:t>ninguna</w:t>
      </w:r>
      <w:r>
        <w:rPr>
          <w:spacing w:val="-21"/>
        </w:rPr>
        <w:t> </w:t>
      </w:r>
      <w:r>
        <w:rPr/>
        <w:t>prueba</w:t>
      </w:r>
      <w:r>
        <w:rPr>
          <w:spacing w:val="-21"/>
        </w:rPr>
        <w:t> </w:t>
      </w:r>
      <w:r>
        <w:rPr/>
        <w:t>de</w:t>
      </w:r>
      <w:r>
        <w:rPr>
          <w:spacing w:val="-19"/>
        </w:rPr>
        <w:t> </w:t>
      </w:r>
      <w:r>
        <w:rPr/>
        <w:t>sensibilidad y pueden presentar diferentes grados de movilidad. Radiográficamente puede observarse desde un ensanchamiento del espacio del ligamento periodontal</w:t>
      </w:r>
      <w:r>
        <w:rPr>
          <w:spacing w:val="56"/>
        </w:rPr>
        <w:t> </w:t>
      </w:r>
      <w:r>
        <w:rPr/>
        <w:t>hasta</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63"/>
        <w:jc w:val="both"/>
      </w:pPr>
      <w:r>
        <w:rPr/>
        <w:t>una</w:t>
      </w:r>
      <w:r>
        <w:rPr>
          <w:spacing w:val="-9"/>
        </w:rPr>
        <w:t> </w:t>
      </w:r>
      <w:r>
        <w:rPr/>
        <w:t>radiolucidez</w:t>
      </w:r>
      <w:r>
        <w:rPr>
          <w:spacing w:val="-10"/>
        </w:rPr>
        <w:t> </w:t>
      </w:r>
      <w:r>
        <w:rPr/>
        <w:t>periapical.</w:t>
      </w:r>
      <w:r>
        <w:rPr>
          <w:spacing w:val="-7"/>
        </w:rPr>
        <w:t> </w:t>
      </w:r>
      <w:r>
        <w:rPr/>
        <w:t>Con</w:t>
      </w:r>
      <w:r>
        <w:rPr>
          <w:spacing w:val="-7"/>
        </w:rPr>
        <w:t> </w:t>
      </w:r>
      <w:r>
        <w:rPr/>
        <w:t>la</w:t>
      </w:r>
      <w:r>
        <w:rPr>
          <w:spacing w:val="-10"/>
        </w:rPr>
        <w:t> </w:t>
      </w:r>
      <w:r>
        <w:rPr/>
        <w:t>infección</w:t>
      </w:r>
      <w:r>
        <w:rPr>
          <w:spacing w:val="-11"/>
        </w:rPr>
        <w:t> </w:t>
      </w:r>
      <w:r>
        <w:rPr/>
        <w:t>progresando</w:t>
      </w:r>
      <w:r>
        <w:rPr>
          <w:spacing w:val="-9"/>
        </w:rPr>
        <w:t> </w:t>
      </w:r>
      <w:r>
        <w:rPr/>
        <w:t>la</w:t>
      </w:r>
      <w:r>
        <w:rPr>
          <w:spacing w:val="-10"/>
        </w:rPr>
        <w:t> </w:t>
      </w:r>
      <w:r>
        <w:rPr/>
        <w:t>hinchazón</w:t>
      </w:r>
      <w:r>
        <w:rPr>
          <w:spacing w:val="-7"/>
        </w:rPr>
        <w:t> </w:t>
      </w:r>
      <w:r>
        <w:rPr/>
        <w:t>del</w:t>
      </w:r>
      <w:r>
        <w:rPr>
          <w:spacing w:val="-11"/>
        </w:rPr>
        <w:t> </w:t>
      </w:r>
      <w:r>
        <w:rPr/>
        <w:t>fondo</w:t>
      </w:r>
      <w:r>
        <w:rPr>
          <w:spacing w:val="-9"/>
        </w:rPr>
        <w:t> </w:t>
      </w:r>
      <w:r>
        <w:rPr/>
        <w:t>de saco vestibular y de los tejidos faciales adyecentes al diente aparece o se vuelve más</w:t>
      </w:r>
      <w:r>
        <w:rPr>
          <w:spacing w:val="-12"/>
        </w:rPr>
        <w:t> </w:t>
      </w:r>
      <w:r>
        <w:rPr/>
        <w:t>pronunciada.</w:t>
      </w:r>
      <w:r>
        <w:rPr>
          <w:spacing w:val="-11"/>
        </w:rPr>
        <w:t> </w:t>
      </w:r>
      <w:r>
        <w:rPr/>
        <w:t>El</w:t>
      </w:r>
      <w:r>
        <w:rPr>
          <w:spacing w:val="-10"/>
        </w:rPr>
        <w:t> </w:t>
      </w:r>
      <w:r>
        <w:rPr/>
        <w:t>paciente</w:t>
      </w:r>
      <w:r>
        <w:rPr>
          <w:spacing w:val="-8"/>
        </w:rPr>
        <w:t> </w:t>
      </w:r>
      <w:r>
        <w:rPr/>
        <w:t>está</w:t>
      </w:r>
      <w:r>
        <w:rPr>
          <w:spacing w:val="-11"/>
        </w:rPr>
        <w:t> </w:t>
      </w:r>
      <w:r>
        <w:rPr/>
        <w:t>frecuentemente</w:t>
      </w:r>
      <w:r>
        <w:rPr>
          <w:spacing w:val="-10"/>
        </w:rPr>
        <w:t> </w:t>
      </w:r>
      <w:r>
        <w:rPr/>
        <w:t>en</w:t>
      </w:r>
      <w:r>
        <w:rPr>
          <w:spacing w:val="-11"/>
        </w:rPr>
        <w:t> </w:t>
      </w:r>
      <w:r>
        <w:rPr/>
        <w:t>un</w:t>
      </w:r>
      <w:r>
        <w:rPr>
          <w:spacing w:val="-11"/>
        </w:rPr>
        <w:t> </w:t>
      </w:r>
      <w:r>
        <w:rPr/>
        <w:t>estado</w:t>
      </w:r>
      <w:r>
        <w:rPr>
          <w:spacing w:val="-11"/>
        </w:rPr>
        <w:t> </w:t>
      </w:r>
      <w:r>
        <w:rPr/>
        <w:t>febril</w:t>
      </w:r>
      <w:r>
        <w:rPr>
          <w:spacing w:val="-10"/>
        </w:rPr>
        <w:t> </w:t>
      </w:r>
      <w:r>
        <w:rPr/>
        <w:t>y</w:t>
      </w:r>
      <w:r>
        <w:rPr>
          <w:spacing w:val="-12"/>
        </w:rPr>
        <w:t> </w:t>
      </w:r>
      <w:r>
        <w:rPr/>
        <w:t>los</w:t>
      </w:r>
      <w:r>
        <w:rPr>
          <w:spacing w:val="-9"/>
        </w:rPr>
        <w:t> </w:t>
      </w:r>
      <w:r>
        <w:rPr/>
        <w:t>nódulos linfáticos cervicales y mandibulares estarán palpables</w:t>
      </w:r>
      <w:r>
        <w:rPr>
          <w:spacing w:val="-18"/>
        </w:rPr>
        <w:t> </w:t>
      </w:r>
      <w:r>
        <w:rPr/>
        <w:t>(32).</w:t>
      </w:r>
    </w:p>
    <w:p>
      <w:pPr>
        <w:pStyle w:val="Heading1"/>
        <w:numPr>
          <w:ilvl w:val="2"/>
          <w:numId w:val="4"/>
        </w:numPr>
        <w:tabs>
          <w:tab w:pos="834" w:val="left" w:leader="none"/>
        </w:tabs>
        <w:spacing w:line="240" w:lineRule="auto" w:before="204" w:after="0"/>
        <w:ind w:left="833" w:right="0" w:hanging="671"/>
        <w:jc w:val="both"/>
      </w:pPr>
      <w:bookmarkStart w:name="_bookmark12" w:id="25"/>
      <w:bookmarkEnd w:id="25"/>
      <w:r>
        <w:rPr>
          <w:b w:val="0"/>
        </w:rPr>
      </w:r>
      <w:bookmarkStart w:name="_bookmark12" w:id="26"/>
      <w:bookmarkEnd w:id="26"/>
      <w:r>
        <w:rPr/>
        <w:t>A</w:t>
      </w:r>
      <w:r>
        <w:rPr/>
        <w:t>bsceso periapical</w:t>
      </w:r>
      <w:r>
        <w:rPr>
          <w:spacing w:val="-7"/>
        </w:rPr>
        <w:t> </w:t>
      </w:r>
      <w:r>
        <w:rPr/>
        <w:t>crónico</w:t>
      </w:r>
    </w:p>
    <w:p>
      <w:pPr>
        <w:pStyle w:val="BodyText"/>
        <w:spacing w:before="4"/>
        <w:rPr>
          <w:b/>
          <w:sz w:val="29"/>
        </w:rPr>
      </w:pPr>
    </w:p>
    <w:p>
      <w:pPr>
        <w:pStyle w:val="BodyText"/>
        <w:spacing w:line="360" w:lineRule="auto" w:before="1"/>
        <w:ind w:left="162" w:right="164"/>
        <w:jc w:val="both"/>
      </w:pPr>
      <w:r>
        <w:rPr/>
        <w:t>Las características histológicas del absceso periapical crónico son bastante semejantes a las encontradas en el absceso periapical agudo en el que existe una gran área de destrucción tisular. La diferencia está en la intensidad de la</w:t>
      </w:r>
      <w:r>
        <w:rPr>
          <w:spacing w:val="-41"/>
        </w:rPr>
        <w:t> </w:t>
      </w:r>
      <w:r>
        <w:rPr/>
        <w:t>respuesta a esa patología y, por consiguiente, en las células allí presentes. En los casos de abscesos crónicos se presentan linfocitos y plasmocitos a su alrededor. Estás células forman una línea de defensa en el intento de impedir que la contaminación se disemine</w:t>
      </w:r>
      <w:r>
        <w:rPr>
          <w:spacing w:val="-2"/>
        </w:rPr>
        <w:t> </w:t>
      </w:r>
      <w:r>
        <w:rPr/>
        <w:t>(33).</w:t>
      </w:r>
    </w:p>
    <w:p>
      <w:pPr>
        <w:pStyle w:val="BodyText"/>
        <w:spacing w:line="360" w:lineRule="auto" w:before="204"/>
        <w:ind w:left="162" w:right="163"/>
        <w:jc w:val="both"/>
      </w:pPr>
      <w:r>
        <w:rPr/>
        <w:t>Los dientes con absceso crónico perirradicular generalmente no presentan síntomas clínicos, no responden a las pruebas de sensibilidad y la imagen radiográfica exhibe una radiolucidez perirradicular. No existe sensibilidad a la presión pero pueden percibirse respuesta positiva a la percusión. Esta entidad es distinguible</w:t>
      </w:r>
      <w:r>
        <w:rPr>
          <w:spacing w:val="-4"/>
        </w:rPr>
        <w:t> </w:t>
      </w:r>
      <w:r>
        <w:rPr/>
        <w:t>de</w:t>
      </w:r>
      <w:r>
        <w:rPr>
          <w:spacing w:val="-4"/>
        </w:rPr>
        <w:t> </w:t>
      </w:r>
      <w:r>
        <w:rPr/>
        <w:t>la</w:t>
      </w:r>
      <w:r>
        <w:rPr>
          <w:spacing w:val="-6"/>
        </w:rPr>
        <w:t> </w:t>
      </w:r>
      <w:r>
        <w:rPr/>
        <w:t>periodontitis</w:t>
      </w:r>
      <w:r>
        <w:rPr>
          <w:spacing w:val="-4"/>
        </w:rPr>
        <w:t> </w:t>
      </w:r>
      <w:r>
        <w:rPr/>
        <w:t>apical</w:t>
      </w:r>
      <w:r>
        <w:rPr>
          <w:spacing w:val="-4"/>
        </w:rPr>
        <w:t> </w:t>
      </w:r>
      <w:r>
        <w:rPr/>
        <w:t>crónica</w:t>
      </w:r>
      <w:r>
        <w:rPr>
          <w:spacing w:val="-6"/>
        </w:rPr>
        <w:t> </w:t>
      </w:r>
      <w:r>
        <w:rPr/>
        <w:t>debido</w:t>
      </w:r>
      <w:r>
        <w:rPr>
          <w:spacing w:val="-4"/>
        </w:rPr>
        <w:t> </w:t>
      </w:r>
      <w:r>
        <w:rPr/>
        <w:t>a</w:t>
      </w:r>
      <w:r>
        <w:rPr>
          <w:spacing w:val="-4"/>
        </w:rPr>
        <w:t> </w:t>
      </w:r>
      <w:r>
        <w:rPr/>
        <w:t>que</w:t>
      </w:r>
      <w:r>
        <w:rPr>
          <w:spacing w:val="-6"/>
        </w:rPr>
        <w:t> </w:t>
      </w:r>
      <w:r>
        <w:rPr/>
        <w:t>muestra</w:t>
      </w:r>
      <w:r>
        <w:rPr>
          <w:spacing w:val="-6"/>
        </w:rPr>
        <w:t> </w:t>
      </w:r>
      <w:r>
        <w:rPr/>
        <w:t>drenaje</w:t>
      </w:r>
      <w:r>
        <w:rPr>
          <w:spacing w:val="-6"/>
        </w:rPr>
        <w:t> </w:t>
      </w:r>
      <w:r>
        <w:rPr/>
        <w:t>a</w:t>
      </w:r>
      <w:r>
        <w:rPr>
          <w:spacing w:val="-4"/>
        </w:rPr>
        <w:t> </w:t>
      </w:r>
      <w:r>
        <w:rPr/>
        <w:t>través de un tracto sinusal asociado</w:t>
      </w:r>
      <w:r>
        <w:rPr>
          <w:spacing w:val="-8"/>
        </w:rPr>
        <w:t> </w:t>
      </w:r>
      <w:r>
        <w:rPr/>
        <w:t>(33).</w:t>
      </w:r>
    </w:p>
    <w:p>
      <w:pPr>
        <w:pStyle w:val="Heading1"/>
        <w:numPr>
          <w:ilvl w:val="2"/>
          <w:numId w:val="4"/>
        </w:numPr>
        <w:tabs>
          <w:tab w:pos="831" w:val="left" w:leader="none"/>
        </w:tabs>
        <w:spacing w:line="240" w:lineRule="auto" w:before="202" w:after="0"/>
        <w:ind w:left="830" w:right="0" w:hanging="668"/>
        <w:jc w:val="both"/>
      </w:pPr>
      <w:bookmarkStart w:name="_bookmark13" w:id="27"/>
      <w:bookmarkEnd w:id="27"/>
      <w:r>
        <w:rPr>
          <w:b w:val="0"/>
        </w:rPr>
      </w:r>
      <w:bookmarkStart w:name="_bookmark13" w:id="28"/>
      <w:bookmarkEnd w:id="28"/>
      <w:r>
        <w:rPr/>
        <w:t>Qu</w:t>
      </w:r>
      <w:r>
        <w:rPr/>
        <w:t>iste</w:t>
      </w:r>
      <w:r>
        <w:rPr>
          <w:spacing w:val="-6"/>
        </w:rPr>
        <w:t> </w:t>
      </w:r>
      <w:r>
        <w:rPr/>
        <w:t>periapical</w:t>
      </w:r>
    </w:p>
    <w:p>
      <w:pPr>
        <w:pStyle w:val="BodyText"/>
        <w:spacing w:before="4"/>
        <w:rPr>
          <w:b/>
          <w:sz w:val="29"/>
        </w:rPr>
      </w:pPr>
    </w:p>
    <w:p>
      <w:pPr>
        <w:pStyle w:val="BodyText"/>
        <w:spacing w:line="360" w:lineRule="auto" w:before="1"/>
        <w:ind w:left="162" w:right="162"/>
        <w:jc w:val="both"/>
      </w:pPr>
      <w:r>
        <w:rPr/>
        <w:t>Los</w:t>
      </w:r>
      <w:r>
        <w:rPr>
          <w:spacing w:val="-17"/>
        </w:rPr>
        <w:t> </w:t>
      </w:r>
      <w:r>
        <w:rPr/>
        <w:t>quistes</w:t>
      </w:r>
      <w:r>
        <w:rPr>
          <w:spacing w:val="-17"/>
        </w:rPr>
        <w:t> </w:t>
      </w:r>
      <w:r>
        <w:rPr/>
        <w:t>radiculares</w:t>
      </w:r>
      <w:r>
        <w:rPr>
          <w:spacing w:val="-20"/>
        </w:rPr>
        <w:t> </w:t>
      </w:r>
      <w:r>
        <w:rPr/>
        <w:t>son</w:t>
      </w:r>
      <w:r>
        <w:rPr>
          <w:spacing w:val="-17"/>
        </w:rPr>
        <w:t> </w:t>
      </w:r>
      <w:r>
        <w:rPr/>
        <w:t>quistes</w:t>
      </w:r>
      <w:r>
        <w:rPr>
          <w:spacing w:val="-20"/>
        </w:rPr>
        <w:t> </w:t>
      </w:r>
      <w:r>
        <w:rPr/>
        <w:t>maxilares</w:t>
      </w:r>
      <w:r>
        <w:rPr>
          <w:spacing w:val="-17"/>
        </w:rPr>
        <w:t> </w:t>
      </w:r>
      <w:r>
        <w:rPr/>
        <w:t>inflamatorios</w:t>
      </w:r>
      <w:r>
        <w:rPr>
          <w:spacing w:val="-17"/>
        </w:rPr>
        <w:t> </w:t>
      </w:r>
      <w:r>
        <w:rPr/>
        <w:t>localizados</w:t>
      </w:r>
      <w:r>
        <w:rPr>
          <w:spacing w:val="-17"/>
        </w:rPr>
        <w:t> </w:t>
      </w:r>
      <w:r>
        <w:rPr/>
        <w:t>en</w:t>
      </w:r>
      <w:r>
        <w:rPr>
          <w:spacing w:val="-17"/>
        </w:rPr>
        <w:t> </w:t>
      </w:r>
      <w:r>
        <w:rPr/>
        <w:t>los</w:t>
      </w:r>
      <w:r>
        <w:rPr>
          <w:spacing w:val="-17"/>
        </w:rPr>
        <w:t> </w:t>
      </w:r>
      <w:r>
        <w:rPr/>
        <w:t>ápices de los dientes con pulpas infectadas o necróticas. O bien pueden definirse simplemente como un espacio patológico revestido de epitelio (29,</w:t>
      </w:r>
      <w:r>
        <w:rPr>
          <w:spacing w:val="-21"/>
        </w:rPr>
        <w:t> </w:t>
      </w:r>
      <w:r>
        <w:rPr/>
        <w:t>34).</w:t>
      </w:r>
    </w:p>
    <w:p>
      <w:pPr>
        <w:pStyle w:val="BodyText"/>
        <w:spacing w:line="360" w:lineRule="auto" w:before="204"/>
        <w:ind w:left="162" w:right="163"/>
        <w:jc w:val="both"/>
      </w:pPr>
      <w:r>
        <w:rPr/>
        <w:t>La estructura histopatológica de los quistes radiculares en relación al conducto radicular es de suma importancia. En 1980, Simon (35) postuló que existen dos categorías distintas de los quistes radiculares, los que tienen cavidades completamente  cerradas  y  revestidas  de  epitelio  denominados  como    quistes</w:t>
      </w:r>
    </w:p>
    <w:p>
      <w:pPr>
        <w:spacing w:after="0" w:line="360" w:lineRule="auto"/>
        <w:jc w:val="both"/>
        <w:sectPr>
          <w:footerReference w:type="default" r:id="rId9"/>
          <w:pgSz w:w="12240" w:h="15840"/>
          <w:pgMar w:footer="1572" w:header="744" w:top="1080" w:bottom="1760" w:left="1540" w:right="1540"/>
        </w:sectPr>
      </w:pPr>
    </w:p>
    <w:p>
      <w:pPr>
        <w:pStyle w:val="BodyText"/>
        <w:spacing w:before="4"/>
        <w:rPr>
          <w:sz w:val="21"/>
        </w:rPr>
      </w:pPr>
    </w:p>
    <w:p>
      <w:pPr>
        <w:pStyle w:val="BodyText"/>
        <w:spacing w:line="362" w:lineRule="auto" w:before="69"/>
        <w:ind w:left="162" w:right="165"/>
        <w:jc w:val="both"/>
      </w:pPr>
      <w:r>
        <w:rPr/>
        <w:t>verdaderos y los que contienen revestimiento epitelial cuya cavidad está abierta al conducto radicular a los que nombró como quistes en bahía o bolsa.</w:t>
      </w:r>
    </w:p>
    <w:p>
      <w:pPr>
        <w:pStyle w:val="BodyText"/>
        <w:spacing w:line="360" w:lineRule="auto" w:before="201"/>
        <w:ind w:left="162" w:right="155"/>
        <w:jc w:val="both"/>
      </w:pPr>
      <w:r>
        <w:rPr/>
        <w:t>Un quiste apical es considerado como una secuencia directa a un granuloma periapical,</w:t>
      </w:r>
      <w:r>
        <w:rPr>
          <w:spacing w:val="-6"/>
        </w:rPr>
        <w:t> </w:t>
      </w:r>
      <w:r>
        <w:rPr/>
        <w:t>que</w:t>
      </w:r>
      <w:r>
        <w:rPr>
          <w:spacing w:val="-6"/>
        </w:rPr>
        <w:t> </w:t>
      </w:r>
      <w:r>
        <w:rPr/>
        <w:t>representa</w:t>
      </w:r>
      <w:r>
        <w:rPr>
          <w:spacing w:val="-5"/>
        </w:rPr>
        <w:t> </w:t>
      </w:r>
      <w:r>
        <w:rPr/>
        <w:t>un</w:t>
      </w:r>
      <w:r>
        <w:rPr>
          <w:spacing w:val="-8"/>
        </w:rPr>
        <w:t> </w:t>
      </w:r>
      <w:r>
        <w:rPr/>
        <w:t>foco</w:t>
      </w:r>
      <w:r>
        <w:rPr>
          <w:spacing w:val="-6"/>
        </w:rPr>
        <w:t> </w:t>
      </w:r>
      <w:r>
        <w:rPr/>
        <w:t>de</w:t>
      </w:r>
      <w:r>
        <w:rPr>
          <w:spacing w:val="-6"/>
        </w:rPr>
        <w:t> </w:t>
      </w:r>
      <w:r>
        <w:rPr/>
        <w:t>tejido</w:t>
      </w:r>
      <w:r>
        <w:rPr>
          <w:spacing w:val="-6"/>
        </w:rPr>
        <w:t> </w:t>
      </w:r>
      <w:r>
        <w:rPr/>
        <w:t>de</w:t>
      </w:r>
      <w:r>
        <w:rPr>
          <w:spacing w:val="-6"/>
        </w:rPr>
        <w:t> </w:t>
      </w:r>
      <w:r>
        <w:rPr/>
        <w:t>granulación</w:t>
      </w:r>
      <w:r>
        <w:rPr>
          <w:spacing w:val="-6"/>
        </w:rPr>
        <w:t> </w:t>
      </w:r>
      <w:r>
        <w:rPr/>
        <w:t>crónicamente</w:t>
      </w:r>
      <w:r>
        <w:rPr>
          <w:spacing w:val="-5"/>
        </w:rPr>
        <w:t> </w:t>
      </w:r>
      <w:r>
        <w:rPr/>
        <w:t>inflamado en el hueso a nivel apical de un diente desvitalizado (un granuloma periapical no siempre</w:t>
      </w:r>
      <w:r>
        <w:rPr>
          <w:spacing w:val="-14"/>
        </w:rPr>
        <w:t> </w:t>
      </w:r>
      <w:r>
        <w:rPr/>
        <w:t>evolucionará</w:t>
      </w:r>
      <w:r>
        <w:rPr>
          <w:spacing w:val="-14"/>
        </w:rPr>
        <w:t> </w:t>
      </w:r>
      <w:r>
        <w:rPr/>
        <w:t>en</w:t>
      </w:r>
      <w:r>
        <w:rPr>
          <w:spacing w:val="-13"/>
        </w:rPr>
        <w:t> </w:t>
      </w:r>
      <w:r>
        <w:rPr/>
        <w:t>un</w:t>
      </w:r>
      <w:r>
        <w:rPr>
          <w:spacing w:val="-13"/>
        </w:rPr>
        <w:t> </w:t>
      </w:r>
      <w:r>
        <w:rPr/>
        <w:t>quiste).</w:t>
      </w:r>
      <w:r>
        <w:rPr>
          <w:spacing w:val="-14"/>
        </w:rPr>
        <w:t> </w:t>
      </w:r>
      <w:r>
        <w:rPr/>
        <w:t>El</w:t>
      </w:r>
      <w:r>
        <w:rPr>
          <w:spacing w:val="-12"/>
        </w:rPr>
        <w:t> </w:t>
      </w:r>
      <w:r>
        <w:rPr/>
        <w:t>granuloma</w:t>
      </w:r>
      <w:r>
        <w:rPr>
          <w:spacing w:val="-13"/>
        </w:rPr>
        <w:t> </w:t>
      </w:r>
      <w:r>
        <w:rPr/>
        <w:t>periapical</w:t>
      </w:r>
      <w:r>
        <w:rPr>
          <w:spacing w:val="-14"/>
        </w:rPr>
        <w:t> </w:t>
      </w:r>
      <w:r>
        <w:rPr/>
        <w:t>se</w:t>
      </w:r>
      <w:r>
        <w:rPr>
          <w:spacing w:val="-8"/>
        </w:rPr>
        <w:t> </w:t>
      </w:r>
      <w:r>
        <w:rPr/>
        <w:t>inicia</w:t>
      </w:r>
      <w:r>
        <w:rPr>
          <w:spacing w:val="-11"/>
        </w:rPr>
        <w:t> </w:t>
      </w:r>
      <w:r>
        <w:rPr/>
        <w:t>y</w:t>
      </w:r>
      <w:r>
        <w:rPr>
          <w:spacing w:val="-14"/>
        </w:rPr>
        <w:t> </w:t>
      </w:r>
      <w:r>
        <w:rPr/>
        <w:t>mantiene</w:t>
      </w:r>
      <w:r>
        <w:rPr>
          <w:spacing w:val="-13"/>
        </w:rPr>
        <w:t> </w:t>
      </w:r>
      <w:r>
        <w:rPr/>
        <w:t>por los</w:t>
      </w:r>
      <w:r>
        <w:rPr>
          <w:spacing w:val="-5"/>
        </w:rPr>
        <w:t> </w:t>
      </w:r>
      <w:r>
        <w:rPr/>
        <w:t>productos</w:t>
      </w:r>
      <w:r>
        <w:rPr>
          <w:spacing w:val="-5"/>
        </w:rPr>
        <w:t> </w:t>
      </w:r>
      <w:r>
        <w:rPr/>
        <w:t>de</w:t>
      </w:r>
      <w:r>
        <w:rPr>
          <w:spacing w:val="-5"/>
        </w:rPr>
        <w:t> </w:t>
      </w:r>
      <w:r>
        <w:rPr/>
        <w:t>descomposición</w:t>
      </w:r>
      <w:r>
        <w:rPr>
          <w:spacing w:val="-7"/>
        </w:rPr>
        <w:t> </w:t>
      </w:r>
      <w:r>
        <w:rPr/>
        <w:t>del</w:t>
      </w:r>
      <w:r>
        <w:rPr>
          <w:spacing w:val="-6"/>
        </w:rPr>
        <w:t> </w:t>
      </w:r>
      <w:r>
        <w:rPr/>
        <w:t>tejido</w:t>
      </w:r>
      <w:r>
        <w:rPr>
          <w:spacing w:val="-5"/>
        </w:rPr>
        <w:t> </w:t>
      </w:r>
      <w:r>
        <w:rPr/>
        <w:t>pulpar</w:t>
      </w:r>
      <w:r>
        <w:rPr>
          <w:spacing w:val="-6"/>
        </w:rPr>
        <w:t> </w:t>
      </w:r>
      <w:r>
        <w:rPr/>
        <w:t>necrótico.</w:t>
      </w:r>
      <w:r>
        <w:rPr>
          <w:spacing w:val="-5"/>
        </w:rPr>
        <w:t> </w:t>
      </w:r>
      <w:r>
        <w:rPr/>
        <w:t>La</w:t>
      </w:r>
      <w:r>
        <w:rPr>
          <w:spacing w:val="-5"/>
        </w:rPr>
        <w:t> </w:t>
      </w:r>
      <w:r>
        <w:rPr/>
        <w:t>estimulación</w:t>
      </w:r>
      <w:r>
        <w:rPr>
          <w:spacing w:val="-5"/>
        </w:rPr>
        <w:t> </w:t>
      </w:r>
      <w:r>
        <w:rPr/>
        <w:t>de</w:t>
      </w:r>
      <w:r>
        <w:rPr>
          <w:spacing w:val="-5"/>
        </w:rPr>
        <w:t> </w:t>
      </w:r>
      <w:r>
        <w:rPr/>
        <w:t>los restos de Malassez tiene lugar como reacción a los productos de inflamación. Conforme</w:t>
      </w:r>
      <w:r>
        <w:rPr>
          <w:spacing w:val="-16"/>
        </w:rPr>
        <w:t> </w:t>
      </w:r>
      <w:r>
        <w:rPr/>
        <w:t>el</w:t>
      </w:r>
      <w:r>
        <w:rPr>
          <w:spacing w:val="-14"/>
        </w:rPr>
        <w:t> </w:t>
      </w:r>
      <w:r>
        <w:rPr/>
        <w:t>epitelio</w:t>
      </w:r>
      <w:r>
        <w:rPr>
          <w:spacing w:val="-15"/>
        </w:rPr>
        <w:t> </w:t>
      </w:r>
      <w:r>
        <w:rPr/>
        <w:t>prolifera</w:t>
      </w:r>
      <w:r>
        <w:rPr>
          <w:spacing w:val="-14"/>
        </w:rPr>
        <w:t> </w:t>
      </w:r>
      <w:r>
        <w:rPr/>
        <w:t>se</w:t>
      </w:r>
      <w:r>
        <w:rPr>
          <w:spacing w:val="-16"/>
        </w:rPr>
        <w:t> </w:t>
      </w:r>
      <w:r>
        <w:rPr/>
        <w:t>forma</w:t>
      </w:r>
      <w:r>
        <w:rPr>
          <w:spacing w:val="-15"/>
        </w:rPr>
        <w:t> </w:t>
      </w:r>
      <w:r>
        <w:rPr/>
        <w:t>el</w:t>
      </w:r>
      <w:r>
        <w:rPr>
          <w:spacing w:val="-17"/>
        </w:rPr>
        <w:t> </w:t>
      </w:r>
      <w:r>
        <w:rPr/>
        <w:t>quiste</w:t>
      </w:r>
      <w:r>
        <w:rPr>
          <w:spacing w:val="-13"/>
        </w:rPr>
        <w:t> </w:t>
      </w:r>
      <w:r>
        <w:rPr/>
        <w:t>para</w:t>
      </w:r>
      <w:r>
        <w:rPr>
          <w:spacing w:val="-14"/>
        </w:rPr>
        <w:t> </w:t>
      </w:r>
      <w:r>
        <w:rPr/>
        <w:t>separar</w:t>
      </w:r>
      <w:r>
        <w:rPr>
          <w:spacing w:val="-17"/>
        </w:rPr>
        <w:t> </w:t>
      </w:r>
      <w:r>
        <w:rPr/>
        <w:t>el</w:t>
      </w:r>
      <w:r>
        <w:rPr>
          <w:spacing w:val="-17"/>
        </w:rPr>
        <w:t> </w:t>
      </w:r>
      <w:r>
        <w:rPr/>
        <w:t>estímulo</w:t>
      </w:r>
      <w:r>
        <w:rPr>
          <w:spacing w:val="-13"/>
        </w:rPr>
        <w:t> </w:t>
      </w:r>
      <w:r>
        <w:rPr/>
        <w:t>inflamatorio (tejido necrosado) del hueso circundante. La fragmentación de residuos celulares en la luz del quiste eleva la concentración de proteínas e incrementa la presión osmótica,</w:t>
      </w:r>
      <w:r>
        <w:rPr>
          <w:spacing w:val="-13"/>
        </w:rPr>
        <w:t> </w:t>
      </w:r>
      <w:r>
        <w:rPr/>
        <w:t>lo</w:t>
      </w:r>
      <w:r>
        <w:rPr>
          <w:spacing w:val="-13"/>
        </w:rPr>
        <w:t> </w:t>
      </w:r>
      <w:r>
        <w:rPr/>
        <w:t>que</w:t>
      </w:r>
      <w:r>
        <w:rPr>
          <w:spacing w:val="-13"/>
        </w:rPr>
        <w:t> </w:t>
      </w:r>
      <w:r>
        <w:rPr/>
        <w:t>resulta</w:t>
      </w:r>
      <w:r>
        <w:rPr>
          <w:spacing w:val="-13"/>
        </w:rPr>
        <w:t> </w:t>
      </w:r>
      <w:r>
        <w:rPr/>
        <w:t>en</w:t>
      </w:r>
      <w:r>
        <w:rPr>
          <w:spacing w:val="-13"/>
        </w:rPr>
        <w:t> </w:t>
      </w:r>
      <w:r>
        <w:rPr/>
        <w:t>el</w:t>
      </w:r>
      <w:r>
        <w:rPr>
          <w:spacing w:val="-14"/>
        </w:rPr>
        <w:t> </w:t>
      </w:r>
      <w:r>
        <w:rPr/>
        <w:t>transporte</w:t>
      </w:r>
      <w:r>
        <w:rPr>
          <w:spacing w:val="-13"/>
        </w:rPr>
        <w:t> </w:t>
      </w:r>
      <w:r>
        <w:rPr/>
        <w:t>de</w:t>
      </w:r>
      <w:r>
        <w:rPr>
          <w:spacing w:val="-13"/>
        </w:rPr>
        <w:t> </w:t>
      </w:r>
      <w:r>
        <w:rPr/>
        <w:t>líquido</w:t>
      </w:r>
      <w:r>
        <w:rPr>
          <w:spacing w:val="-13"/>
        </w:rPr>
        <w:t> </w:t>
      </w:r>
      <w:r>
        <w:rPr/>
        <w:t>a</w:t>
      </w:r>
      <w:r>
        <w:rPr>
          <w:spacing w:val="-13"/>
        </w:rPr>
        <w:t> </w:t>
      </w:r>
      <w:r>
        <w:rPr/>
        <w:t>la</w:t>
      </w:r>
      <w:r>
        <w:rPr>
          <w:spacing w:val="-13"/>
        </w:rPr>
        <w:t> </w:t>
      </w:r>
      <w:r>
        <w:rPr/>
        <w:t>luz</w:t>
      </w:r>
      <w:r>
        <w:rPr>
          <w:spacing w:val="-16"/>
        </w:rPr>
        <w:t> </w:t>
      </w:r>
      <w:r>
        <w:rPr/>
        <w:t>a</w:t>
      </w:r>
      <w:r>
        <w:rPr>
          <w:spacing w:val="-13"/>
        </w:rPr>
        <w:t> </w:t>
      </w:r>
      <w:r>
        <w:rPr/>
        <w:t>través</w:t>
      </w:r>
      <w:r>
        <w:rPr>
          <w:spacing w:val="-12"/>
        </w:rPr>
        <w:t> </w:t>
      </w:r>
      <w:r>
        <w:rPr/>
        <w:t>del</w:t>
      </w:r>
      <w:r>
        <w:rPr>
          <w:spacing w:val="-14"/>
        </w:rPr>
        <w:t> </w:t>
      </w:r>
      <w:r>
        <w:rPr/>
        <w:t>revestimiento epitelial</w:t>
      </w:r>
      <w:r>
        <w:rPr>
          <w:spacing w:val="-8"/>
        </w:rPr>
        <w:t> </w:t>
      </w:r>
      <w:r>
        <w:rPr/>
        <w:t>desde</w:t>
      </w:r>
      <w:r>
        <w:rPr>
          <w:spacing w:val="-7"/>
        </w:rPr>
        <w:t> </w:t>
      </w:r>
      <w:r>
        <w:rPr/>
        <w:t>el</w:t>
      </w:r>
      <w:r>
        <w:rPr>
          <w:spacing w:val="-6"/>
        </w:rPr>
        <w:t> </w:t>
      </w:r>
      <w:r>
        <w:rPr/>
        <w:t>tejido</w:t>
      </w:r>
      <w:r>
        <w:rPr>
          <w:spacing w:val="-7"/>
        </w:rPr>
        <w:t> </w:t>
      </w:r>
      <w:r>
        <w:rPr/>
        <w:t>conectivo,</w:t>
      </w:r>
      <w:r>
        <w:rPr>
          <w:spacing w:val="-6"/>
        </w:rPr>
        <w:t> </w:t>
      </w:r>
      <w:r>
        <w:rPr/>
        <w:t>contribuyendo</w:t>
      </w:r>
      <w:r>
        <w:rPr>
          <w:spacing w:val="-7"/>
        </w:rPr>
        <w:t> </w:t>
      </w:r>
      <w:r>
        <w:rPr/>
        <w:t>al</w:t>
      </w:r>
      <w:r>
        <w:rPr>
          <w:spacing w:val="-6"/>
        </w:rPr>
        <w:t> </w:t>
      </w:r>
      <w:r>
        <w:rPr/>
        <w:t>aumento</w:t>
      </w:r>
      <w:r>
        <w:rPr>
          <w:spacing w:val="-7"/>
        </w:rPr>
        <w:t> </w:t>
      </w:r>
      <w:r>
        <w:rPr/>
        <w:t>de</w:t>
      </w:r>
      <w:r>
        <w:rPr>
          <w:spacing w:val="-7"/>
        </w:rPr>
        <w:t> </w:t>
      </w:r>
      <w:r>
        <w:rPr/>
        <w:t>volumen</w:t>
      </w:r>
      <w:r>
        <w:rPr>
          <w:spacing w:val="-7"/>
        </w:rPr>
        <w:t> </w:t>
      </w:r>
      <w:r>
        <w:rPr/>
        <w:t>del</w:t>
      </w:r>
      <w:r>
        <w:rPr>
          <w:spacing w:val="-6"/>
        </w:rPr>
        <w:t> </w:t>
      </w:r>
      <w:r>
        <w:rPr/>
        <w:t>quiste. Con la resorción osteoclástica el hueso se expande. Otros factores resortivos de hueso</w:t>
      </w:r>
      <w:r>
        <w:rPr>
          <w:spacing w:val="-14"/>
        </w:rPr>
        <w:t> </w:t>
      </w:r>
      <w:r>
        <w:rPr/>
        <w:t>como</w:t>
      </w:r>
      <w:r>
        <w:rPr>
          <w:spacing w:val="-16"/>
        </w:rPr>
        <w:t> </w:t>
      </w:r>
      <w:r>
        <w:rPr/>
        <w:t>prostaglandinas,</w:t>
      </w:r>
      <w:r>
        <w:rPr>
          <w:spacing w:val="-14"/>
        </w:rPr>
        <w:t> </w:t>
      </w:r>
      <w:r>
        <w:rPr/>
        <w:t>interleucinas</w:t>
      </w:r>
      <w:r>
        <w:rPr>
          <w:spacing w:val="-15"/>
        </w:rPr>
        <w:t> </w:t>
      </w:r>
      <w:r>
        <w:rPr/>
        <w:t>y</w:t>
      </w:r>
      <w:r>
        <w:rPr>
          <w:spacing w:val="-20"/>
        </w:rPr>
        <w:t> </w:t>
      </w:r>
      <w:r>
        <w:rPr/>
        <w:t>proteinasas</w:t>
      </w:r>
      <w:r>
        <w:rPr>
          <w:spacing w:val="-17"/>
        </w:rPr>
        <w:t> </w:t>
      </w:r>
      <w:r>
        <w:rPr/>
        <w:t>procedentes</w:t>
      </w:r>
      <w:r>
        <w:rPr>
          <w:spacing w:val="-15"/>
        </w:rPr>
        <w:t> </w:t>
      </w:r>
      <w:r>
        <w:rPr/>
        <w:t>de</w:t>
      </w:r>
      <w:r>
        <w:rPr>
          <w:spacing w:val="-14"/>
        </w:rPr>
        <w:t> </w:t>
      </w:r>
      <w:r>
        <w:rPr/>
        <w:t>las</w:t>
      </w:r>
      <w:r>
        <w:rPr>
          <w:spacing w:val="-17"/>
        </w:rPr>
        <w:t> </w:t>
      </w:r>
      <w:r>
        <w:rPr/>
        <w:t>células inflamatorias</w:t>
      </w:r>
      <w:r>
        <w:rPr>
          <w:spacing w:val="-12"/>
        </w:rPr>
        <w:t> </w:t>
      </w:r>
      <w:r>
        <w:rPr/>
        <w:t>y</w:t>
      </w:r>
      <w:r>
        <w:rPr>
          <w:spacing w:val="-12"/>
        </w:rPr>
        <w:t> </w:t>
      </w:r>
      <w:r>
        <w:rPr/>
        <w:t>de</w:t>
      </w:r>
      <w:r>
        <w:rPr>
          <w:spacing w:val="-11"/>
        </w:rPr>
        <w:t> </w:t>
      </w:r>
      <w:r>
        <w:rPr/>
        <w:t>las</w:t>
      </w:r>
      <w:r>
        <w:rPr>
          <w:spacing w:val="-11"/>
        </w:rPr>
        <w:t> </w:t>
      </w:r>
      <w:r>
        <w:rPr/>
        <w:t>células</w:t>
      </w:r>
      <w:r>
        <w:rPr>
          <w:spacing w:val="-12"/>
        </w:rPr>
        <w:t> </w:t>
      </w:r>
      <w:r>
        <w:rPr/>
        <w:t>periféricas</w:t>
      </w:r>
      <w:r>
        <w:rPr>
          <w:spacing w:val="-12"/>
        </w:rPr>
        <w:t> </w:t>
      </w:r>
      <w:r>
        <w:rPr/>
        <w:t>de</w:t>
      </w:r>
      <w:r>
        <w:rPr>
          <w:spacing w:val="-11"/>
        </w:rPr>
        <w:t> </w:t>
      </w:r>
      <w:r>
        <w:rPr/>
        <w:t>la</w:t>
      </w:r>
      <w:r>
        <w:rPr>
          <w:spacing w:val="-13"/>
        </w:rPr>
        <w:t> </w:t>
      </w:r>
      <w:r>
        <w:rPr/>
        <w:t>lesión</w:t>
      </w:r>
      <w:r>
        <w:rPr>
          <w:spacing w:val="-11"/>
        </w:rPr>
        <w:t> </w:t>
      </w:r>
      <w:r>
        <w:rPr/>
        <w:t>permiten</w:t>
      </w:r>
      <w:r>
        <w:rPr>
          <w:spacing w:val="-13"/>
        </w:rPr>
        <w:t> </w:t>
      </w:r>
      <w:r>
        <w:rPr/>
        <w:t>mayor</w:t>
      </w:r>
      <w:r>
        <w:rPr>
          <w:spacing w:val="-12"/>
        </w:rPr>
        <w:t> </w:t>
      </w:r>
      <w:r>
        <w:rPr/>
        <w:t>crecimiento</w:t>
      </w:r>
      <w:r>
        <w:rPr>
          <w:spacing w:val="-11"/>
        </w:rPr>
        <w:t> </w:t>
      </w:r>
      <w:r>
        <w:rPr/>
        <w:t>del quiste. Usualmente no existe sintomatología</w:t>
      </w:r>
      <w:r>
        <w:rPr>
          <w:spacing w:val="-17"/>
        </w:rPr>
        <w:t> </w:t>
      </w:r>
      <w:r>
        <w:rPr/>
        <w:t>(34).</w:t>
      </w:r>
    </w:p>
    <w:p>
      <w:pPr>
        <w:pStyle w:val="ListParagraph"/>
        <w:numPr>
          <w:ilvl w:val="3"/>
          <w:numId w:val="4"/>
        </w:numPr>
        <w:tabs>
          <w:tab w:pos="964" w:val="left" w:leader="none"/>
        </w:tabs>
        <w:spacing w:line="240" w:lineRule="auto" w:before="202" w:after="0"/>
        <w:ind w:left="963" w:right="0" w:hanging="801"/>
        <w:jc w:val="both"/>
        <w:rPr>
          <w:sz w:val="24"/>
        </w:rPr>
      </w:pPr>
      <w:r>
        <w:rPr>
          <w:sz w:val="24"/>
          <w:u w:val="single"/>
        </w:rPr>
        <w:t>Quiste periapical</w:t>
      </w:r>
      <w:r>
        <w:rPr>
          <w:spacing w:val="-6"/>
          <w:sz w:val="24"/>
          <w:u w:val="single"/>
        </w:rPr>
        <w:t> </w:t>
      </w:r>
      <w:r>
        <w:rPr>
          <w:sz w:val="24"/>
          <w:u w:val="single"/>
        </w:rPr>
        <w:t>verdadero</w:t>
      </w:r>
    </w:p>
    <w:p>
      <w:pPr>
        <w:pStyle w:val="BodyText"/>
        <w:spacing w:before="4"/>
        <w:rPr>
          <w:sz w:val="23"/>
        </w:rPr>
      </w:pPr>
    </w:p>
    <w:p>
      <w:pPr>
        <w:pStyle w:val="BodyText"/>
        <w:spacing w:line="360" w:lineRule="auto" w:before="70"/>
        <w:ind w:left="162" w:right="156"/>
        <w:jc w:val="both"/>
      </w:pPr>
      <w:r>
        <w:rPr/>
        <w:t>Se define como una lesión inflamatoria crónica en el periapice que contiene un revestimiento epitelial con una cavidad patológica cerrada (36). Su proceso de formación ha sido dividido en tres fases. Durante la primera fase los restos de Malassez comienzan a proliferar bajo la influencia de factores de crecimiento, mediadores celulares y metabolitos liberados por células de la lesión periapical. En la segunda fase una cavidad revestida comienza a aparecer. Existen tres teorías acerca de la formación de la cavidad quística: 1) “Teoría de la deficiencia nutricional”.</w:t>
      </w:r>
      <w:r>
        <w:rPr>
          <w:spacing w:val="-17"/>
        </w:rPr>
        <w:t> </w:t>
      </w:r>
      <w:r>
        <w:rPr/>
        <w:t>Basada</w:t>
      </w:r>
      <w:r>
        <w:rPr>
          <w:spacing w:val="-16"/>
        </w:rPr>
        <w:t> </w:t>
      </w:r>
      <w:r>
        <w:rPr/>
        <w:t>en</w:t>
      </w:r>
      <w:r>
        <w:rPr>
          <w:spacing w:val="-16"/>
        </w:rPr>
        <w:t> </w:t>
      </w:r>
      <w:r>
        <w:rPr/>
        <w:t>que</w:t>
      </w:r>
      <w:r>
        <w:rPr>
          <w:spacing w:val="-14"/>
        </w:rPr>
        <w:t> </w:t>
      </w:r>
      <w:r>
        <w:rPr/>
        <w:t>las</w:t>
      </w:r>
      <w:r>
        <w:rPr>
          <w:spacing w:val="-17"/>
        </w:rPr>
        <w:t> </w:t>
      </w:r>
      <w:r>
        <w:rPr/>
        <w:t>células</w:t>
      </w:r>
      <w:r>
        <w:rPr>
          <w:spacing w:val="-14"/>
        </w:rPr>
        <w:t> </w:t>
      </w:r>
      <w:r>
        <w:rPr/>
        <w:t>centrales</w:t>
      </w:r>
      <w:r>
        <w:rPr>
          <w:spacing w:val="-15"/>
        </w:rPr>
        <w:t> </w:t>
      </w:r>
      <w:r>
        <w:rPr/>
        <w:t>conducen</w:t>
      </w:r>
      <w:r>
        <w:rPr>
          <w:spacing w:val="-16"/>
        </w:rPr>
        <w:t> </w:t>
      </w:r>
      <w:r>
        <w:rPr/>
        <w:t>al</w:t>
      </w:r>
      <w:r>
        <w:rPr>
          <w:spacing w:val="-18"/>
        </w:rPr>
        <w:t> </w:t>
      </w:r>
      <w:r>
        <w:rPr/>
        <w:t>epitelio</w:t>
      </w:r>
      <w:r>
        <w:rPr>
          <w:spacing w:val="-16"/>
        </w:rPr>
        <w:t> </w:t>
      </w:r>
      <w:r>
        <w:rPr/>
        <w:t>a</w:t>
      </w:r>
      <w:r>
        <w:rPr>
          <w:spacing w:val="-14"/>
        </w:rPr>
        <w:t> </w:t>
      </w:r>
      <w:r>
        <w:rPr/>
        <w:t>ser</w:t>
      </w:r>
      <w:r>
        <w:rPr>
          <w:spacing w:val="-16"/>
        </w:rPr>
        <w:t> </w:t>
      </w:r>
      <w:r>
        <w:rPr/>
        <w:t>removido de su fuente de nutrición sufriendo necrosis y degeneración por licuefacción lo </w:t>
      </w:r>
      <w:r>
        <w:rPr>
          <w:spacing w:val="-2"/>
        </w:rPr>
        <w:t>que </w:t>
      </w:r>
      <w:r>
        <w:rPr/>
        <w:t>da como consecuencia la formación de micro cavidades que contienen células epiteliales</w:t>
      </w:r>
      <w:r>
        <w:rPr>
          <w:spacing w:val="47"/>
        </w:rPr>
        <w:t> </w:t>
      </w:r>
      <w:r>
        <w:rPr/>
        <w:t>en</w:t>
      </w:r>
      <w:r>
        <w:rPr>
          <w:spacing w:val="47"/>
        </w:rPr>
        <w:t> </w:t>
      </w:r>
      <w:r>
        <w:rPr/>
        <w:t>degeneración</w:t>
      </w:r>
      <w:r>
        <w:rPr>
          <w:spacing w:val="47"/>
        </w:rPr>
        <w:t> </w:t>
      </w:r>
      <w:r>
        <w:rPr/>
        <w:t>y</w:t>
      </w:r>
      <w:r>
        <w:rPr>
          <w:spacing w:val="46"/>
        </w:rPr>
        <w:t> </w:t>
      </w:r>
      <w:r>
        <w:rPr/>
        <w:t>fluido</w:t>
      </w:r>
      <w:r>
        <w:rPr>
          <w:spacing w:val="48"/>
        </w:rPr>
        <w:t> </w:t>
      </w:r>
      <w:r>
        <w:rPr/>
        <w:t>tisular</w:t>
      </w:r>
      <w:r>
        <w:rPr>
          <w:spacing w:val="43"/>
        </w:rPr>
        <w:t> </w:t>
      </w:r>
      <w:r>
        <w:rPr/>
        <w:t>que</w:t>
      </w:r>
      <w:r>
        <w:rPr>
          <w:spacing w:val="49"/>
        </w:rPr>
        <w:t> </w:t>
      </w:r>
      <w:r>
        <w:rPr/>
        <w:t>coalecen</w:t>
      </w:r>
      <w:r>
        <w:rPr>
          <w:spacing w:val="47"/>
        </w:rPr>
        <w:t> </w:t>
      </w:r>
      <w:r>
        <w:rPr/>
        <w:t>en</w:t>
      </w:r>
      <w:r>
        <w:rPr>
          <w:spacing w:val="49"/>
        </w:rPr>
        <w:t> </w:t>
      </w:r>
      <w:r>
        <w:rPr/>
        <w:t>la</w:t>
      </w:r>
      <w:r>
        <w:rPr>
          <w:spacing w:val="47"/>
        </w:rPr>
        <w:t> </w:t>
      </w:r>
      <w:r>
        <w:rPr/>
        <w:t>formación</w:t>
      </w:r>
      <w:r>
        <w:rPr>
          <w:spacing w:val="47"/>
        </w:rPr>
        <w:t> </w:t>
      </w:r>
      <w:r>
        <w:rPr/>
        <w:t>de</w:t>
      </w:r>
      <w:r>
        <w:rPr>
          <w:spacing w:val="47"/>
        </w:rPr>
        <w:t> </w:t>
      </w:r>
      <w:r>
        <w:rPr/>
        <w:t>la</w:t>
      </w:r>
    </w:p>
    <w:p>
      <w:pPr>
        <w:spacing w:after="0" w:line="360" w:lineRule="auto"/>
        <w:jc w:val="both"/>
        <w:sectPr>
          <w:footerReference w:type="default" r:id="rId10"/>
          <w:pgSz w:w="12240" w:h="15840"/>
          <w:pgMar w:footer="1572" w:header="744" w:top="1080" w:bottom="1760" w:left="1540" w:right="1540"/>
          <w:pgNumType w:start="11"/>
        </w:sectPr>
      </w:pPr>
    </w:p>
    <w:p>
      <w:pPr>
        <w:pStyle w:val="BodyText"/>
        <w:spacing w:before="4"/>
        <w:rPr>
          <w:sz w:val="21"/>
        </w:rPr>
      </w:pPr>
    </w:p>
    <w:p>
      <w:pPr>
        <w:pStyle w:val="BodyText"/>
        <w:spacing w:line="360" w:lineRule="auto" w:before="69"/>
        <w:ind w:left="162" w:right="156"/>
        <w:jc w:val="both"/>
      </w:pPr>
      <w:r>
        <w:rPr/>
        <w:t>cavidad</w:t>
      </w:r>
      <w:r>
        <w:rPr>
          <w:spacing w:val="-9"/>
        </w:rPr>
        <w:t> </w:t>
      </w:r>
      <w:r>
        <w:rPr/>
        <w:t>quística</w:t>
      </w:r>
      <w:r>
        <w:rPr>
          <w:spacing w:val="-9"/>
        </w:rPr>
        <w:t> </w:t>
      </w:r>
      <w:r>
        <w:rPr/>
        <w:t>revestida</w:t>
      </w:r>
      <w:r>
        <w:rPr>
          <w:spacing w:val="-9"/>
        </w:rPr>
        <w:t> </w:t>
      </w:r>
      <w:r>
        <w:rPr/>
        <w:t>por</w:t>
      </w:r>
      <w:r>
        <w:rPr>
          <w:spacing w:val="-11"/>
        </w:rPr>
        <w:t> </w:t>
      </w:r>
      <w:r>
        <w:rPr/>
        <w:t>epitelio</w:t>
      </w:r>
      <w:r>
        <w:rPr>
          <w:spacing w:val="-9"/>
        </w:rPr>
        <w:t> </w:t>
      </w:r>
      <w:r>
        <w:rPr/>
        <w:t>estratificado.</w:t>
      </w:r>
      <w:r>
        <w:rPr>
          <w:spacing w:val="-12"/>
        </w:rPr>
        <w:t> </w:t>
      </w:r>
      <w:r>
        <w:rPr/>
        <w:t>2)</w:t>
      </w:r>
      <w:r>
        <w:rPr>
          <w:spacing w:val="-11"/>
        </w:rPr>
        <w:t> </w:t>
      </w:r>
      <w:r>
        <w:rPr/>
        <w:t>“Teoría</w:t>
      </w:r>
      <w:r>
        <w:rPr>
          <w:spacing w:val="-9"/>
        </w:rPr>
        <w:t> </w:t>
      </w:r>
      <w:r>
        <w:rPr/>
        <w:t>del</w:t>
      </w:r>
      <w:r>
        <w:rPr>
          <w:spacing w:val="-11"/>
        </w:rPr>
        <w:t> </w:t>
      </w:r>
      <w:r>
        <w:rPr/>
        <w:t>absceso”.</w:t>
      </w:r>
      <w:r>
        <w:rPr>
          <w:spacing w:val="-10"/>
        </w:rPr>
        <w:t> </w:t>
      </w:r>
      <w:r>
        <w:rPr/>
        <w:t>Póstula que</w:t>
      </w:r>
      <w:r>
        <w:rPr>
          <w:spacing w:val="-6"/>
        </w:rPr>
        <w:t> </w:t>
      </w:r>
      <w:r>
        <w:rPr/>
        <w:t>la</w:t>
      </w:r>
      <w:r>
        <w:rPr>
          <w:spacing w:val="-6"/>
        </w:rPr>
        <w:t> </w:t>
      </w:r>
      <w:r>
        <w:rPr/>
        <w:t>proliferación</w:t>
      </w:r>
      <w:r>
        <w:rPr>
          <w:spacing w:val="-8"/>
        </w:rPr>
        <w:t> </w:t>
      </w:r>
      <w:r>
        <w:rPr/>
        <w:t>del</w:t>
      </w:r>
      <w:r>
        <w:rPr>
          <w:spacing w:val="-10"/>
        </w:rPr>
        <w:t> </w:t>
      </w:r>
      <w:r>
        <w:rPr/>
        <w:t>revestimiento</w:t>
      </w:r>
      <w:r>
        <w:rPr>
          <w:spacing w:val="-6"/>
        </w:rPr>
        <w:t> </w:t>
      </w:r>
      <w:r>
        <w:rPr/>
        <w:t>epitelial</w:t>
      </w:r>
      <w:r>
        <w:rPr>
          <w:spacing w:val="-10"/>
        </w:rPr>
        <w:t> </w:t>
      </w:r>
      <w:r>
        <w:rPr/>
        <w:t>en</w:t>
      </w:r>
      <w:r>
        <w:rPr>
          <w:spacing w:val="-6"/>
        </w:rPr>
        <w:t> </w:t>
      </w:r>
      <w:r>
        <w:rPr/>
        <w:t>una</w:t>
      </w:r>
      <w:r>
        <w:rPr>
          <w:spacing w:val="-8"/>
        </w:rPr>
        <w:t> </w:t>
      </w:r>
      <w:r>
        <w:rPr/>
        <w:t>cavidad</w:t>
      </w:r>
      <w:r>
        <w:rPr>
          <w:spacing w:val="-6"/>
        </w:rPr>
        <w:t> </w:t>
      </w:r>
      <w:r>
        <w:rPr/>
        <w:t>con</w:t>
      </w:r>
      <w:r>
        <w:rPr>
          <w:spacing w:val="-8"/>
        </w:rPr>
        <w:t> </w:t>
      </w:r>
      <w:r>
        <w:rPr/>
        <w:t>absceso</w:t>
      </w:r>
      <w:r>
        <w:rPr>
          <w:spacing w:val="-6"/>
        </w:rPr>
        <w:t> </w:t>
      </w:r>
      <w:r>
        <w:rPr/>
        <w:t>se</w:t>
      </w:r>
      <w:r>
        <w:rPr>
          <w:spacing w:val="-11"/>
        </w:rPr>
        <w:t> </w:t>
      </w:r>
      <w:r>
        <w:rPr/>
        <w:t>forma por tejidos necróticos y lisis debido a la naturaleza de las células epiteliales para cubrir superficie de tejido conectivo expuesto. 3) “Teoría de la unión de fibras epiteliales”. Establece que las fibras epiteliales continúan creciendo hasta fusionarse</w:t>
      </w:r>
      <w:r>
        <w:rPr>
          <w:spacing w:val="-9"/>
        </w:rPr>
        <w:t> </w:t>
      </w:r>
      <w:r>
        <w:rPr/>
        <w:t>y</w:t>
      </w:r>
      <w:r>
        <w:rPr>
          <w:spacing w:val="-14"/>
        </w:rPr>
        <w:t> </w:t>
      </w:r>
      <w:r>
        <w:rPr/>
        <w:t>formar</w:t>
      </w:r>
      <w:r>
        <w:rPr>
          <w:spacing w:val="-12"/>
        </w:rPr>
        <w:t> </w:t>
      </w:r>
      <w:r>
        <w:rPr/>
        <w:t>una</w:t>
      </w:r>
      <w:r>
        <w:rPr>
          <w:spacing w:val="-11"/>
        </w:rPr>
        <w:t> </w:t>
      </w:r>
      <w:r>
        <w:rPr/>
        <w:t>masa</w:t>
      </w:r>
      <w:r>
        <w:rPr>
          <w:spacing w:val="-11"/>
        </w:rPr>
        <w:t> </w:t>
      </w:r>
      <w:r>
        <w:rPr/>
        <w:t>tridimensional;</w:t>
      </w:r>
      <w:r>
        <w:rPr>
          <w:spacing w:val="-14"/>
        </w:rPr>
        <w:t> </w:t>
      </w:r>
      <w:r>
        <w:rPr/>
        <w:t>el</w:t>
      </w:r>
      <w:r>
        <w:rPr>
          <w:spacing w:val="-10"/>
        </w:rPr>
        <w:t> </w:t>
      </w:r>
      <w:r>
        <w:rPr/>
        <w:t>tejido</w:t>
      </w:r>
      <w:r>
        <w:rPr>
          <w:spacing w:val="-8"/>
        </w:rPr>
        <w:t> </w:t>
      </w:r>
      <w:r>
        <w:rPr/>
        <w:t>conjuntivo</w:t>
      </w:r>
      <w:r>
        <w:rPr>
          <w:spacing w:val="-8"/>
        </w:rPr>
        <w:t> </w:t>
      </w:r>
      <w:r>
        <w:rPr/>
        <w:t>atrapado</w:t>
      </w:r>
      <w:r>
        <w:rPr>
          <w:spacing w:val="-8"/>
        </w:rPr>
        <w:t> </w:t>
      </w:r>
      <w:r>
        <w:rPr/>
        <w:t>dentro</w:t>
      </w:r>
      <w:r>
        <w:rPr>
          <w:spacing w:val="-11"/>
        </w:rPr>
        <w:t> </w:t>
      </w:r>
      <w:r>
        <w:rPr/>
        <w:t>de las masas epiteliales comienza a degenerar dando lugar a la formación de la cavidad quística. La tercera fase es el crecimiento del quiste cuyo mecanismo se cree</w:t>
      </w:r>
      <w:r>
        <w:rPr>
          <w:spacing w:val="-6"/>
        </w:rPr>
        <w:t> </w:t>
      </w:r>
      <w:r>
        <w:rPr/>
        <w:t>es</w:t>
      </w:r>
      <w:r>
        <w:rPr>
          <w:spacing w:val="-9"/>
        </w:rPr>
        <w:t> </w:t>
      </w:r>
      <w:r>
        <w:rPr/>
        <w:t>por</w:t>
      </w:r>
      <w:r>
        <w:rPr>
          <w:spacing w:val="-9"/>
        </w:rPr>
        <w:t> </w:t>
      </w:r>
      <w:r>
        <w:rPr/>
        <w:t>medio</w:t>
      </w:r>
      <w:r>
        <w:rPr>
          <w:spacing w:val="-9"/>
        </w:rPr>
        <w:t> </w:t>
      </w:r>
      <w:r>
        <w:rPr/>
        <w:t>de</w:t>
      </w:r>
      <w:r>
        <w:rPr>
          <w:spacing w:val="-8"/>
        </w:rPr>
        <w:t> </w:t>
      </w:r>
      <w:r>
        <w:rPr/>
        <w:t>ósmosis</w:t>
      </w:r>
      <w:r>
        <w:rPr>
          <w:spacing w:val="-7"/>
        </w:rPr>
        <w:t> </w:t>
      </w:r>
      <w:r>
        <w:rPr/>
        <w:t>(34,</w:t>
      </w:r>
      <w:r>
        <w:rPr>
          <w:spacing w:val="-9"/>
        </w:rPr>
        <w:t> </w:t>
      </w:r>
      <w:r>
        <w:rPr/>
        <w:t>35).</w:t>
      </w:r>
      <w:r>
        <w:rPr>
          <w:spacing w:val="-7"/>
        </w:rPr>
        <w:t> </w:t>
      </w:r>
      <w:r>
        <w:rPr/>
        <w:t>Los</w:t>
      </w:r>
      <w:r>
        <w:rPr>
          <w:spacing w:val="-9"/>
        </w:rPr>
        <w:t> </w:t>
      </w:r>
      <w:r>
        <w:rPr/>
        <w:t>productos</w:t>
      </w:r>
      <w:r>
        <w:rPr>
          <w:spacing w:val="-7"/>
        </w:rPr>
        <w:t> </w:t>
      </w:r>
      <w:r>
        <w:rPr/>
        <w:t>líticos</w:t>
      </w:r>
      <w:r>
        <w:rPr>
          <w:spacing w:val="-9"/>
        </w:rPr>
        <w:t> </w:t>
      </w:r>
      <w:r>
        <w:rPr/>
        <w:t>de</w:t>
      </w:r>
      <w:r>
        <w:rPr>
          <w:spacing w:val="-8"/>
        </w:rPr>
        <w:t> </w:t>
      </w:r>
      <w:r>
        <w:rPr/>
        <w:t>la</w:t>
      </w:r>
      <w:r>
        <w:rPr>
          <w:spacing w:val="-9"/>
        </w:rPr>
        <w:t> </w:t>
      </w:r>
      <w:r>
        <w:rPr/>
        <w:t>muerte</w:t>
      </w:r>
      <w:r>
        <w:rPr>
          <w:spacing w:val="-8"/>
        </w:rPr>
        <w:t> </w:t>
      </w:r>
      <w:r>
        <w:rPr/>
        <w:t>celular</w:t>
      </w:r>
      <w:r>
        <w:rPr>
          <w:spacing w:val="-11"/>
        </w:rPr>
        <w:t> </w:t>
      </w:r>
      <w:r>
        <w:rPr/>
        <w:t>en la</w:t>
      </w:r>
      <w:r>
        <w:rPr>
          <w:spacing w:val="-18"/>
        </w:rPr>
        <w:t> </w:t>
      </w:r>
      <w:r>
        <w:rPr/>
        <w:t>luz</w:t>
      </w:r>
      <w:r>
        <w:rPr>
          <w:spacing w:val="-21"/>
        </w:rPr>
        <w:t> </w:t>
      </w:r>
      <w:r>
        <w:rPr/>
        <w:t>del</w:t>
      </w:r>
      <w:r>
        <w:rPr>
          <w:spacing w:val="-19"/>
        </w:rPr>
        <w:t> </w:t>
      </w:r>
      <w:r>
        <w:rPr/>
        <w:t>quiste</w:t>
      </w:r>
      <w:r>
        <w:rPr>
          <w:spacing w:val="-18"/>
        </w:rPr>
        <w:t> </w:t>
      </w:r>
      <w:r>
        <w:rPr/>
        <w:t>liberan</w:t>
      </w:r>
      <w:r>
        <w:rPr>
          <w:spacing w:val="-20"/>
        </w:rPr>
        <w:t> </w:t>
      </w:r>
      <w:r>
        <w:rPr/>
        <w:t>una</w:t>
      </w:r>
      <w:r>
        <w:rPr>
          <w:spacing w:val="-18"/>
        </w:rPr>
        <w:t> </w:t>
      </w:r>
      <w:r>
        <w:rPr/>
        <w:t>gran</w:t>
      </w:r>
      <w:r>
        <w:rPr>
          <w:spacing w:val="-18"/>
        </w:rPr>
        <w:t> </w:t>
      </w:r>
      <w:r>
        <w:rPr/>
        <w:t>cantidad</w:t>
      </w:r>
      <w:r>
        <w:rPr>
          <w:spacing w:val="-20"/>
        </w:rPr>
        <w:t> </w:t>
      </w:r>
      <w:r>
        <w:rPr/>
        <w:t>de</w:t>
      </w:r>
      <w:r>
        <w:rPr>
          <w:spacing w:val="-20"/>
        </w:rPr>
        <w:t> </w:t>
      </w:r>
      <w:r>
        <w:rPr/>
        <w:t>moléculas</w:t>
      </w:r>
      <w:r>
        <w:rPr>
          <w:spacing w:val="-18"/>
        </w:rPr>
        <w:t> </w:t>
      </w:r>
      <w:r>
        <w:rPr/>
        <w:t>lo</w:t>
      </w:r>
      <w:r>
        <w:rPr>
          <w:spacing w:val="-18"/>
        </w:rPr>
        <w:t> </w:t>
      </w:r>
      <w:r>
        <w:rPr/>
        <w:t>que</w:t>
      </w:r>
      <w:r>
        <w:rPr>
          <w:spacing w:val="-18"/>
        </w:rPr>
        <w:t> </w:t>
      </w:r>
      <w:r>
        <w:rPr/>
        <w:t>resulta</w:t>
      </w:r>
      <w:r>
        <w:rPr>
          <w:spacing w:val="-20"/>
        </w:rPr>
        <w:t> </w:t>
      </w:r>
      <w:r>
        <w:rPr/>
        <w:t>en</w:t>
      </w:r>
      <w:r>
        <w:rPr>
          <w:spacing w:val="-18"/>
        </w:rPr>
        <w:t> </w:t>
      </w:r>
      <w:r>
        <w:rPr/>
        <w:t>un</w:t>
      </w:r>
      <w:r>
        <w:rPr>
          <w:spacing w:val="-18"/>
        </w:rPr>
        <w:t> </w:t>
      </w:r>
      <w:r>
        <w:rPr/>
        <w:t>aumento de la presión del fluido quístico a un nivel mayor que el fluido tisular. El incremento de</w:t>
      </w:r>
      <w:r>
        <w:rPr>
          <w:spacing w:val="-13"/>
        </w:rPr>
        <w:t> </w:t>
      </w:r>
      <w:r>
        <w:rPr/>
        <w:t>la</w:t>
      </w:r>
      <w:r>
        <w:rPr>
          <w:spacing w:val="-16"/>
        </w:rPr>
        <w:t> </w:t>
      </w:r>
      <w:r>
        <w:rPr/>
        <w:t>presión</w:t>
      </w:r>
      <w:r>
        <w:rPr>
          <w:spacing w:val="-15"/>
        </w:rPr>
        <w:t> </w:t>
      </w:r>
      <w:r>
        <w:rPr/>
        <w:t>del</w:t>
      </w:r>
      <w:r>
        <w:rPr>
          <w:spacing w:val="-17"/>
        </w:rPr>
        <w:t> </w:t>
      </w:r>
      <w:r>
        <w:rPr/>
        <w:t>fluido</w:t>
      </w:r>
      <w:r>
        <w:rPr>
          <w:spacing w:val="-15"/>
        </w:rPr>
        <w:t> </w:t>
      </w:r>
      <w:r>
        <w:rPr/>
        <w:t>intraquístico</w:t>
      </w:r>
      <w:r>
        <w:rPr>
          <w:spacing w:val="-13"/>
        </w:rPr>
        <w:t> </w:t>
      </w:r>
      <w:r>
        <w:rPr/>
        <w:t>dirige</w:t>
      </w:r>
      <w:r>
        <w:rPr>
          <w:spacing w:val="-13"/>
        </w:rPr>
        <w:t> </w:t>
      </w:r>
      <w:r>
        <w:rPr/>
        <w:t>la</w:t>
      </w:r>
      <w:r>
        <w:rPr>
          <w:spacing w:val="-13"/>
        </w:rPr>
        <w:t> </w:t>
      </w:r>
      <w:r>
        <w:rPr/>
        <w:t>resorción</w:t>
      </w:r>
      <w:r>
        <w:rPr>
          <w:spacing w:val="-13"/>
        </w:rPr>
        <w:t> </w:t>
      </w:r>
      <w:r>
        <w:rPr/>
        <w:t>ósea</w:t>
      </w:r>
      <w:r>
        <w:rPr>
          <w:spacing w:val="-13"/>
        </w:rPr>
        <w:t> </w:t>
      </w:r>
      <w:r>
        <w:rPr/>
        <w:t>y</w:t>
      </w:r>
      <w:r>
        <w:rPr>
          <w:spacing w:val="-16"/>
        </w:rPr>
        <w:t> </w:t>
      </w:r>
      <w:r>
        <w:rPr/>
        <w:t>la</w:t>
      </w:r>
      <w:r>
        <w:rPr>
          <w:spacing w:val="-13"/>
        </w:rPr>
        <w:t> </w:t>
      </w:r>
      <w:r>
        <w:rPr/>
        <w:t>expansión</w:t>
      </w:r>
      <w:r>
        <w:rPr>
          <w:spacing w:val="-13"/>
        </w:rPr>
        <w:t> </w:t>
      </w:r>
      <w:r>
        <w:rPr/>
        <w:t>del</w:t>
      </w:r>
      <w:r>
        <w:rPr>
          <w:spacing w:val="-14"/>
        </w:rPr>
        <w:t> </w:t>
      </w:r>
      <w:r>
        <w:rPr/>
        <w:t>quiste (36).</w:t>
      </w:r>
    </w:p>
    <w:p>
      <w:pPr>
        <w:pStyle w:val="ListParagraph"/>
        <w:numPr>
          <w:ilvl w:val="3"/>
          <w:numId w:val="4"/>
        </w:numPr>
        <w:tabs>
          <w:tab w:pos="964" w:val="left" w:leader="none"/>
        </w:tabs>
        <w:spacing w:line="240" w:lineRule="auto" w:before="202" w:after="0"/>
        <w:ind w:left="963" w:right="0" w:hanging="801"/>
        <w:jc w:val="both"/>
        <w:rPr>
          <w:sz w:val="24"/>
        </w:rPr>
      </w:pPr>
      <w:r>
        <w:rPr>
          <w:sz w:val="24"/>
          <w:u w:val="single"/>
        </w:rPr>
        <w:t>Quiste periapical en</w:t>
      </w:r>
      <w:r>
        <w:rPr>
          <w:spacing w:val="-5"/>
          <w:sz w:val="24"/>
          <w:u w:val="single"/>
        </w:rPr>
        <w:t> </w:t>
      </w:r>
      <w:r>
        <w:rPr>
          <w:sz w:val="24"/>
          <w:u w:val="single"/>
        </w:rPr>
        <w:t>bolsa</w:t>
      </w:r>
    </w:p>
    <w:p>
      <w:pPr>
        <w:pStyle w:val="BodyText"/>
        <w:spacing w:before="7"/>
        <w:rPr>
          <w:sz w:val="23"/>
        </w:rPr>
      </w:pPr>
    </w:p>
    <w:p>
      <w:pPr>
        <w:pStyle w:val="BodyText"/>
        <w:spacing w:line="360" w:lineRule="auto" w:before="69"/>
        <w:ind w:left="162" w:right="159"/>
        <w:jc w:val="both"/>
      </w:pPr>
      <w:r>
        <w:rPr/>
        <w:t>El quiste periapical en bolsa es un quiste radicular que contiene una cavidad patológica revestida por epitelio la cual está abierta al conducto radicular de un diente afectado. Se postula que un quiste en bolsa se inicia como una pequeña burbuja en la extensión del espacio periapical del conducto radicular infectado. El espacio de micro luz es encerrado en epitelio escamoso estratificado que crece y forma un collar epitelial alrededor del ápice de la raíz funcionando como un “sujetador</w:t>
      </w:r>
      <w:r>
        <w:rPr>
          <w:spacing w:val="-18"/>
        </w:rPr>
        <w:t> </w:t>
      </w:r>
      <w:r>
        <w:rPr/>
        <w:t>epitelial”.</w:t>
      </w:r>
      <w:r>
        <w:rPr>
          <w:spacing w:val="-19"/>
        </w:rPr>
        <w:t> </w:t>
      </w:r>
      <w:r>
        <w:rPr/>
        <w:t>La</w:t>
      </w:r>
      <w:r>
        <w:rPr>
          <w:spacing w:val="-21"/>
        </w:rPr>
        <w:t> </w:t>
      </w:r>
      <w:r>
        <w:rPr/>
        <w:t>presencia</w:t>
      </w:r>
      <w:r>
        <w:rPr>
          <w:spacing w:val="-19"/>
        </w:rPr>
        <w:t> </w:t>
      </w:r>
      <w:r>
        <w:rPr/>
        <w:t>de</w:t>
      </w:r>
      <w:r>
        <w:rPr>
          <w:spacing w:val="-19"/>
        </w:rPr>
        <w:t> </w:t>
      </w:r>
      <w:r>
        <w:rPr/>
        <w:t>microorganismos</w:t>
      </w:r>
      <w:r>
        <w:rPr>
          <w:spacing w:val="-20"/>
        </w:rPr>
        <w:t> </w:t>
      </w:r>
      <w:r>
        <w:rPr/>
        <w:t>en</w:t>
      </w:r>
      <w:r>
        <w:rPr>
          <w:spacing w:val="-19"/>
        </w:rPr>
        <w:t> </w:t>
      </w:r>
      <w:r>
        <w:rPr/>
        <w:t>el</w:t>
      </w:r>
      <w:r>
        <w:rPr>
          <w:spacing w:val="-18"/>
        </w:rPr>
        <w:t> </w:t>
      </w:r>
      <w:r>
        <w:rPr/>
        <w:t>conducto</w:t>
      </w:r>
      <w:r>
        <w:rPr>
          <w:spacing w:val="-17"/>
        </w:rPr>
        <w:t> </w:t>
      </w:r>
      <w:r>
        <w:rPr/>
        <w:t>radicular</w:t>
      </w:r>
      <w:r>
        <w:rPr>
          <w:spacing w:val="-18"/>
        </w:rPr>
        <w:t> </w:t>
      </w:r>
      <w:r>
        <w:rPr/>
        <w:t>atrae neutrófilos</w:t>
      </w:r>
      <w:r>
        <w:rPr>
          <w:spacing w:val="-16"/>
        </w:rPr>
        <w:t> </w:t>
      </w:r>
      <w:r>
        <w:rPr/>
        <w:t>por</w:t>
      </w:r>
      <w:r>
        <w:rPr>
          <w:spacing w:val="-15"/>
        </w:rPr>
        <w:t> </w:t>
      </w:r>
      <w:r>
        <w:rPr/>
        <w:t>quimiotaxis</w:t>
      </w:r>
      <w:r>
        <w:rPr>
          <w:spacing w:val="-17"/>
        </w:rPr>
        <w:t> </w:t>
      </w:r>
      <w:r>
        <w:rPr/>
        <w:t>dentro</w:t>
      </w:r>
      <w:r>
        <w:rPr>
          <w:spacing w:val="-16"/>
        </w:rPr>
        <w:t> </w:t>
      </w:r>
      <w:r>
        <w:rPr/>
        <w:t>de</w:t>
      </w:r>
      <w:r>
        <w:rPr>
          <w:spacing w:val="-16"/>
        </w:rPr>
        <w:t> </w:t>
      </w:r>
      <w:r>
        <w:rPr/>
        <w:t>la</w:t>
      </w:r>
      <w:r>
        <w:rPr>
          <w:spacing w:val="-18"/>
        </w:rPr>
        <w:t> </w:t>
      </w:r>
      <w:r>
        <w:rPr/>
        <w:t>microluz.</w:t>
      </w:r>
      <w:r>
        <w:rPr>
          <w:spacing w:val="-16"/>
        </w:rPr>
        <w:t> </w:t>
      </w:r>
      <w:r>
        <w:rPr/>
        <w:t>Sin</w:t>
      </w:r>
      <w:r>
        <w:rPr>
          <w:spacing w:val="-16"/>
        </w:rPr>
        <w:t> </w:t>
      </w:r>
      <w:r>
        <w:rPr/>
        <w:t>embargo,</w:t>
      </w:r>
      <w:r>
        <w:rPr>
          <w:spacing w:val="-16"/>
        </w:rPr>
        <w:t> </w:t>
      </w:r>
      <w:r>
        <w:rPr/>
        <w:t>la</w:t>
      </w:r>
      <w:r>
        <w:rPr>
          <w:spacing w:val="-16"/>
        </w:rPr>
        <w:t> </w:t>
      </w:r>
      <w:r>
        <w:rPr/>
        <w:t>luz</w:t>
      </w:r>
      <w:r>
        <w:rPr>
          <w:spacing w:val="-18"/>
        </w:rPr>
        <w:t> </w:t>
      </w:r>
      <w:r>
        <w:rPr/>
        <w:t>tipo</w:t>
      </w:r>
      <w:r>
        <w:rPr>
          <w:spacing w:val="-16"/>
        </w:rPr>
        <w:t> </w:t>
      </w:r>
      <w:r>
        <w:rPr/>
        <w:t>bolsa</w:t>
      </w:r>
      <w:r>
        <w:rPr>
          <w:spacing w:val="-16"/>
        </w:rPr>
        <w:t> </w:t>
      </w:r>
      <w:r>
        <w:rPr/>
        <w:t>actúa como una “trampa” y como “bolsa </w:t>
      </w:r>
      <w:r>
        <w:rPr>
          <w:spacing w:val="2"/>
        </w:rPr>
        <w:t>de </w:t>
      </w:r>
      <w:r>
        <w:rPr/>
        <w:t>basura” para los neutrófilos externos que van muriendo.</w:t>
      </w:r>
      <w:r>
        <w:rPr>
          <w:spacing w:val="-19"/>
        </w:rPr>
        <w:t> </w:t>
      </w:r>
      <w:r>
        <w:rPr/>
        <w:t>Como</w:t>
      </w:r>
      <w:r>
        <w:rPr>
          <w:spacing w:val="-19"/>
        </w:rPr>
        <w:t> </w:t>
      </w:r>
      <w:r>
        <w:rPr/>
        <w:t>los</w:t>
      </w:r>
      <w:r>
        <w:rPr>
          <w:spacing w:val="-19"/>
        </w:rPr>
        <w:t> </w:t>
      </w:r>
      <w:r>
        <w:rPr/>
        <w:t>tejidos</w:t>
      </w:r>
      <w:r>
        <w:rPr>
          <w:spacing w:val="-20"/>
        </w:rPr>
        <w:t> </w:t>
      </w:r>
      <w:r>
        <w:rPr/>
        <w:t>necróticos</w:t>
      </w:r>
      <w:r>
        <w:rPr>
          <w:spacing w:val="-20"/>
        </w:rPr>
        <w:t> </w:t>
      </w:r>
      <w:r>
        <w:rPr/>
        <w:t>y</w:t>
      </w:r>
      <w:r>
        <w:rPr>
          <w:spacing w:val="26"/>
        </w:rPr>
        <w:t> </w:t>
      </w:r>
      <w:r>
        <w:rPr/>
        <w:t>productos</w:t>
      </w:r>
      <w:r>
        <w:rPr>
          <w:spacing w:val="-21"/>
        </w:rPr>
        <w:t> </w:t>
      </w:r>
      <w:r>
        <w:rPr/>
        <w:t>microbianos</w:t>
      </w:r>
      <w:r>
        <w:rPr>
          <w:spacing w:val="-20"/>
        </w:rPr>
        <w:t> </w:t>
      </w:r>
      <w:r>
        <w:rPr/>
        <w:t>se</w:t>
      </w:r>
      <w:r>
        <w:rPr>
          <w:spacing w:val="-19"/>
        </w:rPr>
        <w:t> </w:t>
      </w:r>
      <w:r>
        <w:rPr/>
        <w:t>van</w:t>
      </w:r>
      <w:r>
        <w:rPr>
          <w:spacing w:val="-19"/>
        </w:rPr>
        <w:t> </w:t>
      </w:r>
      <w:r>
        <w:rPr/>
        <w:t>acumulando, la bolsa se alarga para acomodar los productos y forma un voluminoso divertículo dentro del área periapical causando una lesión que tiene mucho en común con la bolsa periodontal</w:t>
      </w:r>
      <w:r>
        <w:rPr>
          <w:spacing w:val="-10"/>
        </w:rPr>
        <w:t> </w:t>
      </w:r>
      <w:r>
        <w:rPr/>
        <w:t>(36).</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Heading1"/>
        <w:numPr>
          <w:ilvl w:val="1"/>
          <w:numId w:val="5"/>
        </w:numPr>
        <w:tabs>
          <w:tab w:pos="632" w:val="left" w:leader="none"/>
        </w:tabs>
        <w:spacing w:line="240" w:lineRule="auto" w:before="69" w:after="0"/>
        <w:ind w:left="631" w:right="0" w:hanging="469"/>
        <w:jc w:val="both"/>
      </w:pPr>
      <w:bookmarkStart w:name="_bookmark14" w:id="29"/>
      <w:bookmarkEnd w:id="29"/>
      <w:r>
        <w:rPr>
          <w:b w:val="0"/>
        </w:rPr>
      </w:r>
      <w:bookmarkStart w:name="_bookmark14" w:id="30"/>
      <w:bookmarkEnd w:id="30"/>
      <w:r>
        <w:rPr/>
        <w:t>Ciru</w:t>
      </w:r>
      <w:r>
        <w:rPr/>
        <w:t>gía</w:t>
      </w:r>
      <w:r>
        <w:rPr>
          <w:spacing w:val="-7"/>
        </w:rPr>
        <w:t> </w:t>
      </w:r>
      <w:r>
        <w:rPr/>
        <w:t>Endodóntica</w:t>
      </w:r>
    </w:p>
    <w:p>
      <w:pPr>
        <w:pStyle w:val="BodyText"/>
        <w:spacing w:before="6"/>
        <w:rPr>
          <w:b/>
          <w:sz w:val="22"/>
        </w:rPr>
      </w:pPr>
    </w:p>
    <w:p>
      <w:pPr>
        <w:pStyle w:val="BodyText"/>
        <w:spacing w:line="360" w:lineRule="auto"/>
        <w:ind w:left="162" w:right="163"/>
        <w:jc w:val="both"/>
      </w:pPr>
      <w:r>
        <w:rPr/>
        <w:t>A causa del acceso limitado, las pequeñas dimensiones del campo operatorio y las estructuras anatómicas afectadas, la cirugía endodóntica se considera a menudo difícil. Las estructuras anatómicas importantes cercanas a los dientes y el bajo porcentaje</w:t>
      </w:r>
      <w:r>
        <w:rPr>
          <w:spacing w:val="-19"/>
        </w:rPr>
        <w:t> </w:t>
      </w:r>
      <w:r>
        <w:rPr/>
        <w:t>de</w:t>
      </w:r>
      <w:r>
        <w:rPr>
          <w:spacing w:val="-19"/>
        </w:rPr>
        <w:t> </w:t>
      </w:r>
      <w:r>
        <w:rPr/>
        <w:t>éxito</w:t>
      </w:r>
      <w:r>
        <w:rPr>
          <w:spacing w:val="-18"/>
        </w:rPr>
        <w:t> </w:t>
      </w:r>
      <w:r>
        <w:rPr/>
        <w:t>conseguido</w:t>
      </w:r>
      <w:r>
        <w:rPr>
          <w:spacing w:val="-19"/>
        </w:rPr>
        <w:t> </w:t>
      </w:r>
      <w:r>
        <w:rPr/>
        <w:t>hacen</w:t>
      </w:r>
      <w:r>
        <w:rPr>
          <w:spacing w:val="-18"/>
        </w:rPr>
        <w:t> </w:t>
      </w:r>
      <w:r>
        <w:rPr/>
        <w:t>que</w:t>
      </w:r>
      <w:r>
        <w:rPr>
          <w:spacing w:val="-18"/>
        </w:rPr>
        <w:t> </w:t>
      </w:r>
      <w:r>
        <w:rPr/>
        <w:t>la</w:t>
      </w:r>
      <w:r>
        <w:rPr>
          <w:spacing w:val="-19"/>
        </w:rPr>
        <w:t> </w:t>
      </w:r>
      <w:r>
        <w:rPr/>
        <w:t>cirugía</w:t>
      </w:r>
      <w:r>
        <w:rPr>
          <w:spacing w:val="-18"/>
        </w:rPr>
        <w:t> </w:t>
      </w:r>
      <w:r>
        <w:rPr/>
        <w:t>endodóntica</w:t>
      </w:r>
      <w:r>
        <w:rPr>
          <w:spacing w:val="-19"/>
        </w:rPr>
        <w:t> </w:t>
      </w:r>
      <w:r>
        <w:rPr/>
        <w:t>se</w:t>
      </w:r>
      <w:r>
        <w:rPr>
          <w:spacing w:val="-19"/>
        </w:rPr>
        <w:t> </w:t>
      </w:r>
      <w:r>
        <w:rPr/>
        <w:t>considere</w:t>
      </w:r>
      <w:r>
        <w:rPr>
          <w:spacing w:val="-20"/>
        </w:rPr>
        <w:t> </w:t>
      </w:r>
      <w:r>
        <w:rPr/>
        <w:t>como el último recurso a tener en cuenta en el tratamiento del fracaso endodóntico</w:t>
      </w:r>
      <w:r>
        <w:rPr>
          <w:spacing w:val="-34"/>
        </w:rPr>
        <w:t> </w:t>
      </w:r>
      <w:r>
        <w:rPr/>
        <w:t>(6).</w:t>
      </w:r>
    </w:p>
    <w:p>
      <w:pPr>
        <w:pStyle w:val="Heading1"/>
        <w:numPr>
          <w:ilvl w:val="2"/>
          <w:numId w:val="5"/>
        </w:numPr>
        <w:tabs>
          <w:tab w:pos="831" w:val="left" w:leader="none"/>
        </w:tabs>
        <w:spacing w:line="240" w:lineRule="auto" w:before="204" w:after="0"/>
        <w:ind w:left="830" w:right="0" w:hanging="668"/>
        <w:jc w:val="both"/>
      </w:pPr>
      <w:bookmarkStart w:name="_bookmark15" w:id="31"/>
      <w:bookmarkEnd w:id="31"/>
      <w:r>
        <w:rPr>
          <w:b w:val="0"/>
        </w:rPr>
      </w:r>
      <w:bookmarkStart w:name="_bookmark15" w:id="32"/>
      <w:bookmarkEnd w:id="32"/>
      <w:r>
        <w:rPr/>
        <w:t>Ind</w:t>
      </w:r>
      <w:r>
        <w:rPr/>
        <w:t>icaciones del tratamiento</w:t>
      </w:r>
      <w:r>
        <w:rPr>
          <w:spacing w:val="-9"/>
        </w:rPr>
        <w:t> </w:t>
      </w:r>
      <w:r>
        <w:rPr/>
        <w:t>quirúrgico</w:t>
      </w:r>
    </w:p>
    <w:p>
      <w:pPr>
        <w:pStyle w:val="BodyText"/>
        <w:spacing w:before="2"/>
        <w:rPr>
          <w:b/>
          <w:sz w:val="29"/>
        </w:rPr>
      </w:pPr>
    </w:p>
    <w:p>
      <w:pPr>
        <w:pStyle w:val="BodyText"/>
        <w:spacing w:line="360" w:lineRule="auto"/>
        <w:ind w:left="162" w:right="156"/>
        <w:jc w:val="both"/>
      </w:pPr>
      <w:r>
        <w:rPr/>
        <w:t>Su principal indicación es cuando el retratamiento no quirúrgico es impracticable o poco probable que mejore las condiciones de los resultados previos o bien cuando es necesario realizar una biopsia (6). Los casos indicados para microcirugía endodóntica se clasifican de la siguiente manera (39):</w:t>
      </w:r>
    </w:p>
    <w:p>
      <w:pPr>
        <w:pStyle w:val="ListParagraph"/>
        <w:numPr>
          <w:ilvl w:val="0"/>
          <w:numId w:val="6"/>
        </w:numPr>
        <w:tabs>
          <w:tab w:pos="882" w:val="left" w:leader="none"/>
        </w:tabs>
        <w:spacing w:line="360" w:lineRule="auto" w:before="204" w:after="0"/>
        <w:ind w:left="882" w:right="165" w:hanging="360"/>
        <w:jc w:val="both"/>
        <w:rPr>
          <w:sz w:val="24"/>
        </w:rPr>
      </w:pPr>
      <w:r>
        <w:rPr>
          <w:sz w:val="24"/>
        </w:rPr>
        <w:t>Clase A. Representa la ausencia de lesión periapical, aunque se asocia a síntomas aun no resueltos tras haber agotado todas las posibilidades de tratamiento convencional. El único motivo son los</w:t>
      </w:r>
      <w:r>
        <w:rPr>
          <w:spacing w:val="-14"/>
          <w:sz w:val="24"/>
        </w:rPr>
        <w:t> </w:t>
      </w:r>
      <w:r>
        <w:rPr>
          <w:sz w:val="24"/>
        </w:rPr>
        <w:t>síntomas.</w:t>
      </w:r>
    </w:p>
    <w:p>
      <w:pPr>
        <w:pStyle w:val="ListParagraph"/>
        <w:numPr>
          <w:ilvl w:val="0"/>
          <w:numId w:val="6"/>
        </w:numPr>
        <w:tabs>
          <w:tab w:pos="882" w:val="left" w:leader="none"/>
        </w:tabs>
        <w:spacing w:line="360" w:lineRule="auto" w:before="2" w:after="0"/>
        <w:ind w:left="882" w:right="163" w:hanging="360"/>
        <w:jc w:val="both"/>
        <w:rPr>
          <w:sz w:val="24"/>
        </w:rPr>
      </w:pPr>
      <w:r>
        <w:rPr>
          <w:sz w:val="24"/>
        </w:rPr>
        <w:t>Clase B. Presencia de una pequeña lesión periapical sin bolsas periodontales.</w:t>
      </w:r>
    </w:p>
    <w:p>
      <w:pPr>
        <w:pStyle w:val="ListParagraph"/>
        <w:numPr>
          <w:ilvl w:val="0"/>
          <w:numId w:val="6"/>
        </w:numPr>
        <w:tabs>
          <w:tab w:pos="882" w:val="left" w:leader="none"/>
        </w:tabs>
        <w:spacing w:line="360" w:lineRule="auto" w:before="3" w:after="0"/>
        <w:ind w:left="882" w:right="165" w:hanging="360"/>
        <w:jc w:val="both"/>
        <w:rPr>
          <w:sz w:val="24"/>
        </w:rPr>
      </w:pPr>
      <w:r>
        <w:rPr>
          <w:sz w:val="24"/>
        </w:rPr>
        <w:t>Clase C. Presencia de una gran lesión periapical que progresa en sentido coronal sin bolsa</w:t>
      </w:r>
      <w:r>
        <w:rPr>
          <w:spacing w:val="-10"/>
          <w:sz w:val="24"/>
        </w:rPr>
        <w:t> </w:t>
      </w:r>
      <w:r>
        <w:rPr>
          <w:sz w:val="24"/>
        </w:rPr>
        <w:t>periodontal.</w:t>
      </w:r>
    </w:p>
    <w:p>
      <w:pPr>
        <w:pStyle w:val="ListParagraph"/>
        <w:numPr>
          <w:ilvl w:val="0"/>
          <w:numId w:val="6"/>
        </w:numPr>
        <w:tabs>
          <w:tab w:pos="882" w:val="left" w:leader="none"/>
        </w:tabs>
        <w:spacing w:line="360" w:lineRule="auto" w:before="2" w:after="0"/>
        <w:ind w:left="882" w:right="158" w:hanging="360"/>
        <w:jc w:val="both"/>
        <w:rPr>
          <w:sz w:val="24"/>
        </w:rPr>
      </w:pPr>
      <w:r>
        <w:rPr>
          <w:sz w:val="24"/>
        </w:rPr>
        <w:t>Clase D. Presencia de una gran lesión periapical que progresa en sentido coronal con bolsa</w:t>
      </w:r>
      <w:r>
        <w:rPr>
          <w:spacing w:val="-13"/>
          <w:sz w:val="24"/>
        </w:rPr>
        <w:t> </w:t>
      </w:r>
      <w:r>
        <w:rPr>
          <w:sz w:val="24"/>
        </w:rPr>
        <w:t>periodontal.</w:t>
      </w:r>
    </w:p>
    <w:p>
      <w:pPr>
        <w:pStyle w:val="ListParagraph"/>
        <w:numPr>
          <w:ilvl w:val="0"/>
          <w:numId w:val="6"/>
        </w:numPr>
        <w:tabs>
          <w:tab w:pos="882" w:val="left" w:leader="none"/>
        </w:tabs>
        <w:spacing w:line="360" w:lineRule="auto" w:before="2" w:after="0"/>
        <w:ind w:left="882" w:right="152" w:hanging="360"/>
        <w:jc w:val="both"/>
        <w:rPr>
          <w:sz w:val="24"/>
        </w:rPr>
      </w:pPr>
      <w:r>
        <w:rPr>
          <w:sz w:val="24"/>
        </w:rPr>
        <w:t>Clase</w:t>
      </w:r>
      <w:r>
        <w:rPr>
          <w:spacing w:val="-5"/>
          <w:sz w:val="24"/>
        </w:rPr>
        <w:t> </w:t>
      </w:r>
      <w:r>
        <w:rPr>
          <w:sz w:val="24"/>
        </w:rPr>
        <w:t>E.</w:t>
      </w:r>
      <w:r>
        <w:rPr>
          <w:spacing w:val="-5"/>
          <w:sz w:val="24"/>
        </w:rPr>
        <w:t> </w:t>
      </w:r>
      <w:r>
        <w:rPr>
          <w:sz w:val="24"/>
        </w:rPr>
        <w:t>Lesión</w:t>
      </w:r>
      <w:r>
        <w:rPr>
          <w:spacing w:val="-5"/>
          <w:sz w:val="24"/>
        </w:rPr>
        <w:t> </w:t>
      </w:r>
      <w:r>
        <w:rPr>
          <w:sz w:val="24"/>
        </w:rPr>
        <w:t>periapical</w:t>
      </w:r>
      <w:r>
        <w:rPr>
          <w:spacing w:val="-6"/>
          <w:sz w:val="24"/>
        </w:rPr>
        <w:t> </w:t>
      </w:r>
      <w:r>
        <w:rPr>
          <w:sz w:val="24"/>
        </w:rPr>
        <w:t>con</w:t>
      </w:r>
      <w:r>
        <w:rPr>
          <w:spacing w:val="-5"/>
          <w:sz w:val="24"/>
        </w:rPr>
        <w:t> </w:t>
      </w:r>
      <w:r>
        <w:rPr>
          <w:sz w:val="24"/>
        </w:rPr>
        <w:t>existencia</w:t>
      </w:r>
      <w:r>
        <w:rPr>
          <w:spacing w:val="-5"/>
          <w:sz w:val="24"/>
        </w:rPr>
        <w:t> </w:t>
      </w:r>
      <w:r>
        <w:rPr>
          <w:sz w:val="24"/>
        </w:rPr>
        <w:t>de</w:t>
      </w:r>
      <w:r>
        <w:rPr>
          <w:spacing w:val="-7"/>
          <w:sz w:val="24"/>
        </w:rPr>
        <w:t> </w:t>
      </w:r>
      <w:r>
        <w:rPr>
          <w:sz w:val="24"/>
        </w:rPr>
        <w:t>una</w:t>
      </w:r>
      <w:r>
        <w:rPr>
          <w:spacing w:val="-5"/>
          <w:sz w:val="24"/>
        </w:rPr>
        <w:t> </w:t>
      </w:r>
      <w:r>
        <w:rPr>
          <w:sz w:val="24"/>
        </w:rPr>
        <w:t>comunicación</w:t>
      </w:r>
      <w:r>
        <w:rPr>
          <w:spacing w:val="-7"/>
          <w:sz w:val="24"/>
        </w:rPr>
        <w:t> </w:t>
      </w:r>
      <w:r>
        <w:rPr>
          <w:sz w:val="24"/>
        </w:rPr>
        <w:t>endodóntica- periodontal pero sin fractura</w:t>
      </w:r>
      <w:r>
        <w:rPr>
          <w:spacing w:val="-15"/>
          <w:sz w:val="24"/>
        </w:rPr>
        <w:t> </w:t>
      </w:r>
      <w:r>
        <w:rPr>
          <w:sz w:val="24"/>
        </w:rPr>
        <w:t>radicular.</w:t>
      </w:r>
    </w:p>
    <w:p>
      <w:pPr>
        <w:pStyle w:val="ListParagraph"/>
        <w:numPr>
          <w:ilvl w:val="0"/>
          <w:numId w:val="6"/>
        </w:numPr>
        <w:tabs>
          <w:tab w:pos="882" w:val="left" w:leader="none"/>
        </w:tabs>
        <w:spacing w:line="240" w:lineRule="auto" w:before="2" w:after="0"/>
        <w:ind w:left="882" w:right="0" w:hanging="360"/>
        <w:jc w:val="left"/>
        <w:rPr>
          <w:sz w:val="24"/>
        </w:rPr>
      </w:pPr>
      <w:r>
        <w:rPr>
          <w:sz w:val="24"/>
        </w:rPr>
        <w:t>Clase F. Diente con lesión apical y completa denudación de la lámina</w:t>
      </w:r>
      <w:r>
        <w:rPr>
          <w:spacing w:val="-22"/>
          <w:sz w:val="24"/>
        </w:rPr>
        <w:t> </w:t>
      </w:r>
      <w:r>
        <w:rPr>
          <w:sz w:val="24"/>
        </w:rPr>
        <w:t>bucal.</w:t>
      </w:r>
    </w:p>
    <w:p>
      <w:pPr>
        <w:pStyle w:val="BodyText"/>
        <w:spacing w:before="4"/>
        <w:rPr>
          <w:sz w:val="29"/>
        </w:rPr>
      </w:pPr>
    </w:p>
    <w:p>
      <w:pPr>
        <w:pStyle w:val="BodyText"/>
        <w:spacing w:line="360" w:lineRule="auto" w:before="1"/>
        <w:ind w:left="162" w:right="157"/>
        <w:jc w:val="both"/>
      </w:pPr>
      <w:r>
        <w:rPr/>
        <w:t>La</w:t>
      </w:r>
      <w:r>
        <w:rPr>
          <w:spacing w:val="-13"/>
        </w:rPr>
        <w:t> </w:t>
      </w:r>
      <w:r>
        <w:rPr/>
        <w:t>clase</w:t>
      </w:r>
      <w:r>
        <w:rPr>
          <w:spacing w:val="-13"/>
        </w:rPr>
        <w:t> </w:t>
      </w:r>
      <w:r>
        <w:rPr/>
        <w:t>A,</w:t>
      </w:r>
      <w:r>
        <w:rPr>
          <w:spacing w:val="-13"/>
        </w:rPr>
        <w:t> </w:t>
      </w:r>
      <w:r>
        <w:rPr/>
        <w:t>B</w:t>
      </w:r>
      <w:r>
        <w:rPr>
          <w:spacing w:val="-13"/>
        </w:rPr>
        <w:t> </w:t>
      </w:r>
      <w:r>
        <w:rPr/>
        <w:t>y</w:t>
      </w:r>
      <w:r>
        <w:rPr>
          <w:spacing w:val="-16"/>
        </w:rPr>
        <w:t> </w:t>
      </w:r>
      <w:r>
        <w:rPr/>
        <w:t>C</w:t>
      </w:r>
      <w:r>
        <w:rPr>
          <w:spacing w:val="-14"/>
        </w:rPr>
        <w:t> </w:t>
      </w:r>
      <w:r>
        <w:rPr/>
        <w:t>no</w:t>
      </w:r>
      <w:r>
        <w:rPr>
          <w:spacing w:val="-13"/>
        </w:rPr>
        <w:t> </w:t>
      </w:r>
      <w:r>
        <w:rPr/>
        <w:t>conllevan</w:t>
      </w:r>
      <w:r>
        <w:rPr>
          <w:spacing w:val="-13"/>
        </w:rPr>
        <w:t> </w:t>
      </w:r>
      <w:r>
        <w:rPr/>
        <w:t>problemas</w:t>
      </w:r>
      <w:r>
        <w:rPr>
          <w:spacing w:val="-14"/>
        </w:rPr>
        <w:t> </w:t>
      </w:r>
      <w:r>
        <w:rPr/>
        <w:t>para</w:t>
      </w:r>
      <w:r>
        <w:rPr>
          <w:spacing w:val="-14"/>
        </w:rPr>
        <w:t> </w:t>
      </w:r>
      <w:r>
        <w:rPr/>
        <w:t>el</w:t>
      </w:r>
      <w:r>
        <w:rPr>
          <w:spacing w:val="-14"/>
        </w:rPr>
        <w:t> </w:t>
      </w:r>
      <w:r>
        <w:rPr/>
        <w:t>tratamiento</w:t>
      </w:r>
      <w:r>
        <w:rPr>
          <w:spacing w:val="-13"/>
        </w:rPr>
        <w:t> </w:t>
      </w:r>
      <w:r>
        <w:rPr/>
        <w:t>quirúrgico</w:t>
      </w:r>
      <w:r>
        <w:rPr>
          <w:spacing w:val="-13"/>
        </w:rPr>
        <w:t> </w:t>
      </w:r>
      <w:r>
        <w:rPr/>
        <w:t>y</w:t>
      </w:r>
      <w:r>
        <w:rPr>
          <w:spacing w:val="-16"/>
        </w:rPr>
        <w:t> </w:t>
      </w:r>
      <w:r>
        <w:rPr/>
        <w:t>no</w:t>
      </w:r>
      <w:r>
        <w:rPr>
          <w:spacing w:val="-13"/>
        </w:rPr>
        <w:t> </w:t>
      </w:r>
      <w:r>
        <w:rPr/>
        <w:t>afectan de</w:t>
      </w:r>
      <w:r>
        <w:rPr>
          <w:spacing w:val="-13"/>
        </w:rPr>
        <w:t> </w:t>
      </w:r>
      <w:r>
        <w:rPr/>
        <w:t>manera</w:t>
      </w:r>
      <w:r>
        <w:rPr>
          <w:spacing w:val="-11"/>
        </w:rPr>
        <w:t> </w:t>
      </w:r>
      <w:r>
        <w:rPr/>
        <w:t>adversa</w:t>
      </w:r>
      <w:r>
        <w:rPr>
          <w:spacing w:val="-11"/>
        </w:rPr>
        <w:t> </w:t>
      </w:r>
      <w:r>
        <w:rPr/>
        <w:t>el</w:t>
      </w:r>
      <w:r>
        <w:rPr>
          <w:spacing w:val="-12"/>
        </w:rPr>
        <w:t> </w:t>
      </w:r>
      <w:r>
        <w:rPr/>
        <w:t>éxito</w:t>
      </w:r>
      <w:r>
        <w:rPr>
          <w:spacing w:val="-11"/>
        </w:rPr>
        <w:t> </w:t>
      </w:r>
      <w:r>
        <w:rPr/>
        <w:t>de</w:t>
      </w:r>
      <w:r>
        <w:rPr>
          <w:spacing w:val="-11"/>
        </w:rPr>
        <w:t> </w:t>
      </w:r>
      <w:r>
        <w:rPr/>
        <w:t>los</w:t>
      </w:r>
      <w:r>
        <w:rPr>
          <w:spacing w:val="-11"/>
        </w:rPr>
        <w:t> </w:t>
      </w:r>
      <w:r>
        <w:rPr/>
        <w:t>resultados.</w:t>
      </w:r>
      <w:r>
        <w:rPr>
          <w:spacing w:val="-13"/>
        </w:rPr>
        <w:t> </w:t>
      </w:r>
      <w:r>
        <w:rPr/>
        <w:t>Las</w:t>
      </w:r>
      <w:r>
        <w:rPr>
          <w:spacing w:val="-12"/>
        </w:rPr>
        <w:t> </w:t>
      </w:r>
      <w:r>
        <w:rPr/>
        <w:t>clases</w:t>
      </w:r>
      <w:r>
        <w:rPr>
          <w:spacing w:val="-14"/>
        </w:rPr>
        <w:t> </w:t>
      </w:r>
      <w:r>
        <w:rPr/>
        <w:t>D,</w:t>
      </w:r>
      <w:r>
        <w:rPr>
          <w:spacing w:val="-6"/>
        </w:rPr>
        <w:t> </w:t>
      </w:r>
      <w:r>
        <w:rPr/>
        <w:t>E</w:t>
      </w:r>
      <w:r>
        <w:rPr>
          <w:spacing w:val="-11"/>
        </w:rPr>
        <w:t> </w:t>
      </w:r>
      <w:r>
        <w:rPr/>
        <w:t>y</w:t>
      </w:r>
      <w:r>
        <w:rPr>
          <w:spacing w:val="-14"/>
        </w:rPr>
        <w:t> </w:t>
      </w:r>
      <w:r>
        <w:rPr/>
        <w:t>F</w:t>
      </w:r>
      <w:r>
        <w:rPr>
          <w:spacing w:val="-12"/>
        </w:rPr>
        <w:t> </w:t>
      </w:r>
      <w:r>
        <w:rPr/>
        <w:t>requieren</w:t>
      </w:r>
      <w:r>
        <w:rPr>
          <w:spacing w:val="-11"/>
        </w:rPr>
        <w:t> </w:t>
      </w:r>
      <w:r>
        <w:rPr/>
        <w:t>además del tratamiento quirúrgico periodontal</w:t>
      </w:r>
      <w:r>
        <w:rPr>
          <w:spacing w:val="-14"/>
        </w:rPr>
        <w:t> </w:t>
      </w:r>
      <w:r>
        <w:rPr/>
        <w:t>(39).</w:t>
      </w:r>
    </w:p>
    <w:p>
      <w:pPr>
        <w:pStyle w:val="BodyText"/>
        <w:spacing w:line="410" w:lineRule="atLeast" w:before="70"/>
        <w:ind w:left="162" w:right="158"/>
        <w:jc w:val="both"/>
      </w:pPr>
      <w:r>
        <w:rPr/>
        <w:t>Los</w:t>
      </w:r>
      <w:r>
        <w:rPr>
          <w:spacing w:val="-10"/>
        </w:rPr>
        <w:t> </w:t>
      </w:r>
      <w:r>
        <w:rPr/>
        <w:t>signos</w:t>
      </w:r>
      <w:r>
        <w:rPr>
          <w:spacing w:val="-13"/>
        </w:rPr>
        <w:t> </w:t>
      </w:r>
      <w:r>
        <w:rPr/>
        <w:t>y</w:t>
      </w:r>
      <w:r>
        <w:rPr>
          <w:spacing w:val="-13"/>
        </w:rPr>
        <w:t> </w:t>
      </w:r>
      <w:r>
        <w:rPr/>
        <w:t>síntomas</w:t>
      </w:r>
      <w:r>
        <w:rPr>
          <w:spacing w:val="-15"/>
        </w:rPr>
        <w:t> </w:t>
      </w:r>
      <w:r>
        <w:rPr/>
        <w:t>clínicos</w:t>
      </w:r>
      <w:r>
        <w:rPr>
          <w:spacing w:val="-10"/>
        </w:rPr>
        <w:t> </w:t>
      </w:r>
      <w:r>
        <w:rPr/>
        <w:t>tienen</w:t>
      </w:r>
      <w:r>
        <w:rPr>
          <w:spacing w:val="-9"/>
        </w:rPr>
        <w:t> </w:t>
      </w:r>
      <w:r>
        <w:rPr/>
        <w:t>prioridad</w:t>
      </w:r>
      <w:r>
        <w:rPr>
          <w:spacing w:val="-9"/>
        </w:rPr>
        <w:t> </w:t>
      </w:r>
      <w:r>
        <w:rPr/>
        <w:t>sobre</w:t>
      </w:r>
      <w:r>
        <w:rPr>
          <w:spacing w:val="-10"/>
        </w:rPr>
        <w:t> </w:t>
      </w:r>
      <w:r>
        <w:rPr/>
        <w:t>la</w:t>
      </w:r>
      <w:r>
        <w:rPr>
          <w:spacing w:val="-7"/>
        </w:rPr>
        <w:t> </w:t>
      </w:r>
      <w:r>
        <w:rPr/>
        <w:t>apariencia</w:t>
      </w:r>
      <w:r>
        <w:rPr>
          <w:spacing w:val="-12"/>
        </w:rPr>
        <w:t> </w:t>
      </w:r>
      <w:r>
        <w:rPr/>
        <w:t>radiográfica</w:t>
      </w:r>
      <w:r>
        <w:rPr>
          <w:spacing w:val="-12"/>
        </w:rPr>
        <w:t> </w:t>
      </w:r>
      <w:r>
        <w:rPr/>
        <w:t>para determinar si se requiere tratamiento quirúrgico. Se debe valorar la probabilidad</w:t>
      </w:r>
      <w:r>
        <w:rPr>
          <w:spacing w:val="-25"/>
        </w:rPr>
        <w:t> </w:t>
      </w:r>
      <w:r>
        <w:rPr/>
        <w:t>de</w:t>
      </w:r>
    </w:p>
    <w:p>
      <w:pPr>
        <w:spacing w:after="0" w:line="410" w:lineRule="atLeast"/>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6"/>
        <w:jc w:val="both"/>
      </w:pPr>
      <w:r>
        <w:rPr/>
        <w:t>una</w:t>
      </w:r>
      <w:r>
        <w:rPr>
          <w:spacing w:val="-5"/>
        </w:rPr>
        <w:t> </w:t>
      </w:r>
      <w:r>
        <w:rPr/>
        <w:t>cicatriz</w:t>
      </w:r>
      <w:r>
        <w:rPr>
          <w:spacing w:val="-8"/>
        </w:rPr>
        <w:t> </w:t>
      </w:r>
      <w:r>
        <w:rPr/>
        <w:t>apical</w:t>
      </w:r>
      <w:r>
        <w:rPr>
          <w:spacing w:val="-5"/>
        </w:rPr>
        <w:t> </w:t>
      </w:r>
      <w:r>
        <w:rPr/>
        <w:t>la</w:t>
      </w:r>
      <w:r>
        <w:rPr>
          <w:spacing w:val="-5"/>
        </w:rPr>
        <w:t> </w:t>
      </w:r>
      <w:r>
        <w:rPr/>
        <w:t>cual</w:t>
      </w:r>
      <w:r>
        <w:rPr>
          <w:spacing w:val="-6"/>
        </w:rPr>
        <w:t> </w:t>
      </w:r>
      <w:r>
        <w:rPr/>
        <w:t>se</w:t>
      </w:r>
      <w:r>
        <w:rPr>
          <w:spacing w:val="-7"/>
        </w:rPr>
        <w:t> </w:t>
      </w:r>
      <w:r>
        <w:rPr/>
        <w:t>presenta</w:t>
      </w:r>
      <w:r>
        <w:rPr>
          <w:spacing w:val="-7"/>
        </w:rPr>
        <w:t> </w:t>
      </w:r>
      <w:r>
        <w:rPr/>
        <w:t>después</w:t>
      </w:r>
      <w:r>
        <w:rPr>
          <w:spacing w:val="-5"/>
        </w:rPr>
        <w:t> </w:t>
      </w:r>
      <w:r>
        <w:rPr/>
        <w:t>de</w:t>
      </w:r>
      <w:r>
        <w:rPr>
          <w:spacing w:val="-7"/>
        </w:rPr>
        <w:t> </w:t>
      </w:r>
      <w:r>
        <w:rPr/>
        <w:t>una</w:t>
      </w:r>
      <w:r>
        <w:rPr>
          <w:spacing w:val="-5"/>
        </w:rPr>
        <w:t> </w:t>
      </w:r>
      <w:r>
        <w:rPr/>
        <w:t>cirugía</w:t>
      </w:r>
      <w:r>
        <w:rPr>
          <w:spacing w:val="-5"/>
        </w:rPr>
        <w:t> </w:t>
      </w:r>
      <w:r>
        <w:rPr/>
        <w:t>periapical</w:t>
      </w:r>
      <w:r>
        <w:rPr>
          <w:spacing w:val="-5"/>
        </w:rPr>
        <w:t> </w:t>
      </w:r>
      <w:r>
        <w:rPr/>
        <w:t>y</w:t>
      </w:r>
      <w:r>
        <w:rPr>
          <w:spacing w:val="-8"/>
        </w:rPr>
        <w:t> </w:t>
      </w:r>
      <w:r>
        <w:rPr/>
        <w:t>en</w:t>
      </w:r>
      <w:r>
        <w:rPr>
          <w:spacing w:val="-5"/>
        </w:rPr>
        <w:t> </w:t>
      </w:r>
      <w:r>
        <w:rPr/>
        <w:t>varias ocasiones aún después de un simple retratamiento convencional. Esta cicatriz solo será</w:t>
      </w:r>
      <w:r>
        <w:rPr>
          <w:spacing w:val="-20"/>
        </w:rPr>
        <w:t> </w:t>
      </w:r>
      <w:r>
        <w:rPr/>
        <w:t>vista</w:t>
      </w:r>
      <w:r>
        <w:rPr>
          <w:spacing w:val="-19"/>
        </w:rPr>
        <w:t> </w:t>
      </w:r>
      <w:r>
        <w:rPr/>
        <w:t>después</w:t>
      </w:r>
      <w:r>
        <w:rPr>
          <w:spacing w:val="-20"/>
        </w:rPr>
        <w:t> </w:t>
      </w:r>
      <w:r>
        <w:rPr/>
        <w:t>de</w:t>
      </w:r>
      <w:r>
        <w:rPr>
          <w:spacing w:val="-21"/>
        </w:rPr>
        <w:t> </w:t>
      </w:r>
      <w:r>
        <w:rPr/>
        <w:t>un</w:t>
      </w:r>
      <w:r>
        <w:rPr>
          <w:spacing w:val="-19"/>
        </w:rPr>
        <w:t> </w:t>
      </w:r>
      <w:r>
        <w:rPr/>
        <w:t>año</w:t>
      </w:r>
      <w:r>
        <w:rPr>
          <w:spacing w:val="-19"/>
        </w:rPr>
        <w:t> </w:t>
      </w:r>
      <w:r>
        <w:rPr/>
        <w:t>de</w:t>
      </w:r>
      <w:r>
        <w:rPr>
          <w:spacing w:val="-19"/>
        </w:rPr>
        <w:t> </w:t>
      </w:r>
      <w:r>
        <w:rPr/>
        <w:t>realizado</w:t>
      </w:r>
      <w:r>
        <w:rPr>
          <w:spacing w:val="-19"/>
        </w:rPr>
        <w:t> </w:t>
      </w:r>
      <w:r>
        <w:rPr/>
        <w:t>el</w:t>
      </w:r>
      <w:r>
        <w:rPr>
          <w:spacing w:val="-20"/>
        </w:rPr>
        <w:t> </w:t>
      </w:r>
      <w:r>
        <w:rPr/>
        <w:t>retratamiento</w:t>
      </w:r>
      <w:r>
        <w:rPr>
          <w:spacing w:val="-19"/>
        </w:rPr>
        <w:t> </w:t>
      </w:r>
      <w:r>
        <w:rPr/>
        <w:t>convencional</w:t>
      </w:r>
      <w:r>
        <w:rPr>
          <w:spacing w:val="-20"/>
        </w:rPr>
        <w:t> </w:t>
      </w:r>
      <w:r>
        <w:rPr/>
        <w:t>o</w:t>
      </w:r>
      <w:r>
        <w:rPr>
          <w:spacing w:val="-19"/>
        </w:rPr>
        <w:t> </w:t>
      </w:r>
      <w:r>
        <w:rPr/>
        <w:t>quirúrgico (7). Una cicatriz apical es un área en el ápice radicular que cura por osteogénesis posterior a un tratamiento endodóntico convencional o quirúrgico exitoso. Como resultado, el área sana de tejido conectivo fibroso da la apariencia como de una lesión radiolúcida en la zona apical del diente. El área radiolúcida puede disminuir de tamaño con el tiempo, pero persistirá. Se debe considerar una estrecha</w:t>
      </w:r>
      <w:r>
        <w:rPr>
          <w:spacing w:val="-45"/>
        </w:rPr>
        <w:t> </w:t>
      </w:r>
      <w:r>
        <w:rPr/>
        <w:t>relación con la existencia de tratamientos</w:t>
      </w:r>
      <w:r>
        <w:rPr>
          <w:spacing w:val="-17"/>
        </w:rPr>
        <w:t> </w:t>
      </w:r>
      <w:r>
        <w:rPr/>
        <w:t>pasados.</w:t>
      </w:r>
    </w:p>
    <w:p>
      <w:pPr>
        <w:pStyle w:val="Heading1"/>
        <w:numPr>
          <w:ilvl w:val="2"/>
          <w:numId w:val="5"/>
        </w:numPr>
        <w:tabs>
          <w:tab w:pos="831" w:val="left" w:leader="none"/>
        </w:tabs>
        <w:spacing w:line="240" w:lineRule="auto" w:before="205" w:after="0"/>
        <w:ind w:left="830" w:right="0" w:hanging="668"/>
        <w:jc w:val="both"/>
      </w:pPr>
      <w:bookmarkStart w:name="_bookmark16" w:id="33"/>
      <w:bookmarkEnd w:id="33"/>
      <w:r>
        <w:rPr>
          <w:b w:val="0"/>
        </w:rPr>
      </w:r>
      <w:bookmarkStart w:name="_bookmark16" w:id="34"/>
      <w:bookmarkEnd w:id="34"/>
      <w:r>
        <w:rPr/>
        <w:t>C</w:t>
      </w:r>
      <w:r>
        <w:rPr/>
        <w:t>ontraindicaciones de la cirugía</w:t>
      </w:r>
      <w:r>
        <w:rPr>
          <w:spacing w:val="-9"/>
        </w:rPr>
        <w:t> </w:t>
      </w:r>
      <w:r>
        <w:rPr/>
        <w:t>endodóntica</w:t>
      </w:r>
    </w:p>
    <w:p>
      <w:pPr>
        <w:pStyle w:val="BodyText"/>
        <w:spacing w:before="4"/>
        <w:rPr>
          <w:b/>
          <w:sz w:val="29"/>
        </w:rPr>
      </w:pPr>
    </w:p>
    <w:p>
      <w:pPr>
        <w:pStyle w:val="BodyText"/>
        <w:spacing w:line="360" w:lineRule="auto" w:before="1"/>
        <w:ind w:left="162" w:right="155"/>
        <w:jc w:val="both"/>
      </w:pPr>
      <w:r>
        <w:rPr/>
        <w:t>A causa de factores anatómicos, algunos odontólogos deciden la extracción del diente antes de intentar una cirugía endodóntica. Los principales factores anatómicos a considerar son la proximidad del diente a tratar a los haces neurovasculares y la zona del segundo molar por su proximidad al conducto mandibular o al seno maxilar. Existen tres contraindicaciones claras para la cirugía endodóntica:</w:t>
      </w:r>
      <w:r>
        <w:rPr>
          <w:spacing w:val="-6"/>
        </w:rPr>
        <w:t> </w:t>
      </w:r>
      <w:r>
        <w:rPr/>
        <w:t>1)</w:t>
      </w:r>
      <w:r>
        <w:rPr>
          <w:spacing w:val="-5"/>
        </w:rPr>
        <w:t> </w:t>
      </w:r>
      <w:r>
        <w:rPr/>
        <w:t>el</w:t>
      </w:r>
      <w:r>
        <w:rPr>
          <w:spacing w:val="-3"/>
        </w:rPr>
        <w:t> </w:t>
      </w:r>
      <w:r>
        <w:rPr/>
        <w:t>estado</w:t>
      </w:r>
      <w:r>
        <w:rPr>
          <w:spacing w:val="-4"/>
        </w:rPr>
        <w:t> </w:t>
      </w:r>
      <w:r>
        <w:rPr/>
        <w:t>periodontal</w:t>
      </w:r>
      <w:r>
        <w:rPr>
          <w:spacing w:val="-5"/>
        </w:rPr>
        <w:t> </w:t>
      </w:r>
      <w:r>
        <w:rPr/>
        <w:t>del</w:t>
      </w:r>
      <w:r>
        <w:rPr>
          <w:spacing w:val="-7"/>
        </w:rPr>
        <w:t> </w:t>
      </w:r>
      <w:r>
        <w:rPr/>
        <w:t>diente,</w:t>
      </w:r>
      <w:r>
        <w:rPr>
          <w:spacing w:val="-4"/>
        </w:rPr>
        <w:t> </w:t>
      </w:r>
      <w:r>
        <w:rPr/>
        <w:t>2)</w:t>
      </w:r>
      <w:r>
        <w:rPr>
          <w:spacing w:val="-5"/>
        </w:rPr>
        <w:t> </w:t>
      </w:r>
      <w:r>
        <w:rPr/>
        <w:t>el</w:t>
      </w:r>
      <w:r>
        <w:rPr>
          <w:spacing w:val="-5"/>
        </w:rPr>
        <w:t> </w:t>
      </w:r>
      <w:r>
        <w:rPr/>
        <w:t>estado</w:t>
      </w:r>
      <w:r>
        <w:rPr>
          <w:spacing w:val="-4"/>
        </w:rPr>
        <w:t> </w:t>
      </w:r>
      <w:r>
        <w:rPr/>
        <w:t>general</w:t>
      </w:r>
      <w:r>
        <w:rPr>
          <w:spacing w:val="-7"/>
        </w:rPr>
        <w:t> </w:t>
      </w:r>
      <w:r>
        <w:rPr/>
        <w:t>del</w:t>
      </w:r>
      <w:r>
        <w:rPr>
          <w:spacing w:val="-5"/>
        </w:rPr>
        <w:t> </w:t>
      </w:r>
      <w:r>
        <w:rPr/>
        <w:t>paciente</w:t>
      </w:r>
      <w:r>
        <w:rPr>
          <w:spacing w:val="-3"/>
        </w:rPr>
        <w:t> </w:t>
      </w:r>
      <w:r>
        <w:rPr/>
        <w:t>y</w:t>
      </w:r>
    </w:p>
    <w:p>
      <w:pPr>
        <w:pStyle w:val="BodyText"/>
        <w:spacing w:before="5"/>
        <w:ind w:left="162"/>
        <w:jc w:val="both"/>
      </w:pPr>
      <w:r>
        <w:rPr/>
        <w:t>3) la habilidad o capacidad del cirujano (39).</w:t>
      </w:r>
    </w:p>
    <w:p>
      <w:pPr>
        <w:pStyle w:val="BodyText"/>
        <w:spacing w:before="5"/>
        <w:rPr>
          <w:sz w:val="29"/>
        </w:rPr>
      </w:pPr>
    </w:p>
    <w:p>
      <w:pPr>
        <w:pStyle w:val="BodyText"/>
        <w:spacing w:line="360" w:lineRule="auto"/>
        <w:ind w:left="162" w:right="158"/>
        <w:jc w:val="both"/>
      </w:pPr>
      <w:r>
        <w:rPr/>
        <w:t>El factor más importante es el estado periodontal del diente. Se debe tomar en cuenta</w:t>
      </w:r>
      <w:r>
        <w:rPr>
          <w:spacing w:val="-7"/>
        </w:rPr>
        <w:t> </w:t>
      </w:r>
      <w:r>
        <w:rPr/>
        <w:t>la</w:t>
      </w:r>
      <w:r>
        <w:rPr>
          <w:spacing w:val="-12"/>
        </w:rPr>
        <w:t> </w:t>
      </w:r>
      <w:r>
        <w:rPr/>
        <w:t>movilidad</w:t>
      </w:r>
      <w:r>
        <w:rPr>
          <w:spacing w:val="-7"/>
        </w:rPr>
        <w:t> </w:t>
      </w:r>
      <w:r>
        <w:rPr/>
        <w:t>y</w:t>
      </w:r>
      <w:r>
        <w:rPr>
          <w:spacing w:val="-10"/>
        </w:rPr>
        <w:t> </w:t>
      </w:r>
      <w:r>
        <w:rPr/>
        <w:t>las</w:t>
      </w:r>
      <w:r>
        <w:rPr>
          <w:spacing w:val="-8"/>
        </w:rPr>
        <w:t> </w:t>
      </w:r>
      <w:r>
        <w:rPr/>
        <w:t>bolsas</w:t>
      </w:r>
      <w:r>
        <w:rPr>
          <w:spacing w:val="-10"/>
        </w:rPr>
        <w:t> </w:t>
      </w:r>
      <w:r>
        <w:rPr/>
        <w:t>periodontales.</w:t>
      </w:r>
      <w:r>
        <w:rPr>
          <w:spacing w:val="-7"/>
        </w:rPr>
        <w:t> </w:t>
      </w:r>
      <w:r>
        <w:rPr/>
        <w:t>La</w:t>
      </w:r>
      <w:r>
        <w:rPr>
          <w:spacing w:val="-9"/>
        </w:rPr>
        <w:t> </w:t>
      </w:r>
      <w:r>
        <w:rPr/>
        <w:t>existencia</w:t>
      </w:r>
      <w:r>
        <w:rPr>
          <w:spacing w:val="-2"/>
        </w:rPr>
        <w:t> </w:t>
      </w:r>
      <w:r>
        <w:rPr/>
        <w:t>de</w:t>
      </w:r>
      <w:r>
        <w:rPr>
          <w:spacing w:val="-9"/>
        </w:rPr>
        <w:t> </w:t>
      </w:r>
      <w:r>
        <w:rPr/>
        <w:t>una</w:t>
      </w:r>
      <w:r>
        <w:rPr>
          <w:spacing w:val="-9"/>
        </w:rPr>
        <w:t> </w:t>
      </w:r>
      <w:r>
        <w:rPr/>
        <w:t>alteración</w:t>
      </w:r>
      <w:r>
        <w:rPr>
          <w:spacing w:val="-9"/>
        </w:rPr>
        <w:t> </w:t>
      </w:r>
      <w:r>
        <w:rPr/>
        <w:t>en</w:t>
      </w:r>
      <w:r>
        <w:rPr>
          <w:spacing w:val="-9"/>
        </w:rPr>
        <w:t> </w:t>
      </w:r>
      <w:r>
        <w:rPr/>
        <w:t>el aparato de inserción reduce las posibilidades de tener éxito con la cirugía endodóntica, especialmente si esta provoca la aparición de una comunicación endodóntica-periodontal (7,</w:t>
      </w:r>
      <w:r>
        <w:rPr>
          <w:spacing w:val="-13"/>
        </w:rPr>
        <w:t> </w:t>
      </w:r>
      <w:r>
        <w:rPr/>
        <w:t>39).</w:t>
      </w:r>
    </w:p>
    <w:p>
      <w:pPr>
        <w:pStyle w:val="BodyText"/>
        <w:spacing w:line="360" w:lineRule="auto" w:before="202"/>
        <w:ind w:left="162" w:right="165"/>
        <w:jc w:val="both"/>
      </w:pPr>
      <w:r>
        <w:rPr/>
        <w:t>La</w:t>
      </w:r>
      <w:r>
        <w:rPr>
          <w:spacing w:val="-4"/>
        </w:rPr>
        <w:t> </w:t>
      </w:r>
      <w:r>
        <w:rPr/>
        <w:t>mayor</w:t>
      </w:r>
      <w:r>
        <w:rPr>
          <w:spacing w:val="-5"/>
        </w:rPr>
        <w:t> </w:t>
      </w:r>
      <w:r>
        <w:rPr/>
        <w:t>parte</w:t>
      </w:r>
      <w:r>
        <w:rPr>
          <w:spacing w:val="-4"/>
        </w:rPr>
        <w:t> </w:t>
      </w:r>
      <w:r>
        <w:rPr/>
        <w:t>de</w:t>
      </w:r>
      <w:r>
        <w:rPr>
          <w:spacing w:val="-4"/>
        </w:rPr>
        <w:t> </w:t>
      </w:r>
      <w:r>
        <w:rPr/>
        <w:t>los</w:t>
      </w:r>
      <w:r>
        <w:rPr>
          <w:spacing w:val="-6"/>
        </w:rPr>
        <w:t> </w:t>
      </w:r>
      <w:r>
        <w:rPr/>
        <w:t>casos,</w:t>
      </w:r>
      <w:r>
        <w:rPr>
          <w:spacing w:val="-4"/>
        </w:rPr>
        <w:t> </w:t>
      </w:r>
      <w:r>
        <w:rPr/>
        <w:t>el</w:t>
      </w:r>
      <w:r>
        <w:rPr>
          <w:spacing w:val="-5"/>
        </w:rPr>
        <w:t> </w:t>
      </w:r>
      <w:r>
        <w:rPr/>
        <w:t>estado</w:t>
      </w:r>
      <w:r>
        <w:rPr>
          <w:spacing w:val="-6"/>
        </w:rPr>
        <w:t> </w:t>
      </w:r>
      <w:r>
        <w:rPr/>
        <w:t>médico</w:t>
      </w:r>
      <w:r>
        <w:rPr>
          <w:spacing w:val="-4"/>
        </w:rPr>
        <w:t> </w:t>
      </w:r>
      <w:r>
        <w:rPr/>
        <w:t>del</w:t>
      </w:r>
      <w:r>
        <w:rPr>
          <w:spacing w:val="-5"/>
        </w:rPr>
        <w:t> </w:t>
      </w:r>
      <w:r>
        <w:rPr/>
        <w:t>paciente</w:t>
      </w:r>
      <w:r>
        <w:rPr>
          <w:spacing w:val="-6"/>
        </w:rPr>
        <w:t> </w:t>
      </w:r>
      <w:r>
        <w:rPr/>
        <w:t>no</w:t>
      </w:r>
      <w:r>
        <w:rPr>
          <w:spacing w:val="-4"/>
        </w:rPr>
        <w:t> </w:t>
      </w:r>
      <w:r>
        <w:rPr/>
        <w:t>impide</w:t>
      </w:r>
      <w:r>
        <w:rPr>
          <w:spacing w:val="-3"/>
        </w:rPr>
        <w:t> </w:t>
      </w:r>
      <w:r>
        <w:rPr/>
        <w:t>llevar</w:t>
      </w:r>
      <w:r>
        <w:rPr>
          <w:spacing w:val="-5"/>
        </w:rPr>
        <w:t> </w:t>
      </w:r>
      <w:r>
        <w:rPr/>
        <w:t>a</w:t>
      </w:r>
      <w:r>
        <w:rPr>
          <w:spacing w:val="-4"/>
        </w:rPr>
        <w:t> </w:t>
      </w:r>
      <w:r>
        <w:rPr/>
        <w:t>cabo el tratamiento quirúrgico. Solo debe posponerse si un paciente está en fase de recuperación de un infarto del miocardio o si está tomando anticoagulantes</w:t>
      </w:r>
      <w:r>
        <w:rPr>
          <w:spacing w:val="-24"/>
        </w:rPr>
        <w:t> </w:t>
      </w:r>
      <w:r>
        <w:rPr/>
        <w:t>(39).</w:t>
      </w:r>
    </w:p>
    <w:p>
      <w:pPr>
        <w:pStyle w:val="Heading1"/>
        <w:numPr>
          <w:ilvl w:val="1"/>
          <w:numId w:val="5"/>
        </w:numPr>
        <w:tabs>
          <w:tab w:pos="632" w:val="left" w:leader="none"/>
        </w:tabs>
        <w:spacing w:line="240" w:lineRule="auto" w:before="204" w:after="0"/>
        <w:ind w:left="631" w:right="0" w:hanging="469"/>
        <w:jc w:val="both"/>
      </w:pPr>
      <w:bookmarkStart w:name="_bookmark17" w:id="35"/>
      <w:bookmarkEnd w:id="35"/>
      <w:r>
        <w:rPr>
          <w:b w:val="0"/>
        </w:rPr>
      </w:r>
      <w:bookmarkStart w:name="_bookmark17" w:id="36"/>
      <w:bookmarkEnd w:id="36"/>
      <w:r>
        <w:rPr/>
        <w:t>R</w:t>
      </w:r>
      <w:r>
        <w:rPr/>
        <w:t>egeneración Tisular Guiada e Injertos</w:t>
      </w:r>
      <w:r>
        <w:rPr>
          <w:spacing w:val="-13"/>
        </w:rPr>
        <w:t> </w:t>
      </w:r>
      <w:r>
        <w:rPr/>
        <w:t>Óseos</w:t>
      </w:r>
    </w:p>
    <w:p>
      <w:pPr>
        <w:pStyle w:val="BodyText"/>
        <w:spacing w:line="410" w:lineRule="atLeast" w:before="125"/>
        <w:ind w:left="162" w:right="165"/>
        <w:jc w:val="both"/>
      </w:pPr>
      <w:r>
        <w:rPr/>
        <w:t>Los tipos de herida quirúrgica durante la cirugía endodóntica incluyen la incisión, disección y la escisión. Se utilizan un bisturí y elevador perióstico para hacer las</w:t>
      </w:r>
    </w:p>
    <w:p>
      <w:pPr>
        <w:spacing w:after="0" w:line="410" w:lineRule="atLeast"/>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6"/>
        <w:jc w:val="both"/>
      </w:pPr>
      <w:r>
        <w:rPr/>
        <w:t>heridas incisionales y diseccionales que implican los tejidos mucoperiósticos y es necesario</w:t>
      </w:r>
      <w:r>
        <w:rPr>
          <w:spacing w:val="-7"/>
        </w:rPr>
        <w:t> </w:t>
      </w:r>
      <w:r>
        <w:rPr/>
        <w:t>un</w:t>
      </w:r>
      <w:r>
        <w:rPr>
          <w:spacing w:val="-7"/>
        </w:rPr>
        <w:t> </w:t>
      </w:r>
      <w:r>
        <w:rPr/>
        <w:t>instrumento</w:t>
      </w:r>
      <w:r>
        <w:rPr>
          <w:spacing w:val="-7"/>
        </w:rPr>
        <w:t> </w:t>
      </w:r>
      <w:r>
        <w:rPr/>
        <w:t>rotatorio</w:t>
      </w:r>
      <w:r>
        <w:rPr>
          <w:spacing w:val="-7"/>
        </w:rPr>
        <w:t> </w:t>
      </w:r>
      <w:r>
        <w:rPr/>
        <w:t>para</w:t>
      </w:r>
      <w:r>
        <w:rPr>
          <w:spacing w:val="-8"/>
        </w:rPr>
        <w:t> </w:t>
      </w:r>
      <w:r>
        <w:rPr/>
        <w:t>hacer</w:t>
      </w:r>
      <w:r>
        <w:rPr>
          <w:spacing w:val="-8"/>
        </w:rPr>
        <w:t> </w:t>
      </w:r>
      <w:r>
        <w:rPr/>
        <w:t>las</w:t>
      </w:r>
      <w:r>
        <w:rPr>
          <w:spacing w:val="-7"/>
        </w:rPr>
        <w:t> </w:t>
      </w:r>
      <w:r>
        <w:rPr/>
        <w:t>heridas</w:t>
      </w:r>
      <w:r>
        <w:rPr>
          <w:spacing w:val="-8"/>
        </w:rPr>
        <w:t> </w:t>
      </w:r>
      <w:r>
        <w:rPr/>
        <w:t>por</w:t>
      </w:r>
      <w:r>
        <w:rPr>
          <w:spacing w:val="-8"/>
        </w:rPr>
        <w:t> </w:t>
      </w:r>
      <w:r>
        <w:rPr/>
        <w:t>escisión</w:t>
      </w:r>
      <w:r>
        <w:rPr>
          <w:spacing w:val="-7"/>
        </w:rPr>
        <w:t> </w:t>
      </w:r>
      <w:r>
        <w:rPr/>
        <w:t>para</w:t>
      </w:r>
      <w:r>
        <w:rPr>
          <w:spacing w:val="-8"/>
        </w:rPr>
        <w:t> </w:t>
      </w:r>
      <w:r>
        <w:rPr/>
        <w:t>eliminar los</w:t>
      </w:r>
      <w:r>
        <w:rPr>
          <w:spacing w:val="-12"/>
        </w:rPr>
        <w:t> </w:t>
      </w:r>
      <w:r>
        <w:rPr/>
        <w:t>tejidos</w:t>
      </w:r>
      <w:r>
        <w:rPr>
          <w:spacing w:val="-13"/>
        </w:rPr>
        <w:t> </w:t>
      </w:r>
      <w:r>
        <w:rPr/>
        <w:t>periapicales</w:t>
      </w:r>
      <w:r>
        <w:rPr>
          <w:spacing w:val="-15"/>
        </w:rPr>
        <w:t> </w:t>
      </w:r>
      <w:r>
        <w:rPr/>
        <w:t>y</w:t>
      </w:r>
      <w:r>
        <w:rPr>
          <w:spacing w:val="-15"/>
        </w:rPr>
        <w:t> </w:t>
      </w:r>
      <w:r>
        <w:rPr/>
        <w:t>radiculares</w:t>
      </w:r>
      <w:r>
        <w:rPr>
          <w:spacing w:val="-13"/>
        </w:rPr>
        <w:t> </w:t>
      </w:r>
      <w:r>
        <w:rPr/>
        <w:t>(8,</w:t>
      </w:r>
      <w:r>
        <w:rPr>
          <w:spacing w:val="-12"/>
        </w:rPr>
        <w:t> </w:t>
      </w:r>
      <w:r>
        <w:rPr/>
        <w:t>40).</w:t>
      </w:r>
      <w:r>
        <w:rPr>
          <w:spacing w:val="-13"/>
        </w:rPr>
        <w:t> </w:t>
      </w:r>
      <w:r>
        <w:rPr/>
        <w:t>El</w:t>
      </w:r>
      <w:r>
        <w:rPr>
          <w:spacing w:val="-13"/>
        </w:rPr>
        <w:t> </w:t>
      </w:r>
      <w:r>
        <w:rPr/>
        <w:t>sitio</w:t>
      </w:r>
      <w:r>
        <w:rPr>
          <w:spacing w:val="-12"/>
        </w:rPr>
        <w:t> </w:t>
      </w:r>
      <w:r>
        <w:rPr/>
        <w:t>de</w:t>
      </w:r>
      <w:r>
        <w:rPr>
          <w:spacing w:val="-12"/>
        </w:rPr>
        <w:t> </w:t>
      </w:r>
      <w:r>
        <w:rPr/>
        <w:t>la</w:t>
      </w:r>
      <w:r>
        <w:rPr>
          <w:spacing w:val="-12"/>
        </w:rPr>
        <w:t> </w:t>
      </w:r>
      <w:r>
        <w:rPr/>
        <w:t>herida</w:t>
      </w:r>
      <w:r>
        <w:rPr>
          <w:spacing w:val="-15"/>
        </w:rPr>
        <w:t> </w:t>
      </w:r>
      <w:r>
        <w:rPr/>
        <w:t>por</w:t>
      </w:r>
      <w:r>
        <w:rPr>
          <w:spacing w:val="-14"/>
        </w:rPr>
        <w:t> </w:t>
      </w:r>
      <w:r>
        <w:rPr/>
        <w:t>escisión</w:t>
      </w:r>
      <w:r>
        <w:rPr>
          <w:spacing w:val="-12"/>
        </w:rPr>
        <w:t> </w:t>
      </w:r>
      <w:r>
        <w:rPr/>
        <w:t>se</w:t>
      </w:r>
      <w:r>
        <w:rPr>
          <w:spacing w:val="-12"/>
        </w:rPr>
        <w:t> </w:t>
      </w:r>
      <w:r>
        <w:rPr/>
        <w:t>llena de coágulos, hebras de fibrina orientadas al azar y células inflamatorias dispersas. A</w:t>
      </w:r>
      <w:r>
        <w:rPr>
          <w:spacing w:val="-18"/>
        </w:rPr>
        <w:t> </w:t>
      </w:r>
      <w:r>
        <w:rPr/>
        <w:t>continuación,</w:t>
      </w:r>
      <w:r>
        <w:rPr>
          <w:spacing w:val="-18"/>
        </w:rPr>
        <w:t> </w:t>
      </w:r>
      <w:r>
        <w:rPr/>
        <w:t>el</w:t>
      </w:r>
      <w:r>
        <w:rPr>
          <w:spacing w:val="-19"/>
        </w:rPr>
        <w:t> </w:t>
      </w:r>
      <w:r>
        <w:rPr/>
        <w:t>coágulo</w:t>
      </w:r>
      <w:r>
        <w:rPr>
          <w:spacing w:val="-18"/>
        </w:rPr>
        <w:t> </w:t>
      </w:r>
      <w:r>
        <w:rPr/>
        <w:t>se</w:t>
      </w:r>
      <w:r>
        <w:rPr>
          <w:spacing w:val="-18"/>
        </w:rPr>
        <w:t> </w:t>
      </w:r>
      <w:r>
        <w:rPr/>
        <w:t>sustituye</w:t>
      </w:r>
      <w:r>
        <w:rPr>
          <w:spacing w:val="-18"/>
        </w:rPr>
        <w:t> </w:t>
      </w:r>
      <w:r>
        <w:rPr/>
        <w:t>por</w:t>
      </w:r>
      <w:r>
        <w:rPr>
          <w:spacing w:val="-19"/>
        </w:rPr>
        <w:t> </w:t>
      </w:r>
      <w:r>
        <w:rPr/>
        <w:t>tejido</w:t>
      </w:r>
      <w:r>
        <w:rPr>
          <w:spacing w:val="-18"/>
        </w:rPr>
        <w:t> </w:t>
      </w:r>
      <w:r>
        <w:rPr/>
        <w:t>de</w:t>
      </w:r>
      <w:r>
        <w:rPr>
          <w:spacing w:val="-18"/>
        </w:rPr>
        <w:t> </w:t>
      </w:r>
      <w:r>
        <w:rPr/>
        <w:t>granulación</w:t>
      </w:r>
      <w:r>
        <w:rPr>
          <w:spacing w:val="-18"/>
        </w:rPr>
        <w:t> </w:t>
      </w:r>
      <w:r>
        <w:rPr/>
        <w:t>con</w:t>
      </w:r>
      <w:r>
        <w:rPr>
          <w:spacing w:val="-18"/>
        </w:rPr>
        <w:t> </w:t>
      </w:r>
      <w:r>
        <w:rPr/>
        <w:t>el</w:t>
      </w:r>
      <w:r>
        <w:rPr>
          <w:spacing w:val="-19"/>
        </w:rPr>
        <w:t> </w:t>
      </w:r>
      <w:r>
        <w:rPr/>
        <w:t>fin</w:t>
      </w:r>
      <w:r>
        <w:rPr>
          <w:spacing w:val="-18"/>
        </w:rPr>
        <w:t> </w:t>
      </w:r>
      <w:r>
        <w:rPr/>
        <w:t>de</w:t>
      </w:r>
      <w:r>
        <w:rPr>
          <w:spacing w:val="-18"/>
        </w:rPr>
        <w:t> </w:t>
      </w:r>
      <w:r>
        <w:rPr/>
        <w:t>permitir el proceso de curación (41). Tanto la reparación como la regeneración pueden ser el</w:t>
      </w:r>
      <w:r>
        <w:rPr>
          <w:spacing w:val="-5"/>
        </w:rPr>
        <w:t> </w:t>
      </w:r>
      <w:r>
        <w:rPr/>
        <w:t>resultado</w:t>
      </w:r>
      <w:r>
        <w:rPr>
          <w:spacing w:val="-6"/>
        </w:rPr>
        <w:t> </w:t>
      </w:r>
      <w:r>
        <w:rPr/>
        <w:t>final</w:t>
      </w:r>
      <w:r>
        <w:rPr>
          <w:spacing w:val="-7"/>
        </w:rPr>
        <w:t> </w:t>
      </w:r>
      <w:r>
        <w:rPr/>
        <w:t>de</w:t>
      </w:r>
      <w:r>
        <w:rPr>
          <w:spacing w:val="-4"/>
        </w:rPr>
        <w:t> </w:t>
      </w:r>
      <w:r>
        <w:rPr/>
        <w:t>la</w:t>
      </w:r>
      <w:r>
        <w:rPr>
          <w:spacing w:val="-9"/>
        </w:rPr>
        <w:t> </w:t>
      </w:r>
      <w:r>
        <w:rPr/>
        <w:t>cicatrización</w:t>
      </w:r>
      <w:r>
        <w:rPr>
          <w:spacing w:val="-3"/>
        </w:rPr>
        <w:t> </w:t>
      </w:r>
      <w:r>
        <w:rPr/>
        <w:t>de</w:t>
      </w:r>
      <w:r>
        <w:rPr>
          <w:spacing w:val="-6"/>
        </w:rPr>
        <w:t> </w:t>
      </w:r>
      <w:r>
        <w:rPr/>
        <w:t>heridas.</w:t>
      </w:r>
      <w:r>
        <w:rPr>
          <w:spacing w:val="-4"/>
        </w:rPr>
        <w:t> </w:t>
      </w:r>
      <w:r>
        <w:rPr/>
        <w:t>La</w:t>
      </w:r>
      <w:r>
        <w:rPr>
          <w:spacing w:val="-6"/>
        </w:rPr>
        <w:t> </w:t>
      </w:r>
      <w:r>
        <w:rPr/>
        <w:t>reparación</w:t>
      </w:r>
      <w:r>
        <w:rPr>
          <w:spacing w:val="-3"/>
        </w:rPr>
        <w:t> </w:t>
      </w:r>
      <w:r>
        <w:rPr/>
        <w:t>se</w:t>
      </w:r>
      <w:r>
        <w:rPr>
          <w:spacing w:val="-4"/>
        </w:rPr>
        <w:t> </w:t>
      </w:r>
      <w:r>
        <w:rPr/>
        <w:t>produce</w:t>
      </w:r>
      <w:r>
        <w:rPr>
          <w:spacing w:val="-4"/>
        </w:rPr>
        <w:t> </w:t>
      </w:r>
      <w:r>
        <w:rPr/>
        <w:t>cuando</w:t>
      </w:r>
      <w:r>
        <w:rPr>
          <w:spacing w:val="-6"/>
        </w:rPr>
        <w:t> </w:t>
      </w:r>
      <w:r>
        <w:rPr/>
        <w:t>el proceso de curación resulta en la formación de nuevo tejido con células y estructuras que tienen capacidad diferente a los tejidos originales. La regeneración se produce cuando el tejido dañado es sustituido por un nuevo tejido idéntico al anterior en la composición celular, estructura y función (39). La regeneración y la reparación dependen de la naturaleza de la herida, la disponibilidad de células progenitoras, factores de crecimiento y las señales microambientales, tales como moléculas de adhesión, matriz extracelular y proteínas no colágenas asociadas (8, 40).</w:t>
      </w:r>
    </w:p>
    <w:p>
      <w:pPr>
        <w:pStyle w:val="BodyText"/>
        <w:spacing w:line="360" w:lineRule="auto" w:before="204"/>
        <w:ind w:left="162" w:right="156"/>
        <w:jc w:val="both"/>
      </w:pPr>
      <w:r>
        <w:rPr/>
        <w:t>La regeneración tisular guiada (RTG) es una técnica para mejorar y dirigir el crecimiento celular, para repoblar partes específicas del periodonto que han sido dañadas por las enfermedades periodontales o traumatismo. La RTG especialmente mediante el uso de materiales de injerto óseo ha sido ampliamente utilizada en la odontología para mejorar la formación de hueso nuevo más no la formación del ligamento periodontal (PDL) y cemento, que también son componentes de los tejidos periapicales (9).</w:t>
      </w:r>
    </w:p>
    <w:p>
      <w:pPr>
        <w:pStyle w:val="BodyText"/>
        <w:spacing w:line="360" w:lineRule="auto" w:before="204"/>
        <w:ind w:left="162" w:right="165"/>
        <w:jc w:val="both"/>
      </w:pPr>
      <w:r>
        <w:rPr/>
        <w:t>En general, hay 3 enfoques principales para la RTG: 1) utilizar las células aisladas o sustitutos de células como piezas de recambio celular, 2) utilizar biomateriales acelulares (andamios) capaces de inducir la regeneración de tejidos, y 3) utilizar una combinación de células y biomateriales (41).</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Heading1"/>
        <w:numPr>
          <w:ilvl w:val="2"/>
          <w:numId w:val="5"/>
        </w:numPr>
        <w:tabs>
          <w:tab w:pos="831" w:val="left" w:leader="none"/>
        </w:tabs>
        <w:spacing w:line="240" w:lineRule="auto" w:before="69" w:after="0"/>
        <w:ind w:left="830" w:right="0" w:hanging="668"/>
        <w:jc w:val="both"/>
      </w:pPr>
      <w:bookmarkStart w:name="_bookmark18" w:id="37"/>
      <w:bookmarkEnd w:id="37"/>
      <w:r>
        <w:rPr>
          <w:b w:val="0"/>
        </w:rPr>
      </w:r>
      <w:bookmarkStart w:name="_bookmark18" w:id="38"/>
      <w:bookmarkEnd w:id="38"/>
      <w:r>
        <w:rPr/>
        <w:t>Ind</w:t>
      </w:r>
      <w:r>
        <w:rPr/>
        <w:t>icaciones de los injertos</w:t>
      </w:r>
      <w:r>
        <w:rPr>
          <w:spacing w:val="-9"/>
        </w:rPr>
        <w:t> </w:t>
      </w:r>
      <w:r>
        <w:rPr/>
        <w:t>óseos</w:t>
      </w:r>
    </w:p>
    <w:p>
      <w:pPr>
        <w:pStyle w:val="BodyText"/>
        <w:spacing w:before="5"/>
        <w:rPr>
          <w:b/>
          <w:sz w:val="29"/>
        </w:rPr>
      </w:pPr>
    </w:p>
    <w:p>
      <w:pPr>
        <w:pStyle w:val="BodyText"/>
        <w:spacing w:line="360" w:lineRule="auto"/>
        <w:ind w:left="162" w:right="154"/>
        <w:jc w:val="both"/>
      </w:pPr>
      <w:r>
        <w:rPr/>
        <w:t>Injerto</w:t>
      </w:r>
      <w:r>
        <w:rPr>
          <w:spacing w:val="-19"/>
        </w:rPr>
        <w:t> </w:t>
      </w:r>
      <w:r>
        <w:rPr/>
        <w:t>se</w:t>
      </w:r>
      <w:r>
        <w:rPr>
          <w:spacing w:val="-19"/>
        </w:rPr>
        <w:t> </w:t>
      </w:r>
      <w:r>
        <w:rPr/>
        <w:t>define</w:t>
      </w:r>
      <w:r>
        <w:rPr>
          <w:spacing w:val="-17"/>
        </w:rPr>
        <w:t> </w:t>
      </w:r>
      <w:r>
        <w:rPr/>
        <w:t>como</w:t>
      </w:r>
      <w:r>
        <w:rPr>
          <w:spacing w:val="-19"/>
        </w:rPr>
        <w:t> </w:t>
      </w:r>
      <w:r>
        <w:rPr/>
        <w:t>cualquier</w:t>
      </w:r>
      <w:r>
        <w:rPr>
          <w:spacing w:val="-18"/>
        </w:rPr>
        <w:t> </w:t>
      </w:r>
      <w:r>
        <w:rPr/>
        <w:t>pieza</w:t>
      </w:r>
      <w:r>
        <w:rPr>
          <w:spacing w:val="-17"/>
        </w:rPr>
        <w:t> </w:t>
      </w:r>
      <w:r>
        <w:rPr/>
        <w:t>(específicamente</w:t>
      </w:r>
      <w:r>
        <w:rPr>
          <w:spacing w:val="-18"/>
        </w:rPr>
        <w:t> </w:t>
      </w:r>
      <w:r>
        <w:rPr/>
        <w:t>una</w:t>
      </w:r>
      <w:r>
        <w:rPr>
          <w:spacing w:val="-19"/>
        </w:rPr>
        <w:t> </w:t>
      </w:r>
      <w:r>
        <w:rPr/>
        <w:t>pieza</w:t>
      </w:r>
      <w:r>
        <w:rPr>
          <w:spacing w:val="-17"/>
        </w:rPr>
        <w:t> </w:t>
      </w:r>
      <w:r>
        <w:rPr/>
        <w:t>de</w:t>
      </w:r>
      <w:r>
        <w:rPr>
          <w:spacing w:val="-19"/>
        </w:rPr>
        <w:t> </w:t>
      </w:r>
      <w:r>
        <w:rPr/>
        <w:t>hueso</w:t>
      </w:r>
      <w:r>
        <w:rPr>
          <w:spacing w:val="-19"/>
        </w:rPr>
        <w:t> </w:t>
      </w:r>
      <w:r>
        <w:rPr/>
        <w:t>o</w:t>
      </w:r>
      <w:r>
        <w:rPr>
          <w:spacing w:val="-12"/>
        </w:rPr>
        <w:t> </w:t>
      </w:r>
      <w:r>
        <w:rPr/>
        <w:t>tejido) insertado</w:t>
      </w:r>
      <w:r>
        <w:rPr>
          <w:spacing w:val="-6"/>
        </w:rPr>
        <w:t> </w:t>
      </w:r>
      <w:r>
        <w:rPr/>
        <w:t>dentro</w:t>
      </w:r>
      <w:r>
        <w:rPr>
          <w:spacing w:val="-9"/>
        </w:rPr>
        <w:t> </w:t>
      </w:r>
      <w:r>
        <w:rPr/>
        <w:t>de</w:t>
      </w:r>
      <w:r>
        <w:rPr>
          <w:spacing w:val="-8"/>
        </w:rPr>
        <w:t> </w:t>
      </w:r>
      <w:r>
        <w:rPr/>
        <w:t>otro</w:t>
      </w:r>
      <w:r>
        <w:rPr>
          <w:spacing w:val="-6"/>
        </w:rPr>
        <w:t> </w:t>
      </w:r>
      <w:r>
        <w:rPr/>
        <w:t>para</w:t>
      </w:r>
      <w:r>
        <w:rPr>
          <w:spacing w:val="-9"/>
        </w:rPr>
        <w:t> </w:t>
      </w:r>
      <w:r>
        <w:rPr/>
        <w:t>comenzar</w:t>
      </w:r>
      <w:r>
        <w:rPr>
          <w:spacing w:val="-7"/>
        </w:rPr>
        <w:t> </w:t>
      </w:r>
      <w:r>
        <w:rPr/>
        <w:t>a</w:t>
      </w:r>
      <w:r>
        <w:rPr>
          <w:spacing w:val="-6"/>
        </w:rPr>
        <w:t> </w:t>
      </w:r>
      <w:r>
        <w:rPr/>
        <w:t>ser</w:t>
      </w:r>
      <w:r>
        <w:rPr>
          <w:spacing w:val="-7"/>
        </w:rPr>
        <w:t> </w:t>
      </w:r>
      <w:r>
        <w:rPr/>
        <w:t>parte</w:t>
      </w:r>
      <w:r>
        <w:rPr>
          <w:spacing w:val="-6"/>
        </w:rPr>
        <w:t> </w:t>
      </w:r>
      <w:r>
        <w:rPr/>
        <w:t>integral</w:t>
      </w:r>
      <w:r>
        <w:rPr>
          <w:spacing w:val="-7"/>
        </w:rPr>
        <w:t> </w:t>
      </w:r>
      <w:r>
        <w:rPr/>
        <w:t>del</w:t>
      </w:r>
      <w:r>
        <w:rPr>
          <w:spacing w:val="-7"/>
        </w:rPr>
        <w:t> </w:t>
      </w:r>
      <w:r>
        <w:rPr/>
        <w:t>segundo.</w:t>
      </w:r>
      <w:r>
        <w:rPr>
          <w:spacing w:val="-9"/>
        </w:rPr>
        <w:t> </w:t>
      </w:r>
      <w:r>
        <w:rPr/>
        <w:t>Se</w:t>
      </w:r>
      <w:r>
        <w:rPr>
          <w:spacing w:val="-8"/>
        </w:rPr>
        <w:t> </w:t>
      </w:r>
      <w:r>
        <w:rPr/>
        <w:t>utilizan para</w:t>
      </w:r>
      <w:r>
        <w:rPr>
          <w:spacing w:val="-14"/>
        </w:rPr>
        <w:t> </w:t>
      </w:r>
      <w:r>
        <w:rPr/>
        <w:t>facilitar</w:t>
      </w:r>
      <w:r>
        <w:rPr>
          <w:spacing w:val="-12"/>
        </w:rPr>
        <w:t> </w:t>
      </w:r>
      <w:r>
        <w:rPr/>
        <w:t>la</w:t>
      </w:r>
      <w:r>
        <w:rPr>
          <w:spacing w:val="-16"/>
        </w:rPr>
        <w:t> </w:t>
      </w:r>
      <w:r>
        <w:rPr/>
        <w:t>formación</w:t>
      </w:r>
      <w:r>
        <w:rPr>
          <w:spacing w:val="-13"/>
        </w:rPr>
        <w:t> </w:t>
      </w:r>
      <w:r>
        <w:rPr/>
        <w:t>de</w:t>
      </w:r>
      <w:r>
        <w:rPr>
          <w:spacing w:val="-13"/>
        </w:rPr>
        <w:t> </w:t>
      </w:r>
      <w:r>
        <w:rPr/>
        <w:t>hueso</w:t>
      </w:r>
      <w:r>
        <w:rPr>
          <w:spacing w:val="-13"/>
        </w:rPr>
        <w:t> </w:t>
      </w:r>
      <w:r>
        <w:rPr/>
        <w:t>en</w:t>
      </w:r>
      <w:r>
        <w:rPr>
          <w:spacing w:val="-13"/>
        </w:rPr>
        <w:t> </w:t>
      </w:r>
      <w:r>
        <w:rPr/>
        <w:t>el</w:t>
      </w:r>
      <w:r>
        <w:rPr>
          <w:spacing w:val="-12"/>
        </w:rPr>
        <w:t> </w:t>
      </w:r>
      <w:r>
        <w:rPr/>
        <w:t>seno</w:t>
      </w:r>
      <w:r>
        <w:rPr>
          <w:spacing w:val="-13"/>
        </w:rPr>
        <w:t> </w:t>
      </w:r>
      <w:r>
        <w:rPr/>
        <w:t>de</w:t>
      </w:r>
      <w:r>
        <w:rPr>
          <w:spacing w:val="-13"/>
        </w:rPr>
        <w:t> </w:t>
      </w:r>
      <w:r>
        <w:rPr/>
        <w:t>un</w:t>
      </w:r>
      <w:r>
        <w:rPr>
          <w:spacing w:val="-13"/>
        </w:rPr>
        <w:t> </w:t>
      </w:r>
      <w:r>
        <w:rPr/>
        <w:t>determinado</w:t>
      </w:r>
      <w:r>
        <w:rPr>
          <w:spacing w:val="-13"/>
        </w:rPr>
        <w:t> </w:t>
      </w:r>
      <w:r>
        <w:rPr/>
        <w:t>espacio</w:t>
      </w:r>
      <w:r>
        <w:rPr>
          <w:spacing w:val="42"/>
        </w:rPr>
        <w:t> </w:t>
      </w:r>
      <w:r>
        <w:rPr/>
        <w:t>y</w:t>
      </w:r>
      <w:r>
        <w:rPr>
          <w:spacing w:val="-14"/>
        </w:rPr>
        <w:t> </w:t>
      </w:r>
      <w:r>
        <w:rPr/>
        <w:t>permitir el subsecuente crecimiento óseo (y la sustitución del injerto). Los mecanismos biológicos que fundamentan el empleo de materiales de injerto óseos son la osteoconducción, la osteoinducción y la osteogénesis (44,</w:t>
      </w:r>
      <w:r>
        <w:rPr>
          <w:spacing w:val="-22"/>
        </w:rPr>
        <w:t> </w:t>
      </w:r>
      <w:r>
        <w:rPr/>
        <w:t>45).</w:t>
      </w:r>
    </w:p>
    <w:p>
      <w:pPr>
        <w:pStyle w:val="BodyText"/>
        <w:spacing w:line="360" w:lineRule="auto" w:before="202"/>
        <w:ind w:left="162" w:right="156"/>
        <w:jc w:val="both"/>
      </w:pPr>
      <w:r>
        <w:rPr/>
        <w:t>La</w:t>
      </w:r>
      <w:r>
        <w:rPr>
          <w:spacing w:val="-8"/>
        </w:rPr>
        <w:t> </w:t>
      </w:r>
      <w:r>
        <w:rPr/>
        <w:t>osteoconducción</w:t>
      </w:r>
      <w:r>
        <w:rPr>
          <w:spacing w:val="-10"/>
        </w:rPr>
        <w:t> </w:t>
      </w:r>
      <w:r>
        <w:rPr/>
        <w:t>es</w:t>
      </w:r>
      <w:r>
        <w:rPr>
          <w:spacing w:val="-12"/>
        </w:rPr>
        <w:t> </w:t>
      </w:r>
      <w:r>
        <w:rPr/>
        <w:t>la</w:t>
      </w:r>
      <w:r>
        <w:rPr>
          <w:spacing w:val="-9"/>
        </w:rPr>
        <w:t> </w:t>
      </w:r>
      <w:r>
        <w:rPr/>
        <w:t>formación</w:t>
      </w:r>
      <w:r>
        <w:rPr>
          <w:spacing w:val="-10"/>
        </w:rPr>
        <w:t> </w:t>
      </w:r>
      <w:r>
        <w:rPr/>
        <w:t>de</w:t>
      </w:r>
      <w:r>
        <w:rPr>
          <w:spacing w:val="-8"/>
        </w:rPr>
        <w:t> </w:t>
      </w:r>
      <w:r>
        <w:rPr/>
        <w:t>hueso</w:t>
      </w:r>
      <w:r>
        <w:rPr>
          <w:spacing w:val="-11"/>
        </w:rPr>
        <w:t> </w:t>
      </w:r>
      <w:r>
        <w:rPr/>
        <w:t>por</w:t>
      </w:r>
      <w:r>
        <w:rPr>
          <w:spacing w:val="-10"/>
        </w:rPr>
        <w:t> </w:t>
      </w:r>
      <w:r>
        <w:rPr/>
        <w:t>osteoblastos</w:t>
      </w:r>
      <w:r>
        <w:rPr>
          <w:spacing w:val="-9"/>
        </w:rPr>
        <w:t> </w:t>
      </w:r>
      <w:r>
        <w:rPr/>
        <w:t>de</w:t>
      </w:r>
      <w:r>
        <w:rPr>
          <w:spacing w:val="-8"/>
        </w:rPr>
        <w:t> </w:t>
      </w:r>
      <w:r>
        <w:rPr/>
        <w:t>los</w:t>
      </w:r>
      <w:r>
        <w:rPr>
          <w:spacing w:val="-9"/>
        </w:rPr>
        <w:t> </w:t>
      </w:r>
      <w:r>
        <w:rPr/>
        <w:t>bordes</w:t>
      </w:r>
      <w:r>
        <w:rPr>
          <w:spacing w:val="-12"/>
        </w:rPr>
        <w:t> </w:t>
      </w:r>
      <w:r>
        <w:rPr/>
        <w:t>de</w:t>
      </w:r>
      <w:r>
        <w:rPr>
          <w:spacing w:val="-8"/>
        </w:rPr>
        <w:t> </w:t>
      </w:r>
      <w:r>
        <w:rPr/>
        <w:t>los defectos sobre el material de injerto óseo. Estos materiales no inhiben la</w:t>
      </w:r>
      <w:r>
        <w:rPr>
          <w:spacing w:val="-40"/>
        </w:rPr>
        <w:t> </w:t>
      </w:r>
      <w:r>
        <w:rPr/>
        <w:t>formación de hueso ni inducen formación ósea. La osteoinducción trata de la formación de hueso nuevo por la vía de la estimulación de osteoprogenitores provenientes del defecto (o de los vasos) para diferenciarse </w:t>
      </w:r>
      <w:r>
        <w:rPr>
          <w:spacing w:val="3"/>
        </w:rPr>
        <w:t>en </w:t>
      </w:r>
      <w:r>
        <w:rPr/>
        <w:t>osteoblastos y comenzar a formar hueso nuevo. Ocurre a través de mediadores celulares que “activan” estas células formadoras de hueso. La osteogénesis ocurre cuando los osteoblastos viables son parte del injerto óseo como en un transplante óseo autógeno. Con irrigación adecuada y viabilidad celular, estos osteoblastos transplantados forman nuevos centros de osificación con el injerto. Los osteoblastos que se agregan como parte del injerto óseo también forman centros de osificación y contribuyen a la</w:t>
      </w:r>
      <w:r>
        <w:rPr>
          <w:spacing w:val="-32"/>
        </w:rPr>
        <w:t> </w:t>
      </w:r>
      <w:r>
        <w:rPr/>
        <w:t>capacidad total de formación ósea</w:t>
      </w:r>
      <w:r>
        <w:rPr>
          <w:spacing w:val="-8"/>
        </w:rPr>
        <w:t> </w:t>
      </w:r>
      <w:r>
        <w:rPr/>
        <w:t>(44).</w:t>
      </w:r>
    </w:p>
    <w:p>
      <w:pPr>
        <w:pStyle w:val="BodyText"/>
        <w:spacing w:line="360" w:lineRule="auto" w:before="204"/>
        <w:ind w:left="162" w:right="157"/>
        <w:jc w:val="both"/>
      </w:pPr>
      <w:r>
        <w:rPr/>
        <w:t>Dentro de las indicaciones para la colocación de un injerto destacan los defectos intraóseos profundos, para la retención dental cuando existe compromiso del soporte del diente, defectos de hueso asociados con periodontitis juvenil, estética (defectos intraóseos poco profundos), defectos en furca y limitaciones anatómicas para otros procedimientos (44, 45).</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Heading1"/>
        <w:numPr>
          <w:ilvl w:val="2"/>
          <w:numId w:val="5"/>
        </w:numPr>
        <w:tabs>
          <w:tab w:pos="831" w:val="left" w:leader="none"/>
        </w:tabs>
        <w:spacing w:line="240" w:lineRule="auto" w:before="69" w:after="0"/>
        <w:ind w:left="830" w:right="0" w:hanging="668"/>
        <w:jc w:val="both"/>
      </w:pPr>
      <w:r>
        <w:rPr/>
        <w:t>Tipos y materiales de injerto</w:t>
      </w:r>
      <w:r>
        <w:rPr>
          <w:spacing w:val="-8"/>
        </w:rPr>
        <w:t> </w:t>
      </w:r>
      <w:r>
        <w:rPr/>
        <w:t>óseo</w:t>
      </w:r>
    </w:p>
    <w:p>
      <w:pPr>
        <w:pStyle w:val="BodyText"/>
        <w:spacing w:before="1"/>
        <w:rPr>
          <w:b/>
          <w:sz w:val="21"/>
        </w:rPr>
      </w:pPr>
    </w:p>
    <w:p>
      <w:pPr>
        <w:pStyle w:val="BodyText"/>
        <w:spacing w:line="360" w:lineRule="auto"/>
        <w:ind w:left="162" w:right="156"/>
        <w:jc w:val="both"/>
      </w:pPr>
      <w:r>
        <w:rPr/>
        <w:t>El autoinjerto es un tejido transferido de un lugar a otro en el cuerpo del mismo individuo,</w:t>
      </w:r>
      <w:r>
        <w:rPr>
          <w:spacing w:val="-12"/>
        </w:rPr>
        <w:t> </w:t>
      </w:r>
      <w:r>
        <w:rPr/>
        <w:t>estos</w:t>
      </w:r>
      <w:r>
        <w:rPr>
          <w:spacing w:val="-15"/>
        </w:rPr>
        <w:t> </w:t>
      </w:r>
      <w:r>
        <w:rPr/>
        <w:t>pueden</w:t>
      </w:r>
      <w:r>
        <w:rPr>
          <w:spacing w:val="-12"/>
        </w:rPr>
        <w:t> </w:t>
      </w:r>
      <w:r>
        <w:rPr/>
        <w:t>ser</w:t>
      </w:r>
      <w:r>
        <w:rPr>
          <w:spacing w:val="-16"/>
        </w:rPr>
        <w:t> </w:t>
      </w:r>
      <w:r>
        <w:rPr/>
        <w:t>intraorales</w:t>
      </w:r>
      <w:r>
        <w:rPr>
          <w:spacing w:val="-15"/>
        </w:rPr>
        <w:t> </w:t>
      </w:r>
      <w:r>
        <w:rPr/>
        <w:t>o</w:t>
      </w:r>
      <w:r>
        <w:rPr>
          <w:spacing w:val="-14"/>
        </w:rPr>
        <w:t> </w:t>
      </w:r>
      <w:r>
        <w:rPr/>
        <w:t>extraorales.</w:t>
      </w:r>
      <w:r>
        <w:rPr>
          <w:spacing w:val="-14"/>
        </w:rPr>
        <w:t> </w:t>
      </w:r>
      <w:r>
        <w:rPr/>
        <w:t>Se</w:t>
      </w:r>
      <w:r>
        <w:rPr>
          <w:spacing w:val="-12"/>
        </w:rPr>
        <w:t> </w:t>
      </w:r>
      <w:r>
        <w:rPr/>
        <w:t>cree</w:t>
      </w:r>
      <w:r>
        <w:rPr>
          <w:spacing w:val="-12"/>
        </w:rPr>
        <w:t> </w:t>
      </w:r>
      <w:r>
        <w:rPr/>
        <w:t>son</w:t>
      </w:r>
      <w:r>
        <w:rPr>
          <w:spacing w:val="-14"/>
        </w:rPr>
        <w:t> </w:t>
      </w:r>
      <w:r>
        <w:rPr/>
        <w:t>preferibles</w:t>
      </w:r>
      <w:r>
        <w:rPr>
          <w:spacing w:val="-14"/>
        </w:rPr>
        <w:t> </w:t>
      </w:r>
      <w:r>
        <w:rPr/>
        <w:t>a</w:t>
      </w:r>
      <w:r>
        <w:rPr>
          <w:spacing w:val="-14"/>
        </w:rPr>
        <w:t> </w:t>
      </w:r>
      <w:r>
        <w:rPr/>
        <w:t>otros tipos de injerto porque estos contienen células viables, pero si no se encuentra posicionado cerca de un suplemento vascular este podría no sobrevivir al proceso de trasplantación. Dentro de los materiales de Injerto del tipo autógeno contamos con astillas de hueso cortical, el coagulo óseo, la mezcla ósea y los transplantes intrabucales y extrabucales de médula ósea esponjosa (16,</w:t>
      </w:r>
      <w:r>
        <w:rPr>
          <w:spacing w:val="-26"/>
        </w:rPr>
        <w:t> </w:t>
      </w:r>
      <w:r>
        <w:rPr/>
        <w:t>46).</w:t>
      </w:r>
    </w:p>
    <w:p>
      <w:pPr>
        <w:pStyle w:val="BodyText"/>
        <w:spacing w:line="360" w:lineRule="auto" w:before="204"/>
        <w:ind w:left="162" w:right="162"/>
        <w:jc w:val="both"/>
      </w:pPr>
      <w:r>
        <w:rPr/>
        <w:t>Los aloinjertos provienen de tejidos de individuos de la misma especie. Estos aparecieron como medio para encontrar un material de injerto que evitará la doble intervención quirúrgica del paciente. Existen dos tipos de aloinjertos. El aloinjerto óseo deshidratado, congelado y no descalcificado el cual es considerado como un material osteoconductor y el aloinjerto óseo descalcificado congelado y deshidratado. Considerado como un material osteoinductor (45, 46).</w:t>
      </w:r>
    </w:p>
    <w:p>
      <w:pPr>
        <w:pStyle w:val="BodyText"/>
        <w:spacing w:line="360" w:lineRule="auto" w:before="204"/>
        <w:ind w:left="162" w:right="155"/>
        <w:jc w:val="both"/>
      </w:pPr>
      <w:r>
        <w:rPr/>
        <w:t>Los xenoinjertos son injertos de tejido proveniente de miembros de diferentes especies, por ejemplo, de un animal al ser humano, también se le conoce como heteroinjerto.</w:t>
      </w:r>
      <w:r>
        <w:rPr>
          <w:spacing w:val="-10"/>
        </w:rPr>
        <w:t> </w:t>
      </w:r>
      <w:r>
        <w:rPr/>
        <w:t>Este</w:t>
      </w:r>
      <w:r>
        <w:rPr>
          <w:spacing w:val="-9"/>
        </w:rPr>
        <w:t> </w:t>
      </w:r>
      <w:r>
        <w:rPr/>
        <w:t>material</w:t>
      </w:r>
      <w:r>
        <w:rPr>
          <w:spacing w:val="-8"/>
        </w:rPr>
        <w:t> </w:t>
      </w:r>
      <w:r>
        <w:rPr/>
        <w:t>usualmente</w:t>
      </w:r>
      <w:r>
        <w:rPr>
          <w:spacing w:val="-7"/>
        </w:rPr>
        <w:t> </w:t>
      </w:r>
      <w:r>
        <w:rPr/>
        <w:t>se</w:t>
      </w:r>
      <w:r>
        <w:rPr>
          <w:spacing w:val="-9"/>
        </w:rPr>
        <w:t> </w:t>
      </w:r>
      <w:r>
        <w:rPr/>
        <w:t>obtiene</w:t>
      </w:r>
      <w:r>
        <w:rPr>
          <w:spacing w:val="-9"/>
        </w:rPr>
        <w:t> </w:t>
      </w:r>
      <w:r>
        <w:rPr/>
        <w:t>del</w:t>
      </w:r>
      <w:r>
        <w:rPr>
          <w:spacing w:val="-8"/>
        </w:rPr>
        <w:t> </w:t>
      </w:r>
      <w:r>
        <w:rPr/>
        <w:t>hueso</w:t>
      </w:r>
      <w:r>
        <w:rPr>
          <w:spacing w:val="-9"/>
        </w:rPr>
        <w:t> </w:t>
      </w:r>
      <w:r>
        <w:rPr/>
        <w:t>de</w:t>
      </w:r>
      <w:r>
        <w:rPr>
          <w:spacing w:val="-7"/>
        </w:rPr>
        <w:t> </w:t>
      </w:r>
      <w:r>
        <w:rPr/>
        <w:t>ternera</w:t>
      </w:r>
      <w:r>
        <w:rPr>
          <w:spacing w:val="-8"/>
        </w:rPr>
        <w:t> </w:t>
      </w:r>
      <w:r>
        <w:rPr/>
        <w:t>tratado</w:t>
      </w:r>
      <w:r>
        <w:rPr>
          <w:spacing w:val="-7"/>
        </w:rPr>
        <w:t> </w:t>
      </w:r>
      <w:r>
        <w:rPr/>
        <w:t>con extracción detergente, esterilizado, secado y congelado. Este procesamiento químico se realiza para que el injerto sea aceptado para la implantación en el ser humano.</w:t>
      </w:r>
      <w:r>
        <w:rPr>
          <w:spacing w:val="-6"/>
        </w:rPr>
        <w:t> </w:t>
      </w:r>
      <w:r>
        <w:rPr/>
        <w:t>Se</w:t>
      </w:r>
      <w:r>
        <w:rPr>
          <w:spacing w:val="-8"/>
        </w:rPr>
        <w:t> </w:t>
      </w:r>
      <w:r>
        <w:rPr/>
        <w:t>ha</w:t>
      </w:r>
      <w:r>
        <w:rPr>
          <w:spacing w:val="-6"/>
        </w:rPr>
        <w:t> </w:t>
      </w:r>
      <w:r>
        <w:rPr/>
        <w:t>utilizado</w:t>
      </w:r>
      <w:r>
        <w:rPr>
          <w:spacing w:val="-6"/>
        </w:rPr>
        <w:t> </w:t>
      </w:r>
      <w:r>
        <w:rPr/>
        <w:t>una</w:t>
      </w:r>
      <w:r>
        <w:rPr>
          <w:spacing w:val="-8"/>
        </w:rPr>
        <w:t> </w:t>
      </w:r>
      <w:r>
        <w:rPr/>
        <w:t>matriz</w:t>
      </w:r>
      <w:r>
        <w:rPr>
          <w:spacing w:val="-9"/>
        </w:rPr>
        <w:t> </w:t>
      </w:r>
      <w:r>
        <w:rPr/>
        <w:t>ósea</w:t>
      </w:r>
      <w:r>
        <w:rPr>
          <w:spacing w:val="-6"/>
        </w:rPr>
        <w:t> </w:t>
      </w:r>
      <w:r>
        <w:rPr/>
        <w:t>natural</w:t>
      </w:r>
      <w:r>
        <w:rPr>
          <w:spacing w:val="-7"/>
        </w:rPr>
        <w:t> </w:t>
      </w:r>
      <w:r>
        <w:rPr/>
        <w:t>de</w:t>
      </w:r>
      <w:r>
        <w:rPr>
          <w:spacing w:val="-6"/>
        </w:rPr>
        <w:t> </w:t>
      </w:r>
      <w:r>
        <w:rPr/>
        <w:t>hidroxiapatita</w:t>
      </w:r>
      <w:r>
        <w:rPr>
          <w:spacing w:val="-8"/>
        </w:rPr>
        <w:t> </w:t>
      </w:r>
      <w:r>
        <w:rPr/>
        <w:t>de</w:t>
      </w:r>
      <w:r>
        <w:rPr>
          <w:spacing w:val="-8"/>
        </w:rPr>
        <w:t> </w:t>
      </w:r>
      <w:r>
        <w:rPr/>
        <w:t>origen</w:t>
      </w:r>
      <w:r>
        <w:rPr>
          <w:spacing w:val="-6"/>
        </w:rPr>
        <w:t> </w:t>
      </w:r>
      <w:r>
        <w:rPr/>
        <w:t>bovino, microporosa, inorgánica y combinada con un polipéptido de fijación celular, que es un clon sintético de la colágena tipo I. El polipéptido mejora los resultados regenerativos óseos del material (46,</w:t>
      </w:r>
      <w:r>
        <w:rPr>
          <w:spacing w:val="-15"/>
        </w:rPr>
        <w:t> </w:t>
      </w:r>
      <w:r>
        <w:rPr/>
        <w:t>47).</w:t>
      </w:r>
    </w:p>
    <w:p>
      <w:pPr>
        <w:pStyle w:val="BodyText"/>
        <w:spacing w:line="360" w:lineRule="auto" w:before="204"/>
        <w:ind w:left="162" w:right="158"/>
        <w:jc w:val="both"/>
      </w:pPr>
      <w:r>
        <w:rPr/>
        <w:t>Por último, los materiales aloplásticos son materiales de injerto de hueso sintético. Se</w:t>
      </w:r>
      <w:r>
        <w:rPr>
          <w:spacing w:val="-6"/>
        </w:rPr>
        <w:t> </w:t>
      </w:r>
      <w:r>
        <w:rPr/>
        <w:t>trata</w:t>
      </w:r>
      <w:r>
        <w:rPr>
          <w:spacing w:val="-6"/>
        </w:rPr>
        <w:t> </w:t>
      </w:r>
      <w:r>
        <w:rPr/>
        <w:t>de</w:t>
      </w:r>
      <w:r>
        <w:rPr>
          <w:spacing w:val="-8"/>
        </w:rPr>
        <w:t> </w:t>
      </w:r>
      <w:r>
        <w:rPr/>
        <w:t>un</w:t>
      </w:r>
      <w:r>
        <w:rPr>
          <w:spacing w:val="-6"/>
        </w:rPr>
        <w:t> </w:t>
      </w:r>
      <w:r>
        <w:rPr/>
        <w:t>injerto</w:t>
      </w:r>
      <w:r>
        <w:rPr>
          <w:spacing w:val="-6"/>
        </w:rPr>
        <w:t> </w:t>
      </w:r>
      <w:r>
        <w:rPr/>
        <w:t>de</w:t>
      </w:r>
      <w:r>
        <w:rPr>
          <w:spacing w:val="-6"/>
        </w:rPr>
        <w:t> </w:t>
      </w:r>
      <w:r>
        <w:rPr/>
        <w:t>hueso</w:t>
      </w:r>
      <w:r>
        <w:rPr>
          <w:spacing w:val="-6"/>
        </w:rPr>
        <w:t> </w:t>
      </w:r>
      <w:r>
        <w:rPr/>
        <w:t>sustituto</w:t>
      </w:r>
      <w:r>
        <w:rPr>
          <w:spacing w:val="-8"/>
        </w:rPr>
        <w:t> </w:t>
      </w:r>
      <w:r>
        <w:rPr/>
        <w:t>(2).</w:t>
      </w:r>
      <w:r>
        <w:rPr>
          <w:spacing w:val="-7"/>
        </w:rPr>
        <w:t> </w:t>
      </w:r>
      <w:r>
        <w:rPr/>
        <w:t>Existe</w:t>
      </w:r>
      <w:r>
        <w:rPr>
          <w:spacing w:val="-6"/>
        </w:rPr>
        <w:t> </w:t>
      </w:r>
      <w:r>
        <w:rPr/>
        <w:t>una</w:t>
      </w:r>
      <w:r>
        <w:rPr>
          <w:spacing w:val="-6"/>
        </w:rPr>
        <w:t> </w:t>
      </w:r>
      <w:r>
        <w:rPr/>
        <w:t>gran</w:t>
      </w:r>
      <w:r>
        <w:rPr>
          <w:spacing w:val="-6"/>
        </w:rPr>
        <w:t> </w:t>
      </w:r>
      <w:r>
        <w:rPr/>
        <w:t>variedad</w:t>
      </w:r>
      <w:r>
        <w:rPr>
          <w:spacing w:val="-6"/>
        </w:rPr>
        <w:t> </w:t>
      </w:r>
      <w:r>
        <w:rPr/>
        <w:t>de</w:t>
      </w:r>
      <w:r>
        <w:rPr>
          <w:spacing w:val="-8"/>
        </w:rPr>
        <w:t> </w:t>
      </w:r>
      <w:r>
        <w:rPr/>
        <w:t>materiales aloplásticos que han sido sugeridos para su uso en el tratamiento periodontal. Algunos</w:t>
      </w:r>
      <w:r>
        <w:rPr>
          <w:spacing w:val="-4"/>
        </w:rPr>
        <w:t> </w:t>
      </w:r>
      <w:r>
        <w:rPr/>
        <w:t>de</w:t>
      </w:r>
      <w:r>
        <w:rPr>
          <w:spacing w:val="-6"/>
        </w:rPr>
        <w:t> </w:t>
      </w:r>
      <w:r>
        <w:rPr/>
        <w:t>estos</w:t>
      </w:r>
      <w:r>
        <w:rPr>
          <w:spacing w:val="-7"/>
        </w:rPr>
        <w:t> </w:t>
      </w:r>
      <w:r>
        <w:rPr/>
        <w:t>materiales</w:t>
      </w:r>
      <w:r>
        <w:rPr>
          <w:spacing w:val="-4"/>
        </w:rPr>
        <w:t> </w:t>
      </w:r>
      <w:r>
        <w:rPr/>
        <w:t>son</w:t>
      </w:r>
      <w:r>
        <w:rPr>
          <w:spacing w:val="-4"/>
        </w:rPr>
        <w:t> </w:t>
      </w:r>
      <w:r>
        <w:rPr/>
        <w:t>reabsorbibles</w:t>
      </w:r>
      <w:r>
        <w:rPr>
          <w:spacing w:val="-4"/>
        </w:rPr>
        <w:t> </w:t>
      </w:r>
      <w:r>
        <w:rPr/>
        <w:t>en</w:t>
      </w:r>
      <w:r>
        <w:rPr>
          <w:spacing w:val="-4"/>
        </w:rPr>
        <w:t> </w:t>
      </w:r>
      <w:r>
        <w:rPr/>
        <w:t>distintos</w:t>
      </w:r>
      <w:r>
        <w:rPr>
          <w:spacing w:val="-4"/>
        </w:rPr>
        <w:t> </w:t>
      </w:r>
      <w:r>
        <w:rPr/>
        <w:t>grados,</w:t>
      </w:r>
      <w:r>
        <w:rPr>
          <w:spacing w:val="-6"/>
        </w:rPr>
        <w:t> </w:t>
      </w:r>
      <w:r>
        <w:rPr/>
        <w:t>pero</w:t>
      </w:r>
      <w:r>
        <w:rPr>
          <w:spacing w:val="-4"/>
        </w:rPr>
        <w:t> </w:t>
      </w:r>
      <w:r>
        <w:rPr/>
        <w:t>la</w:t>
      </w:r>
      <w:r>
        <w:rPr>
          <w:spacing w:val="-6"/>
        </w:rPr>
        <w:t> </w:t>
      </w:r>
      <w:r>
        <w:rPr/>
        <w:t>mayoría son   no   reabsorbibles.   Dentro   de   los   materiales   más   utilizados   están</w:t>
      </w:r>
      <w:r>
        <w:rPr>
          <w:spacing w:val="36"/>
        </w:rPr>
        <w:t> </w:t>
      </w:r>
      <w:r>
        <w:rPr/>
        <w:t>los</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2" w:lineRule="auto" w:before="69"/>
        <w:ind w:left="162" w:right="164"/>
        <w:jc w:val="both"/>
      </w:pPr>
      <w:r>
        <w:rPr/>
        <w:t>biomateriales de fosfato de calcio (hidroxiapatita y fosfato tricálcico), el vidrio bioactivo y los materiales derivados del coral (46, 47).</w:t>
      </w:r>
    </w:p>
    <w:p>
      <w:pPr>
        <w:pStyle w:val="BodyText"/>
        <w:spacing w:line="360" w:lineRule="auto" w:before="201"/>
        <w:ind w:left="162" w:right="154"/>
        <w:jc w:val="both"/>
      </w:pPr>
      <w:r>
        <w:rPr/>
        <w:t>Los biomateriales de fosfato de calcio tienen una excelente compatibilidad tisular y no precipitan reacción inflamatoria. Se consideran dentro de los materiales osteoconductores e inducen la formación ósea al colocarse cerca de hueso viable, aunque no así cuando están rodeados por tejido que no forma hueso como la piel. Se utilizan dos tipos de cerámica de fosfato de calcio, la hidroxiapatita la cual tiene una proporción de calcio-fosfato similar a la que se encuentra en el tejido óseo,</w:t>
      </w:r>
      <w:r>
        <w:rPr>
          <w:spacing w:val="-38"/>
        </w:rPr>
        <w:t> </w:t>
      </w:r>
      <w:r>
        <w:rPr/>
        <w:t>por lo</w:t>
      </w:r>
      <w:r>
        <w:rPr>
          <w:spacing w:val="-11"/>
        </w:rPr>
        <w:t> </w:t>
      </w:r>
      <w:r>
        <w:rPr/>
        <w:t>general</w:t>
      </w:r>
      <w:r>
        <w:rPr>
          <w:spacing w:val="-14"/>
        </w:rPr>
        <w:t> </w:t>
      </w:r>
      <w:r>
        <w:rPr/>
        <w:t>no</w:t>
      </w:r>
      <w:r>
        <w:rPr>
          <w:spacing w:val="-13"/>
        </w:rPr>
        <w:t> </w:t>
      </w:r>
      <w:r>
        <w:rPr/>
        <w:t>es</w:t>
      </w:r>
      <w:r>
        <w:rPr>
          <w:spacing w:val="-14"/>
        </w:rPr>
        <w:t> </w:t>
      </w:r>
      <w:r>
        <w:rPr/>
        <w:t>bio-reabsorbible</w:t>
      </w:r>
      <w:r>
        <w:rPr>
          <w:spacing w:val="-11"/>
        </w:rPr>
        <w:t> </w:t>
      </w:r>
      <w:r>
        <w:rPr/>
        <w:t>y</w:t>
      </w:r>
      <w:r>
        <w:rPr>
          <w:spacing w:val="-14"/>
        </w:rPr>
        <w:t> </w:t>
      </w:r>
      <w:r>
        <w:rPr/>
        <w:t>el</w:t>
      </w:r>
      <w:r>
        <w:rPr>
          <w:spacing w:val="-14"/>
        </w:rPr>
        <w:t> </w:t>
      </w:r>
      <w:r>
        <w:rPr/>
        <w:t>fosfato</w:t>
      </w:r>
      <w:r>
        <w:rPr>
          <w:spacing w:val="-11"/>
        </w:rPr>
        <w:t> </w:t>
      </w:r>
      <w:r>
        <w:rPr/>
        <w:t>tricálcico,</w:t>
      </w:r>
      <w:r>
        <w:rPr>
          <w:spacing w:val="-11"/>
        </w:rPr>
        <w:t> </w:t>
      </w:r>
      <w:r>
        <w:rPr/>
        <w:t>el</w:t>
      </w:r>
      <w:r>
        <w:rPr>
          <w:spacing w:val="-12"/>
        </w:rPr>
        <w:t> </w:t>
      </w:r>
      <w:r>
        <w:rPr/>
        <w:t>cual</w:t>
      </w:r>
      <w:r>
        <w:rPr>
          <w:spacing w:val="-12"/>
        </w:rPr>
        <w:t> </w:t>
      </w:r>
      <w:r>
        <w:rPr/>
        <w:t>es</w:t>
      </w:r>
      <w:r>
        <w:rPr>
          <w:spacing w:val="-14"/>
        </w:rPr>
        <w:t> </w:t>
      </w:r>
      <w:r>
        <w:rPr/>
        <w:t>una</w:t>
      </w:r>
      <w:r>
        <w:rPr>
          <w:spacing w:val="-13"/>
        </w:rPr>
        <w:t> </w:t>
      </w:r>
      <w:r>
        <w:rPr/>
        <w:t>whitlockita</w:t>
      </w:r>
      <w:r>
        <w:rPr>
          <w:spacing w:val="-10"/>
        </w:rPr>
        <w:t> </w:t>
      </w:r>
      <w:r>
        <w:rPr/>
        <w:t>bio- reabsorbible de manera parcial (46,</w:t>
      </w:r>
      <w:r>
        <w:rPr>
          <w:spacing w:val="-13"/>
        </w:rPr>
        <w:t> </w:t>
      </w:r>
      <w:r>
        <w:rPr/>
        <w:t>47).</w:t>
      </w:r>
    </w:p>
    <w:p>
      <w:pPr>
        <w:pStyle w:val="BodyText"/>
        <w:spacing w:line="360" w:lineRule="auto" w:before="204"/>
        <w:ind w:left="162" w:right="161"/>
        <w:jc w:val="both"/>
      </w:pPr>
      <w:r>
        <w:rPr/>
        <w:t>Otros materiales aloplásticos son el vidrio bioactivo que al entrar en contacto con los líquidos hísticos, las superficies de las partículas se cubren de hidroxicarbonatoapatita, incorpora proteínas orgánicas y atrae osteoblastos que forman hueso con rapidez. Y los materiales derivados del coral, entre estos destacan el coral natural y la hidroxiapatita porosa derivada del coral, el primero se reabsorbe con lentitud mientras que el segundo nunca lo hace o tarda años en hacerlo (46, 47).</w:t>
      </w:r>
    </w:p>
    <w:p>
      <w:pPr>
        <w:pStyle w:val="Heading1"/>
        <w:numPr>
          <w:ilvl w:val="2"/>
          <w:numId w:val="5"/>
        </w:numPr>
        <w:tabs>
          <w:tab w:pos="832" w:val="left" w:leader="none"/>
        </w:tabs>
        <w:spacing w:line="240" w:lineRule="auto" w:before="204" w:after="0"/>
        <w:ind w:left="831" w:right="0" w:hanging="669"/>
        <w:jc w:val="both"/>
      </w:pPr>
      <w:bookmarkStart w:name="_bookmark19" w:id="39"/>
      <w:bookmarkEnd w:id="39"/>
      <w:r>
        <w:rPr>
          <w:b w:val="0"/>
        </w:rPr>
      </w:r>
      <w:bookmarkStart w:name="_bookmark19" w:id="40"/>
      <w:bookmarkEnd w:id="40"/>
      <w:r>
        <w:rPr/>
        <w:t>T</w:t>
      </w:r>
      <w:r>
        <w:rPr/>
        <w:t>écnica para la colocación de injertos</w:t>
      </w:r>
      <w:r>
        <w:rPr>
          <w:spacing w:val="-13"/>
        </w:rPr>
        <w:t> </w:t>
      </w:r>
      <w:r>
        <w:rPr/>
        <w:t>óseos</w:t>
      </w:r>
    </w:p>
    <w:p>
      <w:pPr>
        <w:pStyle w:val="BodyText"/>
        <w:spacing w:before="2"/>
        <w:rPr>
          <w:b/>
          <w:sz w:val="29"/>
        </w:rPr>
      </w:pPr>
    </w:p>
    <w:p>
      <w:pPr>
        <w:pStyle w:val="BodyText"/>
        <w:spacing w:line="360" w:lineRule="auto"/>
        <w:ind w:left="162" w:right="155"/>
        <w:jc w:val="both"/>
      </w:pPr>
      <w:r>
        <w:rPr/>
        <w:t>Bajo anestesia local se realiza la incisión y levantamiento del colgajo, debe preservarse</w:t>
      </w:r>
      <w:r>
        <w:rPr>
          <w:spacing w:val="-8"/>
        </w:rPr>
        <w:t> </w:t>
      </w:r>
      <w:r>
        <w:rPr/>
        <w:t>la</w:t>
      </w:r>
      <w:r>
        <w:rPr>
          <w:spacing w:val="-7"/>
        </w:rPr>
        <w:t> </w:t>
      </w:r>
      <w:r>
        <w:rPr/>
        <w:t>papila</w:t>
      </w:r>
      <w:r>
        <w:rPr>
          <w:spacing w:val="-7"/>
        </w:rPr>
        <w:t> </w:t>
      </w:r>
      <w:r>
        <w:rPr/>
        <w:t>interdental</w:t>
      </w:r>
      <w:r>
        <w:rPr>
          <w:spacing w:val="-11"/>
        </w:rPr>
        <w:t> </w:t>
      </w:r>
      <w:r>
        <w:rPr/>
        <w:t>y</w:t>
      </w:r>
      <w:r>
        <w:rPr>
          <w:spacing w:val="-10"/>
        </w:rPr>
        <w:t> </w:t>
      </w:r>
      <w:r>
        <w:rPr/>
        <w:t>el</w:t>
      </w:r>
      <w:r>
        <w:rPr>
          <w:spacing w:val="-8"/>
        </w:rPr>
        <w:t> </w:t>
      </w:r>
      <w:r>
        <w:rPr/>
        <w:t>colgajo</w:t>
      </w:r>
      <w:r>
        <w:rPr>
          <w:spacing w:val="-10"/>
        </w:rPr>
        <w:t> </w:t>
      </w:r>
      <w:r>
        <w:rPr/>
        <w:t>extenderse</w:t>
      </w:r>
      <w:r>
        <w:rPr>
          <w:spacing w:val="-8"/>
        </w:rPr>
        <w:t> </w:t>
      </w:r>
      <w:r>
        <w:rPr/>
        <w:t>lo</w:t>
      </w:r>
      <w:r>
        <w:rPr>
          <w:spacing w:val="-7"/>
        </w:rPr>
        <w:t> </w:t>
      </w:r>
      <w:r>
        <w:rPr/>
        <w:t>necesario</w:t>
      </w:r>
      <w:r>
        <w:rPr>
          <w:spacing w:val="-7"/>
        </w:rPr>
        <w:t> </w:t>
      </w:r>
      <w:r>
        <w:rPr/>
        <w:t>hacia</w:t>
      </w:r>
      <w:r>
        <w:rPr>
          <w:spacing w:val="-9"/>
        </w:rPr>
        <w:t> </w:t>
      </w:r>
      <w:r>
        <w:rPr/>
        <w:t>mesial</w:t>
      </w:r>
      <w:r>
        <w:rPr>
          <w:spacing w:val="-10"/>
        </w:rPr>
        <w:t> </w:t>
      </w:r>
      <w:r>
        <w:rPr/>
        <w:t>o distal para proporcionar un buen acceso al área a tratar. Se prosigue con la eliminación</w:t>
      </w:r>
      <w:r>
        <w:rPr>
          <w:spacing w:val="-11"/>
        </w:rPr>
        <w:t> </w:t>
      </w:r>
      <w:r>
        <w:rPr/>
        <w:t>del</w:t>
      </w:r>
      <w:r>
        <w:rPr>
          <w:spacing w:val="-12"/>
        </w:rPr>
        <w:t> </w:t>
      </w:r>
      <w:r>
        <w:rPr/>
        <w:t>tejido</w:t>
      </w:r>
      <w:r>
        <w:rPr>
          <w:spacing w:val="-11"/>
        </w:rPr>
        <w:t> </w:t>
      </w:r>
      <w:r>
        <w:rPr/>
        <w:t>granulomatoso</w:t>
      </w:r>
      <w:r>
        <w:rPr>
          <w:spacing w:val="-11"/>
        </w:rPr>
        <w:t> </w:t>
      </w:r>
      <w:r>
        <w:rPr/>
        <w:t>y</w:t>
      </w:r>
      <w:r>
        <w:rPr>
          <w:spacing w:val="-14"/>
        </w:rPr>
        <w:t> </w:t>
      </w:r>
      <w:r>
        <w:rPr/>
        <w:t>raspado</w:t>
      </w:r>
      <w:r>
        <w:rPr>
          <w:spacing w:val="-11"/>
        </w:rPr>
        <w:t> </w:t>
      </w:r>
      <w:r>
        <w:rPr/>
        <w:t>con</w:t>
      </w:r>
      <w:r>
        <w:rPr>
          <w:spacing w:val="-13"/>
        </w:rPr>
        <w:t> </w:t>
      </w:r>
      <w:r>
        <w:rPr/>
        <w:t>alisado</w:t>
      </w:r>
      <w:r>
        <w:rPr>
          <w:spacing w:val="-11"/>
        </w:rPr>
        <w:t> </w:t>
      </w:r>
      <w:r>
        <w:rPr/>
        <w:t>radicular.</w:t>
      </w:r>
      <w:r>
        <w:rPr>
          <w:spacing w:val="-14"/>
        </w:rPr>
        <w:t> </w:t>
      </w:r>
      <w:r>
        <w:rPr/>
        <w:t>El</w:t>
      </w:r>
      <w:r>
        <w:rPr>
          <w:spacing w:val="-12"/>
        </w:rPr>
        <w:t> </w:t>
      </w:r>
      <w:r>
        <w:rPr/>
        <w:t>injerto</w:t>
      </w:r>
      <w:r>
        <w:rPr>
          <w:spacing w:val="-11"/>
        </w:rPr>
        <w:t> </w:t>
      </w:r>
      <w:r>
        <w:rPr/>
        <w:t>debe colocarse en un recipiente estéril y ser hidratado con solución salina después es empacado dentro del defecto paso a paso hasta que esté completamente cubierto. Se reposiciona el colgajo el cual debe cubrir el material de injerto en su totalidad al momento de ser suturado. De 7 a 10 días después de la cirugía las suturas son removidas, se lava cuidadosamente el sitio intervenido y de ser necesario se prescribe terapia antibiótica. El paciente debe ser monitoreado bimestralmente</w:t>
      </w:r>
      <w:r>
        <w:rPr>
          <w:spacing w:val="26"/>
        </w:rPr>
        <w:t> </w:t>
      </w:r>
      <w:r>
        <w:rPr/>
        <w:t>por</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2" w:lineRule="auto" w:before="69"/>
        <w:ind w:left="162" w:right="162"/>
        <w:jc w:val="both"/>
      </w:pPr>
      <w:r>
        <w:rPr/>
        <w:t>los</w:t>
      </w:r>
      <w:r>
        <w:rPr>
          <w:spacing w:val="-10"/>
        </w:rPr>
        <w:t> </w:t>
      </w:r>
      <w:r>
        <w:rPr/>
        <w:t>siguientes</w:t>
      </w:r>
      <w:r>
        <w:rPr>
          <w:spacing w:val="-13"/>
        </w:rPr>
        <w:t> </w:t>
      </w:r>
      <w:r>
        <w:rPr/>
        <w:t>6</w:t>
      </w:r>
      <w:r>
        <w:rPr>
          <w:spacing w:val="-12"/>
        </w:rPr>
        <w:t> </w:t>
      </w:r>
      <w:r>
        <w:rPr/>
        <w:t>meses</w:t>
      </w:r>
      <w:r>
        <w:rPr>
          <w:spacing w:val="-13"/>
        </w:rPr>
        <w:t> </w:t>
      </w:r>
      <w:r>
        <w:rPr/>
        <w:t>y</w:t>
      </w:r>
      <w:r>
        <w:rPr>
          <w:spacing w:val="-13"/>
        </w:rPr>
        <w:t> </w:t>
      </w:r>
      <w:r>
        <w:rPr/>
        <w:t>después</w:t>
      </w:r>
      <w:r>
        <w:rPr>
          <w:spacing w:val="-13"/>
        </w:rPr>
        <w:t> </w:t>
      </w:r>
      <w:r>
        <w:rPr/>
        <w:t>cada</w:t>
      </w:r>
      <w:r>
        <w:rPr>
          <w:spacing w:val="-12"/>
        </w:rPr>
        <w:t> </w:t>
      </w:r>
      <w:r>
        <w:rPr/>
        <w:t>3</w:t>
      </w:r>
      <w:r>
        <w:rPr>
          <w:spacing w:val="-12"/>
        </w:rPr>
        <w:t> </w:t>
      </w:r>
      <w:r>
        <w:rPr/>
        <w:t>meses.</w:t>
      </w:r>
      <w:r>
        <w:rPr>
          <w:spacing w:val="-10"/>
        </w:rPr>
        <w:t> </w:t>
      </w:r>
      <w:r>
        <w:rPr/>
        <w:t>Después</w:t>
      </w:r>
      <w:r>
        <w:rPr>
          <w:spacing w:val="-13"/>
        </w:rPr>
        <w:t> </w:t>
      </w:r>
      <w:r>
        <w:rPr/>
        <w:t>de</w:t>
      </w:r>
      <w:r>
        <w:rPr>
          <w:spacing w:val="-12"/>
        </w:rPr>
        <w:t> </w:t>
      </w:r>
      <w:r>
        <w:rPr/>
        <w:t>los</w:t>
      </w:r>
      <w:r>
        <w:rPr>
          <w:spacing w:val="-12"/>
        </w:rPr>
        <w:t> </w:t>
      </w:r>
      <w:r>
        <w:rPr/>
        <w:t>primeros</w:t>
      </w:r>
      <w:r>
        <w:rPr>
          <w:spacing w:val="-13"/>
        </w:rPr>
        <w:t> </w:t>
      </w:r>
      <w:r>
        <w:rPr/>
        <w:t>6</w:t>
      </w:r>
      <w:r>
        <w:rPr>
          <w:spacing w:val="-12"/>
        </w:rPr>
        <w:t> </w:t>
      </w:r>
      <w:r>
        <w:rPr/>
        <w:t>meses, el paciente puede acceder a métodos restaurativos si es que los necesita (48,</w:t>
      </w:r>
      <w:r>
        <w:rPr>
          <w:spacing w:val="-28"/>
        </w:rPr>
        <w:t> </w:t>
      </w:r>
      <w:r>
        <w:rPr/>
        <w:t>10).</w:t>
      </w:r>
    </w:p>
    <w:p>
      <w:pPr>
        <w:pStyle w:val="BodyText"/>
        <w:spacing w:line="360" w:lineRule="auto" w:before="201"/>
        <w:ind w:left="162" w:right="162"/>
        <w:jc w:val="both"/>
      </w:pPr>
      <w:r>
        <w:rPr/>
        <w:t>Los últimos avances sugieren la combinación de técnicas de barrera, es decir regeneración</w:t>
      </w:r>
      <w:r>
        <w:rPr>
          <w:spacing w:val="-18"/>
        </w:rPr>
        <w:t> </w:t>
      </w:r>
      <w:r>
        <w:rPr/>
        <w:t>tisular</w:t>
      </w:r>
      <w:r>
        <w:rPr>
          <w:spacing w:val="-19"/>
        </w:rPr>
        <w:t> </w:t>
      </w:r>
      <w:r>
        <w:rPr/>
        <w:t>guiada</w:t>
      </w:r>
      <w:r>
        <w:rPr>
          <w:spacing w:val="-18"/>
        </w:rPr>
        <w:t> </w:t>
      </w:r>
      <w:r>
        <w:rPr/>
        <w:t>con</w:t>
      </w:r>
      <w:r>
        <w:rPr>
          <w:spacing w:val="-18"/>
        </w:rPr>
        <w:t> </w:t>
      </w:r>
      <w:r>
        <w:rPr/>
        <w:t>injertos</w:t>
      </w:r>
      <w:r>
        <w:rPr>
          <w:spacing w:val="-19"/>
        </w:rPr>
        <w:t> </w:t>
      </w:r>
      <w:r>
        <w:rPr/>
        <w:t>óseos</w:t>
      </w:r>
      <w:r>
        <w:rPr>
          <w:spacing w:val="-21"/>
        </w:rPr>
        <w:t> </w:t>
      </w:r>
      <w:r>
        <w:rPr/>
        <w:t>y</w:t>
      </w:r>
      <w:r>
        <w:rPr>
          <w:spacing w:val="-21"/>
        </w:rPr>
        <w:t> </w:t>
      </w:r>
      <w:r>
        <w:rPr/>
        <w:t>a</w:t>
      </w:r>
      <w:r>
        <w:rPr>
          <w:spacing w:val="-18"/>
        </w:rPr>
        <w:t> </w:t>
      </w:r>
      <w:r>
        <w:rPr/>
        <w:t>su</w:t>
      </w:r>
      <w:r>
        <w:rPr>
          <w:spacing w:val="-16"/>
        </w:rPr>
        <w:t> </w:t>
      </w:r>
      <w:r>
        <w:rPr/>
        <w:t>vez</w:t>
      </w:r>
      <w:r>
        <w:rPr>
          <w:spacing w:val="-19"/>
        </w:rPr>
        <w:t> </w:t>
      </w:r>
      <w:r>
        <w:rPr/>
        <w:t>ir</w:t>
      </w:r>
      <w:r>
        <w:rPr>
          <w:spacing w:val="-18"/>
        </w:rPr>
        <w:t> </w:t>
      </w:r>
      <w:r>
        <w:rPr/>
        <w:t>implementando</w:t>
      </w:r>
      <w:r>
        <w:rPr>
          <w:spacing w:val="-18"/>
        </w:rPr>
        <w:t> </w:t>
      </w:r>
      <w:r>
        <w:rPr/>
        <w:t>el</w:t>
      </w:r>
      <w:r>
        <w:rPr>
          <w:spacing w:val="-19"/>
        </w:rPr>
        <w:t> </w:t>
      </w:r>
      <w:r>
        <w:rPr/>
        <w:t>plasma rico en factores de crecimiento (40,</w:t>
      </w:r>
      <w:r>
        <w:rPr>
          <w:spacing w:val="-11"/>
        </w:rPr>
        <w:t> </w:t>
      </w:r>
      <w:r>
        <w:rPr/>
        <w:t>49).</w:t>
      </w:r>
    </w:p>
    <w:p>
      <w:pPr>
        <w:pStyle w:val="Heading1"/>
        <w:numPr>
          <w:ilvl w:val="1"/>
          <w:numId w:val="7"/>
        </w:numPr>
        <w:tabs>
          <w:tab w:pos="630" w:val="left" w:leader="none"/>
        </w:tabs>
        <w:spacing w:line="240" w:lineRule="auto" w:before="204" w:after="0"/>
        <w:ind w:left="629" w:right="0" w:hanging="467"/>
        <w:jc w:val="both"/>
      </w:pPr>
      <w:bookmarkStart w:name="_bookmark20" w:id="41"/>
      <w:bookmarkEnd w:id="41"/>
      <w:r>
        <w:rPr>
          <w:b w:val="0"/>
        </w:rPr>
      </w:r>
      <w:bookmarkStart w:name="_bookmark20" w:id="42"/>
      <w:bookmarkEnd w:id="42"/>
      <w:r>
        <w:rPr/>
        <w:t>P</w:t>
      </w:r>
      <w:r>
        <w:rPr/>
        <w:t>lasma Rico en Factores de</w:t>
      </w:r>
      <w:r>
        <w:rPr>
          <w:spacing w:val="-14"/>
        </w:rPr>
        <w:t> </w:t>
      </w:r>
      <w:r>
        <w:rPr/>
        <w:t>Crecimiento</w:t>
      </w:r>
    </w:p>
    <w:p>
      <w:pPr>
        <w:pStyle w:val="BodyText"/>
        <w:spacing w:before="3"/>
        <w:rPr>
          <w:b/>
          <w:sz w:val="22"/>
        </w:rPr>
      </w:pPr>
    </w:p>
    <w:p>
      <w:pPr>
        <w:pStyle w:val="BodyText"/>
        <w:spacing w:line="360" w:lineRule="auto" w:before="1"/>
        <w:ind w:left="162" w:right="155"/>
        <w:jc w:val="both"/>
      </w:pPr>
      <w:r>
        <w:rPr/>
        <w:t>En la actualidad, gran número de investigaciones están dirigidas a los</w:t>
      </w:r>
      <w:r>
        <w:rPr>
          <w:spacing w:val="-36"/>
        </w:rPr>
        <w:t> </w:t>
      </w:r>
      <w:r>
        <w:rPr/>
        <w:t>mecanismos de acción implicados en la reparación y regeneración, e identificar las señales que regulan</w:t>
      </w:r>
      <w:r>
        <w:rPr>
          <w:spacing w:val="-8"/>
        </w:rPr>
        <w:t> </w:t>
      </w:r>
      <w:r>
        <w:rPr/>
        <w:t>la</w:t>
      </w:r>
      <w:r>
        <w:rPr>
          <w:spacing w:val="-9"/>
        </w:rPr>
        <w:t> </w:t>
      </w:r>
      <w:r>
        <w:rPr/>
        <w:t>proliferación</w:t>
      </w:r>
      <w:r>
        <w:rPr>
          <w:spacing w:val="-11"/>
        </w:rPr>
        <w:t> </w:t>
      </w:r>
      <w:r>
        <w:rPr/>
        <w:t>y</w:t>
      </w:r>
      <w:r>
        <w:rPr>
          <w:spacing w:val="-12"/>
        </w:rPr>
        <w:t> </w:t>
      </w:r>
      <w:r>
        <w:rPr/>
        <w:t>diferenciación</w:t>
      </w:r>
      <w:r>
        <w:rPr>
          <w:spacing w:val="-11"/>
        </w:rPr>
        <w:t> </w:t>
      </w:r>
      <w:r>
        <w:rPr/>
        <w:t>de</w:t>
      </w:r>
      <w:r>
        <w:rPr>
          <w:spacing w:val="-11"/>
        </w:rPr>
        <w:t> </w:t>
      </w:r>
      <w:r>
        <w:rPr/>
        <w:t>las</w:t>
      </w:r>
      <w:r>
        <w:rPr>
          <w:spacing w:val="-11"/>
        </w:rPr>
        <w:t> </w:t>
      </w:r>
      <w:r>
        <w:rPr/>
        <w:t>células.</w:t>
      </w:r>
      <w:r>
        <w:rPr>
          <w:spacing w:val="-9"/>
        </w:rPr>
        <w:t> </w:t>
      </w:r>
      <w:r>
        <w:rPr/>
        <w:t>Hoy</w:t>
      </w:r>
      <w:r>
        <w:rPr>
          <w:spacing w:val="-12"/>
        </w:rPr>
        <w:t> </w:t>
      </w:r>
      <w:r>
        <w:rPr/>
        <w:t>sabemos</w:t>
      </w:r>
      <w:r>
        <w:rPr>
          <w:spacing w:val="-12"/>
        </w:rPr>
        <w:t> </w:t>
      </w:r>
      <w:r>
        <w:rPr/>
        <w:t>que</w:t>
      </w:r>
      <w:r>
        <w:rPr>
          <w:spacing w:val="-8"/>
        </w:rPr>
        <w:t> </w:t>
      </w:r>
      <w:r>
        <w:rPr/>
        <w:t>el</w:t>
      </w:r>
      <w:r>
        <w:rPr>
          <w:spacing w:val="-10"/>
        </w:rPr>
        <w:t> </w:t>
      </w:r>
      <w:r>
        <w:rPr/>
        <w:t>proceso de regeneración tisular tiene tres fases: la inflamatoria, la proliferativa y la de remodelación</w:t>
      </w:r>
      <w:r>
        <w:rPr>
          <w:spacing w:val="-17"/>
        </w:rPr>
        <w:t> </w:t>
      </w:r>
      <w:r>
        <w:rPr/>
        <w:t>en</w:t>
      </w:r>
      <w:r>
        <w:rPr>
          <w:spacing w:val="-19"/>
        </w:rPr>
        <w:t> </w:t>
      </w:r>
      <w:r>
        <w:rPr/>
        <w:t>donde</w:t>
      </w:r>
      <w:r>
        <w:rPr>
          <w:spacing w:val="-17"/>
        </w:rPr>
        <w:t> </w:t>
      </w:r>
      <w:r>
        <w:rPr/>
        <w:t>juegan</w:t>
      </w:r>
      <w:r>
        <w:rPr>
          <w:spacing w:val="-17"/>
        </w:rPr>
        <w:t> </w:t>
      </w:r>
      <w:r>
        <w:rPr/>
        <w:t>un</w:t>
      </w:r>
      <w:r>
        <w:rPr>
          <w:spacing w:val="-19"/>
        </w:rPr>
        <w:t> </w:t>
      </w:r>
      <w:r>
        <w:rPr/>
        <w:t>papel</w:t>
      </w:r>
      <w:r>
        <w:rPr>
          <w:spacing w:val="-20"/>
        </w:rPr>
        <w:t> </w:t>
      </w:r>
      <w:r>
        <w:rPr/>
        <w:t>muy</w:t>
      </w:r>
      <w:r>
        <w:rPr>
          <w:spacing w:val="-21"/>
        </w:rPr>
        <w:t> </w:t>
      </w:r>
      <w:r>
        <w:rPr/>
        <w:t>importante</w:t>
      </w:r>
      <w:r>
        <w:rPr>
          <w:spacing w:val="-17"/>
        </w:rPr>
        <w:t> </w:t>
      </w:r>
      <w:r>
        <w:rPr/>
        <w:t>un</w:t>
      </w:r>
      <w:r>
        <w:rPr>
          <w:spacing w:val="-17"/>
        </w:rPr>
        <w:t> </w:t>
      </w:r>
      <w:r>
        <w:rPr/>
        <w:t>gran</w:t>
      </w:r>
      <w:r>
        <w:rPr>
          <w:spacing w:val="-19"/>
        </w:rPr>
        <w:t> </w:t>
      </w:r>
      <w:r>
        <w:rPr/>
        <w:t>número</w:t>
      </w:r>
      <w:r>
        <w:rPr>
          <w:spacing w:val="-20"/>
        </w:rPr>
        <w:t> </w:t>
      </w:r>
      <w:r>
        <w:rPr/>
        <w:t>de</w:t>
      </w:r>
      <w:r>
        <w:rPr>
          <w:spacing w:val="-21"/>
        </w:rPr>
        <w:t> </w:t>
      </w:r>
      <w:r>
        <w:rPr/>
        <w:t>factores celulares</w:t>
      </w:r>
      <w:r>
        <w:rPr>
          <w:spacing w:val="-19"/>
        </w:rPr>
        <w:t> </w:t>
      </w:r>
      <w:r>
        <w:rPr/>
        <w:t>y</w:t>
      </w:r>
      <w:r>
        <w:rPr>
          <w:spacing w:val="-21"/>
        </w:rPr>
        <w:t> </w:t>
      </w:r>
      <w:r>
        <w:rPr/>
        <w:t>humorales.</w:t>
      </w:r>
      <w:r>
        <w:rPr>
          <w:spacing w:val="-21"/>
        </w:rPr>
        <w:t> </w:t>
      </w:r>
      <w:r>
        <w:rPr/>
        <w:t>Dentro</w:t>
      </w:r>
      <w:r>
        <w:rPr>
          <w:spacing w:val="-18"/>
        </w:rPr>
        <w:t> </w:t>
      </w:r>
      <w:r>
        <w:rPr/>
        <w:t>de</w:t>
      </w:r>
      <w:r>
        <w:rPr>
          <w:spacing w:val="-18"/>
        </w:rPr>
        <w:t> </w:t>
      </w:r>
      <w:r>
        <w:rPr/>
        <w:t>los</w:t>
      </w:r>
      <w:r>
        <w:rPr>
          <w:spacing w:val="-21"/>
        </w:rPr>
        <w:t> </w:t>
      </w:r>
      <w:r>
        <w:rPr/>
        <w:t>factores</w:t>
      </w:r>
      <w:r>
        <w:rPr>
          <w:spacing w:val="-21"/>
        </w:rPr>
        <w:t> </w:t>
      </w:r>
      <w:r>
        <w:rPr/>
        <w:t>celulares</w:t>
      </w:r>
      <w:r>
        <w:rPr>
          <w:spacing w:val="-19"/>
        </w:rPr>
        <w:t> </w:t>
      </w:r>
      <w:r>
        <w:rPr/>
        <w:t>implicados</w:t>
      </w:r>
      <w:r>
        <w:rPr>
          <w:spacing w:val="-21"/>
        </w:rPr>
        <w:t> </w:t>
      </w:r>
      <w:r>
        <w:rPr/>
        <w:t>en</w:t>
      </w:r>
      <w:r>
        <w:rPr>
          <w:spacing w:val="-18"/>
        </w:rPr>
        <w:t> </w:t>
      </w:r>
      <w:r>
        <w:rPr/>
        <w:t>la</w:t>
      </w:r>
      <w:r>
        <w:rPr>
          <w:spacing w:val="-18"/>
        </w:rPr>
        <w:t> </w:t>
      </w:r>
      <w:r>
        <w:rPr/>
        <w:t>cicatrización se encuentran los factores de crecimiento que son sustancias proteicas solubles comprendidas en el interior de las plaquetas con actividades quimiotácticas y mitogénicas que constituyen un grupo de señales que organizan y coordinan la proliferación celular</w:t>
      </w:r>
      <w:r>
        <w:rPr>
          <w:spacing w:val="-6"/>
        </w:rPr>
        <w:t> </w:t>
      </w:r>
      <w:r>
        <w:rPr/>
        <w:t>(10).</w:t>
      </w:r>
    </w:p>
    <w:p>
      <w:pPr>
        <w:pStyle w:val="BodyText"/>
        <w:spacing w:line="360" w:lineRule="auto" w:before="204"/>
        <w:ind w:left="162" w:right="158"/>
        <w:jc w:val="both"/>
      </w:pPr>
      <w:r>
        <w:rPr/>
        <w:t>El Plasma Rico en Plaquetas (PRP) es un volumen de plasma autólogo que tiene una alta concentración de plaquetas. A su vez, la concentración plaquetaria incrementa en los sitios de intervención quirúrgica tras la aplicación quirúrgica del PRP. Como es sabido, el aumento en el número de plaquetas resulta en el incremento en el número de factores de crecimiento que regulan la proliferación, la quimiotaxis y la diferenciación celular en el área quirúrgica tratada con PRP por lo que</w:t>
      </w:r>
      <w:r>
        <w:rPr>
          <w:spacing w:val="-8"/>
        </w:rPr>
        <w:t> </w:t>
      </w:r>
      <w:r>
        <w:rPr/>
        <w:t>su</w:t>
      </w:r>
      <w:r>
        <w:rPr>
          <w:spacing w:val="-8"/>
        </w:rPr>
        <w:t> </w:t>
      </w:r>
      <w:r>
        <w:rPr/>
        <w:t>nombre</w:t>
      </w:r>
      <w:r>
        <w:rPr>
          <w:spacing w:val="-11"/>
        </w:rPr>
        <w:t> </w:t>
      </w:r>
      <w:r>
        <w:rPr/>
        <w:t>fue</w:t>
      </w:r>
      <w:r>
        <w:rPr>
          <w:spacing w:val="-8"/>
        </w:rPr>
        <w:t> </w:t>
      </w:r>
      <w:r>
        <w:rPr/>
        <w:t>reemplazado</w:t>
      </w:r>
      <w:r>
        <w:rPr>
          <w:spacing w:val="-11"/>
        </w:rPr>
        <w:t> </w:t>
      </w:r>
      <w:r>
        <w:rPr/>
        <w:t>por</w:t>
      </w:r>
      <w:r>
        <w:rPr>
          <w:spacing w:val="-9"/>
        </w:rPr>
        <w:t> </w:t>
      </w:r>
      <w:r>
        <w:rPr/>
        <w:t>plasma</w:t>
      </w:r>
      <w:r>
        <w:rPr>
          <w:spacing w:val="-8"/>
        </w:rPr>
        <w:t> </w:t>
      </w:r>
      <w:r>
        <w:rPr/>
        <w:t>rico</w:t>
      </w:r>
      <w:r>
        <w:rPr>
          <w:spacing w:val="-9"/>
        </w:rPr>
        <w:t> </w:t>
      </w:r>
      <w:r>
        <w:rPr/>
        <w:t>en</w:t>
      </w:r>
      <w:r>
        <w:rPr>
          <w:spacing w:val="-11"/>
        </w:rPr>
        <w:t> </w:t>
      </w:r>
      <w:r>
        <w:rPr/>
        <w:t>factores</w:t>
      </w:r>
      <w:r>
        <w:rPr>
          <w:spacing w:val="-9"/>
        </w:rPr>
        <w:t> </w:t>
      </w:r>
      <w:r>
        <w:rPr/>
        <w:t>de</w:t>
      </w:r>
      <w:r>
        <w:rPr>
          <w:spacing w:val="-8"/>
        </w:rPr>
        <w:t> </w:t>
      </w:r>
      <w:r>
        <w:rPr/>
        <w:t>crecimiento</w:t>
      </w:r>
      <w:r>
        <w:rPr>
          <w:spacing w:val="-8"/>
        </w:rPr>
        <w:t> </w:t>
      </w:r>
      <w:r>
        <w:rPr/>
        <w:t>(PRGF, por sus siglas en inglés). La agregación plaquetaria libera factores quimiotácticos para</w:t>
      </w:r>
      <w:r>
        <w:rPr>
          <w:spacing w:val="-16"/>
        </w:rPr>
        <w:t> </w:t>
      </w:r>
      <w:r>
        <w:rPr/>
        <w:t>los</w:t>
      </w:r>
      <w:r>
        <w:rPr>
          <w:spacing w:val="-16"/>
        </w:rPr>
        <w:t> </w:t>
      </w:r>
      <w:r>
        <w:rPr/>
        <w:t>leucocitos</w:t>
      </w:r>
      <w:r>
        <w:rPr>
          <w:spacing w:val="-16"/>
        </w:rPr>
        <w:t> </w:t>
      </w:r>
      <w:r>
        <w:rPr/>
        <w:t>tales</w:t>
      </w:r>
      <w:r>
        <w:rPr>
          <w:spacing w:val="-16"/>
        </w:rPr>
        <w:t> </w:t>
      </w:r>
      <w:r>
        <w:rPr/>
        <w:t>como</w:t>
      </w:r>
      <w:r>
        <w:rPr>
          <w:spacing w:val="-18"/>
        </w:rPr>
        <w:t> </w:t>
      </w:r>
      <w:r>
        <w:rPr/>
        <w:t>el</w:t>
      </w:r>
      <w:r>
        <w:rPr>
          <w:spacing w:val="-19"/>
        </w:rPr>
        <w:t> </w:t>
      </w:r>
      <w:r>
        <w:rPr/>
        <w:t>factor</w:t>
      </w:r>
      <w:r>
        <w:rPr>
          <w:spacing w:val="-17"/>
        </w:rPr>
        <w:t> </w:t>
      </w:r>
      <w:r>
        <w:rPr/>
        <w:t>de</w:t>
      </w:r>
      <w:r>
        <w:rPr>
          <w:spacing w:val="-16"/>
        </w:rPr>
        <w:t> </w:t>
      </w:r>
      <w:r>
        <w:rPr/>
        <w:t>crecimiento</w:t>
      </w:r>
      <w:r>
        <w:rPr>
          <w:spacing w:val="-16"/>
        </w:rPr>
        <w:t> </w:t>
      </w:r>
      <w:r>
        <w:rPr/>
        <w:t>plaquetario</w:t>
      </w:r>
      <w:r>
        <w:rPr>
          <w:spacing w:val="-16"/>
        </w:rPr>
        <w:t> </w:t>
      </w:r>
      <w:r>
        <w:rPr/>
        <w:t>(PDGF)</w:t>
      </w:r>
      <w:r>
        <w:rPr>
          <w:spacing w:val="-17"/>
        </w:rPr>
        <w:t> </w:t>
      </w:r>
      <w:r>
        <w:rPr/>
        <w:t>y</w:t>
      </w:r>
      <w:r>
        <w:rPr>
          <w:spacing w:val="-19"/>
        </w:rPr>
        <w:t> </w:t>
      </w:r>
      <w:r>
        <w:rPr/>
        <w:t>el</w:t>
      </w:r>
      <w:r>
        <w:rPr>
          <w:spacing w:val="-17"/>
        </w:rPr>
        <w:t> </w:t>
      </w:r>
      <w:r>
        <w:rPr/>
        <w:t>factor de crecimiento transformador α y β, los cuales promueven la regeneración tisular (10).</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8"/>
        <w:jc w:val="both"/>
      </w:pPr>
      <w:r>
        <w:rPr/>
        <w:t>Varios</w:t>
      </w:r>
      <w:r>
        <w:rPr>
          <w:spacing w:val="-13"/>
        </w:rPr>
        <w:t> </w:t>
      </w:r>
      <w:r>
        <w:rPr/>
        <w:t>estudios</w:t>
      </w:r>
      <w:r>
        <w:rPr>
          <w:spacing w:val="-15"/>
        </w:rPr>
        <w:t> </w:t>
      </w:r>
      <w:r>
        <w:rPr/>
        <w:t>han</w:t>
      </w:r>
      <w:r>
        <w:rPr>
          <w:spacing w:val="-14"/>
        </w:rPr>
        <w:t> </w:t>
      </w:r>
      <w:r>
        <w:rPr/>
        <w:t>reportado</w:t>
      </w:r>
      <w:r>
        <w:rPr>
          <w:spacing w:val="-14"/>
        </w:rPr>
        <w:t> </w:t>
      </w:r>
      <w:r>
        <w:rPr/>
        <w:t>una</w:t>
      </w:r>
      <w:r>
        <w:rPr>
          <w:spacing w:val="-12"/>
        </w:rPr>
        <w:t> </w:t>
      </w:r>
      <w:r>
        <w:rPr/>
        <w:t>rápida</w:t>
      </w:r>
      <w:r>
        <w:rPr>
          <w:spacing w:val="-14"/>
        </w:rPr>
        <w:t> </w:t>
      </w:r>
      <w:r>
        <w:rPr/>
        <w:t>y</w:t>
      </w:r>
      <w:r>
        <w:rPr>
          <w:spacing w:val="-15"/>
        </w:rPr>
        <w:t> </w:t>
      </w:r>
      <w:r>
        <w:rPr/>
        <w:t>efectiva</w:t>
      </w:r>
      <w:r>
        <w:rPr>
          <w:spacing w:val="-12"/>
        </w:rPr>
        <w:t> </w:t>
      </w:r>
      <w:r>
        <w:rPr/>
        <w:t>regeneración</w:t>
      </w:r>
      <w:r>
        <w:rPr>
          <w:spacing w:val="-12"/>
        </w:rPr>
        <w:t> </w:t>
      </w:r>
      <w:r>
        <w:rPr/>
        <w:t>de</w:t>
      </w:r>
      <w:r>
        <w:rPr>
          <w:spacing w:val="-14"/>
        </w:rPr>
        <w:t> </w:t>
      </w:r>
      <w:r>
        <w:rPr/>
        <w:t>tejidos</w:t>
      </w:r>
      <w:r>
        <w:rPr>
          <w:spacing w:val="-15"/>
        </w:rPr>
        <w:t> </w:t>
      </w:r>
      <w:r>
        <w:rPr/>
        <w:t>blandos y duros con una marcada reducción de los efectos postoperatorios cuando se ha aplicado el PRGF en conjunto con los procedimientos de injerto. Además de los factores</w:t>
      </w:r>
      <w:r>
        <w:rPr>
          <w:spacing w:val="-10"/>
        </w:rPr>
        <w:t> </w:t>
      </w:r>
      <w:r>
        <w:rPr/>
        <w:t>de</w:t>
      </w:r>
      <w:r>
        <w:rPr>
          <w:spacing w:val="-7"/>
        </w:rPr>
        <w:t> </w:t>
      </w:r>
      <w:r>
        <w:rPr/>
        <w:t>crecimiento,</w:t>
      </w:r>
      <w:r>
        <w:rPr>
          <w:spacing w:val="-7"/>
        </w:rPr>
        <w:t> </w:t>
      </w:r>
      <w:r>
        <w:rPr/>
        <w:t>juegan</w:t>
      </w:r>
      <w:r>
        <w:rPr>
          <w:spacing w:val="-9"/>
        </w:rPr>
        <w:t> </w:t>
      </w:r>
      <w:r>
        <w:rPr/>
        <w:t>un</w:t>
      </w:r>
      <w:r>
        <w:rPr>
          <w:spacing w:val="-9"/>
        </w:rPr>
        <w:t> </w:t>
      </w:r>
      <w:r>
        <w:rPr/>
        <w:t>papel</w:t>
      </w:r>
      <w:r>
        <w:rPr>
          <w:spacing w:val="-8"/>
        </w:rPr>
        <w:t> </w:t>
      </w:r>
      <w:r>
        <w:rPr/>
        <w:t>importante</w:t>
      </w:r>
      <w:r>
        <w:rPr>
          <w:spacing w:val="-9"/>
        </w:rPr>
        <w:t> </w:t>
      </w:r>
      <w:r>
        <w:rPr/>
        <w:t>en</w:t>
      </w:r>
      <w:r>
        <w:rPr>
          <w:spacing w:val="-7"/>
        </w:rPr>
        <w:t> </w:t>
      </w:r>
      <w:r>
        <w:rPr/>
        <w:t>los</w:t>
      </w:r>
      <w:r>
        <w:rPr>
          <w:spacing w:val="-10"/>
        </w:rPr>
        <w:t> </w:t>
      </w:r>
      <w:r>
        <w:rPr/>
        <w:t>mecanismos</w:t>
      </w:r>
      <w:r>
        <w:rPr>
          <w:spacing w:val="-10"/>
        </w:rPr>
        <w:t> </w:t>
      </w:r>
      <w:r>
        <w:rPr/>
        <w:t>de</w:t>
      </w:r>
      <w:r>
        <w:rPr>
          <w:spacing w:val="-9"/>
        </w:rPr>
        <w:t> </w:t>
      </w:r>
      <w:r>
        <w:rPr/>
        <w:t>defensa del huésped activando mecanismos de señalización que atraen macrófagos. También se ha reportado la actividad antimicrobiana del PRGF contra varias especies bacterianas involucradas en las infecciones de tipo oral. Algunos concentrados plaquetarios pueden también contener pequeñas cantidades de leucocitos que sintetizan interleucinas involucradas en respuestas inmunes no específicas</w:t>
      </w:r>
      <w:r>
        <w:rPr>
          <w:spacing w:val="-4"/>
        </w:rPr>
        <w:t> </w:t>
      </w:r>
      <w:r>
        <w:rPr/>
        <w:t>(11).</w:t>
      </w:r>
    </w:p>
    <w:p>
      <w:pPr>
        <w:pStyle w:val="Heading1"/>
        <w:numPr>
          <w:ilvl w:val="2"/>
          <w:numId w:val="7"/>
        </w:numPr>
        <w:tabs>
          <w:tab w:pos="831" w:val="left" w:leader="none"/>
        </w:tabs>
        <w:spacing w:line="240" w:lineRule="auto" w:before="204" w:after="0"/>
        <w:ind w:left="830" w:right="0" w:hanging="668"/>
        <w:jc w:val="both"/>
      </w:pPr>
      <w:bookmarkStart w:name="_bookmark21" w:id="43"/>
      <w:bookmarkEnd w:id="43"/>
      <w:r>
        <w:rPr>
          <w:b w:val="0"/>
        </w:rPr>
      </w:r>
      <w:bookmarkStart w:name="_bookmark21" w:id="44"/>
      <w:bookmarkEnd w:id="44"/>
      <w:r>
        <w:rPr/>
        <w:t>F</w:t>
      </w:r>
      <w:r>
        <w:rPr/>
        <w:t>actores de crecimiento implicados en la cicatrización de los</w:t>
      </w:r>
      <w:r>
        <w:rPr>
          <w:spacing w:val="-21"/>
        </w:rPr>
        <w:t> </w:t>
      </w:r>
      <w:r>
        <w:rPr/>
        <w:t>tejidos</w:t>
      </w:r>
    </w:p>
    <w:p>
      <w:pPr>
        <w:pStyle w:val="BodyText"/>
        <w:spacing w:before="2"/>
        <w:rPr>
          <w:b/>
          <w:sz w:val="29"/>
        </w:rPr>
      </w:pPr>
    </w:p>
    <w:p>
      <w:pPr>
        <w:pStyle w:val="BodyText"/>
        <w:spacing w:line="360" w:lineRule="auto"/>
        <w:ind w:left="162" w:right="163"/>
        <w:jc w:val="both"/>
      </w:pPr>
      <w:r>
        <w:rPr/>
        <w:t>Desde</w:t>
      </w:r>
      <w:r>
        <w:rPr>
          <w:spacing w:val="-7"/>
        </w:rPr>
        <w:t> </w:t>
      </w:r>
      <w:r>
        <w:rPr/>
        <w:t>el</w:t>
      </w:r>
      <w:r>
        <w:rPr>
          <w:spacing w:val="-6"/>
        </w:rPr>
        <w:t> </w:t>
      </w:r>
      <w:r>
        <w:rPr/>
        <w:t>punto</w:t>
      </w:r>
      <w:r>
        <w:rPr>
          <w:spacing w:val="-7"/>
        </w:rPr>
        <w:t> </w:t>
      </w:r>
      <w:r>
        <w:rPr/>
        <w:t>de</w:t>
      </w:r>
      <w:r>
        <w:rPr>
          <w:spacing w:val="-7"/>
        </w:rPr>
        <w:t> </w:t>
      </w:r>
      <w:r>
        <w:rPr/>
        <w:t>vista</w:t>
      </w:r>
      <w:r>
        <w:rPr>
          <w:spacing w:val="-5"/>
        </w:rPr>
        <w:t> </w:t>
      </w:r>
      <w:r>
        <w:rPr/>
        <w:t>terapéutico,</w:t>
      </w:r>
      <w:r>
        <w:rPr>
          <w:spacing w:val="-7"/>
        </w:rPr>
        <w:t> </w:t>
      </w:r>
      <w:r>
        <w:rPr/>
        <w:t>hay</w:t>
      </w:r>
      <w:r>
        <w:rPr>
          <w:spacing w:val="-8"/>
        </w:rPr>
        <w:t> </w:t>
      </w:r>
      <w:r>
        <w:rPr/>
        <w:t>dos</w:t>
      </w:r>
      <w:r>
        <w:rPr>
          <w:spacing w:val="-8"/>
        </w:rPr>
        <w:t> </w:t>
      </w:r>
      <w:r>
        <w:rPr/>
        <w:t>procesos</w:t>
      </w:r>
      <w:r>
        <w:rPr>
          <w:spacing w:val="-8"/>
        </w:rPr>
        <w:t> </w:t>
      </w:r>
      <w:r>
        <w:rPr/>
        <w:t>principales</w:t>
      </w:r>
      <w:r>
        <w:rPr>
          <w:spacing w:val="-5"/>
        </w:rPr>
        <w:t> </w:t>
      </w:r>
      <w:r>
        <w:rPr/>
        <w:t>relacionados</w:t>
      </w:r>
      <w:r>
        <w:rPr>
          <w:spacing w:val="-8"/>
        </w:rPr>
        <w:t> </w:t>
      </w:r>
      <w:r>
        <w:rPr/>
        <w:t>con el potencial del PRGF: 1) la liberación de proteínas y factores de crecimiento que estimulan la regeneración del tejido y 2) la formación de una matriz tridimensional de fibrina que retiene y libera parte de los factores de crecimiento actuando como un andamio temporal (16,</w:t>
      </w:r>
      <w:r>
        <w:rPr>
          <w:spacing w:val="-9"/>
        </w:rPr>
        <w:t> </w:t>
      </w:r>
      <w:r>
        <w:rPr/>
        <w:t>17).</w:t>
      </w:r>
    </w:p>
    <w:p>
      <w:pPr>
        <w:pStyle w:val="BodyText"/>
        <w:spacing w:line="360" w:lineRule="auto" w:before="204"/>
        <w:ind w:left="162" w:right="156"/>
        <w:jc w:val="both"/>
      </w:pPr>
      <w:r>
        <w:rPr/>
        <w:t>Los</w:t>
      </w:r>
      <w:r>
        <w:rPr>
          <w:spacing w:val="-13"/>
        </w:rPr>
        <w:t> </w:t>
      </w:r>
      <w:r>
        <w:rPr/>
        <w:t>factores</w:t>
      </w:r>
      <w:r>
        <w:rPr>
          <w:spacing w:val="-10"/>
        </w:rPr>
        <w:t> </w:t>
      </w:r>
      <w:r>
        <w:rPr/>
        <w:t>involucrados</w:t>
      </w:r>
      <w:r>
        <w:rPr>
          <w:spacing w:val="-10"/>
        </w:rPr>
        <w:t> </w:t>
      </w:r>
      <w:r>
        <w:rPr/>
        <w:t>en</w:t>
      </w:r>
      <w:r>
        <w:rPr>
          <w:spacing w:val="-9"/>
        </w:rPr>
        <w:t> </w:t>
      </w:r>
      <w:r>
        <w:rPr/>
        <w:t>la</w:t>
      </w:r>
      <w:r>
        <w:rPr>
          <w:spacing w:val="-12"/>
        </w:rPr>
        <w:t> </w:t>
      </w:r>
      <w:r>
        <w:rPr/>
        <w:t>cicatrización</w:t>
      </w:r>
      <w:r>
        <w:rPr>
          <w:spacing w:val="-11"/>
        </w:rPr>
        <w:t> </w:t>
      </w:r>
      <w:r>
        <w:rPr/>
        <w:t>de</w:t>
      </w:r>
      <w:r>
        <w:rPr>
          <w:spacing w:val="-9"/>
        </w:rPr>
        <w:t> </w:t>
      </w:r>
      <w:r>
        <w:rPr/>
        <w:t>heridas</w:t>
      </w:r>
      <w:r>
        <w:rPr>
          <w:spacing w:val="-10"/>
        </w:rPr>
        <w:t> </w:t>
      </w:r>
      <w:r>
        <w:rPr/>
        <w:t>se</w:t>
      </w:r>
      <w:r>
        <w:rPr>
          <w:spacing w:val="-12"/>
        </w:rPr>
        <w:t> </w:t>
      </w:r>
      <w:r>
        <w:rPr/>
        <w:t>describen</w:t>
      </w:r>
      <w:r>
        <w:rPr>
          <w:spacing w:val="-12"/>
        </w:rPr>
        <w:t> </w:t>
      </w:r>
      <w:r>
        <w:rPr/>
        <w:t>a</w:t>
      </w:r>
      <w:r>
        <w:rPr>
          <w:spacing w:val="-9"/>
        </w:rPr>
        <w:t> </w:t>
      </w:r>
      <w:r>
        <w:rPr/>
        <w:t>continuación (47):</w:t>
      </w:r>
    </w:p>
    <w:p>
      <w:pPr>
        <w:pStyle w:val="BodyText"/>
        <w:spacing w:line="360" w:lineRule="auto" w:before="202"/>
        <w:ind w:left="162" w:right="157"/>
        <w:jc w:val="both"/>
      </w:pPr>
      <w:r>
        <w:rPr/>
        <w:t>Factor de crecimiento derivado de plaquetas (</w:t>
      </w:r>
      <w:r>
        <w:rPr>
          <w:b/>
        </w:rPr>
        <w:t>PDGF</w:t>
      </w:r>
      <w:r>
        <w:rPr/>
        <w:t>). Factor mitogénico para las células mesenquimales. Estimula el crecimiento de tejido conectivo especialmente de</w:t>
      </w:r>
      <w:r>
        <w:rPr>
          <w:spacing w:val="-13"/>
        </w:rPr>
        <w:t> </w:t>
      </w:r>
      <w:r>
        <w:rPr/>
        <w:t>los</w:t>
      </w:r>
      <w:r>
        <w:rPr>
          <w:spacing w:val="-18"/>
        </w:rPr>
        <w:t> </w:t>
      </w:r>
      <w:r>
        <w:rPr/>
        <w:t>fibroblastos,</w:t>
      </w:r>
      <w:r>
        <w:rPr>
          <w:spacing w:val="-16"/>
        </w:rPr>
        <w:t> </w:t>
      </w:r>
      <w:r>
        <w:rPr/>
        <w:t>osteoblastos</w:t>
      </w:r>
      <w:r>
        <w:rPr>
          <w:spacing w:val="-14"/>
        </w:rPr>
        <w:t> </w:t>
      </w:r>
      <w:r>
        <w:rPr/>
        <w:t>y</w:t>
      </w:r>
      <w:r>
        <w:rPr>
          <w:spacing w:val="-16"/>
        </w:rPr>
        <w:t> </w:t>
      </w:r>
      <w:r>
        <w:rPr/>
        <w:t>adipocitos</w:t>
      </w:r>
      <w:r>
        <w:rPr>
          <w:spacing w:val="-16"/>
        </w:rPr>
        <w:t> </w:t>
      </w:r>
      <w:r>
        <w:rPr/>
        <w:t>así</w:t>
      </w:r>
      <w:r>
        <w:rPr>
          <w:spacing w:val="-16"/>
        </w:rPr>
        <w:t> </w:t>
      </w:r>
      <w:r>
        <w:rPr/>
        <w:t>como</w:t>
      </w:r>
      <w:r>
        <w:rPr>
          <w:spacing w:val="-13"/>
        </w:rPr>
        <w:t> </w:t>
      </w:r>
      <w:r>
        <w:rPr/>
        <w:t>la</w:t>
      </w:r>
      <w:r>
        <w:rPr>
          <w:spacing w:val="-18"/>
        </w:rPr>
        <w:t> </w:t>
      </w:r>
      <w:r>
        <w:rPr/>
        <w:t>formación</w:t>
      </w:r>
      <w:r>
        <w:rPr>
          <w:spacing w:val="-16"/>
        </w:rPr>
        <w:t> </w:t>
      </w:r>
      <w:r>
        <w:rPr/>
        <w:t>de</w:t>
      </w:r>
      <w:r>
        <w:rPr>
          <w:spacing w:val="-13"/>
        </w:rPr>
        <w:t> </w:t>
      </w:r>
      <w:r>
        <w:rPr/>
        <w:t>colágeno</w:t>
      </w:r>
      <w:r>
        <w:rPr>
          <w:spacing w:val="-15"/>
        </w:rPr>
        <w:t> </w:t>
      </w:r>
      <w:r>
        <w:rPr/>
        <w:t>tipo</w:t>
      </w:r>
    </w:p>
    <w:p>
      <w:pPr>
        <w:pStyle w:val="BodyText"/>
        <w:spacing w:line="360" w:lineRule="auto" w:before="5"/>
        <w:ind w:left="162" w:right="165"/>
        <w:jc w:val="both"/>
      </w:pPr>
      <w:r>
        <w:rPr/>
        <w:t>I. Induce la angiogénesis indirectamente por la activación de macrófagos. Se conocen dos tipos el PDGF-I y PDGF-II (45, 47).</w:t>
      </w:r>
    </w:p>
    <w:p>
      <w:pPr>
        <w:pStyle w:val="BodyText"/>
        <w:spacing w:line="360" w:lineRule="auto" w:before="204"/>
        <w:ind w:left="162" w:right="156"/>
        <w:jc w:val="both"/>
      </w:pPr>
      <w:r>
        <w:rPr/>
        <w:t>Factor de crecimiento insulínico tipo I y II (</w:t>
      </w:r>
      <w:r>
        <w:rPr>
          <w:b/>
        </w:rPr>
        <w:t>IGF-I </w:t>
      </w:r>
      <w:r>
        <w:rPr/>
        <w:t>y </w:t>
      </w:r>
      <w:r>
        <w:rPr>
          <w:b/>
        </w:rPr>
        <w:t>IGF-II</w:t>
      </w:r>
      <w:r>
        <w:rPr/>
        <w:t>). Actúa como factor de progresión necesario para la síntesis de osteoblastos, estimula la diferenciación de células mesenquimales y favorece la formación de matriz ósea incluyendo el colágeno y los proteoglicanos. Induce la síntesis de la osteocalcina y el colágeno tipo  I,  también  estimula  la  proliferación  y  diferenciación  de  células        madre</w:t>
      </w:r>
    </w:p>
    <w:p>
      <w:pPr>
        <w:spacing w:after="0" w:line="360" w:lineRule="auto"/>
        <w:jc w:val="both"/>
        <w:sectPr>
          <w:footerReference w:type="default" r:id="rId11"/>
          <w:pgSz w:w="12240" w:h="15840"/>
          <w:pgMar w:footer="1572" w:header="744" w:top="1080" w:bottom="1760" w:left="1540" w:right="1540"/>
        </w:sectPr>
      </w:pPr>
    </w:p>
    <w:p>
      <w:pPr>
        <w:pStyle w:val="BodyText"/>
        <w:spacing w:before="4"/>
        <w:rPr>
          <w:sz w:val="21"/>
        </w:rPr>
      </w:pPr>
    </w:p>
    <w:p>
      <w:pPr>
        <w:pStyle w:val="BodyText"/>
        <w:spacing w:line="362" w:lineRule="auto" w:before="69"/>
        <w:ind w:left="162" w:right="164"/>
        <w:jc w:val="both"/>
      </w:pPr>
      <w:r>
        <w:rPr/>
        <w:t>mesenquimales en la condrogénesis y la adipogénesis, e induce la quimiotaxis vascular (18, 44, 45, 50).</w:t>
      </w:r>
    </w:p>
    <w:p>
      <w:pPr>
        <w:pStyle w:val="BodyText"/>
        <w:spacing w:line="360" w:lineRule="auto" w:before="201"/>
        <w:ind w:left="162" w:right="157"/>
        <w:jc w:val="both"/>
      </w:pPr>
      <w:r>
        <w:rPr/>
        <w:t>Factor de crecimiento transformador tipo β (</w:t>
      </w:r>
      <w:r>
        <w:rPr>
          <w:b/>
        </w:rPr>
        <w:t>TGF-β</w:t>
      </w:r>
      <w:r>
        <w:rPr/>
        <w:t>). Ejerce efectos proliferativos y anti-proliferativos, diferenciadores y anti-diferenciadores, dependiendo del tipo y madurez celular. Se le reconoce su acción en la matriz extracelular, en la fase de organización del colágeno tipo I, en la remodelación de la cicatriz y un efecto angiogénico de mecanismo desconocido e inhibe la formación de osteoclastos (18, 44, 45, 50).</w:t>
      </w:r>
    </w:p>
    <w:p>
      <w:pPr>
        <w:pStyle w:val="BodyText"/>
        <w:spacing w:line="360" w:lineRule="auto" w:before="205"/>
        <w:ind w:left="162" w:right="157"/>
        <w:jc w:val="both"/>
      </w:pPr>
      <w:r>
        <w:rPr/>
        <w:t>Factor de crecimiento fibroblástico ácido y básico (</w:t>
      </w:r>
      <w:r>
        <w:rPr>
          <w:b/>
        </w:rPr>
        <w:t>AFGF </w:t>
      </w:r>
      <w:r>
        <w:rPr/>
        <w:t>y </w:t>
      </w:r>
      <w:r>
        <w:rPr>
          <w:b/>
        </w:rPr>
        <w:t>BFGF</w:t>
      </w:r>
      <w:r>
        <w:rPr/>
        <w:t>). Tienen efectos mitogénicos en células madre mesenquimales durante el crecimiento, mantenimiento y reparación además de estimular la formación ósea y ser antigénicos (18, 44, 45, 50).</w:t>
      </w:r>
    </w:p>
    <w:p>
      <w:pPr>
        <w:pStyle w:val="BodyText"/>
        <w:spacing w:line="360" w:lineRule="auto" w:before="204"/>
        <w:ind w:left="162" w:right="159"/>
        <w:jc w:val="both"/>
      </w:pPr>
      <w:r>
        <w:rPr/>
        <w:t>Factor</w:t>
      </w:r>
      <w:r>
        <w:rPr>
          <w:spacing w:val="-10"/>
        </w:rPr>
        <w:t> </w:t>
      </w:r>
      <w:r>
        <w:rPr/>
        <w:t>de</w:t>
      </w:r>
      <w:r>
        <w:rPr>
          <w:spacing w:val="-8"/>
        </w:rPr>
        <w:t> </w:t>
      </w:r>
      <w:r>
        <w:rPr/>
        <w:t>crecimiento</w:t>
      </w:r>
      <w:r>
        <w:rPr>
          <w:spacing w:val="-10"/>
        </w:rPr>
        <w:t> </w:t>
      </w:r>
      <w:r>
        <w:rPr/>
        <w:t>epidérmico</w:t>
      </w:r>
      <w:r>
        <w:rPr>
          <w:spacing w:val="-9"/>
        </w:rPr>
        <w:t> </w:t>
      </w:r>
      <w:r>
        <w:rPr/>
        <w:t>(</w:t>
      </w:r>
      <w:r>
        <w:rPr>
          <w:b/>
        </w:rPr>
        <w:t>EGF</w:t>
      </w:r>
      <w:r>
        <w:rPr/>
        <w:t>).</w:t>
      </w:r>
      <w:r>
        <w:rPr>
          <w:spacing w:val="-12"/>
        </w:rPr>
        <w:t> </w:t>
      </w:r>
      <w:r>
        <w:rPr/>
        <w:t>Tiene</w:t>
      </w:r>
      <w:r>
        <w:rPr>
          <w:spacing w:val="-8"/>
        </w:rPr>
        <w:t> </w:t>
      </w:r>
      <w:r>
        <w:rPr/>
        <w:t>actividad</w:t>
      </w:r>
      <w:r>
        <w:rPr>
          <w:spacing w:val="-11"/>
        </w:rPr>
        <w:t> </w:t>
      </w:r>
      <w:r>
        <w:rPr/>
        <w:t>mitogénica</w:t>
      </w:r>
      <w:r>
        <w:rPr>
          <w:spacing w:val="-8"/>
        </w:rPr>
        <w:t> </w:t>
      </w:r>
      <w:r>
        <w:rPr/>
        <w:t>y</w:t>
      </w:r>
      <w:r>
        <w:rPr>
          <w:spacing w:val="-12"/>
        </w:rPr>
        <w:t> </w:t>
      </w:r>
      <w:r>
        <w:rPr/>
        <w:t>quimiotáctica sobre los fibroblastos y células epiteliales. Es inductor de la migración celular y estimulador de la formación de tejido de granulación. Se encuentra en una gran cantidad de tejidos por lo que juega un papel importante en el desarrollo dental y craneofacial (44,</w:t>
      </w:r>
      <w:r>
        <w:rPr>
          <w:spacing w:val="-5"/>
        </w:rPr>
        <w:t> </w:t>
      </w:r>
      <w:r>
        <w:rPr/>
        <w:t>45).</w:t>
      </w:r>
    </w:p>
    <w:p>
      <w:pPr>
        <w:pStyle w:val="BodyText"/>
        <w:spacing w:line="360" w:lineRule="auto" w:before="204"/>
        <w:ind w:left="162" w:right="158"/>
        <w:jc w:val="both"/>
      </w:pPr>
      <w:r>
        <w:rPr/>
        <w:t>Factor de crecimiento endotelio-vascular (</w:t>
      </w:r>
      <w:r>
        <w:rPr>
          <w:b/>
        </w:rPr>
        <w:t>VEGF</w:t>
      </w:r>
      <w:r>
        <w:rPr/>
        <w:t>). Induce la quimiotaxis y proliferación de células endoteliales, promueve la angiogénesis para estimular la permeabilidad vascular, así como la quimiotaxis y diferenciación de células epiteliales, renales, gliales y fibriblastos (44, 45).</w:t>
      </w:r>
    </w:p>
    <w:p>
      <w:pPr>
        <w:pStyle w:val="BodyText"/>
        <w:spacing w:line="360" w:lineRule="auto" w:before="204"/>
        <w:ind w:left="162" w:right="169"/>
        <w:jc w:val="both"/>
      </w:pPr>
      <w:r>
        <w:rPr/>
        <w:t>Se considera que dichos factores no son liberados a torrente sanguíneo, si no que ejercen solo acción local (9, 16).</w:t>
      </w:r>
    </w:p>
    <w:p>
      <w:pPr>
        <w:pStyle w:val="Heading1"/>
        <w:numPr>
          <w:ilvl w:val="2"/>
          <w:numId w:val="7"/>
        </w:numPr>
        <w:tabs>
          <w:tab w:pos="831" w:val="left" w:leader="none"/>
        </w:tabs>
        <w:spacing w:line="240" w:lineRule="auto" w:before="205" w:after="0"/>
        <w:ind w:left="830" w:right="0" w:hanging="668"/>
        <w:jc w:val="both"/>
      </w:pPr>
      <w:bookmarkStart w:name="_bookmark22" w:id="45"/>
      <w:bookmarkEnd w:id="45"/>
      <w:r>
        <w:rPr>
          <w:b w:val="0"/>
        </w:rPr>
      </w:r>
      <w:bookmarkStart w:name="_bookmark22" w:id="46"/>
      <w:bookmarkEnd w:id="46"/>
      <w:r>
        <w:rPr/>
        <w:t>Obten</w:t>
      </w:r>
      <w:r>
        <w:rPr/>
        <w:t>ción del plasma rico en factores de</w:t>
      </w:r>
      <w:r>
        <w:rPr>
          <w:spacing w:val="-12"/>
        </w:rPr>
        <w:t> </w:t>
      </w:r>
      <w:r>
        <w:rPr/>
        <w:t>crecimiento</w:t>
      </w:r>
    </w:p>
    <w:p>
      <w:pPr>
        <w:pStyle w:val="BodyText"/>
        <w:spacing w:before="2"/>
        <w:rPr>
          <w:b/>
          <w:sz w:val="29"/>
        </w:rPr>
      </w:pPr>
    </w:p>
    <w:p>
      <w:pPr>
        <w:pStyle w:val="BodyText"/>
        <w:spacing w:line="360" w:lineRule="auto"/>
        <w:ind w:left="162" w:right="163"/>
        <w:jc w:val="both"/>
      </w:pPr>
      <w:r>
        <w:rPr/>
        <w:t>Normalmente</w:t>
      </w:r>
      <w:r>
        <w:rPr>
          <w:spacing w:val="-19"/>
        </w:rPr>
        <w:t> </w:t>
      </w:r>
      <w:r>
        <w:rPr/>
        <w:t>el</w:t>
      </w:r>
      <w:r>
        <w:rPr>
          <w:spacing w:val="-18"/>
        </w:rPr>
        <w:t> </w:t>
      </w:r>
      <w:r>
        <w:rPr/>
        <w:t>procedimiento</w:t>
      </w:r>
      <w:r>
        <w:rPr>
          <w:spacing w:val="-18"/>
        </w:rPr>
        <w:t> </w:t>
      </w:r>
      <w:r>
        <w:rPr/>
        <w:t>se</w:t>
      </w:r>
      <w:r>
        <w:rPr>
          <w:spacing w:val="-17"/>
        </w:rPr>
        <w:t> </w:t>
      </w:r>
      <w:r>
        <w:rPr/>
        <w:t>realiza</w:t>
      </w:r>
      <w:r>
        <w:rPr>
          <w:spacing w:val="-17"/>
        </w:rPr>
        <w:t> </w:t>
      </w:r>
      <w:r>
        <w:rPr/>
        <w:t>unos</w:t>
      </w:r>
      <w:r>
        <w:rPr>
          <w:spacing w:val="-17"/>
        </w:rPr>
        <w:t> </w:t>
      </w:r>
      <w:r>
        <w:rPr/>
        <w:t>minutos</w:t>
      </w:r>
      <w:r>
        <w:rPr>
          <w:spacing w:val="-20"/>
        </w:rPr>
        <w:t> </w:t>
      </w:r>
      <w:r>
        <w:rPr/>
        <w:t>antes</w:t>
      </w:r>
      <w:r>
        <w:rPr>
          <w:spacing w:val="-20"/>
        </w:rPr>
        <w:t> </w:t>
      </w:r>
      <w:r>
        <w:rPr/>
        <w:t>de</w:t>
      </w:r>
      <w:r>
        <w:rPr>
          <w:spacing w:val="-19"/>
        </w:rPr>
        <w:t> </w:t>
      </w:r>
      <w:r>
        <w:rPr/>
        <w:t>comenzar</w:t>
      </w:r>
      <w:r>
        <w:rPr>
          <w:spacing w:val="-18"/>
        </w:rPr>
        <w:t> </w:t>
      </w:r>
      <w:r>
        <w:rPr/>
        <w:t>la</w:t>
      </w:r>
      <w:r>
        <w:rPr>
          <w:spacing w:val="-19"/>
        </w:rPr>
        <w:t> </w:t>
      </w:r>
      <w:r>
        <w:rPr/>
        <w:t>cirugía ya</w:t>
      </w:r>
      <w:r>
        <w:rPr>
          <w:spacing w:val="-14"/>
        </w:rPr>
        <w:t> </w:t>
      </w:r>
      <w:r>
        <w:rPr/>
        <w:t>que</w:t>
      </w:r>
      <w:r>
        <w:rPr>
          <w:spacing w:val="-14"/>
        </w:rPr>
        <w:t> </w:t>
      </w:r>
      <w:r>
        <w:rPr/>
        <w:t>la</w:t>
      </w:r>
      <w:r>
        <w:rPr>
          <w:spacing w:val="-16"/>
        </w:rPr>
        <w:t> </w:t>
      </w:r>
      <w:r>
        <w:rPr/>
        <w:t>preparación</w:t>
      </w:r>
      <w:r>
        <w:rPr>
          <w:spacing w:val="-18"/>
        </w:rPr>
        <w:t> </w:t>
      </w:r>
      <w:r>
        <w:rPr/>
        <w:t>no</w:t>
      </w:r>
      <w:r>
        <w:rPr>
          <w:spacing w:val="-16"/>
        </w:rPr>
        <w:t> </w:t>
      </w:r>
      <w:r>
        <w:rPr/>
        <w:t>necesita</w:t>
      </w:r>
      <w:r>
        <w:rPr>
          <w:spacing w:val="-16"/>
        </w:rPr>
        <w:t> </w:t>
      </w:r>
      <w:r>
        <w:rPr/>
        <w:t>de</w:t>
      </w:r>
      <w:r>
        <w:rPr>
          <w:spacing w:val="-16"/>
        </w:rPr>
        <w:t> </w:t>
      </w:r>
      <w:r>
        <w:rPr/>
        <w:t>mucho</w:t>
      </w:r>
      <w:r>
        <w:rPr>
          <w:spacing w:val="-14"/>
        </w:rPr>
        <w:t> </w:t>
      </w:r>
      <w:r>
        <w:rPr/>
        <w:t>tiempo.</w:t>
      </w:r>
      <w:r>
        <w:rPr>
          <w:spacing w:val="-16"/>
        </w:rPr>
        <w:t> </w:t>
      </w:r>
      <w:r>
        <w:rPr/>
        <w:t>Para</w:t>
      </w:r>
      <w:r>
        <w:rPr>
          <w:spacing w:val="-16"/>
        </w:rPr>
        <w:t> </w:t>
      </w:r>
      <w:r>
        <w:rPr/>
        <w:t>la</w:t>
      </w:r>
      <w:r>
        <w:rPr>
          <w:spacing w:val="-16"/>
        </w:rPr>
        <w:t> </w:t>
      </w:r>
      <w:r>
        <w:rPr/>
        <w:t>preparación</w:t>
      </w:r>
      <w:r>
        <w:rPr>
          <w:spacing w:val="-14"/>
        </w:rPr>
        <w:t> </w:t>
      </w:r>
      <w:r>
        <w:rPr/>
        <w:t>se</w:t>
      </w:r>
      <w:r>
        <w:rPr>
          <w:spacing w:val="-16"/>
        </w:rPr>
        <w:t> </w:t>
      </w:r>
      <w:r>
        <w:rPr/>
        <w:t>requiere de la extracción de sangre autóloga (del mismo paciente), la cantidad  </w:t>
      </w:r>
      <w:r>
        <w:rPr>
          <w:spacing w:val="64"/>
        </w:rPr>
        <w:t> </w:t>
      </w:r>
      <w:r>
        <w:rPr/>
        <w:t>dependerá</w:t>
      </w:r>
    </w:p>
    <w:p>
      <w:pPr>
        <w:spacing w:after="0" w:line="360" w:lineRule="auto"/>
        <w:jc w:val="both"/>
        <w:sectPr>
          <w:footerReference w:type="default" r:id="rId12"/>
          <w:pgSz w:w="12240" w:h="15840"/>
          <w:pgMar w:footer="1572" w:header="744" w:top="1080" w:bottom="1760" w:left="1540" w:right="1540"/>
          <w:pgNumType w:start="21"/>
        </w:sectPr>
      </w:pPr>
    </w:p>
    <w:p>
      <w:pPr>
        <w:pStyle w:val="BodyText"/>
        <w:spacing w:before="4"/>
        <w:rPr>
          <w:sz w:val="21"/>
        </w:rPr>
      </w:pPr>
    </w:p>
    <w:p>
      <w:pPr>
        <w:pStyle w:val="BodyText"/>
        <w:spacing w:line="362" w:lineRule="auto" w:before="69"/>
        <w:ind w:left="162" w:right="163"/>
        <w:jc w:val="both"/>
      </w:pPr>
      <w:r>
        <w:rPr/>
        <w:t>del</w:t>
      </w:r>
      <w:r>
        <w:rPr>
          <w:spacing w:val="-4"/>
        </w:rPr>
        <w:t> </w:t>
      </w:r>
      <w:r>
        <w:rPr/>
        <w:t>defecto</w:t>
      </w:r>
      <w:r>
        <w:rPr>
          <w:spacing w:val="-1"/>
        </w:rPr>
        <w:t> </w:t>
      </w:r>
      <w:r>
        <w:rPr/>
        <w:t>a</w:t>
      </w:r>
      <w:r>
        <w:rPr>
          <w:spacing w:val="-3"/>
        </w:rPr>
        <w:t> </w:t>
      </w:r>
      <w:r>
        <w:rPr/>
        <w:t>tratar</w:t>
      </w:r>
      <w:r>
        <w:rPr>
          <w:spacing w:val="-4"/>
        </w:rPr>
        <w:t> </w:t>
      </w:r>
      <w:r>
        <w:rPr/>
        <w:t>pero</w:t>
      </w:r>
      <w:r>
        <w:rPr>
          <w:spacing w:val="-3"/>
        </w:rPr>
        <w:t> </w:t>
      </w:r>
      <w:r>
        <w:rPr/>
        <w:t>suelen</w:t>
      </w:r>
      <w:r>
        <w:rPr>
          <w:spacing w:val="-2"/>
        </w:rPr>
        <w:t> </w:t>
      </w:r>
      <w:r>
        <w:rPr/>
        <w:t>ser</w:t>
      </w:r>
      <w:r>
        <w:rPr>
          <w:spacing w:val="-4"/>
        </w:rPr>
        <w:t> </w:t>
      </w:r>
      <w:r>
        <w:rPr/>
        <w:t>suficientes</w:t>
      </w:r>
      <w:r>
        <w:rPr>
          <w:spacing w:val="-3"/>
        </w:rPr>
        <w:t> </w:t>
      </w:r>
      <w:r>
        <w:rPr/>
        <w:t>10</w:t>
      </w:r>
      <w:r>
        <w:rPr>
          <w:spacing w:val="-3"/>
        </w:rPr>
        <w:t> </w:t>
      </w:r>
      <w:r>
        <w:rPr/>
        <w:t>a</w:t>
      </w:r>
      <w:r>
        <w:rPr>
          <w:spacing w:val="-3"/>
        </w:rPr>
        <w:t> </w:t>
      </w:r>
      <w:r>
        <w:rPr/>
        <w:t>20</w:t>
      </w:r>
      <w:r>
        <w:rPr>
          <w:spacing w:val="-5"/>
        </w:rPr>
        <w:t> </w:t>
      </w:r>
      <w:r>
        <w:rPr/>
        <w:t>ml.</w:t>
      </w:r>
      <w:r>
        <w:rPr>
          <w:spacing w:val="-3"/>
        </w:rPr>
        <w:t> </w:t>
      </w:r>
      <w:r>
        <w:rPr/>
        <w:t>los</w:t>
      </w:r>
      <w:r>
        <w:rPr>
          <w:spacing w:val="-3"/>
        </w:rPr>
        <w:t> </w:t>
      </w:r>
      <w:r>
        <w:rPr/>
        <w:t>cuales</w:t>
      </w:r>
      <w:r>
        <w:rPr>
          <w:spacing w:val="-3"/>
        </w:rPr>
        <w:t> </w:t>
      </w:r>
      <w:r>
        <w:rPr/>
        <w:t>se</w:t>
      </w:r>
      <w:r>
        <w:rPr>
          <w:spacing w:val="-3"/>
        </w:rPr>
        <w:t> </w:t>
      </w:r>
      <w:r>
        <w:rPr/>
        <w:t>trataran</w:t>
      </w:r>
      <w:r>
        <w:rPr>
          <w:spacing w:val="-5"/>
        </w:rPr>
        <w:t> </w:t>
      </w:r>
      <w:r>
        <w:rPr/>
        <w:t>de acuerdo a la técnica de Eduardo Anitua descrita a continuación (18,</w:t>
      </w:r>
      <w:r>
        <w:rPr>
          <w:spacing w:val="-31"/>
        </w:rPr>
        <w:t> </w:t>
      </w:r>
      <w:r>
        <w:rPr/>
        <w:t>50):</w:t>
      </w:r>
    </w:p>
    <w:p>
      <w:pPr>
        <w:pStyle w:val="ListParagraph"/>
        <w:numPr>
          <w:ilvl w:val="0"/>
          <w:numId w:val="8"/>
        </w:numPr>
        <w:tabs>
          <w:tab w:pos="882" w:val="left" w:leader="none"/>
        </w:tabs>
        <w:spacing w:line="360" w:lineRule="auto" w:before="199" w:after="0"/>
        <w:ind w:left="882" w:right="160" w:hanging="360"/>
        <w:jc w:val="both"/>
        <w:rPr>
          <w:sz w:val="24"/>
        </w:rPr>
      </w:pPr>
      <w:r>
        <w:rPr>
          <w:i/>
          <w:sz w:val="24"/>
        </w:rPr>
        <w:t>Obtención de la muestra</w:t>
      </w:r>
      <w:r>
        <w:rPr>
          <w:sz w:val="24"/>
        </w:rPr>
        <w:t>. La sangre se obtiene de venas metacarpianas o ante</w:t>
      </w:r>
      <w:r>
        <w:rPr>
          <w:spacing w:val="-5"/>
          <w:sz w:val="24"/>
        </w:rPr>
        <w:t> </w:t>
      </w:r>
      <w:r>
        <w:rPr>
          <w:sz w:val="24"/>
        </w:rPr>
        <w:t>cubitales.</w:t>
      </w:r>
      <w:r>
        <w:rPr>
          <w:spacing w:val="-4"/>
          <w:sz w:val="24"/>
        </w:rPr>
        <w:t> </w:t>
      </w:r>
      <w:r>
        <w:rPr>
          <w:sz w:val="24"/>
        </w:rPr>
        <w:t>Se</w:t>
      </w:r>
      <w:r>
        <w:rPr>
          <w:spacing w:val="-4"/>
          <w:sz w:val="24"/>
        </w:rPr>
        <w:t> </w:t>
      </w:r>
      <w:r>
        <w:rPr>
          <w:sz w:val="24"/>
        </w:rPr>
        <w:t>extrae</w:t>
      </w:r>
      <w:r>
        <w:rPr>
          <w:spacing w:val="-4"/>
          <w:sz w:val="24"/>
        </w:rPr>
        <w:t> </w:t>
      </w:r>
      <w:r>
        <w:rPr>
          <w:sz w:val="24"/>
        </w:rPr>
        <w:t>la</w:t>
      </w:r>
      <w:r>
        <w:rPr>
          <w:spacing w:val="-4"/>
          <w:sz w:val="24"/>
        </w:rPr>
        <w:t> </w:t>
      </w:r>
      <w:r>
        <w:rPr>
          <w:sz w:val="24"/>
        </w:rPr>
        <w:t>sangre</w:t>
      </w:r>
      <w:r>
        <w:rPr>
          <w:spacing w:val="-1"/>
          <w:sz w:val="24"/>
        </w:rPr>
        <w:t> </w:t>
      </w:r>
      <w:r>
        <w:rPr>
          <w:sz w:val="24"/>
        </w:rPr>
        <w:t>en</w:t>
      </w:r>
      <w:r>
        <w:rPr>
          <w:spacing w:val="-6"/>
          <w:sz w:val="24"/>
        </w:rPr>
        <w:t> </w:t>
      </w:r>
      <w:r>
        <w:rPr>
          <w:sz w:val="24"/>
        </w:rPr>
        <w:t>dos</w:t>
      </w:r>
      <w:r>
        <w:rPr>
          <w:spacing w:val="-7"/>
          <w:sz w:val="24"/>
        </w:rPr>
        <w:t> </w:t>
      </w:r>
      <w:r>
        <w:rPr>
          <w:sz w:val="24"/>
        </w:rPr>
        <w:t>tubos</w:t>
      </w:r>
      <w:r>
        <w:rPr>
          <w:spacing w:val="-4"/>
          <w:sz w:val="24"/>
        </w:rPr>
        <w:t> </w:t>
      </w:r>
      <w:r>
        <w:rPr>
          <w:sz w:val="24"/>
        </w:rPr>
        <w:t>de</w:t>
      </w:r>
      <w:r>
        <w:rPr>
          <w:spacing w:val="-4"/>
          <w:sz w:val="24"/>
        </w:rPr>
        <w:t> </w:t>
      </w:r>
      <w:r>
        <w:rPr>
          <w:sz w:val="24"/>
        </w:rPr>
        <w:t>4.5</w:t>
      </w:r>
      <w:r>
        <w:rPr>
          <w:spacing w:val="-6"/>
          <w:sz w:val="24"/>
        </w:rPr>
        <w:t> </w:t>
      </w:r>
      <w:r>
        <w:rPr>
          <w:sz w:val="24"/>
        </w:rPr>
        <w:t>ml</w:t>
      </w:r>
      <w:r>
        <w:rPr>
          <w:spacing w:val="-5"/>
          <w:sz w:val="24"/>
        </w:rPr>
        <w:t> </w:t>
      </w:r>
      <w:r>
        <w:rPr>
          <w:sz w:val="24"/>
        </w:rPr>
        <w:t>de</w:t>
      </w:r>
      <w:r>
        <w:rPr>
          <w:spacing w:val="-6"/>
          <w:sz w:val="24"/>
        </w:rPr>
        <w:t> </w:t>
      </w:r>
      <w:r>
        <w:rPr>
          <w:sz w:val="24"/>
        </w:rPr>
        <w:t>tapón</w:t>
      </w:r>
      <w:r>
        <w:rPr>
          <w:spacing w:val="-6"/>
          <w:sz w:val="24"/>
        </w:rPr>
        <w:t> </w:t>
      </w:r>
      <w:r>
        <w:rPr>
          <w:sz w:val="24"/>
        </w:rPr>
        <w:t>azul</w:t>
      </w:r>
      <w:r>
        <w:rPr>
          <w:spacing w:val="-5"/>
          <w:sz w:val="24"/>
        </w:rPr>
        <w:t> </w:t>
      </w:r>
      <w:r>
        <w:rPr>
          <w:sz w:val="24"/>
        </w:rPr>
        <w:t>con citrato de sodio al 3.8% como anticoagulante y se mezcla suavemente. (17, 46).</w:t>
      </w:r>
    </w:p>
    <w:p>
      <w:pPr>
        <w:pStyle w:val="ListParagraph"/>
        <w:numPr>
          <w:ilvl w:val="0"/>
          <w:numId w:val="8"/>
        </w:numPr>
        <w:tabs>
          <w:tab w:pos="882" w:val="left" w:leader="none"/>
        </w:tabs>
        <w:spacing w:line="360" w:lineRule="auto" w:before="2" w:after="0"/>
        <w:ind w:left="882" w:right="158" w:hanging="360"/>
        <w:jc w:val="both"/>
        <w:rPr>
          <w:sz w:val="24"/>
        </w:rPr>
      </w:pPr>
      <w:r>
        <w:rPr>
          <w:i/>
          <w:sz w:val="24"/>
        </w:rPr>
        <w:t>Centrifugación y separación</w:t>
      </w:r>
      <w:r>
        <w:rPr>
          <w:sz w:val="24"/>
        </w:rPr>
        <w:t>. Se balancean los tubos por pares dentro de la centrífuga, para evitar daño en el equipo. Se centrifugan los tubos a 1,700 o 1,800 rpm durante 8 minutos con la finalidad de separar el plasma donde se obtienen tres fracciones (17,</w:t>
      </w:r>
      <w:r>
        <w:rPr>
          <w:spacing w:val="-11"/>
          <w:sz w:val="24"/>
        </w:rPr>
        <w:t> </w:t>
      </w:r>
      <w:r>
        <w:rPr>
          <w:sz w:val="24"/>
        </w:rPr>
        <w:t>46):</w:t>
      </w:r>
    </w:p>
    <w:p>
      <w:pPr>
        <w:pStyle w:val="BodyText"/>
        <w:spacing w:line="360" w:lineRule="auto" w:before="204"/>
        <w:ind w:left="162" w:right="158"/>
        <w:jc w:val="both"/>
      </w:pPr>
      <w:r>
        <w:rPr>
          <w:b/>
        </w:rPr>
        <w:t>Fracción 1</w:t>
      </w:r>
      <w:r>
        <w:rPr/>
        <w:t>.- Corresponden a los primeros 500 µL que se considera un plasma pobre</w:t>
      </w:r>
      <w:r>
        <w:rPr>
          <w:spacing w:val="-9"/>
        </w:rPr>
        <w:t> </w:t>
      </w:r>
      <w:r>
        <w:rPr/>
        <w:t>en</w:t>
      </w:r>
      <w:r>
        <w:rPr>
          <w:spacing w:val="-8"/>
        </w:rPr>
        <w:t> </w:t>
      </w:r>
      <w:r>
        <w:rPr/>
        <w:t>plaquetas</w:t>
      </w:r>
      <w:r>
        <w:rPr>
          <w:spacing w:val="-7"/>
        </w:rPr>
        <w:t> </w:t>
      </w:r>
      <w:r>
        <w:rPr/>
        <w:t>y</w:t>
      </w:r>
      <w:r>
        <w:rPr>
          <w:spacing w:val="-9"/>
        </w:rPr>
        <w:t> </w:t>
      </w:r>
      <w:r>
        <w:rPr/>
        <w:t>por</w:t>
      </w:r>
      <w:r>
        <w:rPr>
          <w:spacing w:val="-7"/>
        </w:rPr>
        <w:t> </w:t>
      </w:r>
      <w:r>
        <w:rPr/>
        <w:t>lo</w:t>
      </w:r>
      <w:r>
        <w:rPr>
          <w:spacing w:val="-9"/>
        </w:rPr>
        <w:t> </w:t>
      </w:r>
      <w:r>
        <w:rPr/>
        <w:t>tanto</w:t>
      </w:r>
      <w:r>
        <w:rPr>
          <w:spacing w:val="-8"/>
        </w:rPr>
        <w:t> </w:t>
      </w:r>
      <w:r>
        <w:rPr/>
        <w:t>pobre</w:t>
      </w:r>
      <w:r>
        <w:rPr>
          <w:spacing w:val="-9"/>
        </w:rPr>
        <w:t> </w:t>
      </w:r>
      <w:r>
        <w:rPr/>
        <w:t>en</w:t>
      </w:r>
      <w:r>
        <w:rPr>
          <w:spacing w:val="-11"/>
        </w:rPr>
        <w:t> </w:t>
      </w:r>
      <w:r>
        <w:rPr/>
        <w:t>factores</w:t>
      </w:r>
      <w:r>
        <w:rPr>
          <w:spacing w:val="-9"/>
        </w:rPr>
        <w:t> </w:t>
      </w:r>
      <w:r>
        <w:rPr/>
        <w:t>de</w:t>
      </w:r>
      <w:r>
        <w:rPr>
          <w:spacing w:val="-3"/>
        </w:rPr>
        <w:t> </w:t>
      </w:r>
      <w:r>
        <w:rPr/>
        <w:t>crecimiento.</w:t>
      </w:r>
      <w:r>
        <w:rPr>
          <w:spacing w:val="-9"/>
        </w:rPr>
        <w:t> </w:t>
      </w:r>
      <w:r>
        <w:rPr/>
        <w:t>Se</w:t>
      </w:r>
      <w:r>
        <w:rPr>
          <w:spacing w:val="-6"/>
        </w:rPr>
        <w:t> </w:t>
      </w:r>
      <w:r>
        <w:rPr/>
        <w:t>coloca</w:t>
      </w:r>
      <w:r>
        <w:rPr>
          <w:spacing w:val="-8"/>
        </w:rPr>
        <w:t> </w:t>
      </w:r>
      <w:r>
        <w:rPr/>
        <w:t>en</w:t>
      </w:r>
      <w:r>
        <w:rPr>
          <w:spacing w:val="-8"/>
        </w:rPr>
        <w:t> </w:t>
      </w:r>
      <w:r>
        <w:rPr/>
        <w:t>un tubo o jeringa estéril identificándolo con el #1 (11, 18,</w:t>
      </w:r>
      <w:r>
        <w:rPr>
          <w:spacing w:val="-24"/>
        </w:rPr>
        <w:t> </w:t>
      </w:r>
      <w:r>
        <w:rPr/>
        <w:t>46).</w:t>
      </w:r>
    </w:p>
    <w:p>
      <w:pPr>
        <w:pStyle w:val="BodyText"/>
        <w:spacing w:line="360" w:lineRule="auto" w:before="204"/>
        <w:ind w:left="162" w:right="159"/>
        <w:jc w:val="both"/>
      </w:pPr>
      <w:r>
        <w:rPr>
          <w:b/>
        </w:rPr>
        <w:t>Fracción 2</w:t>
      </w:r>
      <w:r>
        <w:rPr/>
        <w:t>.- Corresponden a los siguientes 500 µL obteniendo un plasma con un número</w:t>
      </w:r>
      <w:r>
        <w:rPr>
          <w:spacing w:val="-16"/>
        </w:rPr>
        <w:t> </w:t>
      </w:r>
      <w:r>
        <w:rPr/>
        <w:t>de</w:t>
      </w:r>
      <w:r>
        <w:rPr>
          <w:spacing w:val="-16"/>
        </w:rPr>
        <w:t> </w:t>
      </w:r>
      <w:r>
        <w:rPr/>
        <w:t>plaquetas</w:t>
      </w:r>
      <w:r>
        <w:rPr>
          <w:spacing w:val="-16"/>
        </w:rPr>
        <w:t> </w:t>
      </w:r>
      <w:r>
        <w:rPr/>
        <w:t>similar</w:t>
      </w:r>
      <w:r>
        <w:rPr>
          <w:spacing w:val="-15"/>
        </w:rPr>
        <w:t> </w:t>
      </w:r>
      <w:r>
        <w:rPr/>
        <w:t>a</w:t>
      </w:r>
      <w:r>
        <w:rPr>
          <w:spacing w:val="-13"/>
        </w:rPr>
        <w:t> </w:t>
      </w:r>
      <w:r>
        <w:rPr/>
        <w:t>la</w:t>
      </w:r>
      <w:r>
        <w:rPr>
          <w:spacing w:val="-13"/>
        </w:rPr>
        <w:t> </w:t>
      </w:r>
      <w:r>
        <w:rPr/>
        <w:t>que</w:t>
      </w:r>
      <w:r>
        <w:rPr>
          <w:spacing w:val="-13"/>
        </w:rPr>
        <w:t> </w:t>
      </w:r>
      <w:r>
        <w:rPr/>
        <w:t>tiene</w:t>
      </w:r>
      <w:r>
        <w:rPr>
          <w:spacing w:val="-13"/>
        </w:rPr>
        <w:t> </w:t>
      </w:r>
      <w:r>
        <w:rPr/>
        <w:t>la</w:t>
      </w:r>
      <w:r>
        <w:rPr>
          <w:spacing w:val="-16"/>
        </w:rPr>
        <w:t> </w:t>
      </w:r>
      <w:r>
        <w:rPr/>
        <w:t>sangre</w:t>
      </w:r>
      <w:r>
        <w:rPr>
          <w:spacing w:val="-14"/>
        </w:rPr>
        <w:t> </w:t>
      </w:r>
      <w:r>
        <w:rPr/>
        <w:t>periférica.</w:t>
      </w:r>
      <w:r>
        <w:rPr>
          <w:spacing w:val="-16"/>
        </w:rPr>
        <w:t> </w:t>
      </w:r>
      <w:r>
        <w:rPr/>
        <w:t>Se</w:t>
      </w:r>
      <w:r>
        <w:rPr>
          <w:spacing w:val="-15"/>
        </w:rPr>
        <w:t> </w:t>
      </w:r>
      <w:r>
        <w:rPr/>
        <w:t>coloca</w:t>
      </w:r>
      <w:r>
        <w:rPr>
          <w:spacing w:val="-13"/>
        </w:rPr>
        <w:t> </w:t>
      </w:r>
      <w:r>
        <w:rPr/>
        <w:t>en</w:t>
      </w:r>
      <w:r>
        <w:rPr>
          <w:spacing w:val="-13"/>
        </w:rPr>
        <w:t> </w:t>
      </w:r>
      <w:r>
        <w:rPr/>
        <w:t>un</w:t>
      </w:r>
      <w:r>
        <w:rPr>
          <w:spacing w:val="-13"/>
        </w:rPr>
        <w:t> </w:t>
      </w:r>
      <w:r>
        <w:rPr/>
        <w:t>tubo estéril identificándolo con el #2 (11, 18,</w:t>
      </w:r>
      <w:r>
        <w:rPr>
          <w:spacing w:val="-16"/>
        </w:rPr>
        <w:t> </w:t>
      </w:r>
      <w:r>
        <w:rPr/>
        <w:t>50).</w:t>
      </w:r>
    </w:p>
    <w:p>
      <w:pPr>
        <w:pStyle w:val="BodyText"/>
        <w:spacing w:line="360" w:lineRule="auto" w:before="204"/>
        <w:ind w:left="162" w:right="161"/>
        <w:jc w:val="both"/>
      </w:pPr>
      <w:r>
        <w:rPr>
          <w:b/>
        </w:rPr>
        <w:t>Fracción 3</w:t>
      </w:r>
      <w:r>
        <w:rPr/>
        <w:t>.- Los siguientes 500 µL considerada la porción del plasma rica en plaquetas, encontrándose inmediatamente después de la serie roja. Se coloca en un tubo estéril con el #3 o letras FC para identificarlos (11, 18, 46).</w:t>
      </w:r>
    </w:p>
    <w:p>
      <w:pPr>
        <w:pStyle w:val="BodyText"/>
        <w:spacing w:line="360" w:lineRule="auto" w:before="204"/>
        <w:ind w:left="162" w:right="161"/>
        <w:jc w:val="both"/>
      </w:pPr>
      <w:r>
        <w:rPr/>
        <w:t>La fracción #3 debe ser cuidadosamente pipeteada para evitar la aspiración de los hematíes, los 0.2 cc más cercanos a las hematíes son los más ricos en factores de crecimiento. El volumen del plasma obtenido tras la centrifugación, variará ligeramente de uno a otro paciente dependiendo de los valores de la fórmula roja de la biometría hemática. Si después del centrifugado observamos un tubo en el que el plasma esta turbio o de color rojizo lo desecharemos, ya que se encuentra hemolizado</w:t>
      </w:r>
      <w:r>
        <w:rPr>
          <w:spacing w:val="-4"/>
        </w:rPr>
        <w:t> </w:t>
      </w:r>
      <w:r>
        <w:rPr/>
        <w:t>y</w:t>
      </w:r>
      <w:r>
        <w:rPr>
          <w:spacing w:val="-7"/>
        </w:rPr>
        <w:t> </w:t>
      </w:r>
      <w:r>
        <w:rPr/>
        <w:t>dará</w:t>
      </w:r>
      <w:r>
        <w:rPr>
          <w:spacing w:val="-4"/>
        </w:rPr>
        <w:t> </w:t>
      </w:r>
      <w:r>
        <w:rPr/>
        <w:t>como</w:t>
      </w:r>
      <w:r>
        <w:rPr>
          <w:spacing w:val="-4"/>
        </w:rPr>
        <w:t> </w:t>
      </w:r>
      <w:r>
        <w:rPr/>
        <w:t>resultado</w:t>
      </w:r>
      <w:r>
        <w:rPr>
          <w:spacing w:val="-4"/>
        </w:rPr>
        <w:t> </w:t>
      </w:r>
      <w:r>
        <w:rPr/>
        <w:t>una</w:t>
      </w:r>
      <w:r>
        <w:rPr>
          <w:spacing w:val="-4"/>
        </w:rPr>
        <w:t> </w:t>
      </w:r>
      <w:r>
        <w:rPr/>
        <w:t>alteración</w:t>
      </w:r>
      <w:r>
        <w:rPr>
          <w:spacing w:val="-3"/>
        </w:rPr>
        <w:t> </w:t>
      </w:r>
      <w:r>
        <w:rPr/>
        <w:t>en</w:t>
      </w:r>
      <w:r>
        <w:rPr>
          <w:spacing w:val="-4"/>
        </w:rPr>
        <w:t> </w:t>
      </w:r>
      <w:r>
        <w:rPr/>
        <w:t>la</w:t>
      </w:r>
      <w:r>
        <w:rPr>
          <w:spacing w:val="-6"/>
        </w:rPr>
        <w:t> </w:t>
      </w:r>
      <w:r>
        <w:rPr/>
        <w:t>formación</w:t>
      </w:r>
      <w:r>
        <w:rPr>
          <w:spacing w:val="-4"/>
        </w:rPr>
        <w:t> </w:t>
      </w:r>
      <w:r>
        <w:rPr/>
        <w:t>del</w:t>
      </w:r>
      <w:r>
        <w:rPr>
          <w:spacing w:val="-5"/>
        </w:rPr>
        <w:t> </w:t>
      </w:r>
      <w:r>
        <w:rPr/>
        <w:t>coagulo.</w:t>
      </w:r>
      <w:r>
        <w:rPr>
          <w:spacing w:val="-6"/>
        </w:rPr>
        <w:t> </w:t>
      </w:r>
      <w:r>
        <w:rPr/>
        <w:t>Esto se</w:t>
      </w:r>
      <w:r>
        <w:rPr>
          <w:spacing w:val="-13"/>
        </w:rPr>
        <w:t> </w:t>
      </w:r>
      <w:r>
        <w:rPr/>
        <w:t>debe</w:t>
      </w:r>
      <w:r>
        <w:rPr>
          <w:spacing w:val="-16"/>
        </w:rPr>
        <w:t> </w:t>
      </w:r>
      <w:r>
        <w:rPr/>
        <w:t>a</w:t>
      </w:r>
      <w:r>
        <w:rPr>
          <w:spacing w:val="-16"/>
        </w:rPr>
        <w:t> </w:t>
      </w:r>
      <w:r>
        <w:rPr/>
        <w:t>un</w:t>
      </w:r>
      <w:r>
        <w:rPr>
          <w:spacing w:val="-15"/>
        </w:rPr>
        <w:t> </w:t>
      </w:r>
      <w:r>
        <w:rPr/>
        <w:t>error</w:t>
      </w:r>
      <w:r>
        <w:rPr>
          <w:spacing w:val="-15"/>
        </w:rPr>
        <w:t> </w:t>
      </w:r>
      <w:r>
        <w:rPr/>
        <w:t>efectuado</w:t>
      </w:r>
      <w:r>
        <w:rPr>
          <w:spacing w:val="-16"/>
        </w:rPr>
        <w:t> </w:t>
      </w:r>
      <w:r>
        <w:rPr/>
        <w:t>a</w:t>
      </w:r>
      <w:r>
        <w:rPr>
          <w:spacing w:val="-13"/>
        </w:rPr>
        <w:t> </w:t>
      </w:r>
      <w:r>
        <w:rPr/>
        <w:t>la</w:t>
      </w:r>
      <w:r>
        <w:rPr>
          <w:spacing w:val="-16"/>
        </w:rPr>
        <w:t> </w:t>
      </w:r>
      <w:r>
        <w:rPr/>
        <w:t>hora</w:t>
      </w:r>
      <w:r>
        <w:rPr>
          <w:spacing w:val="-16"/>
        </w:rPr>
        <w:t> </w:t>
      </w:r>
      <w:r>
        <w:rPr/>
        <w:t>de</w:t>
      </w:r>
      <w:r>
        <w:rPr>
          <w:spacing w:val="-15"/>
        </w:rPr>
        <w:t> </w:t>
      </w:r>
      <w:r>
        <w:rPr/>
        <w:t>la</w:t>
      </w:r>
      <w:r>
        <w:rPr>
          <w:spacing w:val="-16"/>
        </w:rPr>
        <w:t> </w:t>
      </w:r>
      <w:r>
        <w:rPr/>
        <w:t>extracción</w:t>
      </w:r>
      <w:r>
        <w:rPr>
          <w:spacing w:val="-15"/>
        </w:rPr>
        <w:t> </w:t>
      </w:r>
      <w:r>
        <w:rPr/>
        <w:t>de</w:t>
      </w:r>
      <w:r>
        <w:rPr>
          <w:spacing w:val="-15"/>
        </w:rPr>
        <w:t> </w:t>
      </w:r>
      <w:r>
        <w:rPr/>
        <w:t>la</w:t>
      </w:r>
      <w:r>
        <w:rPr>
          <w:spacing w:val="-16"/>
        </w:rPr>
        <w:t> </w:t>
      </w:r>
      <w:r>
        <w:rPr/>
        <w:t>sangre</w:t>
      </w:r>
      <w:r>
        <w:rPr>
          <w:spacing w:val="-16"/>
        </w:rPr>
        <w:t> </w:t>
      </w:r>
      <w:r>
        <w:rPr/>
        <w:t>o</w:t>
      </w:r>
      <w:r>
        <w:rPr>
          <w:spacing w:val="-18"/>
        </w:rPr>
        <w:t> </w:t>
      </w:r>
      <w:r>
        <w:rPr/>
        <w:t>en</w:t>
      </w:r>
      <w:r>
        <w:rPr>
          <w:spacing w:val="-16"/>
        </w:rPr>
        <w:t> </w:t>
      </w:r>
      <w:r>
        <w:rPr/>
        <w:t>el</w:t>
      </w:r>
      <w:r>
        <w:rPr>
          <w:spacing w:val="-17"/>
        </w:rPr>
        <w:t> </w:t>
      </w:r>
      <w:r>
        <w:rPr/>
        <w:t>momento de homogenizarlo con el anticoagulante o bien, porque se ha provocado una</w:t>
      </w:r>
      <w:r>
        <w:rPr>
          <w:spacing w:val="-45"/>
        </w:rPr>
        <w:t> </w:t>
      </w:r>
      <w:r>
        <w:rPr/>
        <w:t>lesión</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61"/>
        <w:jc w:val="both"/>
      </w:pPr>
      <w:r>
        <w:rPr/>
        <w:t>algo mayor a lo habitual en el vaso o vena de la cual se ha extraído la sangre, esto debido</w:t>
      </w:r>
      <w:r>
        <w:rPr>
          <w:spacing w:val="-19"/>
        </w:rPr>
        <w:t> </w:t>
      </w:r>
      <w:r>
        <w:rPr/>
        <w:t>a</w:t>
      </w:r>
      <w:r>
        <w:rPr>
          <w:spacing w:val="-17"/>
        </w:rPr>
        <w:t> </w:t>
      </w:r>
      <w:r>
        <w:rPr/>
        <w:t>que</w:t>
      </w:r>
      <w:r>
        <w:rPr>
          <w:spacing w:val="-19"/>
        </w:rPr>
        <w:t> </w:t>
      </w:r>
      <w:r>
        <w:rPr/>
        <w:t>se</w:t>
      </w:r>
      <w:r>
        <w:rPr>
          <w:spacing w:val="-19"/>
        </w:rPr>
        <w:t> </w:t>
      </w:r>
      <w:r>
        <w:rPr/>
        <w:t>extrajo</w:t>
      </w:r>
      <w:r>
        <w:rPr>
          <w:spacing w:val="-17"/>
        </w:rPr>
        <w:t> </w:t>
      </w:r>
      <w:r>
        <w:rPr/>
        <w:t>a</w:t>
      </w:r>
      <w:r>
        <w:rPr>
          <w:spacing w:val="-19"/>
        </w:rPr>
        <w:t> </w:t>
      </w:r>
      <w:r>
        <w:rPr/>
        <w:t>mayor</w:t>
      </w:r>
      <w:r>
        <w:rPr>
          <w:spacing w:val="-18"/>
        </w:rPr>
        <w:t> </w:t>
      </w:r>
      <w:r>
        <w:rPr/>
        <w:t>velocidad</w:t>
      </w:r>
      <w:r>
        <w:rPr>
          <w:spacing w:val="-19"/>
        </w:rPr>
        <w:t> </w:t>
      </w:r>
      <w:r>
        <w:rPr/>
        <w:t>de</w:t>
      </w:r>
      <w:r>
        <w:rPr>
          <w:spacing w:val="-17"/>
        </w:rPr>
        <w:t> </w:t>
      </w:r>
      <w:r>
        <w:rPr/>
        <w:t>la</w:t>
      </w:r>
      <w:r>
        <w:rPr>
          <w:spacing w:val="-17"/>
        </w:rPr>
        <w:t> </w:t>
      </w:r>
      <w:r>
        <w:rPr/>
        <w:t>recomendada</w:t>
      </w:r>
      <w:r>
        <w:rPr>
          <w:spacing w:val="-19"/>
        </w:rPr>
        <w:t> </w:t>
      </w:r>
      <w:r>
        <w:rPr/>
        <w:t>provocando</w:t>
      </w:r>
      <w:r>
        <w:rPr>
          <w:spacing w:val="-17"/>
        </w:rPr>
        <w:t> </w:t>
      </w:r>
      <w:r>
        <w:rPr/>
        <w:t>la</w:t>
      </w:r>
      <w:r>
        <w:rPr>
          <w:spacing w:val="-19"/>
        </w:rPr>
        <w:t> </w:t>
      </w:r>
      <w:r>
        <w:rPr/>
        <w:t>ruptura de</w:t>
      </w:r>
      <w:r>
        <w:rPr>
          <w:spacing w:val="-8"/>
        </w:rPr>
        <w:t> </w:t>
      </w:r>
      <w:r>
        <w:rPr/>
        <w:t>los</w:t>
      </w:r>
      <w:r>
        <w:rPr>
          <w:spacing w:val="-9"/>
        </w:rPr>
        <w:t> </w:t>
      </w:r>
      <w:r>
        <w:rPr/>
        <w:t>hematíes</w:t>
      </w:r>
      <w:r>
        <w:rPr>
          <w:spacing w:val="-9"/>
        </w:rPr>
        <w:t> </w:t>
      </w:r>
      <w:r>
        <w:rPr/>
        <w:t>lo</w:t>
      </w:r>
      <w:r>
        <w:rPr>
          <w:spacing w:val="-9"/>
        </w:rPr>
        <w:t> </w:t>
      </w:r>
      <w:r>
        <w:rPr/>
        <w:t>cual</w:t>
      </w:r>
      <w:r>
        <w:rPr>
          <w:spacing w:val="-10"/>
        </w:rPr>
        <w:t> </w:t>
      </w:r>
      <w:r>
        <w:rPr/>
        <w:t>provocó</w:t>
      </w:r>
      <w:r>
        <w:rPr>
          <w:spacing w:val="-8"/>
        </w:rPr>
        <w:t> </w:t>
      </w:r>
      <w:r>
        <w:rPr/>
        <w:t>una</w:t>
      </w:r>
      <w:r>
        <w:rPr>
          <w:spacing w:val="-8"/>
        </w:rPr>
        <w:t> </w:t>
      </w:r>
      <w:r>
        <w:rPr/>
        <w:t>mayor</w:t>
      </w:r>
      <w:r>
        <w:rPr>
          <w:spacing w:val="-10"/>
        </w:rPr>
        <w:t> </w:t>
      </w:r>
      <w:r>
        <w:rPr/>
        <w:t>liberación</w:t>
      </w:r>
      <w:r>
        <w:rPr>
          <w:spacing w:val="-8"/>
        </w:rPr>
        <w:t> </w:t>
      </w:r>
      <w:r>
        <w:rPr/>
        <w:t>de</w:t>
      </w:r>
      <w:r>
        <w:rPr>
          <w:spacing w:val="-8"/>
        </w:rPr>
        <w:t> </w:t>
      </w:r>
      <w:r>
        <w:rPr/>
        <w:t>tromboplastina</w:t>
      </w:r>
      <w:r>
        <w:rPr>
          <w:spacing w:val="-8"/>
        </w:rPr>
        <w:t> </w:t>
      </w:r>
      <w:r>
        <w:rPr/>
        <w:t>tisular</w:t>
      </w:r>
      <w:r>
        <w:rPr>
          <w:spacing w:val="-9"/>
        </w:rPr>
        <w:t> </w:t>
      </w:r>
      <w:r>
        <w:rPr/>
        <w:t>(17).</w:t>
      </w:r>
    </w:p>
    <w:p>
      <w:pPr>
        <w:pStyle w:val="ListParagraph"/>
        <w:numPr>
          <w:ilvl w:val="0"/>
          <w:numId w:val="8"/>
        </w:numPr>
        <w:tabs>
          <w:tab w:pos="882" w:val="left" w:leader="none"/>
        </w:tabs>
        <w:spacing w:line="360" w:lineRule="auto" w:before="202" w:after="0"/>
        <w:ind w:left="882" w:right="156" w:hanging="360"/>
        <w:jc w:val="both"/>
        <w:rPr>
          <w:sz w:val="24"/>
        </w:rPr>
      </w:pPr>
      <w:r>
        <w:rPr>
          <w:i/>
          <w:sz w:val="24"/>
        </w:rPr>
        <w:t>Activación de la hemostasia y formación del coágulo</w:t>
      </w:r>
      <w:r>
        <w:rPr>
          <w:sz w:val="24"/>
        </w:rPr>
        <w:t>. Una vez que tenemos la fracción del plasma que vamos a utilizar (fracción #3), realizaremos la activación del coágulo utilizando cloruro de calcio al 10% para inducir la activación plaquetaria y la exocitosis de los gránulos alfa. El calcio actúa como cofactor necesario para la agregación plaquetaria. Se forma un tapón muy gelatinoso, consistente y de fácil manipulación. Cuando se activa se inicia la cascada de coagulación. Con la transformación de las plaquetas se liberan</w:t>
      </w:r>
      <w:r>
        <w:rPr>
          <w:spacing w:val="-13"/>
          <w:sz w:val="24"/>
        </w:rPr>
        <w:t> </w:t>
      </w:r>
      <w:r>
        <w:rPr>
          <w:sz w:val="24"/>
        </w:rPr>
        <w:t>los</w:t>
      </w:r>
      <w:r>
        <w:rPr>
          <w:spacing w:val="-18"/>
          <w:sz w:val="24"/>
        </w:rPr>
        <w:t> </w:t>
      </w:r>
      <w:r>
        <w:rPr>
          <w:sz w:val="24"/>
        </w:rPr>
        <w:t>factores</w:t>
      </w:r>
      <w:r>
        <w:rPr>
          <w:spacing w:val="-16"/>
          <w:sz w:val="24"/>
        </w:rPr>
        <w:t> </w:t>
      </w:r>
      <w:r>
        <w:rPr>
          <w:sz w:val="24"/>
        </w:rPr>
        <w:t>de</w:t>
      </w:r>
      <w:r>
        <w:rPr>
          <w:spacing w:val="-16"/>
          <w:sz w:val="24"/>
        </w:rPr>
        <w:t> </w:t>
      </w:r>
      <w:r>
        <w:rPr>
          <w:sz w:val="24"/>
        </w:rPr>
        <w:t>crecimiento,</w:t>
      </w:r>
      <w:r>
        <w:rPr>
          <w:spacing w:val="-13"/>
          <w:sz w:val="24"/>
        </w:rPr>
        <w:t> </w:t>
      </w:r>
      <w:r>
        <w:rPr>
          <w:sz w:val="24"/>
        </w:rPr>
        <w:t>y</w:t>
      </w:r>
      <w:r>
        <w:rPr>
          <w:spacing w:val="-16"/>
          <w:sz w:val="24"/>
        </w:rPr>
        <w:t> </w:t>
      </w:r>
      <w:r>
        <w:rPr>
          <w:sz w:val="24"/>
        </w:rPr>
        <w:t>la</w:t>
      </w:r>
      <w:r>
        <w:rPr>
          <w:spacing w:val="-16"/>
          <w:sz w:val="24"/>
        </w:rPr>
        <w:t> </w:t>
      </w:r>
      <w:r>
        <w:rPr>
          <w:sz w:val="24"/>
        </w:rPr>
        <w:t>coagulación</w:t>
      </w:r>
      <w:r>
        <w:rPr>
          <w:spacing w:val="-16"/>
          <w:sz w:val="24"/>
        </w:rPr>
        <w:t> </w:t>
      </w:r>
      <w:r>
        <w:rPr>
          <w:sz w:val="24"/>
        </w:rPr>
        <w:t>del</w:t>
      </w:r>
      <w:r>
        <w:rPr>
          <w:spacing w:val="-17"/>
          <w:sz w:val="24"/>
        </w:rPr>
        <w:t> </w:t>
      </w:r>
      <w:r>
        <w:rPr>
          <w:sz w:val="24"/>
        </w:rPr>
        <w:t>fibrinógeno</w:t>
      </w:r>
      <w:r>
        <w:rPr>
          <w:spacing w:val="-15"/>
          <w:sz w:val="24"/>
        </w:rPr>
        <w:t> </w:t>
      </w:r>
      <w:r>
        <w:rPr>
          <w:sz w:val="24"/>
        </w:rPr>
        <w:t>por</w:t>
      </w:r>
      <w:r>
        <w:rPr>
          <w:spacing w:val="-15"/>
          <w:sz w:val="24"/>
        </w:rPr>
        <w:t> </w:t>
      </w:r>
      <w:r>
        <w:rPr>
          <w:sz w:val="24"/>
        </w:rPr>
        <w:t>lo</w:t>
      </w:r>
      <w:r>
        <w:rPr>
          <w:spacing w:val="-13"/>
          <w:sz w:val="24"/>
        </w:rPr>
        <w:t> </w:t>
      </w:r>
      <w:r>
        <w:rPr>
          <w:spacing w:val="-2"/>
          <w:sz w:val="24"/>
        </w:rPr>
        <w:t>que </w:t>
      </w:r>
      <w:r>
        <w:rPr>
          <w:sz w:val="24"/>
        </w:rPr>
        <w:t>se debe hacer unos 10 min. antes de la utilización. El gel obtenido de color amarillo – rosado contiene </w:t>
      </w:r>
      <w:r>
        <w:rPr>
          <w:i/>
          <w:sz w:val="24"/>
        </w:rPr>
        <w:t>plasma rico en factores de crecimiento </w:t>
      </w:r>
      <w:r>
        <w:rPr>
          <w:sz w:val="24"/>
        </w:rPr>
        <w:t>y el de color transparente contiene </w:t>
      </w:r>
      <w:r>
        <w:rPr>
          <w:i/>
          <w:sz w:val="24"/>
        </w:rPr>
        <w:t>plasma pobre en plaquetas </w:t>
      </w:r>
      <w:r>
        <w:rPr>
          <w:sz w:val="24"/>
        </w:rPr>
        <w:t>(46,</w:t>
      </w:r>
      <w:r>
        <w:rPr>
          <w:spacing w:val="-17"/>
          <w:sz w:val="24"/>
        </w:rPr>
        <w:t> </w:t>
      </w:r>
      <w:r>
        <w:rPr>
          <w:sz w:val="24"/>
        </w:rPr>
        <w:t>17).</w:t>
      </w:r>
    </w:p>
    <w:p>
      <w:pPr>
        <w:pStyle w:val="BodyText"/>
        <w:spacing w:line="360" w:lineRule="auto" w:before="206"/>
        <w:ind w:left="162" w:right="161"/>
        <w:jc w:val="both"/>
      </w:pPr>
      <w:r>
        <w:rPr/>
        <w:t>La preparación obtenida de PRGF puede ser combinada con un material osteoconductor</w:t>
      </w:r>
      <w:r>
        <w:rPr>
          <w:spacing w:val="-19"/>
        </w:rPr>
        <w:t> </w:t>
      </w:r>
      <w:r>
        <w:rPr/>
        <w:t>como</w:t>
      </w:r>
      <w:r>
        <w:rPr>
          <w:spacing w:val="-19"/>
        </w:rPr>
        <w:t> </w:t>
      </w:r>
      <w:r>
        <w:rPr/>
        <w:t>injertos</w:t>
      </w:r>
      <w:r>
        <w:rPr>
          <w:spacing w:val="-19"/>
        </w:rPr>
        <w:t> </w:t>
      </w:r>
      <w:r>
        <w:rPr/>
        <w:t>autógenos</w:t>
      </w:r>
      <w:r>
        <w:rPr>
          <w:spacing w:val="-21"/>
        </w:rPr>
        <w:t> </w:t>
      </w:r>
      <w:r>
        <w:rPr/>
        <w:t>o</w:t>
      </w:r>
      <w:r>
        <w:rPr>
          <w:spacing w:val="-19"/>
        </w:rPr>
        <w:t> </w:t>
      </w:r>
      <w:r>
        <w:rPr/>
        <w:t>aloinjertos,</w:t>
      </w:r>
      <w:r>
        <w:rPr>
          <w:spacing w:val="-19"/>
        </w:rPr>
        <w:t> </w:t>
      </w:r>
      <w:r>
        <w:rPr/>
        <w:t>mejorando</w:t>
      </w:r>
      <w:r>
        <w:rPr>
          <w:spacing w:val="-19"/>
        </w:rPr>
        <w:t> </w:t>
      </w:r>
      <w:r>
        <w:rPr/>
        <w:t>así</w:t>
      </w:r>
      <w:r>
        <w:rPr>
          <w:spacing w:val="-21"/>
        </w:rPr>
        <w:t> </w:t>
      </w:r>
      <w:r>
        <w:rPr/>
        <w:t>la</w:t>
      </w:r>
      <w:r>
        <w:rPr>
          <w:spacing w:val="-19"/>
        </w:rPr>
        <w:t> </w:t>
      </w:r>
      <w:r>
        <w:rPr/>
        <w:t>consistencia y el manejo del mismo. Si se pretende mezclar el plasma con cualquier tipo de material de injerto, se mezclará primero el plasma rico en factores de crecimiento con 0.05 ml. de cloruro de calcio, luego se le agrega el material de injerto y posteriormente se le añaden los factores de coagulación autólogos para activar la reacción</w:t>
      </w:r>
      <w:r>
        <w:rPr>
          <w:spacing w:val="-10"/>
        </w:rPr>
        <w:t> </w:t>
      </w:r>
      <w:r>
        <w:rPr/>
        <w:t>y</w:t>
      </w:r>
      <w:r>
        <w:rPr>
          <w:spacing w:val="-12"/>
        </w:rPr>
        <w:t> </w:t>
      </w:r>
      <w:r>
        <w:rPr/>
        <w:t>en</w:t>
      </w:r>
      <w:r>
        <w:rPr>
          <w:spacing w:val="-11"/>
        </w:rPr>
        <w:t> </w:t>
      </w:r>
      <w:r>
        <w:rPr/>
        <w:t>un</w:t>
      </w:r>
      <w:r>
        <w:rPr>
          <w:spacing w:val="-11"/>
        </w:rPr>
        <w:t> </w:t>
      </w:r>
      <w:r>
        <w:rPr/>
        <w:t>tiempo</w:t>
      </w:r>
      <w:r>
        <w:rPr>
          <w:spacing w:val="-8"/>
        </w:rPr>
        <w:t> </w:t>
      </w:r>
      <w:r>
        <w:rPr/>
        <w:t>de</w:t>
      </w:r>
      <w:r>
        <w:rPr>
          <w:spacing w:val="-9"/>
        </w:rPr>
        <w:t> </w:t>
      </w:r>
      <w:r>
        <w:rPr/>
        <w:t>10</w:t>
      </w:r>
      <w:r>
        <w:rPr>
          <w:spacing w:val="-11"/>
        </w:rPr>
        <w:t> </w:t>
      </w:r>
      <w:r>
        <w:rPr/>
        <w:t>a</w:t>
      </w:r>
      <w:r>
        <w:rPr>
          <w:spacing w:val="-11"/>
        </w:rPr>
        <w:t> </w:t>
      </w:r>
      <w:r>
        <w:rPr/>
        <w:t>15</w:t>
      </w:r>
      <w:r>
        <w:rPr>
          <w:spacing w:val="-11"/>
        </w:rPr>
        <w:t> </w:t>
      </w:r>
      <w:r>
        <w:rPr/>
        <w:t>minutos</w:t>
      </w:r>
      <w:r>
        <w:rPr>
          <w:spacing w:val="-9"/>
        </w:rPr>
        <w:t> </w:t>
      </w:r>
      <w:r>
        <w:rPr/>
        <w:t>se</w:t>
      </w:r>
      <w:r>
        <w:rPr>
          <w:spacing w:val="-8"/>
        </w:rPr>
        <w:t> </w:t>
      </w:r>
      <w:r>
        <w:rPr/>
        <w:t>obtendrá</w:t>
      </w:r>
      <w:r>
        <w:rPr>
          <w:spacing w:val="-11"/>
        </w:rPr>
        <w:t> </w:t>
      </w:r>
      <w:r>
        <w:rPr/>
        <w:t>la</w:t>
      </w:r>
      <w:r>
        <w:rPr>
          <w:spacing w:val="-11"/>
        </w:rPr>
        <w:t> </w:t>
      </w:r>
      <w:r>
        <w:rPr/>
        <w:t>membrana</w:t>
      </w:r>
      <w:r>
        <w:rPr>
          <w:spacing w:val="-11"/>
        </w:rPr>
        <w:t> </w:t>
      </w:r>
      <w:r>
        <w:rPr/>
        <w:t>de</w:t>
      </w:r>
      <w:r>
        <w:rPr>
          <w:spacing w:val="-11"/>
        </w:rPr>
        <w:t> </w:t>
      </w:r>
      <w:r>
        <w:rPr/>
        <w:t>injerto</w:t>
      </w:r>
      <w:r>
        <w:rPr>
          <w:spacing w:val="-11"/>
        </w:rPr>
        <w:t> </w:t>
      </w:r>
      <w:r>
        <w:rPr/>
        <w:t>con la consistencia ideal para manejar y modelar</w:t>
      </w:r>
      <w:r>
        <w:rPr>
          <w:spacing w:val="-17"/>
        </w:rPr>
        <w:t> </w:t>
      </w:r>
      <w:r>
        <w:rPr/>
        <w:t>(9).</w:t>
      </w:r>
    </w:p>
    <w:p>
      <w:pPr>
        <w:spacing w:after="0" w:line="360" w:lineRule="auto"/>
        <w:jc w:val="both"/>
        <w:sectPr>
          <w:pgSz w:w="12240" w:h="15840"/>
          <w:pgMar w:header="744" w:footer="1572" w:top="1080" w:bottom="1760" w:left="1540" w:right="1540"/>
        </w:sectPr>
      </w:pPr>
    </w:p>
    <w:p>
      <w:pPr>
        <w:pStyle w:val="BodyText"/>
        <w:spacing w:before="6"/>
        <w:rPr>
          <w:sz w:val="21"/>
        </w:rPr>
      </w:pPr>
    </w:p>
    <w:p>
      <w:pPr>
        <w:pStyle w:val="Heading1"/>
        <w:numPr>
          <w:ilvl w:val="0"/>
          <w:numId w:val="9"/>
        </w:numPr>
        <w:tabs>
          <w:tab w:pos="882" w:val="left" w:leader="none"/>
        </w:tabs>
        <w:spacing w:line="240" w:lineRule="auto" w:before="70" w:after="0"/>
        <w:ind w:left="882" w:right="0" w:hanging="360"/>
        <w:jc w:val="left"/>
      </w:pPr>
      <w:bookmarkStart w:name="_bookmark23" w:id="47"/>
      <w:bookmarkEnd w:id="47"/>
      <w:r>
        <w:rPr>
          <w:b w:val="0"/>
        </w:rPr>
      </w:r>
      <w:bookmarkStart w:name="_bookmark23" w:id="48"/>
      <w:bookmarkEnd w:id="48"/>
      <w:r>
        <w:rPr/>
        <w:t>OBJ</w:t>
      </w:r>
      <w:r>
        <w:rPr/>
        <w:t>ETIVO</w:t>
      </w:r>
    </w:p>
    <w:p>
      <w:pPr>
        <w:pStyle w:val="BodyText"/>
        <w:spacing w:before="2"/>
        <w:rPr>
          <w:b/>
          <w:sz w:val="29"/>
        </w:rPr>
      </w:pPr>
    </w:p>
    <w:p>
      <w:pPr>
        <w:pStyle w:val="BodyText"/>
        <w:spacing w:line="360" w:lineRule="auto" w:before="1"/>
        <w:ind w:left="162" w:right="158"/>
        <w:jc w:val="both"/>
      </w:pPr>
      <w:r>
        <w:rPr/>
        <w:t>El presente reporte de casos tiene como propósito dar a conocer el manejo quirúrgico de dos lesiones periapicales de distinta etiología y con características similares en cuanto a apariencia radiográfica. Ambas lesiones tuvieron como característica la presencia de exudado cuando fueron tratados endodónticamente los órganos dentales que originaron la lesión. En los dos casos se optó por un tratamiento quirúrgico con la finalidad de aplicar técnicas de regeneración tisular guiada y de esta forma promover la regeneración de tejidos.</w:t>
      </w:r>
    </w:p>
    <w:p>
      <w:pPr>
        <w:pStyle w:val="BodyText"/>
        <w:spacing w:line="360" w:lineRule="auto" w:before="205"/>
        <w:ind w:left="162" w:right="160"/>
        <w:jc w:val="both"/>
      </w:pPr>
      <w:r>
        <w:rPr/>
        <w:t>El objetivo de este proyecto por lo tanto fue evaluar los beneficios de la aplicación del plasma rico en factores de crecimiento en combinación con injerto de hueso liofilizado en el tratamiento de lesiones periapicales de origen endodóntico.</w:t>
      </w:r>
    </w:p>
    <w:p>
      <w:pPr>
        <w:spacing w:after="0" w:line="360" w:lineRule="auto"/>
        <w:jc w:val="both"/>
        <w:sectPr>
          <w:pgSz w:w="12240" w:h="15840"/>
          <w:pgMar w:header="744" w:footer="1572" w:top="1080" w:bottom="1760" w:left="1540" w:right="1540"/>
        </w:sectPr>
      </w:pPr>
    </w:p>
    <w:p>
      <w:pPr>
        <w:pStyle w:val="BodyText"/>
        <w:spacing w:before="6"/>
        <w:rPr>
          <w:sz w:val="21"/>
        </w:rPr>
      </w:pPr>
    </w:p>
    <w:p>
      <w:pPr>
        <w:pStyle w:val="Heading1"/>
        <w:numPr>
          <w:ilvl w:val="0"/>
          <w:numId w:val="9"/>
        </w:numPr>
        <w:tabs>
          <w:tab w:pos="882" w:val="left" w:leader="none"/>
        </w:tabs>
        <w:spacing w:line="240" w:lineRule="auto" w:before="70" w:after="0"/>
        <w:ind w:left="882" w:right="0" w:hanging="360"/>
        <w:jc w:val="left"/>
      </w:pPr>
      <w:bookmarkStart w:name="_bookmark24" w:id="49"/>
      <w:bookmarkEnd w:id="49"/>
      <w:r>
        <w:rPr>
          <w:b w:val="0"/>
        </w:rPr>
      </w:r>
      <w:bookmarkStart w:name="_bookmark24" w:id="50"/>
      <w:bookmarkEnd w:id="50"/>
      <w:r>
        <w:rPr/>
        <w:t>REPORTES</w:t>
      </w:r>
      <w:r>
        <w:rPr/>
        <w:t> DE</w:t>
      </w:r>
      <w:r>
        <w:rPr>
          <w:spacing w:val="-2"/>
        </w:rPr>
        <w:t> </w:t>
      </w:r>
      <w:r>
        <w:rPr/>
        <w:t>CASOS</w:t>
      </w:r>
    </w:p>
    <w:p>
      <w:pPr>
        <w:pStyle w:val="BodyText"/>
        <w:spacing w:before="2"/>
        <w:rPr>
          <w:b/>
          <w:sz w:val="29"/>
        </w:rPr>
      </w:pPr>
    </w:p>
    <w:p>
      <w:pPr>
        <w:pStyle w:val="Heading1"/>
        <w:numPr>
          <w:ilvl w:val="1"/>
          <w:numId w:val="10"/>
        </w:numPr>
        <w:tabs>
          <w:tab w:pos="630" w:val="left" w:leader="none"/>
        </w:tabs>
        <w:spacing w:line="240" w:lineRule="auto" w:before="1" w:after="0"/>
        <w:ind w:left="630" w:right="0" w:hanging="468"/>
        <w:jc w:val="left"/>
      </w:pPr>
      <w:bookmarkStart w:name="_bookmark25" w:id="51"/>
      <w:bookmarkEnd w:id="51"/>
      <w:r>
        <w:rPr>
          <w:b w:val="0"/>
        </w:rPr>
      </w:r>
      <w:bookmarkStart w:name="_bookmark25" w:id="52"/>
      <w:bookmarkEnd w:id="52"/>
      <w:r>
        <w:rPr/>
        <w:t>P</w:t>
      </w:r>
      <w:r>
        <w:rPr/>
        <w:t>resentación de Caso Clínico</w:t>
      </w:r>
      <w:r>
        <w:rPr>
          <w:spacing w:val="-6"/>
        </w:rPr>
        <w:t> </w:t>
      </w:r>
      <w:r>
        <w:rPr/>
        <w:t>1</w:t>
      </w:r>
    </w:p>
    <w:p>
      <w:pPr>
        <w:pStyle w:val="BodyText"/>
        <w:spacing w:before="6"/>
        <w:rPr>
          <w:b/>
          <w:sz w:val="22"/>
        </w:rPr>
      </w:pPr>
    </w:p>
    <w:p>
      <w:pPr>
        <w:pStyle w:val="BodyText"/>
        <w:ind w:left="162"/>
      </w:pPr>
      <w:r>
        <w:rPr>
          <w:u w:val="single"/>
        </w:rPr>
        <w:t>Ficha de identificación</w:t>
      </w:r>
    </w:p>
    <w:p>
      <w:pPr>
        <w:pStyle w:val="BodyText"/>
        <w:spacing w:before="4"/>
        <w:rPr>
          <w:sz w:val="23"/>
        </w:rPr>
      </w:pPr>
    </w:p>
    <w:p>
      <w:pPr>
        <w:pStyle w:val="ListParagraph"/>
        <w:numPr>
          <w:ilvl w:val="2"/>
          <w:numId w:val="10"/>
        </w:numPr>
        <w:tabs>
          <w:tab w:pos="882" w:val="left" w:leader="none"/>
        </w:tabs>
        <w:spacing w:line="240" w:lineRule="auto" w:before="70" w:after="0"/>
        <w:ind w:left="882" w:right="0" w:hanging="360"/>
        <w:jc w:val="left"/>
        <w:rPr>
          <w:sz w:val="24"/>
        </w:rPr>
      </w:pPr>
      <w:r>
        <w:rPr>
          <w:sz w:val="24"/>
        </w:rPr>
        <w:t>Nombre:</w:t>
      </w:r>
      <w:r>
        <w:rPr>
          <w:spacing w:val="-3"/>
          <w:sz w:val="24"/>
        </w:rPr>
        <w:t> </w:t>
      </w:r>
      <w:r>
        <w:rPr>
          <w:sz w:val="24"/>
        </w:rPr>
        <w:t>LVRU</w:t>
      </w:r>
    </w:p>
    <w:p>
      <w:pPr>
        <w:pStyle w:val="ListParagraph"/>
        <w:numPr>
          <w:ilvl w:val="2"/>
          <w:numId w:val="10"/>
        </w:numPr>
        <w:tabs>
          <w:tab w:pos="882" w:val="left" w:leader="none"/>
        </w:tabs>
        <w:spacing w:line="240" w:lineRule="auto" w:before="137" w:after="0"/>
        <w:ind w:left="882" w:right="0" w:hanging="360"/>
        <w:jc w:val="left"/>
        <w:rPr>
          <w:sz w:val="24"/>
        </w:rPr>
      </w:pPr>
      <w:r>
        <w:rPr>
          <w:sz w:val="24"/>
        </w:rPr>
        <w:t>Sexo:</w:t>
      </w:r>
      <w:r>
        <w:rPr>
          <w:spacing w:val="-6"/>
          <w:sz w:val="24"/>
        </w:rPr>
        <w:t> </w:t>
      </w:r>
      <w:r>
        <w:rPr>
          <w:sz w:val="24"/>
        </w:rPr>
        <w:t>Masculino</w:t>
      </w:r>
    </w:p>
    <w:p>
      <w:pPr>
        <w:pStyle w:val="ListParagraph"/>
        <w:numPr>
          <w:ilvl w:val="2"/>
          <w:numId w:val="10"/>
        </w:numPr>
        <w:tabs>
          <w:tab w:pos="882" w:val="left" w:leader="none"/>
        </w:tabs>
        <w:spacing w:line="240" w:lineRule="auto" w:before="139" w:after="0"/>
        <w:ind w:left="882" w:right="0" w:hanging="360"/>
        <w:jc w:val="left"/>
        <w:rPr>
          <w:sz w:val="24"/>
        </w:rPr>
      </w:pPr>
      <w:r>
        <w:rPr>
          <w:sz w:val="24"/>
        </w:rPr>
        <w:t>Estado Civil:</w:t>
      </w:r>
      <w:r>
        <w:rPr>
          <w:spacing w:val="-5"/>
          <w:sz w:val="24"/>
        </w:rPr>
        <w:t> </w:t>
      </w:r>
      <w:r>
        <w:rPr>
          <w:sz w:val="24"/>
        </w:rPr>
        <w:t>Casado</w:t>
      </w:r>
    </w:p>
    <w:p>
      <w:pPr>
        <w:pStyle w:val="ListParagraph"/>
        <w:numPr>
          <w:ilvl w:val="2"/>
          <w:numId w:val="10"/>
        </w:numPr>
        <w:tabs>
          <w:tab w:pos="882" w:val="left" w:leader="none"/>
        </w:tabs>
        <w:spacing w:line="360" w:lineRule="auto" w:before="137" w:after="0"/>
        <w:ind w:left="882" w:right="165" w:hanging="360"/>
        <w:jc w:val="left"/>
        <w:rPr>
          <w:sz w:val="24"/>
        </w:rPr>
      </w:pPr>
      <w:r>
        <w:rPr>
          <w:sz w:val="24"/>
        </w:rPr>
        <w:t>Lugar de Residencia: Laguna de Gigantes No. 605; Col. Nueva Oxtotitlán; Toluca, Estado de</w:t>
      </w:r>
      <w:r>
        <w:rPr>
          <w:spacing w:val="-10"/>
          <w:sz w:val="24"/>
        </w:rPr>
        <w:t> </w:t>
      </w:r>
      <w:r>
        <w:rPr>
          <w:sz w:val="24"/>
        </w:rPr>
        <w:t>México.</w:t>
      </w:r>
    </w:p>
    <w:p>
      <w:pPr>
        <w:pStyle w:val="ListParagraph"/>
        <w:numPr>
          <w:ilvl w:val="2"/>
          <w:numId w:val="10"/>
        </w:numPr>
        <w:tabs>
          <w:tab w:pos="882" w:val="left" w:leader="none"/>
        </w:tabs>
        <w:spacing w:line="240" w:lineRule="auto" w:before="5" w:after="0"/>
        <w:ind w:left="882" w:right="0" w:hanging="360"/>
        <w:jc w:val="left"/>
        <w:rPr>
          <w:sz w:val="24"/>
        </w:rPr>
      </w:pPr>
      <w:r>
        <w:rPr>
          <w:sz w:val="24"/>
        </w:rPr>
        <w:t>Escolaridad:</w:t>
      </w:r>
      <w:r>
        <w:rPr>
          <w:spacing w:val="-8"/>
          <w:sz w:val="24"/>
        </w:rPr>
        <w:t> </w:t>
      </w:r>
      <w:r>
        <w:rPr>
          <w:sz w:val="24"/>
        </w:rPr>
        <w:t>Licenciatura</w:t>
      </w:r>
    </w:p>
    <w:p>
      <w:pPr>
        <w:pStyle w:val="ListParagraph"/>
        <w:numPr>
          <w:ilvl w:val="2"/>
          <w:numId w:val="10"/>
        </w:numPr>
        <w:tabs>
          <w:tab w:pos="882" w:val="left" w:leader="none"/>
        </w:tabs>
        <w:spacing w:line="535" w:lineRule="auto" w:before="137" w:after="0"/>
        <w:ind w:left="162" w:right="5619" w:firstLine="360"/>
        <w:jc w:val="left"/>
        <w:rPr>
          <w:sz w:val="24"/>
        </w:rPr>
      </w:pPr>
      <w:r>
        <w:rPr>
          <w:sz w:val="24"/>
        </w:rPr>
        <w:t>Ocupación: Comerciante </w:t>
      </w:r>
      <w:r>
        <w:rPr>
          <w:sz w:val="24"/>
          <w:u w:val="single"/>
        </w:rPr>
        <w:t>Antecedentes heredo</w:t>
      </w:r>
      <w:r>
        <w:rPr>
          <w:spacing w:val="-10"/>
          <w:sz w:val="24"/>
          <w:u w:val="single"/>
        </w:rPr>
        <w:t> </w:t>
      </w:r>
      <w:r>
        <w:rPr>
          <w:sz w:val="24"/>
          <w:u w:val="single"/>
        </w:rPr>
        <w:t>familiares</w:t>
      </w:r>
    </w:p>
    <w:p>
      <w:pPr>
        <w:pStyle w:val="ListParagraph"/>
        <w:numPr>
          <w:ilvl w:val="2"/>
          <w:numId w:val="10"/>
        </w:numPr>
        <w:tabs>
          <w:tab w:pos="882" w:val="left" w:leader="none"/>
        </w:tabs>
        <w:spacing w:line="240" w:lineRule="auto" w:before="8" w:after="0"/>
        <w:ind w:left="882" w:right="0" w:hanging="360"/>
        <w:jc w:val="left"/>
        <w:rPr>
          <w:sz w:val="24"/>
        </w:rPr>
      </w:pPr>
      <w:r>
        <w:rPr>
          <w:sz w:val="24"/>
        </w:rPr>
        <w:t>Interrogados y</w:t>
      </w:r>
      <w:r>
        <w:rPr>
          <w:spacing w:val="-11"/>
          <w:sz w:val="24"/>
        </w:rPr>
        <w:t> </w:t>
      </w:r>
      <w:r>
        <w:rPr>
          <w:sz w:val="24"/>
        </w:rPr>
        <w:t>negados.</w:t>
      </w:r>
    </w:p>
    <w:p>
      <w:pPr>
        <w:pStyle w:val="BodyText"/>
        <w:spacing w:before="4"/>
        <w:rPr>
          <w:sz w:val="29"/>
        </w:rPr>
      </w:pPr>
    </w:p>
    <w:p>
      <w:pPr>
        <w:pStyle w:val="BodyText"/>
        <w:spacing w:before="1"/>
        <w:ind w:left="162"/>
      </w:pPr>
      <w:r>
        <w:rPr>
          <w:u w:val="single"/>
        </w:rPr>
        <w:t>Antecedentes personales no patológicos</w:t>
      </w:r>
    </w:p>
    <w:p>
      <w:pPr>
        <w:pStyle w:val="BodyText"/>
        <w:spacing w:before="4"/>
        <w:rPr>
          <w:sz w:val="23"/>
        </w:rPr>
      </w:pPr>
    </w:p>
    <w:p>
      <w:pPr>
        <w:pStyle w:val="ListParagraph"/>
        <w:numPr>
          <w:ilvl w:val="2"/>
          <w:numId w:val="10"/>
        </w:numPr>
        <w:tabs>
          <w:tab w:pos="882" w:val="left" w:leader="none"/>
        </w:tabs>
        <w:spacing w:line="360" w:lineRule="auto" w:before="70" w:after="0"/>
        <w:ind w:left="882" w:right="165" w:hanging="360"/>
        <w:jc w:val="left"/>
        <w:rPr>
          <w:sz w:val="24"/>
        </w:rPr>
      </w:pPr>
      <w:r>
        <w:rPr>
          <w:sz w:val="24"/>
        </w:rPr>
        <w:t>Vivienda: Casa propia de ladrillo y cemento, cuenta con todos los servicios de</w:t>
      </w:r>
      <w:r>
        <w:rPr>
          <w:spacing w:val="-5"/>
          <w:sz w:val="24"/>
        </w:rPr>
        <w:t> </w:t>
      </w:r>
      <w:r>
        <w:rPr>
          <w:sz w:val="24"/>
        </w:rPr>
        <w:t>urbanización.</w:t>
      </w:r>
    </w:p>
    <w:p>
      <w:pPr>
        <w:pStyle w:val="ListParagraph"/>
        <w:numPr>
          <w:ilvl w:val="2"/>
          <w:numId w:val="10"/>
        </w:numPr>
        <w:tabs>
          <w:tab w:pos="882" w:val="left" w:leader="none"/>
        </w:tabs>
        <w:spacing w:line="360" w:lineRule="auto" w:before="5" w:after="0"/>
        <w:ind w:left="882" w:right="163" w:hanging="360"/>
        <w:jc w:val="left"/>
        <w:rPr>
          <w:sz w:val="24"/>
        </w:rPr>
      </w:pPr>
      <w:r>
        <w:rPr>
          <w:sz w:val="24"/>
        </w:rPr>
        <w:t>Alimentación: 3 veces al día, ligeramente alta en grasas. Buena en calidad</w:t>
      </w:r>
      <w:r>
        <w:rPr>
          <w:spacing w:val="-34"/>
          <w:sz w:val="24"/>
        </w:rPr>
        <w:t> </w:t>
      </w:r>
      <w:r>
        <w:rPr>
          <w:sz w:val="24"/>
        </w:rPr>
        <w:t>y cantidad.</w:t>
      </w:r>
    </w:p>
    <w:p>
      <w:pPr>
        <w:pStyle w:val="ListParagraph"/>
        <w:numPr>
          <w:ilvl w:val="2"/>
          <w:numId w:val="10"/>
        </w:numPr>
        <w:tabs>
          <w:tab w:pos="882" w:val="left" w:leader="none"/>
        </w:tabs>
        <w:spacing w:line="240" w:lineRule="auto" w:before="5" w:after="0"/>
        <w:ind w:left="882" w:right="0" w:hanging="360"/>
        <w:jc w:val="left"/>
        <w:rPr>
          <w:sz w:val="24"/>
        </w:rPr>
      </w:pPr>
      <w:r>
        <w:rPr>
          <w:sz w:val="24"/>
        </w:rPr>
        <w:t>Higiene Personal: Baño diario con cambio de</w:t>
      </w:r>
      <w:r>
        <w:rPr>
          <w:spacing w:val="-18"/>
          <w:sz w:val="24"/>
        </w:rPr>
        <w:t> </w:t>
      </w:r>
      <w:r>
        <w:rPr>
          <w:sz w:val="24"/>
        </w:rPr>
        <w:t>ropa.</w:t>
      </w:r>
    </w:p>
    <w:p>
      <w:pPr>
        <w:pStyle w:val="ListParagraph"/>
        <w:numPr>
          <w:ilvl w:val="2"/>
          <w:numId w:val="10"/>
        </w:numPr>
        <w:tabs>
          <w:tab w:pos="882" w:val="left" w:leader="none"/>
        </w:tabs>
        <w:spacing w:line="240" w:lineRule="auto" w:before="137" w:after="0"/>
        <w:ind w:left="882" w:right="0" w:hanging="360"/>
        <w:jc w:val="left"/>
        <w:rPr>
          <w:sz w:val="24"/>
        </w:rPr>
      </w:pPr>
      <w:r>
        <w:rPr>
          <w:sz w:val="24"/>
        </w:rPr>
        <w:t>Higiene Bucal: 2 veces al día, por la mañana y en la</w:t>
      </w:r>
      <w:r>
        <w:rPr>
          <w:spacing w:val="-21"/>
          <w:sz w:val="24"/>
        </w:rPr>
        <w:t> </w:t>
      </w:r>
      <w:r>
        <w:rPr>
          <w:sz w:val="24"/>
        </w:rPr>
        <w:t>noche.</w:t>
      </w:r>
    </w:p>
    <w:p>
      <w:pPr>
        <w:pStyle w:val="ListParagraph"/>
        <w:numPr>
          <w:ilvl w:val="2"/>
          <w:numId w:val="10"/>
        </w:numPr>
        <w:tabs>
          <w:tab w:pos="882" w:val="left" w:leader="none"/>
        </w:tabs>
        <w:spacing w:line="240" w:lineRule="auto" w:before="139" w:after="0"/>
        <w:ind w:left="882" w:right="0" w:hanging="360"/>
        <w:jc w:val="left"/>
        <w:rPr>
          <w:sz w:val="24"/>
        </w:rPr>
      </w:pPr>
      <w:r>
        <w:rPr>
          <w:sz w:val="24"/>
        </w:rPr>
        <w:t>Toxicomanías: Bebedor y fumador</w:t>
      </w:r>
      <w:r>
        <w:rPr>
          <w:spacing w:val="-15"/>
          <w:sz w:val="24"/>
        </w:rPr>
        <w:t> </w:t>
      </w:r>
      <w:r>
        <w:rPr>
          <w:sz w:val="24"/>
        </w:rPr>
        <w:t>ocasional</w:t>
      </w:r>
    </w:p>
    <w:p>
      <w:pPr>
        <w:pStyle w:val="BodyText"/>
        <w:spacing w:before="2"/>
        <w:rPr>
          <w:sz w:val="29"/>
        </w:rPr>
      </w:pPr>
    </w:p>
    <w:p>
      <w:pPr>
        <w:pStyle w:val="BodyText"/>
        <w:ind w:left="162"/>
      </w:pPr>
      <w:r>
        <w:rPr>
          <w:u w:val="single"/>
        </w:rPr>
        <w:t>Antecedentes personales patológicos</w:t>
      </w:r>
    </w:p>
    <w:p>
      <w:pPr>
        <w:pStyle w:val="BodyText"/>
        <w:rPr>
          <w:sz w:val="15"/>
        </w:rPr>
      </w:pPr>
    </w:p>
    <w:p>
      <w:pPr>
        <w:pStyle w:val="ListParagraph"/>
        <w:numPr>
          <w:ilvl w:val="2"/>
          <w:numId w:val="10"/>
        </w:numPr>
        <w:tabs>
          <w:tab w:pos="882" w:val="left" w:leader="none"/>
        </w:tabs>
        <w:spacing w:line="240" w:lineRule="auto" w:before="70" w:after="0"/>
        <w:ind w:left="882" w:right="0" w:hanging="360"/>
        <w:jc w:val="left"/>
        <w:rPr>
          <w:sz w:val="24"/>
        </w:rPr>
      </w:pPr>
      <w:r>
        <w:rPr>
          <w:sz w:val="24"/>
        </w:rPr>
        <w:t>Apendicetomía hace 3 años sin</w:t>
      </w:r>
      <w:r>
        <w:rPr>
          <w:spacing w:val="-19"/>
          <w:sz w:val="24"/>
        </w:rPr>
        <w:t> </w:t>
      </w:r>
      <w:r>
        <w:rPr>
          <w:sz w:val="24"/>
        </w:rPr>
        <w:t>complicaciones.</w:t>
      </w:r>
    </w:p>
    <w:p>
      <w:pPr>
        <w:pStyle w:val="ListParagraph"/>
        <w:numPr>
          <w:ilvl w:val="2"/>
          <w:numId w:val="10"/>
        </w:numPr>
        <w:tabs>
          <w:tab w:pos="882" w:val="left" w:leader="none"/>
        </w:tabs>
        <w:spacing w:line="360" w:lineRule="auto" w:before="140" w:after="0"/>
        <w:ind w:left="882" w:right="165" w:hanging="360"/>
        <w:jc w:val="left"/>
        <w:rPr>
          <w:sz w:val="24"/>
        </w:rPr>
      </w:pPr>
      <w:r>
        <w:rPr>
          <w:sz w:val="24"/>
        </w:rPr>
        <w:t>Fractura de mano derecha con tratamiento de reducción bajo anestesia general sin complicaciones ni</w:t>
      </w:r>
      <w:r>
        <w:rPr>
          <w:spacing w:val="-11"/>
          <w:sz w:val="24"/>
        </w:rPr>
        <w:t> </w:t>
      </w:r>
      <w:r>
        <w:rPr>
          <w:sz w:val="24"/>
        </w:rPr>
        <w:t>secuelas.</w:t>
      </w:r>
    </w:p>
    <w:p>
      <w:pPr>
        <w:spacing w:after="0" w:line="360" w:lineRule="auto"/>
        <w:jc w:val="left"/>
        <w:rPr>
          <w:sz w:val="24"/>
        </w:rPr>
        <w:sectPr>
          <w:pgSz w:w="12240" w:h="15840"/>
          <w:pgMar w:header="744" w:footer="1572" w:top="1080" w:bottom="1760" w:left="1540" w:right="1540"/>
        </w:sectPr>
      </w:pPr>
    </w:p>
    <w:p>
      <w:pPr>
        <w:pStyle w:val="BodyText"/>
        <w:spacing w:before="4"/>
        <w:rPr>
          <w:sz w:val="21"/>
        </w:rPr>
      </w:pPr>
    </w:p>
    <w:p>
      <w:pPr>
        <w:pStyle w:val="BodyText"/>
        <w:spacing w:before="69"/>
        <w:ind w:left="162"/>
      </w:pPr>
      <w:r>
        <w:rPr>
          <w:u w:val="single"/>
        </w:rPr>
        <w:t>Padecimiento actual</w:t>
      </w:r>
    </w:p>
    <w:p>
      <w:pPr>
        <w:pStyle w:val="BodyText"/>
        <w:spacing w:before="5"/>
        <w:rPr>
          <w:sz w:val="23"/>
        </w:rPr>
      </w:pPr>
    </w:p>
    <w:p>
      <w:pPr>
        <w:pStyle w:val="BodyText"/>
        <w:spacing w:line="360" w:lineRule="auto" w:before="69"/>
        <w:ind w:left="162" w:right="163"/>
        <w:jc w:val="both"/>
      </w:pPr>
      <w:r>
        <w:rPr/>
        <w:drawing>
          <wp:anchor distT="0" distB="0" distL="0" distR="0" allowOverlap="1" layoutInCell="1" locked="0" behindDoc="0" simplePos="0" relativeHeight="1120">
            <wp:simplePos x="0" y="0"/>
            <wp:positionH relativeFrom="page">
              <wp:posOffset>1453896</wp:posOffset>
            </wp:positionH>
            <wp:positionV relativeFrom="paragraph">
              <wp:posOffset>855546</wp:posOffset>
            </wp:positionV>
            <wp:extent cx="4877590" cy="1965960"/>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13" cstate="print"/>
                    <a:stretch>
                      <a:fillRect/>
                    </a:stretch>
                  </pic:blipFill>
                  <pic:spPr>
                    <a:xfrm>
                      <a:off x="0" y="0"/>
                      <a:ext cx="4877590" cy="1965960"/>
                    </a:xfrm>
                    <a:prstGeom prst="rect">
                      <a:avLst/>
                    </a:prstGeom>
                  </pic:spPr>
                </pic:pic>
              </a:graphicData>
            </a:graphic>
          </wp:anchor>
        </w:drawing>
      </w:r>
      <w:r>
        <w:rPr/>
        <w:t>Se presenta paciente masculino de 34 años de edad, remitido del IMSS para valoración endodóntica de OD-11, 12, 13 y 14 debido a la presencia de una lesión tipo quística asociada a dichos órganos dentales (</w:t>
      </w:r>
      <w:hyperlink w:history="true" w:anchor="_bookmark26">
        <w:r>
          <w:rPr>
            <w:rFonts w:ascii="Calibri" w:hAnsi="Calibri"/>
            <w:sz w:val="22"/>
          </w:rPr>
          <w:t>Fig. 1</w:t>
        </w:r>
      </w:hyperlink>
      <w:r>
        <w:rPr/>
        <w:t>).</w:t>
      </w:r>
    </w:p>
    <w:p>
      <w:pPr>
        <w:spacing w:before="87"/>
        <w:ind w:left="639" w:right="0" w:firstLine="0"/>
        <w:jc w:val="left"/>
        <w:rPr>
          <w:sz w:val="20"/>
        </w:rPr>
      </w:pPr>
      <w:bookmarkStart w:name="_bookmark26" w:id="53"/>
      <w:bookmarkEnd w:id="53"/>
      <w:r>
        <w:rPr/>
      </w:r>
      <w:r>
        <w:rPr>
          <w:sz w:val="20"/>
        </w:rPr>
        <w:t>Fig. 1. Fotos extraorales del paciente. A) Lateral izquierda, B) Frontal y C) Lateral Derecha.</w:t>
      </w:r>
    </w:p>
    <w:p>
      <w:pPr>
        <w:pStyle w:val="BodyText"/>
        <w:spacing w:before="11"/>
        <w:rPr>
          <w:sz w:val="29"/>
        </w:rPr>
      </w:pPr>
    </w:p>
    <w:p>
      <w:pPr>
        <w:pStyle w:val="BodyText"/>
        <w:spacing w:line="360" w:lineRule="auto" w:before="69"/>
        <w:ind w:left="162" w:right="155"/>
        <w:jc w:val="both"/>
      </w:pPr>
      <w:r>
        <w:rPr/>
        <w:drawing>
          <wp:anchor distT="0" distB="0" distL="0" distR="0" allowOverlap="1" layoutInCell="1" locked="0" behindDoc="0" simplePos="0" relativeHeight="1144">
            <wp:simplePos x="0" y="0"/>
            <wp:positionH relativeFrom="page">
              <wp:posOffset>1667255</wp:posOffset>
            </wp:positionH>
            <wp:positionV relativeFrom="paragraph">
              <wp:posOffset>1647645</wp:posOffset>
            </wp:positionV>
            <wp:extent cx="4497324" cy="1455420"/>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4" cstate="print"/>
                    <a:stretch>
                      <a:fillRect/>
                    </a:stretch>
                  </pic:blipFill>
                  <pic:spPr>
                    <a:xfrm>
                      <a:off x="0" y="0"/>
                      <a:ext cx="4497324" cy="1455420"/>
                    </a:xfrm>
                    <a:prstGeom prst="rect">
                      <a:avLst/>
                    </a:prstGeom>
                  </pic:spPr>
                </pic:pic>
              </a:graphicData>
            </a:graphic>
          </wp:anchor>
        </w:drawing>
      </w:r>
      <w:r>
        <w:rPr/>
        <w:t>A exploración clínica presentó aumento de volumen en la zona superior derecha, cercana al rafe palatino. Se observaron dos restauraciones provisionales mal ajustadas correspondientes a los OD-11 y 12 además de una amalgama mal ajustada que se extendía desde la cara oclusal hacia la cara mesial del OD-14. El paciente se encontraba asintomático, pero refirió haber sufrido odontalgia meses atrás (</w:t>
      </w:r>
      <w:hyperlink w:history="true" w:anchor="_bookmark27">
        <w:r>
          <w:rPr>
            <w:rFonts w:ascii="Calibri" w:hAnsi="Calibri"/>
            <w:sz w:val="22"/>
          </w:rPr>
          <w:t>Fig. 2</w:t>
        </w:r>
      </w:hyperlink>
      <w:r>
        <w:rPr/>
        <w:t>).</w:t>
      </w:r>
    </w:p>
    <w:p>
      <w:pPr>
        <w:spacing w:line="242" w:lineRule="auto" w:before="169"/>
        <w:ind w:left="2800" w:right="0" w:hanging="2075"/>
        <w:jc w:val="left"/>
        <w:rPr>
          <w:sz w:val="20"/>
        </w:rPr>
      </w:pPr>
      <w:bookmarkStart w:name="_bookmark27" w:id="54"/>
      <w:bookmarkEnd w:id="54"/>
      <w:r>
        <w:rPr/>
      </w:r>
      <w:r>
        <w:rPr>
          <w:sz w:val="20"/>
        </w:rPr>
        <w:t>Fig. 2. A) Vista oclusal superior. B) Acercamiento del OD 11 Y 12, nótese el aumento de volumen de la mitad derecha del paladar.</w:t>
      </w:r>
    </w:p>
    <w:p>
      <w:pPr>
        <w:spacing w:after="0" w:line="242" w:lineRule="auto"/>
        <w:jc w:val="left"/>
        <w:rPr>
          <w:sz w:val="20"/>
        </w:rPr>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4"/>
        <w:jc w:val="both"/>
      </w:pPr>
      <w:r>
        <w:rPr/>
        <w:t>El examen radiográfico reveló terapia endodóntica previamente iniciada en el </w:t>
      </w:r>
      <w:r>
        <w:rPr>
          <w:spacing w:val="3"/>
        </w:rPr>
        <w:t>OD- </w:t>
      </w:r>
      <w:r>
        <w:rPr/>
        <w:t>11 y tratamiento endodóntico con presencia de un cuerpo extraño radiopaco en tercio medio y coronal del conducto radicular en el OD-12 en combinación con una extensa zona radiolúcida en la región que circunscribe principalmente a dicho órgano</w:t>
      </w:r>
      <w:r>
        <w:rPr>
          <w:spacing w:val="-6"/>
        </w:rPr>
        <w:t> </w:t>
      </w:r>
      <w:r>
        <w:rPr/>
        <w:t>dentario</w:t>
      </w:r>
      <w:r>
        <w:rPr>
          <w:spacing w:val="-4"/>
        </w:rPr>
        <w:t> </w:t>
      </w:r>
      <w:r>
        <w:rPr/>
        <w:t>y</w:t>
      </w:r>
      <w:r>
        <w:rPr>
          <w:spacing w:val="-9"/>
        </w:rPr>
        <w:t> </w:t>
      </w:r>
      <w:r>
        <w:rPr/>
        <w:t>que</w:t>
      </w:r>
      <w:r>
        <w:rPr>
          <w:spacing w:val="-8"/>
        </w:rPr>
        <w:t> </w:t>
      </w:r>
      <w:r>
        <w:rPr/>
        <w:t>se</w:t>
      </w:r>
      <w:r>
        <w:rPr>
          <w:spacing w:val="-6"/>
        </w:rPr>
        <w:t> </w:t>
      </w:r>
      <w:r>
        <w:rPr/>
        <w:t>extiende</w:t>
      </w:r>
      <w:r>
        <w:rPr>
          <w:spacing w:val="-8"/>
        </w:rPr>
        <w:t> </w:t>
      </w:r>
      <w:r>
        <w:rPr/>
        <w:t>a</w:t>
      </w:r>
      <w:r>
        <w:rPr>
          <w:spacing w:val="-6"/>
        </w:rPr>
        <w:t> </w:t>
      </w:r>
      <w:r>
        <w:rPr/>
        <w:t>los</w:t>
      </w:r>
      <w:r>
        <w:rPr>
          <w:spacing w:val="-9"/>
        </w:rPr>
        <w:t> </w:t>
      </w:r>
      <w:r>
        <w:rPr/>
        <w:t>órganos</w:t>
      </w:r>
      <w:r>
        <w:rPr>
          <w:spacing w:val="-9"/>
        </w:rPr>
        <w:t> </w:t>
      </w:r>
      <w:r>
        <w:rPr/>
        <w:t>11,</w:t>
      </w:r>
      <w:r>
        <w:rPr>
          <w:spacing w:val="-9"/>
        </w:rPr>
        <w:t> </w:t>
      </w:r>
      <w:r>
        <w:rPr/>
        <w:t>13</w:t>
      </w:r>
      <w:r>
        <w:rPr>
          <w:spacing w:val="-6"/>
        </w:rPr>
        <w:t> </w:t>
      </w:r>
      <w:r>
        <w:rPr/>
        <w:t>y</w:t>
      </w:r>
      <w:r>
        <w:rPr>
          <w:spacing w:val="-9"/>
        </w:rPr>
        <w:t> </w:t>
      </w:r>
      <w:r>
        <w:rPr/>
        <w:t>14.</w:t>
      </w:r>
      <w:r>
        <w:rPr>
          <w:spacing w:val="-9"/>
        </w:rPr>
        <w:t> </w:t>
      </w:r>
      <w:r>
        <w:rPr/>
        <w:t>El</w:t>
      </w:r>
      <w:r>
        <w:rPr>
          <w:spacing w:val="-10"/>
        </w:rPr>
        <w:t> </w:t>
      </w:r>
      <w:r>
        <w:rPr/>
        <w:t>paciente</w:t>
      </w:r>
      <w:r>
        <w:rPr>
          <w:spacing w:val="-8"/>
        </w:rPr>
        <w:t> </w:t>
      </w:r>
      <w:r>
        <w:rPr/>
        <w:t>refiere</w:t>
      </w:r>
      <w:r>
        <w:rPr>
          <w:spacing w:val="-8"/>
        </w:rPr>
        <w:t> </w:t>
      </w:r>
      <w:r>
        <w:rPr/>
        <w:t>que las restauraciones le fueron colocadas aproximadamente hace 4 años (</w:t>
      </w:r>
      <w:hyperlink w:history="true" w:anchor="_bookmark28">
        <w:r>
          <w:rPr>
            <w:rFonts w:ascii="Calibri" w:hAnsi="Calibri"/>
            <w:sz w:val="22"/>
          </w:rPr>
          <w:t>Fig.</w:t>
        </w:r>
        <w:r>
          <w:rPr>
            <w:rFonts w:ascii="Calibri" w:hAnsi="Calibri"/>
            <w:spacing w:val="-22"/>
            <w:sz w:val="22"/>
          </w:rPr>
          <w:t> </w:t>
        </w:r>
        <w:r>
          <w:rPr>
            <w:rFonts w:ascii="Calibri" w:hAnsi="Calibri"/>
            <w:sz w:val="22"/>
          </w:rPr>
          <w:t>3</w:t>
        </w:r>
      </w:hyperlink>
      <w:r>
        <w:rPr/>
        <w:t>).</w:t>
      </w:r>
    </w:p>
    <w:p>
      <w:pPr>
        <w:pStyle w:val="BodyText"/>
        <w:spacing w:before="9"/>
        <w:rPr>
          <w:sz w:val="13"/>
        </w:rPr>
      </w:pPr>
      <w:r>
        <w:rPr/>
        <w:drawing>
          <wp:anchor distT="0" distB="0" distL="0" distR="0" allowOverlap="1" layoutInCell="1" locked="0" behindDoc="0" simplePos="0" relativeHeight="1168">
            <wp:simplePos x="0" y="0"/>
            <wp:positionH relativeFrom="page">
              <wp:posOffset>1301496</wp:posOffset>
            </wp:positionH>
            <wp:positionV relativeFrom="paragraph">
              <wp:posOffset>125948</wp:posOffset>
            </wp:positionV>
            <wp:extent cx="5169408" cy="2999231"/>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5" cstate="print"/>
                    <a:stretch>
                      <a:fillRect/>
                    </a:stretch>
                  </pic:blipFill>
                  <pic:spPr>
                    <a:xfrm>
                      <a:off x="0" y="0"/>
                      <a:ext cx="5169408" cy="2999231"/>
                    </a:xfrm>
                    <a:prstGeom prst="rect">
                      <a:avLst/>
                    </a:prstGeom>
                  </pic:spPr>
                </pic:pic>
              </a:graphicData>
            </a:graphic>
          </wp:anchor>
        </w:drawing>
      </w:r>
    </w:p>
    <w:p>
      <w:pPr>
        <w:spacing w:line="242" w:lineRule="auto" w:before="82"/>
        <w:ind w:left="3066" w:right="555" w:hanging="2331"/>
        <w:jc w:val="left"/>
        <w:rPr>
          <w:sz w:val="20"/>
        </w:rPr>
      </w:pPr>
      <w:bookmarkStart w:name="_bookmark28" w:id="55"/>
      <w:bookmarkEnd w:id="55"/>
      <w:r>
        <w:rPr/>
      </w:r>
      <w:r>
        <w:rPr>
          <w:sz w:val="20"/>
        </w:rPr>
        <w:t>Fig. 3. Ortopantomografía que muestra la lesión periapical que se extiende en 4 órganos dentarios del lado superior derecho.</w:t>
      </w:r>
    </w:p>
    <w:p>
      <w:pPr>
        <w:pStyle w:val="BodyText"/>
        <w:spacing w:before="7"/>
        <w:rPr>
          <w:sz w:val="26"/>
        </w:rPr>
      </w:pPr>
    </w:p>
    <w:p>
      <w:pPr>
        <w:pStyle w:val="BodyText"/>
        <w:spacing w:line="360" w:lineRule="auto" w:before="70"/>
        <w:ind w:left="162" w:right="158"/>
        <w:jc w:val="both"/>
      </w:pPr>
      <w:r>
        <w:rPr/>
        <w:t>Después</w:t>
      </w:r>
      <w:r>
        <w:rPr>
          <w:spacing w:val="-9"/>
        </w:rPr>
        <w:t> </w:t>
      </w:r>
      <w:r>
        <w:rPr/>
        <w:t>de</w:t>
      </w:r>
      <w:r>
        <w:rPr>
          <w:spacing w:val="-8"/>
        </w:rPr>
        <w:t> </w:t>
      </w:r>
      <w:r>
        <w:rPr/>
        <w:t>realizar</w:t>
      </w:r>
      <w:r>
        <w:rPr>
          <w:spacing w:val="-10"/>
        </w:rPr>
        <w:t> </w:t>
      </w:r>
      <w:r>
        <w:rPr/>
        <w:t>las</w:t>
      </w:r>
      <w:r>
        <w:rPr>
          <w:spacing w:val="-9"/>
        </w:rPr>
        <w:t> </w:t>
      </w:r>
      <w:r>
        <w:rPr/>
        <w:t>pruebas</w:t>
      </w:r>
      <w:r>
        <w:rPr>
          <w:spacing w:val="-12"/>
        </w:rPr>
        <w:t> </w:t>
      </w:r>
      <w:r>
        <w:rPr/>
        <w:t>de</w:t>
      </w:r>
      <w:r>
        <w:rPr>
          <w:spacing w:val="-5"/>
        </w:rPr>
        <w:t> </w:t>
      </w:r>
      <w:r>
        <w:rPr/>
        <w:t>sensibilidad</w:t>
      </w:r>
      <w:r>
        <w:rPr>
          <w:spacing w:val="-8"/>
        </w:rPr>
        <w:t> </w:t>
      </w:r>
      <w:r>
        <w:rPr/>
        <w:t>pulpar</w:t>
      </w:r>
      <w:r>
        <w:rPr>
          <w:spacing w:val="-10"/>
        </w:rPr>
        <w:t> </w:t>
      </w:r>
      <w:r>
        <w:rPr/>
        <w:t>y</w:t>
      </w:r>
      <w:r>
        <w:rPr>
          <w:spacing w:val="-12"/>
        </w:rPr>
        <w:t> </w:t>
      </w:r>
      <w:r>
        <w:rPr/>
        <w:t>de</w:t>
      </w:r>
      <w:r>
        <w:rPr>
          <w:spacing w:val="-8"/>
        </w:rPr>
        <w:t> </w:t>
      </w:r>
      <w:r>
        <w:rPr/>
        <w:t>percusión</w:t>
      </w:r>
      <w:r>
        <w:rPr>
          <w:spacing w:val="-8"/>
        </w:rPr>
        <w:t> </w:t>
      </w:r>
      <w:r>
        <w:rPr/>
        <w:t>se</w:t>
      </w:r>
      <w:r>
        <w:rPr>
          <w:spacing w:val="-8"/>
        </w:rPr>
        <w:t> </w:t>
      </w:r>
      <w:r>
        <w:rPr/>
        <w:t>determinó el</w:t>
      </w:r>
      <w:r>
        <w:rPr>
          <w:spacing w:val="-19"/>
        </w:rPr>
        <w:t> </w:t>
      </w:r>
      <w:r>
        <w:rPr/>
        <w:t>diagnóstico</w:t>
      </w:r>
      <w:r>
        <w:rPr>
          <w:spacing w:val="-18"/>
        </w:rPr>
        <w:t> </w:t>
      </w:r>
      <w:r>
        <w:rPr/>
        <w:t>y</w:t>
      </w:r>
      <w:r>
        <w:rPr>
          <w:spacing w:val="-21"/>
        </w:rPr>
        <w:t> </w:t>
      </w:r>
      <w:r>
        <w:rPr/>
        <w:t>el</w:t>
      </w:r>
      <w:r>
        <w:rPr>
          <w:spacing w:val="-19"/>
        </w:rPr>
        <w:t> </w:t>
      </w:r>
      <w:r>
        <w:rPr/>
        <w:t>plan</w:t>
      </w:r>
      <w:r>
        <w:rPr>
          <w:spacing w:val="-20"/>
        </w:rPr>
        <w:t> </w:t>
      </w:r>
      <w:r>
        <w:rPr/>
        <w:t>de</w:t>
      </w:r>
      <w:r>
        <w:rPr>
          <w:spacing w:val="-18"/>
        </w:rPr>
        <w:t> </w:t>
      </w:r>
      <w:r>
        <w:rPr/>
        <w:t>tratamiento.</w:t>
      </w:r>
      <w:r>
        <w:rPr>
          <w:spacing w:val="-18"/>
        </w:rPr>
        <w:t> </w:t>
      </w:r>
      <w:r>
        <w:rPr/>
        <w:t>Se</w:t>
      </w:r>
      <w:r>
        <w:rPr>
          <w:spacing w:val="-18"/>
        </w:rPr>
        <w:t> </w:t>
      </w:r>
      <w:r>
        <w:rPr/>
        <w:t>planteó</w:t>
      </w:r>
      <w:r>
        <w:rPr>
          <w:spacing w:val="-18"/>
        </w:rPr>
        <w:t> </w:t>
      </w:r>
      <w:r>
        <w:rPr/>
        <w:t>realizar</w:t>
      </w:r>
      <w:r>
        <w:rPr>
          <w:spacing w:val="-18"/>
        </w:rPr>
        <w:t> </w:t>
      </w:r>
      <w:r>
        <w:rPr/>
        <w:t>retratamiento</w:t>
      </w:r>
      <w:r>
        <w:rPr>
          <w:spacing w:val="-18"/>
        </w:rPr>
        <w:t> </w:t>
      </w:r>
      <w:r>
        <w:rPr/>
        <w:t>endodóntico convencional en el OD-12 y terapia de conducto radicular en los órganos 11, 13 y 14 (</w:t>
      </w:r>
      <w:hyperlink w:history="true" w:anchor="_bookmark29">
        <w:r>
          <w:rPr>
            <w:rFonts w:ascii="Calibri" w:hAnsi="Calibri"/>
            <w:sz w:val="22"/>
          </w:rPr>
          <w:t>Tabla 1</w:t>
        </w:r>
      </w:hyperlink>
      <w:r>
        <w:rPr/>
        <w:t>). Adicional, se propuso el tratamiento quirúrgico de la lesión mediante curetaje periapical y apicectomía con retro-obturación de MTA de los órganos involucrados y la colocación de injerto óseo enriquecido con PRGF para favorecer la regeneración ósea de la cavidad quirúrgica remanente además de la obtención de biopsia para estudio</w:t>
      </w:r>
      <w:r>
        <w:rPr>
          <w:spacing w:val="-12"/>
        </w:rPr>
        <w:t> </w:t>
      </w:r>
      <w:r>
        <w:rPr/>
        <w:t>histopatológico.</w:t>
      </w:r>
    </w:p>
    <w:p>
      <w:pPr>
        <w:spacing w:after="0" w:line="360" w:lineRule="auto"/>
        <w:jc w:val="both"/>
        <w:sectPr>
          <w:pgSz w:w="12240" w:h="15840"/>
          <w:pgMar w:header="744" w:footer="1572" w:top="1080" w:bottom="1760" w:left="1540" w:right="1540"/>
        </w:sectPr>
      </w:pPr>
    </w:p>
    <w:p>
      <w:pPr>
        <w:pStyle w:val="BodyText"/>
        <w:spacing w:before="4"/>
        <w:rPr>
          <w:sz w:val="28"/>
        </w:rPr>
      </w:pPr>
    </w:p>
    <w:tbl>
      <w:tblPr>
        <w:tblW w:w="0" w:type="auto"/>
        <w:jc w:val="left"/>
        <w:tblInd w:w="1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3"/>
        <w:gridCol w:w="1207"/>
        <w:gridCol w:w="1851"/>
        <w:gridCol w:w="1169"/>
        <w:gridCol w:w="2161"/>
        <w:gridCol w:w="1909"/>
      </w:tblGrid>
      <w:tr>
        <w:trPr>
          <w:trHeight w:val="529" w:hRule="exact"/>
        </w:trPr>
        <w:tc>
          <w:tcPr>
            <w:tcW w:w="743" w:type="dxa"/>
            <w:tcBorders>
              <w:top w:val="single" w:sz="8" w:space="0" w:color="8063A1"/>
            </w:tcBorders>
          </w:tcPr>
          <w:p>
            <w:pPr>
              <w:pStyle w:val="TableParagraph"/>
              <w:spacing w:line="204" w:lineRule="exact"/>
              <w:ind w:right="202"/>
              <w:jc w:val="right"/>
              <w:rPr>
                <w:b/>
                <w:sz w:val="18"/>
              </w:rPr>
            </w:pPr>
            <w:r>
              <w:rPr>
                <w:b/>
                <w:color w:val="5F4879"/>
                <w:sz w:val="18"/>
              </w:rPr>
              <w:t>OD</w:t>
            </w:r>
          </w:p>
        </w:tc>
        <w:tc>
          <w:tcPr>
            <w:tcW w:w="1207" w:type="dxa"/>
            <w:tcBorders>
              <w:top w:val="single" w:sz="8" w:space="0" w:color="8063A1"/>
            </w:tcBorders>
          </w:tcPr>
          <w:p>
            <w:pPr>
              <w:pStyle w:val="TableParagraph"/>
              <w:spacing w:line="204" w:lineRule="exact"/>
              <w:ind w:left="180" w:right="112"/>
              <w:rPr>
                <w:b/>
                <w:sz w:val="18"/>
              </w:rPr>
            </w:pPr>
            <w:r>
              <w:rPr>
                <w:b/>
                <w:color w:val="5F4879"/>
                <w:sz w:val="18"/>
              </w:rPr>
              <w:t>Térmica</w:t>
            </w:r>
          </w:p>
          <w:p>
            <w:pPr>
              <w:pStyle w:val="TableParagraph"/>
              <w:spacing w:line="240" w:lineRule="auto" w:before="103"/>
              <w:ind w:left="183" w:right="112"/>
              <w:rPr>
                <w:b/>
                <w:sz w:val="18"/>
              </w:rPr>
            </w:pPr>
            <w:r>
              <w:rPr>
                <w:b/>
                <w:color w:val="5F4879"/>
                <w:sz w:val="18"/>
              </w:rPr>
              <w:t>Frío</w:t>
            </w:r>
          </w:p>
        </w:tc>
        <w:tc>
          <w:tcPr>
            <w:tcW w:w="1851" w:type="dxa"/>
            <w:tcBorders>
              <w:top w:val="single" w:sz="8" w:space="0" w:color="8063A1"/>
            </w:tcBorders>
          </w:tcPr>
          <w:p>
            <w:pPr>
              <w:pStyle w:val="TableParagraph"/>
              <w:spacing w:line="204" w:lineRule="exact"/>
              <w:ind w:left="114" w:right="116"/>
              <w:rPr>
                <w:b/>
                <w:sz w:val="18"/>
              </w:rPr>
            </w:pPr>
            <w:r>
              <w:rPr>
                <w:b/>
                <w:color w:val="5F4879"/>
                <w:sz w:val="18"/>
              </w:rPr>
              <w:t>Percusión</w:t>
            </w:r>
          </w:p>
        </w:tc>
        <w:tc>
          <w:tcPr>
            <w:tcW w:w="1169" w:type="dxa"/>
            <w:tcBorders>
              <w:top w:val="single" w:sz="8" w:space="0" w:color="8063A1"/>
            </w:tcBorders>
          </w:tcPr>
          <w:p>
            <w:pPr>
              <w:pStyle w:val="TableParagraph"/>
              <w:spacing w:line="204" w:lineRule="exact"/>
              <w:ind w:left="117" w:right="160"/>
              <w:rPr>
                <w:b/>
                <w:sz w:val="18"/>
              </w:rPr>
            </w:pPr>
            <w:r>
              <w:rPr>
                <w:b/>
                <w:color w:val="5F4879"/>
                <w:sz w:val="18"/>
              </w:rPr>
              <w:t>Palpación</w:t>
            </w:r>
          </w:p>
        </w:tc>
        <w:tc>
          <w:tcPr>
            <w:tcW w:w="2161" w:type="dxa"/>
            <w:tcBorders>
              <w:top w:val="single" w:sz="8" w:space="0" w:color="8063A1"/>
            </w:tcBorders>
          </w:tcPr>
          <w:p>
            <w:pPr>
              <w:pStyle w:val="TableParagraph"/>
              <w:spacing w:line="204" w:lineRule="exact"/>
              <w:ind w:left="162"/>
              <w:rPr>
                <w:b/>
                <w:sz w:val="18"/>
              </w:rPr>
            </w:pPr>
            <w:r>
              <w:rPr>
                <w:b/>
                <w:color w:val="5F4879"/>
                <w:sz w:val="18"/>
              </w:rPr>
              <w:t>Dx. Pulpar</w:t>
            </w:r>
          </w:p>
        </w:tc>
        <w:tc>
          <w:tcPr>
            <w:tcW w:w="1909" w:type="dxa"/>
            <w:tcBorders>
              <w:top w:val="single" w:sz="8" w:space="0" w:color="8063A1"/>
            </w:tcBorders>
          </w:tcPr>
          <w:p>
            <w:pPr>
              <w:pStyle w:val="TableParagraph"/>
              <w:spacing w:line="204" w:lineRule="exact"/>
              <w:ind w:left="280" w:right="354"/>
              <w:rPr>
                <w:b/>
                <w:sz w:val="18"/>
              </w:rPr>
            </w:pPr>
            <w:r>
              <w:rPr>
                <w:b/>
                <w:color w:val="5F4879"/>
                <w:sz w:val="18"/>
              </w:rPr>
              <w:t>Dx. Periapical</w:t>
            </w:r>
          </w:p>
        </w:tc>
      </w:tr>
      <w:tr>
        <w:trPr>
          <w:trHeight w:val="513" w:hRule="exact"/>
        </w:trPr>
        <w:tc>
          <w:tcPr>
            <w:tcW w:w="743" w:type="dxa"/>
            <w:tcBorders>
              <w:bottom w:val="single" w:sz="8" w:space="0" w:color="8063A1"/>
            </w:tcBorders>
          </w:tcPr>
          <w:p>
            <w:pPr/>
          </w:p>
        </w:tc>
        <w:tc>
          <w:tcPr>
            <w:tcW w:w="1207" w:type="dxa"/>
            <w:tcBorders>
              <w:bottom w:val="single" w:sz="8" w:space="0" w:color="8063A1"/>
            </w:tcBorders>
          </w:tcPr>
          <w:p>
            <w:pPr/>
          </w:p>
        </w:tc>
        <w:tc>
          <w:tcPr>
            <w:tcW w:w="1851" w:type="dxa"/>
            <w:tcBorders>
              <w:bottom w:val="single" w:sz="8" w:space="0" w:color="8063A1"/>
            </w:tcBorders>
          </w:tcPr>
          <w:p>
            <w:pPr>
              <w:pStyle w:val="TableParagraph"/>
              <w:spacing w:line="194" w:lineRule="exact"/>
              <w:ind w:left="114" w:right="116"/>
              <w:rPr>
                <w:b/>
                <w:sz w:val="18"/>
              </w:rPr>
            </w:pPr>
            <w:r>
              <w:rPr>
                <w:b/>
                <w:color w:val="5F4879"/>
                <w:sz w:val="18"/>
              </w:rPr>
              <w:t>Vertical/Horizontal</w:t>
            </w:r>
          </w:p>
        </w:tc>
        <w:tc>
          <w:tcPr>
            <w:tcW w:w="1169" w:type="dxa"/>
            <w:tcBorders>
              <w:bottom w:val="single" w:sz="8" w:space="0" w:color="8063A1"/>
            </w:tcBorders>
          </w:tcPr>
          <w:p>
            <w:pPr/>
          </w:p>
        </w:tc>
        <w:tc>
          <w:tcPr>
            <w:tcW w:w="2161" w:type="dxa"/>
            <w:tcBorders>
              <w:bottom w:val="single" w:sz="8" w:space="0" w:color="8063A1"/>
            </w:tcBorders>
          </w:tcPr>
          <w:p>
            <w:pPr/>
          </w:p>
        </w:tc>
        <w:tc>
          <w:tcPr>
            <w:tcW w:w="1909" w:type="dxa"/>
            <w:tcBorders>
              <w:bottom w:val="single" w:sz="8" w:space="0" w:color="8063A1"/>
            </w:tcBorders>
          </w:tcPr>
          <w:p>
            <w:pPr/>
          </w:p>
        </w:tc>
      </w:tr>
      <w:tr>
        <w:trPr>
          <w:trHeight w:val="278" w:hRule="exact"/>
        </w:trPr>
        <w:tc>
          <w:tcPr>
            <w:tcW w:w="743" w:type="dxa"/>
            <w:tcBorders>
              <w:top w:val="single" w:sz="8" w:space="0" w:color="8063A1"/>
            </w:tcBorders>
            <w:shd w:val="clear" w:color="auto" w:fill="DFD7E8"/>
          </w:tcPr>
          <w:p>
            <w:pPr>
              <w:pStyle w:val="TableParagraph"/>
              <w:spacing w:line="201" w:lineRule="exact"/>
              <w:ind w:right="231"/>
              <w:jc w:val="right"/>
              <w:rPr>
                <w:b/>
                <w:sz w:val="18"/>
              </w:rPr>
            </w:pPr>
            <w:r>
              <w:rPr>
                <w:b/>
                <w:color w:val="5F4879"/>
                <w:w w:val="95"/>
                <w:sz w:val="18"/>
              </w:rPr>
              <w:t>11</w:t>
            </w:r>
          </w:p>
        </w:tc>
        <w:tc>
          <w:tcPr>
            <w:tcW w:w="1207" w:type="dxa"/>
            <w:tcBorders>
              <w:top w:val="single" w:sz="8" w:space="0" w:color="8063A1"/>
            </w:tcBorders>
            <w:shd w:val="clear" w:color="auto" w:fill="DFD7E8"/>
          </w:tcPr>
          <w:p>
            <w:pPr>
              <w:pStyle w:val="TableParagraph"/>
              <w:ind w:left="182" w:right="112"/>
              <w:rPr>
                <w:sz w:val="18"/>
              </w:rPr>
            </w:pPr>
            <w:r>
              <w:rPr>
                <w:color w:val="5F4879"/>
                <w:sz w:val="18"/>
              </w:rPr>
              <w:t>(-)</w:t>
            </w:r>
          </w:p>
        </w:tc>
        <w:tc>
          <w:tcPr>
            <w:tcW w:w="1851" w:type="dxa"/>
            <w:tcBorders>
              <w:top w:val="single" w:sz="8" w:space="0" w:color="8063A1"/>
            </w:tcBorders>
            <w:shd w:val="clear" w:color="auto" w:fill="DFD7E8"/>
          </w:tcPr>
          <w:p>
            <w:pPr>
              <w:pStyle w:val="TableParagraph"/>
              <w:ind w:left="113" w:right="116"/>
              <w:rPr>
                <w:sz w:val="18"/>
              </w:rPr>
            </w:pPr>
            <w:r>
              <w:rPr>
                <w:color w:val="5F4879"/>
                <w:sz w:val="18"/>
              </w:rPr>
              <w:t>SI/SI</w:t>
            </w:r>
          </w:p>
        </w:tc>
        <w:tc>
          <w:tcPr>
            <w:tcW w:w="1169" w:type="dxa"/>
            <w:tcBorders>
              <w:top w:val="single" w:sz="8" w:space="0" w:color="8063A1"/>
            </w:tcBorders>
            <w:shd w:val="clear" w:color="auto" w:fill="DFD7E8"/>
          </w:tcPr>
          <w:p>
            <w:pPr>
              <w:pStyle w:val="TableParagraph"/>
              <w:ind w:left="113" w:right="160"/>
              <w:rPr>
                <w:sz w:val="18"/>
              </w:rPr>
            </w:pPr>
            <w:r>
              <w:rPr>
                <w:color w:val="5F4879"/>
                <w:sz w:val="18"/>
              </w:rPr>
              <w:t>(-)</w:t>
            </w:r>
          </w:p>
        </w:tc>
        <w:tc>
          <w:tcPr>
            <w:tcW w:w="2161" w:type="dxa"/>
            <w:tcBorders>
              <w:top w:val="single" w:sz="8" w:space="0" w:color="8063A1"/>
            </w:tcBorders>
            <w:shd w:val="clear" w:color="auto" w:fill="DFD7E8"/>
          </w:tcPr>
          <w:p>
            <w:pPr>
              <w:pStyle w:val="TableParagraph"/>
              <w:ind w:left="161"/>
              <w:rPr>
                <w:sz w:val="18"/>
              </w:rPr>
            </w:pPr>
            <w:r>
              <w:rPr>
                <w:color w:val="5F4879"/>
                <w:sz w:val="18"/>
              </w:rPr>
              <w:t>Necrosis Pulpar</w:t>
            </w:r>
          </w:p>
        </w:tc>
        <w:tc>
          <w:tcPr>
            <w:tcW w:w="1909" w:type="dxa"/>
            <w:tcBorders>
              <w:top w:val="single" w:sz="8" w:space="0" w:color="8063A1"/>
            </w:tcBorders>
            <w:shd w:val="clear" w:color="auto" w:fill="DFD7E8"/>
          </w:tcPr>
          <w:p>
            <w:pPr>
              <w:pStyle w:val="TableParagraph"/>
              <w:ind w:left="280" w:right="358"/>
              <w:rPr>
                <w:sz w:val="18"/>
              </w:rPr>
            </w:pPr>
            <w:r>
              <w:rPr>
                <w:color w:val="5F4879"/>
                <w:sz w:val="18"/>
              </w:rPr>
              <w:t>Absceso Apical</w:t>
            </w:r>
          </w:p>
        </w:tc>
      </w:tr>
      <w:tr>
        <w:trPr>
          <w:trHeight w:val="353" w:hRule="exact"/>
        </w:trPr>
        <w:tc>
          <w:tcPr>
            <w:tcW w:w="743" w:type="dxa"/>
            <w:shd w:val="clear" w:color="auto" w:fill="DFD7E8"/>
          </w:tcPr>
          <w:p>
            <w:pPr/>
          </w:p>
        </w:tc>
        <w:tc>
          <w:tcPr>
            <w:tcW w:w="1207" w:type="dxa"/>
            <w:shd w:val="clear" w:color="auto" w:fill="DFD7E8"/>
          </w:tcPr>
          <w:p>
            <w:pPr/>
          </w:p>
        </w:tc>
        <w:tc>
          <w:tcPr>
            <w:tcW w:w="1851" w:type="dxa"/>
            <w:shd w:val="clear" w:color="auto" w:fill="DFD7E8"/>
          </w:tcPr>
          <w:p>
            <w:pPr/>
          </w:p>
        </w:tc>
        <w:tc>
          <w:tcPr>
            <w:tcW w:w="1169" w:type="dxa"/>
            <w:shd w:val="clear" w:color="auto" w:fill="DFD7E8"/>
          </w:tcPr>
          <w:p>
            <w:pPr/>
          </w:p>
        </w:tc>
        <w:tc>
          <w:tcPr>
            <w:tcW w:w="2161" w:type="dxa"/>
            <w:shd w:val="clear" w:color="auto" w:fill="DFD7E8"/>
          </w:tcPr>
          <w:p>
            <w:pPr/>
          </w:p>
        </w:tc>
        <w:tc>
          <w:tcPr>
            <w:tcW w:w="1909" w:type="dxa"/>
            <w:shd w:val="clear" w:color="auto" w:fill="DFD7E8"/>
          </w:tcPr>
          <w:p>
            <w:pPr>
              <w:pStyle w:val="TableParagraph"/>
              <w:spacing w:line="240" w:lineRule="auto" w:before="43"/>
              <w:ind w:left="280" w:right="354"/>
              <w:rPr>
                <w:sz w:val="18"/>
              </w:rPr>
            </w:pPr>
            <w:r>
              <w:rPr>
                <w:color w:val="5F4879"/>
                <w:sz w:val="18"/>
              </w:rPr>
              <w:t>Crónico</w:t>
            </w:r>
          </w:p>
        </w:tc>
      </w:tr>
      <w:tr>
        <w:trPr>
          <w:trHeight w:val="268" w:hRule="exact"/>
        </w:trPr>
        <w:tc>
          <w:tcPr>
            <w:tcW w:w="743" w:type="dxa"/>
            <w:tcBorders>
              <w:top w:val="single" w:sz="44" w:space="0" w:color="DFD7E8"/>
            </w:tcBorders>
          </w:tcPr>
          <w:p>
            <w:pPr>
              <w:pStyle w:val="TableParagraph"/>
              <w:spacing w:line="146" w:lineRule="exact"/>
              <w:ind w:right="231"/>
              <w:jc w:val="right"/>
              <w:rPr>
                <w:b/>
                <w:sz w:val="18"/>
              </w:rPr>
            </w:pPr>
            <w:r>
              <w:rPr>
                <w:b/>
                <w:color w:val="5F4879"/>
                <w:w w:val="95"/>
                <w:sz w:val="18"/>
              </w:rPr>
              <w:t>12</w:t>
            </w:r>
          </w:p>
        </w:tc>
        <w:tc>
          <w:tcPr>
            <w:tcW w:w="1207" w:type="dxa"/>
            <w:tcBorders>
              <w:top w:val="single" w:sz="44" w:space="0" w:color="DFD7E8"/>
            </w:tcBorders>
          </w:tcPr>
          <w:p>
            <w:pPr>
              <w:pStyle w:val="TableParagraph"/>
              <w:spacing w:line="151" w:lineRule="exact"/>
              <w:ind w:left="182" w:right="112"/>
              <w:rPr>
                <w:sz w:val="18"/>
              </w:rPr>
            </w:pPr>
            <w:r>
              <w:rPr>
                <w:color w:val="5F4879"/>
                <w:sz w:val="18"/>
              </w:rPr>
              <w:t>(-)</w:t>
            </w:r>
          </w:p>
        </w:tc>
        <w:tc>
          <w:tcPr>
            <w:tcW w:w="1851" w:type="dxa"/>
            <w:tcBorders>
              <w:top w:val="single" w:sz="44" w:space="0" w:color="DFD7E8"/>
            </w:tcBorders>
          </w:tcPr>
          <w:p>
            <w:pPr>
              <w:pStyle w:val="TableParagraph"/>
              <w:spacing w:line="151" w:lineRule="exact"/>
              <w:ind w:left="113" w:right="116"/>
              <w:rPr>
                <w:sz w:val="18"/>
              </w:rPr>
            </w:pPr>
            <w:r>
              <w:rPr>
                <w:color w:val="5F4879"/>
                <w:sz w:val="18"/>
              </w:rPr>
              <w:t>SI/SI</w:t>
            </w:r>
          </w:p>
        </w:tc>
        <w:tc>
          <w:tcPr>
            <w:tcW w:w="1169" w:type="dxa"/>
            <w:tcBorders>
              <w:top w:val="single" w:sz="44" w:space="0" w:color="DFD7E8"/>
            </w:tcBorders>
          </w:tcPr>
          <w:p>
            <w:pPr>
              <w:pStyle w:val="TableParagraph"/>
              <w:spacing w:line="151" w:lineRule="exact"/>
              <w:ind w:left="112" w:right="160"/>
              <w:rPr>
                <w:sz w:val="18"/>
              </w:rPr>
            </w:pPr>
            <w:r>
              <w:rPr>
                <w:color w:val="5F4879"/>
                <w:sz w:val="18"/>
              </w:rPr>
              <w:t>(+) en</w:t>
            </w:r>
          </w:p>
        </w:tc>
        <w:tc>
          <w:tcPr>
            <w:tcW w:w="2161" w:type="dxa"/>
          </w:tcPr>
          <w:p>
            <w:pPr>
              <w:pStyle w:val="TableParagraph"/>
              <w:ind w:left="163"/>
              <w:rPr>
                <w:sz w:val="18"/>
              </w:rPr>
            </w:pPr>
            <w:r>
              <w:rPr>
                <w:color w:val="5F4879"/>
                <w:sz w:val="18"/>
              </w:rPr>
              <w:t>Previamente Tratado</w:t>
            </w:r>
          </w:p>
        </w:tc>
        <w:tc>
          <w:tcPr>
            <w:tcW w:w="1909" w:type="dxa"/>
          </w:tcPr>
          <w:p>
            <w:pPr>
              <w:pStyle w:val="TableParagraph"/>
              <w:ind w:left="280" w:right="358"/>
              <w:rPr>
                <w:sz w:val="18"/>
              </w:rPr>
            </w:pPr>
            <w:r>
              <w:rPr>
                <w:color w:val="5F4879"/>
                <w:sz w:val="18"/>
              </w:rPr>
              <w:t>Absceso Apical</w:t>
            </w:r>
          </w:p>
        </w:tc>
      </w:tr>
      <w:tr>
        <w:trPr>
          <w:trHeight w:val="553" w:hRule="exact"/>
        </w:trPr>
        <w:tc>
          <w:tcPr>
            <w:tcW w:w="743" w:type="dxa"/>
          </w:tcPr>
          <w:p>
            <w:pPr/>
          </w:p>
        </w:tc>
        <w:tc>
          <w:tcPr>
            <w:tcW w:w="1207" w:type="dxa"/>
          </w:tcPr>
          <w:p>
            <w:pPr/>
          </w:p>
        </w:tc>
        <w:tc>
          <w:tcPr>
            <w:tcW w:w="1851" w:type="dxa"/>
          </w:tcPr>
          <w:p>
            <w:pPr/>
          </w:p>
        </w:tc>
        <w:tc>
          <w:tcPr>
            <w:tcW w:w="1169" w:type="dxa"/>
          </w:tcPr>
          <w:p>
            <w:pPr>
              <w:pStyle w:val="TableParagraph"/>
              <w:spacing w:line="240" w:lineRule="auto" w:before="43"/>
              <w:ind w:left="114" w:right="160"/>
              <w:rPr>
                <w:sz w:val="18"/>
              </w:rPr>
            </w:pPr>
            <w:r>
              <w:rPr>
                <w:color w:val="5F4879"/>
                <w:sz w:val="18"/>
              </w:rPr>
              <w:t>palatino</w:t>
            </w:r>
          </w:p>
        </w:tc>
        <w:tc>
          <w:tcPr>
            <w:tcW w:w="2161" w:type="dxa"/>
          </w:tcPr>
          <w:p>
            <w:pPr/>
          </w:p>
        </w:tc>
        <w:tc>
          <w:tcPr>
            <w:tcW w:w="1909" w:type="dxa"/>
          </w:tcPr>
          <w:p>
            <w:pPr>
              <w:pStyle w:val="TableParagraph"/>
              <w:spacing w:line="240" w:lineRule="auto" w:before="43"/>
              <w:ind w:left="280" w:right="354"/>
              <w:rPr>
                <w:sz w:val="18"/>
              </w:rPr>
            </w:pPr>
            <w:r>
              <w:rPr>
                <w:color w:val="5F4879"/>
                <w:sz w:val="18"/>
              </w:rPr>
              <w:t>Crónico</w:t>
            </w:r>
          </w:p>
        </w:tc>
      </w:tr>
      <w:tr>
        <w:trPr>
          <w:trHeight w:val="268" w:hRule="exact"/>
        </w:trPr>
        <w:tc>
          <w:tcPr>
            <w:tcW w:w="743" w:type="dxa"/>
            <w:shd w:val="clear" w:color="auto" w:fill="DFD7E8"/>
          </w:tcPr>
          <w:p>
            <w:pPr>
              <w:pStyle w:val="TableParagraph"/>
              <w:spacing w:line="201" w:lineRule="exact"/>
              <w:ind w:right="231"/>
              <w:jc w:val="right"/>
              <w:rPr>
                <w:b/>
                <w:sz w:val="18"/>
              </w:rPr>
            </w:pPr>
            <w:r>
              <w:rPr>
                <w:b/>
                <w:color w:val="5F4879"/>
                <w:w w:val="95"/>
                <w:sz w:val="18"/>
              </w:rPr>
              <w:t>13</w:t>
            </w:r>
          </w:p>
        </w:tc>
        <w:tc>
          <w:tcPr>
            <w:tcW w:w="1207" w:type="dxa"/>
            <w:shd w:val="clear" w:color="auto" w:fill="DFD7E8"/>
          </w:tcPr>
          <w:p>
            <w:pPr>
              <w:pStyle w:val="TableParagraph"/>
              <w:ind w:left="183" w:right="112"/>
              <w:rPr>
                <w:sz w:val="18"/>
              </w:rPr>
            </w:pPr>
            <w:r>
              <w:rPr>
                <w:color w:val="5F4879"/>
                <w:sz w:val="18"/>
              </w:rPr>
              <w:t>(+) &gt;6 seg.</w:t>
            </w:r>
          </w:p>
        </w:tc>
        <w:tc>
          <w:tcPr>
            <w:tcW w:w="1851" w:type="dxa"/>
            <w:shd w:val="clear" w:color="auto" w:fill="DFD7E8"/>
          </w:tcPr>
          <w:p>
            <w:pPr>
              <w:pStyle w:val="TableParagraph"/>
              <w:ind w:left="114" w:right="116"/>
              <w:rPr>
                <w:sz w:val="18"/>
              </w:rPr>
            </w:pPr>
            <w:r>
              <w:rPr>
                <w:color w:val="5F4879"/>
                <w:sz w:val="18"/>
              </w:rPr>
              <w:t>NO/NO</w:t>
            </w:r>
          </w:p>
        </w:tc>
        <w:tc>
          <w:tcPr>
            <w:tcW w:w="1169" w:type="dxa"/>
            <w:shd w:val="clear" w:color="auto" w:fill="DFD7E8"/>
          </w:tcPr>
          <w:p>
            <w:pPr>
              <w:pStyle w:val="TableParagraph"/>
              <w:ind w:left="113" w:right="160"/>
              <w:rPr>
                <w:sz w:val="18"/>
              </w:rPr>
            </w:pPr>
            <w:r>
              <w:rPr>
                <w:color w:val="5F4879"/>
                <w:sz w:val="18"/>
              </w:rPr>
              <w:t>(-)</w:t>
            </w:r>
          </w:p>
        </w:tc>
        <w:tc>
          <w:tcPr>
            <w:tcW w:w="2161" w:type="dxa"/>
            <w:shd w:val="clear" w:color="auto" w:fill="DFD7E8"/>
          </w:tcPr>
          <w:p>
            <w:pPr>
              <w:pStyle w:val="TableParagraph"/>
              <w:ind w:left="163"/>
              <w:rPr>
                <w:sz w:val="18"/>
              </w:rPr>
            </w:pPr>
            <w:r>
              <w:rPr>
                <w:color w:val="5F4879"/>
                <w:sz w:val="18"/>
              </w:rPr>
              <w:t>Pulpitis Irreversible</w:t>
            </w:r>
          </w:p>
        </w:tc>
        <w:tc>
          <w:tcPr>
            <w:tcW w:w="1909" w:type="dxa"/>
            <w:shd w:val="clear" w:color="auto" w:fill="DFD7E8"/>
          </w:tcPr>
          <w:p>
            <w:pPr>
              <w:pStyle w:val="TableParagraph"/>
              <w:ind w:left="280" w:right="358"/>
              <w:rPr>
                <w:sz w:val="18"/>
              </w:rPr>
            </w:pPr>
            <w:r>
              <w:rPr>
                <w:color w:val="5F4879"/>
                <w:sz w:val="18"/>
              </w:rPr>
              <w:t>Absceso Apical</w:t>
            </w:r>
          </w:p>
        </w:tc>
      </w:tr>
      <w:tr>
        <w:trPr>
          <w:trHeight w:val="353" w:hRule="exact"/>
        </w:trPr>
        <w:tc>
          <w:tcPr>
            <w:tcW w:w="743" w:type="dxa"/>
            <w:shd w:val="clear" w:color="auto" w:fill="DFD7E8"/>
          </w:tcPr>
          <w:p>
            <w:pPr/>
          </w:p>
        </w:tc>
        <w:tc>
          <w:tcPr>
            <w:tcW w:w="1207" w:type="dxa"/>
            <w:shd w:val="clear" w:color="auto" w:fill="DFD7E8"/>
          </w:tcPr>
          <w:p>
            <w:pPr/>
          </w:p>
        </w:tc>
        <w:tc>
          <w:tcPr>
            <w:tcW w:w="1851" w:type="dxa"/>
            <w:shd w:val="clear" w:color="auto" w:fill="DFD7E8"/>
          </w:tcPr>
          <w:p>
            <w:pPr/>
          </w:p>
        </w:tc>
        <w:tc>
          <w:tcPr>
            <w:tcW w:w="1169" w:type="dxa"/>
            <w:shd w:val="clear" w:color="auto" w:fill="DFD7E8"/>
          </w:tcPr>
          <w:p>
            <w:pPr/>
          </w:p>
        </w:tc>
        <w:tc>
          <w:tcPr>
            <w:tcW w:w="2161" w:type="dxa"/>
            <w:shd w:val="clear" w:color="auto" w:fill="DFD7E8"/>
          </w:tcPr>
          <w:p>
            <w:pPr>
              <w:pStyle w:val="TableParagraph"/>
              <w:spacing w:line="240" w:lineRule="auto" w:before="43"/>
              <w:ind w:left="161"/>
              <w:rPr>
                <w:sz w:val="18"/>
              </w:rPr>
            </w:pPr>
            <w:r>
              <w:rPr>
                <w:color w:val="5F4879"/>
                <w:sz w:val="18"/>
              </w:rPr>
              <w:t>Asintomática</w:t>
            </w:r>
          </w:p>
        </w:tc>
        <w:tc>
          <w:tcPr>
            <w:tcW w:w="1909" w:type="dxa"/>
            <w:shd w:val="clear" w:color="auto" w:fill="DFD7E8"/>
          </w:tcPr>
          <w:p>
            <w:pPr>
              <w:pStyle w:val="TableParagraph"/>
              <w:spacing w:line="240" w:lineRule="auto" w:before="43"/>
              <w:ind w:left="280" w:right="354"/>
              <w:rPr>
                <w:sz w:val="18"/>
              </w:rPr>
            </w:pPr>
            <w:r>
              <w:rPr>
                <w:color w:val="5F4879"/>
                <w:sz w:val="18"/>
              </w:rPr>
              <w:t>Crónico</w:t>
            </w:r>
          </w:p>
        </w:tc>
      </w:tr>
      <w:tr>
        <w:trPr>
          <w:trHeight w:val="267" w:hRule="exact"/>
        </w:trPr>
        <w:tc>
          <w:tcPr>
            <w:tcW w:w="743" w:type="dxa"/>
          </w:tcPr>
          <w:p>
            <w:pPr>
              <w:pStyle w:val="TableParagraph"/>
              <w:spacing w:line="201" w:lineRule="exact"/>
              <w:ind w:right="231"/>
              <w:jc w:val="right"/>
              <w:rPr>
                <w:b/>
                <w:sz w:val="18"/>
              </w:rPr>
            </w:pPr>
            <w:r>
              <w:rPr>
                <w:b/>
                <w:color w:val="5F4879"/>
                <w:w w:val="95"/>
                <w:sz w:val="18"/>
              </w:rPr>
              <w:t>14</w:t>
            </w:r>
          </w:p>
        </w:tc>
        <w:tc>
          <w:tcPr>
            <w:tcW w:w="1207" w:type="dxa"/>
          </w:tcPr>
          <w:p>
            <w:pPr>
              <w:pStyle w:val="TableParagraph"/>
              <w:ind w:left="183" w:right="110"/>
              <w:rPr>
                <w:sz w:val="18"/>
              </w:rPr>
            </w:pPr>
            <w:r>
              <w:rPr>
                <w:color w:val="5F4879"/>
                <w:sz w:val="18"/>
              </w:rPr>
              <w:t>(+) normal</w:t>
            </w:r>
          </w:p>
        </w:tc>
        <w:tc>
          <w:tcPr>
            <w:tcW w:w="1851" w:type="dxa"/>
          </w:tcPr>
          <w:p>
            <w:pPr>
              <w:pStyle w:val="TableParagraph"/>
              <w:ind w:left="114" w:right="116"/>
              <w:rPr>
                <w:sz w:val="18"/>
              </w:rPr>
            </w:pPr>
            <w:r>
              <w:rPr>
                <w:color w:val="5F4879"/>
                <w:sz w:val="18"/>
              </w:rPr>
              <w:t>NO/NO</w:t>
            </w:r>
          </w:p>
        </w:tc>
        <w:tc>
          <w:tcPr>
            <w:tcW w:w="1169" w:type="dxa"/>
          </w:tcPr>
          <w:p>
            <w:pPr>
              <w:pStyle w:val="TableParagraph"/>
              <w:ind w:left="113" w:right="160"/>
              <w:rPr>
                <w:sz w:val="18"/>
              </w:rPr>
            </w:pPr>
            <w:r>
              <w:rPr>
                <w:color w:val="5F4879"/>
                <w:sz w:val="18"/>
              </w:rPr>
              <w:t>(-)</w:t>
            </w:r>
          </w:p>
        </w:tc>
        <w:tc>
          <w:tcPr>
            <w:tcW w:w="2161" w:type="dxa"/>
          </w:tcPr>
          <w:p>
            <w:pPr>
              <w:pStyle w:val="TableParagraph"/>
              <w:ind w:left="163"/>
              <w:rPr>
                <w:sz w:val="18"/>
              </w:rPr>
            </w:pPr>
            <w:r>
              <w:rPr>
                <w:color w:val="5F4879"/>
                <w:sz w:val="18"/>
              </w:rPr>
              <w:t>Pulpitis Irreversible</w:t>
            </w:r>
          </w:p>
        </w:tc>
        <w:tc>
          <w:tcPr>
            <w:tcW w:w="1909" w:type="dxa"/>
          </w:tcPr>
          <w:p>
            <w:pPr>
              <w:pStyle w:val="TableParagraph"/>
              <w:ind w:left="280" w:right="358"/>
              <w:rPr>
                <w:sz w:val="18"/>
              </w:rPr>
            </w:pPr>
            <w:r>
              <w:rPr>
                <w:color w:val="5F4879"/>
                <w:sz w:val="18"/>
              </w:rPr>
              <w:t>Absceso Apical</w:t>
            </w:r>
          </w:p>
        </w:tc>
      </w:tr>
      <w:tr>
        <w:trPr>
          <w:trHeight w:val="364" w:hRule="exact"/>
        </w:trPr>
        <w:tc>
          <w:tcPr>
            <w:tcW w:w="743" w:type="dxa"/>
            <w:tcBorders>
              <w:bottom w:val="single" w:sz="8" w:space="0" w:color="8063A1"/>
            </w:tcBorders>
          </w:tcPr>
          <w:p>
            <w:pPr/>
          </w:p>
        </w:tc>
        <w:tc>
          <w:tcPr>
            <w:tcW w:w="1207" w:type="dxa"/>
            <w:tcBorders>
              <w:bottom w:val="single" w:sz="8" w:space="0" w:color="8063A1"/>
            </w:tcBorders>
          </w:tcPr>
          <w:p>
            <w:pPr/>
          </w:p>
        </w:tc>
        <w:tc>
          <w:tcPr>
            <w:tcW w:w="1851" w:type="dxa"/>
            <w:tcBorders>
              <w:bottom w:val="single" w:sz="8" w:space="0" w:color="8063A1"/>
            </w:tcBorders>
          </w:tcPr>
          <w:p>
            <w:pPr/>
          </w:p>
        </w:tc>
        <w:tc>
          <w:tcPr>
            <w:tcW w:w="1169" w:type="dxa"/>
            <w:tcBorders>
              <w:bottom w:val="single" w:sz="8" w:space="0" w:color="8063A1"/>
            </w:tcBorders>
          </w:tcPr>
          <w:p>
            <w:pPr/>
          </w:p>
        </w:tc>
        <w:tc>
          <w:tcPr>
            <w:tcW w:w="2161" w:type="dxa"/>
            <w:tcBorders>
              <w:bottom w:val="single" w:sz="8" w:space="0" w:color="8063A1"/>
            </w:tcBorders>
          </w:tcPr>
          <w:p>
            <w:pPr>
              <w:pStyle w:val="TableParagraph"/>
              <w:spacing w:line="240" w:lineRule="auto" w:before="42"/>
              <w:ind w:left="161"/>
              <w:rPr>
                <w:sz w:val="18"/>
              </w:rPr>
            </w:pPr>
            <w:r>
              <w:rPr>
                <w:color w:val="5F4879"/>
                <w:sz w:val="18"/>
              </w:rPr>
              <w:t>Asintomática</w:t>
            </w:r>
          </w:p>
        </w:tc>
        <w:tc>
          <w:tcPr>
            <w:tcW w:w="1909" w:type="dxa"/>
            <w:tcBorders>
              <w:bottom w:val="single" w:sz="8" w:space="0" w:color="8063A1"/>
            </w:tcBorders>
          </w:tcPr>
          <w:p>
            <w:pPr>
              <w:pStyle w:val="TableParagraph"/>
              <w:spacing w:line="240" w:lineRule="auto" w:before="42"/>
              <w:ind w:left="280" w:right="354"/>
              <w:rPr>
                <w:sz w:val="18"/>
              </w:rPr>
            </w:pPr>
            <w:r>
              <w:rPr>
                <w:color w:val="5F4879"/>
                <w:sz w:val="18"/>
              </w:rPr>
              <w:t>Crónico</w:t>
            </w:r>
          </w:p>
        </w:tc>
      </w:tr>
    </w:tbl>
    <w:p>
      <w:pPr>
        <w:spacing w:line="221" w:lineRule="exact" w:before="0"/>
        <w:ind w:left="366" w:right="0" w:firstLine="0"/>
        <w:jc w:val="left"/>
        <w:rPr>
          <w:sz w:val="20"/>
        </w:rPr>
      </w:pPr>
      <w:bookmarkStart w:name="_bookmark29" w:id="56"/>
      <w:bookmarkEnd w:id="56"/>
      <w:r>
        <w:rPr/>
      </w:r>
      <w:r>
        <w:rPr>
          <w:sz w:val="20"/>
        </w:rPr>
        <w:t>Tabla 1. Pruebas de sensibilidad pulpar, diagnóstico pulpar y periapical del OD 11, 12, 13 y 14.</w:t>
      </w:r>
    </w:p>
    <w:p>
      <w:pPr>
        <w:pStyle w:val="BodyText"/>
        <w:rPr>
          <w:sz w:val="20"/>
        </w:rPr>
      </w:pPr>
    </w:p>
    <w:p>
      <w:pPr>
        <w:pStyle w:val="BodyText"/>
        <w:rPr>
          <w:sz w:val="20"/>
        </w:rPr>
      </w:pPr>
    </w:p>
    <w:p>
      <w:pPr>
        <w:pStyle w:val="BodyText"/>
        <w:rPr>
          <w:sz w:val="20"/>
        </w:rPr>
      </w:pPr>
    </w:p>
    <w:p>
      <w:pPr>
        <w:pStyle w:val="Heading1"/>
        <w:spacing w:line="535" w:lineRule="auto" w:before="122"/>
        <w:ind w:left="162" w:right="6258" w:firstLine="0"/>
        <w:jc w:val="left"/>
      </w:pPr>
      <w:r>
        <w:rPr/>
        <w:t>Desarrollo del Caso Tratamiento endodóntico</w:t>
      </w:r>
    </w:p>
    <w:p>
      <w:pPr>
        <w:pStyle w:val="BodyText"/>
        <w:spacing w:line="360" w:lineRule="auto" w:before="8"/>
        <w:ind w:left="162"/>
      </w:pPr>
      <w:r>
        <w:rPr/>
        <w:drawing>
          <wp:anchor distT="0" distB="0" distL="0" distR="0" allowOverlap="1" layoutInCell="1" locked="0" behindDoc="1" simplePos="0" relativeHeight="268395383">
            <wp:simplePos x="0" y="0"/>
            <wp:positionH relativeFrom="page">
              <wp:posOffset>2039111</wp:posOffset>
            </wp:positionH>
            <wp:positionV relativeFrom="paragraph">
              <wp:posOffset>519250</wp:posOffset>
            </wp:positionV>
            <wp:extent cx="3968496" cy="1136903"/>
            <wp:effectExtent l="0" t="0" r="0" b="0"/>
            <wp:wrapNone/>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6" cstate="print"/>
                    <a:stretch>
                      <a:fillRect/>
                    </a:stretch>
                  </pic:blipFill>
                  <pic:spPr>
                    <a:xfrm>
                      <a:off x="0" y="0"/>
                      <a:ext cx="3968496" cy="1136903"/>
                    </a:xfrm>
                    <a:prstGeom prst="rect">
                      <a:avLst/>
                    </a:prstGeom>
                  </pic:spPr>
                </pic:pic>
              </a:graphicData>
            </a:graphic>
          </wp:anchor>
        </w:drawing>
      </w:r>
      <w:r>
        <w:rPr/>
        <w:t>Previo a la terapia endodóntica, se obtuvieron modelos de estudio en yeso para la fabricación de provisionales protésicos para los OD-11 y 12 (</w:t>
      </w:r>
      <w:hyperlink w:history="true" w:anchor="_bookmark30">
        <w:r>
          <w:rPr>
            <w:rFonts w:ascii="Calibri" w:hAnsi="Calibri"/>
            <w:sz w:val="22"/>
          </w:rPr>
          <w:t>Fig. 4</w:t>
        </w:r>
      </w:hyperlink>
      <w:r>
        <w:rPr/>
        <w:t>).</w:t>
      </w:r>
    </w:p>
    <w:p>
      <w:pPr>
        <w:pStyle w:val="BodyText"/>
      </w:pPr>
    </w:p>
    <w:p>
      <w:pPr>
        <w:pStyle w:val="BodyText"/>
      </w:pPr>
    </w:p>
    <w:p>
      <w:pPr>
        <w:pStyle w:val="BodyText"/>
      </w:pPr>
    </w:p>
    <w:p>
      <w:pPr>
        <w:pStyle w:val="BodyText"/>
      </w:pPr>
    </w:p>
    <w:p>
      <w:pPr>
        <w:pStyle w:val="BodyText"/>
      </w:pPr>
    </w:p>
    <w:p>
      <w:pPr>
        <w:pStyle w:val="BodyText"/>
      </w:pPr>
    </w:p>
    <w:p>
      <w:pPr>
        <w:spacing w:before="175"/>
        <w:ind w:left="2468" w:right="0" w:firstLine="0"/>
        <w:jc w:val="left"/>
        <w:rPr>
          <w:sz w:val="20"/>
        </w:rPr>
      </w:pPr>
      <w:bookmarkStart w:name="_bookmark30" w:id="57"/>
      <w:bookmarkEnd w:id="57"/>
      <w:r>
        <w:rPr/>
      </w:r>
      <w:r>
        <w:rPr>
          <w:sz w:val="20"/>
        </w:rPr>
        <w:t>Fig. 4. A) y B) Modelo y encerado para provisional.</w:t>
      </w:r>
    </w:p>
    <w:p>
      <w:pPr>
        <w:pStyle w:val="BodyText"/>
        <w:rPr>
          <w:sz w:val="20"/>
        </w:rPr>
      </w:pPr>
    </w:p>
    <w:p>
      <w:pPr>
        <w:pStyle w:val="BodyText"/>
        <w:spacing w:before="7"/>
        <w:rPr>
          <w:sz w:val="25"/>
        </w:rPr>
      </w:pPr>
    </w:p>
    <w:p>
      <w:pPr>
        <w:pStyle w:val="BodyText"/>
        <w:spacing w:before="69"/>
        <w:ind w:left="162"/>
      </w:pPr>
      <w:r>
        <w:rPr>
          <w:u w:val="single"/>
        </w:rPr>
        <w:t>Órgano dentario 11</w:t>
      </w:r>
    </w:p>
    <w:p>
      <w:pPr>
        <w:pStyle w:val="BodyText"/>
        <w:spacing w:before="2"/>
        <w:rPr>
          <w:sz w:val="23"/>
        </w:rPr>
      </w:pPr>
    </w:p>
    <w:p>
      <w:pPr>
        <w:pStyle w:val="BodyText"/>
        <w:spacing w:line="360" w:lineRule="auto" w:before="69"/>
        <w:ind w:left="162" w:right="319"/>
        <w:jc w:val="both"/>
      </w:pPr>
      <w:r>
        <w:rPr/>
        <w:t>Se</w:t>
      </w:r>
      <w:r>
        <w:rPr>
          <w:spacing w:val="-11"/>
        </w:rPr>
        <w:t> </w:t>
      </w:r>
      <w:r>
        <w:rPr/>
        <w:t>inició</w:t>
      </w:r>
      <w:r>
        <w:rPr>
          <w:spacing w:val="-11"/>
        </w:rPr>
        <w:t> </w:t>
      </w:r>
      <w:r>
        <w:rPr/>
        <w:t>el</w:t>
      </w:r>
      <w:r>
        <w:rPr>
          <w:spacing w:val="-12"/>
        </w:rPr>
        <w:t> </w:t>
      </w:r>
      <w:r>
        <w:rPr/>
        <w:t>tratamiento</w:t>
      </w:r>
      <w:r>
        <w:rPr>
          <w:spacing w:val="-13"/>
        </w:rPr>
        <w:t> </w:t>
      </w:r>
      <w:r>
        <w:rPr/>
        <w:t>de</w:t>
      </w:r>
      <w:r>
        <w:rPr>
          <w:spacing w:val="-11"/>
        </w:rPr>
        <w:t> </w:t>
      </w:r>
      <w:r>
        <w:rPr/>
        <w:t>endodoncia</w:t>
      </w:r>
      <w:r>
        <w:rPr>
          <w:spacing w:val="-11"/>
        </w:rPr>
        <w:t> </w:t>
      </w:r>
      <w:r>
        <w:rPr/>
        <w:t>en</w:t>
      </w:r>
      <w:r>
        <w:rPr>
          <w:spacing w:val="-11"/>
        </w:rPr>
        <w:t> </w:t>
      </w:r>
      <w:r>
        <w:rPr/>
        <w:t>OD-11</w:t>
      </w:r>
      <w:r>
        <w:rPr>
          <w:spacing w:val="-11"/>
        </w:rPr>
        <w:t> </w:t>
      </w:r>
      <w:r>
        <w:rPr/>
        <w:t>bajo</w:t>
      </w:r>
      <w:r>
        <w:rPr>
          <w:spacing w:val="-13"/>
        </w:rPr>
        <w:t> </w:t>
      </w:r>
      <w:r>
        <w:rPr/>
        <w:t>bloqueo</w:t>
      </w:r>
      <w:r>
        <w:rPr>
          <w:spacing w:val="-11"/>
        </w:rPr>
        <w:t> </w:t>
      </w:r>
      <w:r>
        <w:rPr/>
        <w:t>anestésico</w:t>
      </w:r>
      <w:r>
        <w:rPr>
          <w:spacing w:val="-11"/>
        </w:rPr>
        <w:t> </w:t>
      </w:r>
      <w:r>
        <w:rPr/>
        <w:t>del</w:t>
      </w:r>
      <w:r>
        <w:rPr>
          <w:spacing w:val="-12"/>
        </w:rPr>
        <w:t> </w:t>
      </w:r>
      <w:r>
        <w:rPr/>
        <w:t>nervio alveolar anterior superior con lidocaína al 2% y epinefrina 1:100 000 (FD, ZEYCO, Jalisco, México) se retiró el provisional y se colocó aislado absoluto con dique de hule (Dental Dam, NicTone, Jalisco, México). Se utilizó fresa de bola #5 (SS</w:t>
      </w:r>
      <w:r>
        <w:rPr>
          <w:spacing w:val="-32"/>
        </w:rPr>
        <w:t> </w:t>
      </w:r>
      <w:r>
        <w:rPr/>
        <w:t>White, Lakewood,</w:t>
      </w:r>
      <w:r>
        <w:rPr>
          <w:spacing w:val="-12"/>
        </w:rPr>
        <w:t> </w:t>
      </w:r>
      <w:r>
        <w:rPr/>
        <w:t>New</w:t>
      </w:r>
      <w:r>
        <w:rPr>
          <w:spacing w:val="-13"/>
        </w:rPr>
        <w:t> </w:t>
      </w:r>
      <w:r>
        <w:rPr/>
        <w:t>Jersey)</w:t>
      </w:r>
      <w:r>
        <w:rPr>
          <w:spacing w:val="-11"/>
        </w:rPr>
        <w:t> </w:t>
      </w:r>
      <w:r>
        <w:rPr/>
        <w:t>de</w:t>
      </w:r>
      <w:r>
        <w:rPr>
          <w:spacing w:val="-9"/>
        </w:rPr>
        <w:t> </w:t>
      </w:r>
      <w:r>
        <w:rPr/>
        <w:t>alta</w:t>
      </w:r>
      <w:r>
        <w:rPr>
          <w:spacing w:val="-9"/>
        </w:rPr>
        <w:t> </w:t>
      </w:r>
      <w:r>
        <w:rPr/>
        <w:t>velocidad</w:t>
      </w:r>
      <w:r>
        <w:rPr>
          <w:spacing w:val="-12"/>
        </w:rPr>
        <w:t> </w:t>
      </w:r>
      <w:r>
        <w:rPr/>
        <w:t>para</w:t>
      </w:r>
      <w:r>
        <w:rPr>
          <w:spacing w:val="-9"/>
        </w:rPr>
        <w:t> </w:t>
      </w:r>
      <w:r>
        <w:rPr/>
        <w:t>eliminar</w:t>
      </w:r>
      <w:r>
        <w:rPr>
          <w:spacing w:val="-13"/>
        </w:rPr>
        <w:t> </w:t>
      </w:r>
      <w:r>
        <w:rPr/>
        <w:t>la</w:t>
      </w:r>
      <w:r>
        <w:rPr>
          <w:spacing w:val="-12"/>
        </w:rPr>
        <w:t> </w:t>
      </w:r>
      <w:r>
        <w:rPr/>
        <w:t>dentina</w:t>
      </w:r>
      <w:r>
        <w:rPr>
          <w:spacing w:val="-12"/>
        </w:rPr>
        <w:t> </w:t>
      </w:r>
      <w:r>
        <w:rPr/>
        <w:t>reblandecida</w:t>
      </w:r>
      <w:r>
        <w:rPr>
          <w:spacing w:val="-11"/>
        </w:rPr>
        <w:t> </w:t>
      </w:r>
      <w:r>
        <w:rPr/>
        <w:t>y</w:t>
      </w:r>
      <w:r>
        <w:rPr>
          <w:spacing w:val="-13"/>
        </w:rPr>
        <w:t> </w:t>
      </w:r>
      <w:r>
        <w:rPr/>
        <w:t>se conformó la cavidad de acceso endodóntico. Una vez visualizado el conducto,  </w:t>
      </w:r>
      <w:r>
        <w:rPr>
          <w:spacing w:val="36"/>
        </w:rPr>
        <w:t> </w:t>
      </w:r>
      <w:r>
        <w:rPr/>
        <w:t>se</w:t>
      </w:r>
    </w:p>
    <w:p>
      <w:pPr>
        <w:spacing w:after="0" w:line="360" w:lineRule="auto"/>
        <w:jc w:val="both"/>
        <w:sectPr>
          <w:pgSz w:w="12240" w:h="15840"/>
          <w:pgMar w:header="744" w:footer="1572" w:top="1080" w:bottom="1760" w:left="1540" w:right="1380"/>
        </w:sectPr>
      </w:pPr>
    </w:p>
    <w:p>
      <w:pPr>
        <w:pStyle w:val="BodyText"/>
        <w:spacing w:before="4"/>
        <w:rPr>
          <w:sz w:val="21"/>
        </w:rPr>
      </w:pPr>
    </w:p>
    <w:p>
      <w:pPr>
        <w:pStyle w:val="BodyText"/>
        <w:spacing w:line="360" w:lineRule="auto" w:before="69"/>
        <w:ind w:left="162" w:right="154"/>
        <w:jc w:val="both"/>
      </w:pPr>
      <w:r>
        <w:rPr/>
        <w:drawing>
          <wp:anchor distT="0" distB="0" distL="0" distR="0" allowOverlap="1" layoutInCell="1" locked="0" behindDoc="1" simplePos="0" relativeHeight="268395407">
            <wp:simplePos x="0" y="0"/>
            <wp:positionH relativeFrom="page">
              <wp:posOffset>1624583</wp:posOffset>
            </wp:positionH>
            <wp:positionV relativeFrom="paragraph">
              <wp:posOffset>1837256</wp:posOffset>
            </wp:positionV>
            <wp:extent cx="4573524" cy="1435608"/>
            <wp:effectExtent l="0" t="0" r="0" b="0"/>
            <wp:wrapNone/>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7" cstate="print"/>
                    <a:stretch>
                      <a:fillRect/>
                    </a:stretch>
                  </pic:blipFill>
                  <pic:spPr>
                    <a:xfrm>
                      <a:off x="0" y="0"/>
                      <a:ext cx="4573524" cy="1435608"/>
                    </a:xfrm>
                    <a:prstGeom prst="rect">
                      <a:avLst/>
                    </a:prstGeom>
                  </pic:spPr>
                </pic:pic>
              </a:graphicData>
            </a:graphic>
          </wp:anchor>
        </w:drawing>
      </w:r>
      <w:r>
        <w:rPr/>
        <w:t>irrigó abundantemente con NaOCl 5.25% para neutralizar el contenido séptico- tóxico y se reconoció el conducto con lima K-Flex #20 (DENTSPLY Maillefer, Ballaigues, Suiza). Se abordó corono-apical utilizando instrumentos Gates Glidden (DENTSPLY Maillefer, Ballaigues, Suiza) #5, 4, 3 sucesivamente para la preparación</w:t>
      </w:r>
      <w:r>
        <w:rPr>
          <w:spacing w:val="-19"/>
        </w:rPr>
        <w:t> </w:t>
      </w:r>
      <w:r>
        <w:rPr/>
        <w:t>de</w:t>
      </w:r>
      <w:r>
        <w:rPr>
          <w:spacing w:val="-17"/>
        </w:rPr>
        <w:t> </w:t>
      </w:r>
      <w:r>
        <w:rPr/>
        <w:t>los</w:t>
      </w:r>
      <w:r>
        <w:rPr>
          <w:spacing w:val="-17"/>
        </w:rPr>
        <w:t> </w:t>
      </w:r>
      <w:r>
        <w:rPr/>
        <w:t>tercios</w:t>
      </w:r>
      <w:r>
        <w:rPr>
          <w:spacing w:val="-17"/>
        </w:rPr>
        <w:t> </w:t>
      </w:r>
      <w:r>
        <w:rPr/>
        <w:t>coronal</w:t>
      </w:r>
      <w:r>
        <w:rPr>
          <w:spacing w:val="-18"/>
        </w:rPr>
        <w:t> </w:t>
      </w:r>
      <w:r>
        <w:rPr/>
        <w:t>y</w:t>
      </w:r>
      <w:r>
        <w:rPr>
          <w:spacing w:val="-20"/>
        </w:rPr>
        <w:t> </w:t>
      </w:r>
      <w:r>
        <w:rPr/>
        <w:t>medio.</w:t>
      </w:r>
      <w:r>
        <w:rPr>
          <w:spacing w:val="-19"/>
        </w:rPr>
        <w:t> </w:t>
      </w:r>
      <w:r>
        <w:rPr/>
        <w:t>Se</w:t>
      </w:r>
      <w:r>
        <w:rPr>
          <w:spacing w:val="-19"/>
        </w:rPr>
        <w:t> </w:t>
      </w:r>
      <w:r>
        <w:rPr/>
        <w:t>procedió</w:t>
      </w:r>
      <w:r>
        <w:rPr>
          <w:spacing w:val="-19"/>
        </w:rPr>
        <w:t> </w:t>
      </w:r>
      <w:r>
        <w:rPr/>
        <w:t>a</w:t>
      </w:r>
      <w:r>
        <w:rPr>
          <w:spacing w:val="-19"/>
        </w:rPr>
        <w:t> </w:t>
      </w:r>
      <w:r>
        <w:rPr/>
        <w:t>la</w:t>
      </w:r>
      <w:r>
        <w:rPr>
          <w:spacing w:val="-17"/>
        </w:rPr>
        <w:t> </w:t>
      </w:r>
      <w:r>
        <w:rPr/>
        <w:t>toma</w:t>
      </w:r>
      <w:r>
        <w:rPr>
          <w:spacing w:val="-19"/>
        </w:rPr>
        <w:t> </w:t>
      </w:r>
      <w:r>
        <w:rPr/>
        <w:t>de</w:t>
      </w:r>
      <w:r>
        <w:rPr>
          <w:spacing w:val="-17"/>
        </w:rPr>
        <w:t> </w:t>
      </w:r>
      <w:r>
        <w:rPr/>
        <w:t>conductometría con</w:t>
      </w:r>
      <w:r>
        <w:rPr>
          <w:spacing w:val="-19"/>
        </w:rPr>
        <w:t> </w:t>
      </w:r>
      <w:r>
        <w:rPr/>
        <w:t>apoyo</w:t>
      </w:r>
      <w:r>
        <w:rPr>
          <w:spacing w:val="-19"/>
        </w:rPr>
        <w:t> </w:t>
      </w:r>
      <w:r>
        <w:rPr/>
        <w:t>de</w:t>
      </w:r>
      <w:r>
        <w:rPr>
          <w:spacing w:val="-19"/>
        </w:rPr>
        <w:t> </w:t>
      </w:r>
      <w:r>
        <w:rPr/>
        <w:t>un</w:t>
      </w:r>
      <w:r>
        <w:rPr>
          <w:spacing w:val="-19"/>
        </w:rPr>
        <w:t> </w:t>
      </w:r>
      <w:r>
        <w:rPr/>
        <w:t>localizador</w:t>
      </w:r>
      <w:r>
        <w:rPr>
          <w:spacing w:val="-20"/>
        </w:rPr>
        <w:t> </w:t>
      </w:r>
      <w:r>
        <w:rPr/>
        <w:t>eléctronico</w:t>
      </w:r>
      <w:r>
        <w:rPr>
          <w:spacing w:val="-19"/>
        </w:rPr>
        <w:t> </w:t>
      </w:r>
      <w:r>
        <w:rPr/>
        <w:t>de</w:t>
      </w:r>
      <w:r>
        <w:rPr>
          <w:spacing w:val="-21"/>
        </w:rPr>
        <w:t> </w:t>
      </w:r>
      <w:r>
        <w:rPr/>
        <w:t>foramen</w:t>
      </w:r>
      <w:r>
        <w:rPr>
          <w:spacing w:val="-19"/>
        </w:rPr>
        <w:t> </w:t>
      </w:r>
      <w:r>
        <w:rPr/>
        <w:t>de</w:t>
      </w:r>
      <w:r>
        <w:rPr>
          <w:spacing w:val="-19"/>
        </w:rPr>
        <w:t> </w:t>
      </w:r>
      <w:r>
        <w:rPr/>
        <w:t>cuarta</w:t>
      </w:r>
      <w:r>
        <w:rPr>
          <w:spacing w:val="-17"/>
        </w:rPr>
        <w:t> </w:t>
      </w:r>
      <w:r>
        <w:rPr/>
        <w:t>generación</w:t>
      </w:r>
      <w:r>
        <w:rPr>
          <w:spacing w:val="-16"/>
        </w:rPr>
        <w:t> </w:t>
      </w:r>
      <w:r>
        <w:rPr/>
        <w:t>(RAYPEX, VDW, Munich, Alemania) y limas manuales K-flex #20 (</w:t>
      </w:r>
      <w:hyperlink w:history="true" w:anchor="_bookmark31">
        <w:r>
          <w:rPr>
            <w:rFonts w:ascii="Calibri" w:hAnsi="Calibri"/>
            <w:sz w:val="22"/>
          </w:rPr>
          <w:t>Fig.</w:t>
        </w:r>
        <w:r>
          <w:rPr>
            <w:rFonts w:ascii="Calibri" w:hAnsi="Calibri"/>
            <w:spacing w:val="-17"/>
            <w:sz w:val="22"/>
          </w:rPr>
          <w:t> </w:t>
        </w:r>
        <w:r>
          <w:rPr>
            <w:rFonts w:ascii="Calibri" w:hAnsi="Calibri"/>
            <w:sz w:val="22"/>
          </w:rPr>
          <w:t>5</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3"/>
        </w:rPr>
      </w:pPr>
    </w:p>
    <w:p>
      <w:pPr>
        <w:spacing w:line="242" w:lineRule="auto" w:before="1"/>
        <w:ind w:left="2413" w:right="0" w:hanging="1369"/>
        <w:jc w:val="left"/>
        <w:rPr>
          <w:sz w:val="20"/>
        </w:rPr>
      </w:pPr>
      <w:bookmarkStart w:name="_bookmark31" w:id="58"/>
      <w:bookmarkEnd w:id="58"/>
      <w:r>
        <w:rPr/>
      </w:r>
      <w:r>
        <w:rPr>
          <w:sz w:val="20"/>
        </w:rPr>
        <w:t>Fig. 5. A) Rx. de diagnóstico inicial, B) Realización de acceso radicular, C) y D) Conductometría vista clínica y radiográficamente.</w:t>
      </w:r>
    </w:p>
    <w:p>
      <w:pPr>
        <w:pStyle w:val="BodyText"/>
        <w:rPr>
          <w:sz w:val="20"/>
        </w:rPr>
      </w:pPr>
    </w:p>
    <w:p>
      <w:pPr>
        <w:pStyle w:val="BodyText"/>
        <w:spacing w:before="2"/>
        <w:rPr>
          <w:sz w:val="16"/>
        </w:rPr>
      </w:pPr>
    </w:p>
    <w:p>
      <w:pPr>
        <w:pStyle w:val="BodyText"/>
        <w:spacing w:line="360" w:lineRule="auto" w:before="70"/>
        <w:ind w:left="162" w:right="155"/>
        <w:jc w:val="both"/>
      </w:pPr>
      <w:r>
        <w:rPr/>
        <w:t>La preparación biomecánica fue realizada con técnica manual de fuerzas balanceadas hasta lograr un diámetro apical #45 e irrigación manual utilizando NaOCl 5.25%. Durante esta primer cita se observó la salida de un líquido color ambar</w:t>
      </w:r>
      <w:r>
        <w:rPr>
          <w:spacing w:val="-13"/>
        </w:rPr>
        <w:t> </w:t>
      </w:r>
      <w:r>
        <w:rPr/>
        <w:t>a</w:t>
      </w:r>
      <w:r>
        <w:rPr>
          <w:spacing w:val="-12"/>
        </w:rPr>
        <w:t> </w:t>
      </w:r>
      <w:r>
        <w:rPr/>
        <w:t>través</w:t>
      </w:r>
      <w:r>
        <w:rPr>
          <w:spacing w:val="-10"/>
        </w:rPr>
        <w:t> </w:t>
      </w:r>
      <w:r>
        <w:rPr/>
        <w:t>del</w:t>
      </w:r>
      <w:r>
        <w:rPr>
          <w:spacing w:val="-13"/>
        </w:rPr>
        <w:t> </w:t>
      </w:r>
      <w:r>
        <w:rPr/>
        <w:t>conducto</w:t>
      </w:r>
      <w:r>
        <w:rPr>
          <w:spacing w:val="-8"/>
        </w:rPr>
        <w:t> </w:t>
      </w:r>
      <w:r>
        <w:rPr/>
        <w:t>por</w:t>
      </w:r>
      <w:r>
        <w:rPr>
          <w:spacing w:val="-11"/>
        </w:rPr>
        <w:t> </w:t>
      </w:r>
      <w:r>
        <w:rPr/>
        <w:t>lo</w:t>
      </w:r>
      <w:r>
        <w:rPr>
          <w:spacing w:val="-12"/>
        </w:rPr>
        <w:t> </w:t>
      </w:r>
      <w:r>
        <w:rPr/>
        <w:t>que</w:t>
      </w:r>
      <w:r>
        <w:rPr>
          <w:spacing w:val="-12"/>
        </w:rPr>
        <w:t> </w:t>
      </w:r>
      <w:r>
        <w:rPr/>
        <w:t>se</w:t>
      </w:r>
      <w:r>
        <w:rPr>
          <w:spacing w:val="-12"/>
        </w:rPr>
        <w:t> </w:t>
      </w:r>
      <w:r>
        <w:rPr/>
        <w:t>decidió</w:t>
      </w:r>
      <w:r>
        <w:rPr>
          <w:spacing w:val="-9"/>
        </w:rPr>
        <w:t> </w:t>
      </w:r>
      <w:r>
        <w:rPr/>
        <w:t>colocar</w:t>
      </w:r>
      <w:r>
        <w:rPr>
          <w:spacing w:val="-13"/>
        </w:rPr>
        <w:t> </w:t>
      </w:r>
      <w:r>
        <w:rPr/>
        <w:t>medicación</w:t>
      </w:r>
      <w:r>
        <w:rPr>
          <w:spacing w:val="-9"/>
        </w:rPr>
        <w:t> </w:t>
      </w:r>
      <w:r>
        <w:rPr/>
        <w:t>intraconducto de hidroxido de calcio (Ultracal, ULTRADENT PRODUCTS INC, Monterrey, México), una obturación temporal a base de óxido de zinc (Provisit, CASA IDEA, San Luis Potosí, México) y el provisional de acrílico cementado con Temp Bond (KERR</w:t>
      </w:r>
      <w:r>
        <w:rPr>
          <w:spacing w:val="-9"/>
        </w:rPr>
        <w:t> </w:t>
      </w:r>
      <w:r>
        <w:rPr/>
        <w:t>international,</w:t>
      </w:r>
      <w:r>
        <w:rPr>
          <w:spacing w:val="-8"/>
        </w:rPr>
        <w:t> </w:t>
      </w:r>
      <w:r>
        <w:rPr/>
        <w:t>Orange,</w:t>
      </w:r>
      <w:r>
        <w:rPr>
          <w:spacing w:val="-7"/>
        </w:rPr>
        <w:t> </w:t>
      </w:r>
      <w:r>
        <w:rPr/>
        <w:t>California,</w:t>
      </w:r>
      <w:r>
        <w:rPr>
          <w:spacing w:val="-7"/>
        </w:rPr>
        <w:t> </w:t>
      </w:r>
      <w:r>
        <w:rPr/>
        <w:t>E.U.A.).</w:t>
      </w:r>
      <w:r>
        <w:rPr>
          <w:spacing w:val="-8"/>
        </w:rPr>
        <w:t> </w:t>
      </w:r>
      <w:r>
        <w:rPr/>
        <w:t>En</w:t>
      </w:r>
      <w:r>
        <w:rPr>
          <w:spacing w:val="-7"/>
        </w:rPr>
        <w:t> </w:t>
      </w:r>
      <w:r>
        <w:rPr/>
        <w:t>una</w:t>
      </w:r>
      <w:r>
        <w:rPr>
          <w:spacing w:val="-9"/>
        </w:rPr>
        <w:t> </w:t>
      </w:r>
      <w:r>
        <w:rPr/>
        <w:t>segunda</w:t>
      </w:r>
      <w:r>
        <w:rPr>
          <w:spacing w:val="-7"/>
        </w:rPr>
        <w:t> </w:t>
      </w:r>
      <w:r>
        <w:rPr/>
        <w:t>cita,</w:t>
      </w:r>
      <w:r>
        <w:rPr>
          <w:spacing w:val="-7"/>
        </w:rPr>
        <w:t> </w:t>
      </w:r>
      <w:r>
        <w:rPr/>
        <w:t>se</w:t>
      </w:r>
      <w:r>
        <w:rPr>
          <w:spacing w:val="-9"/>
        </w:rPr>
        <w:t> </w:t>
      </w:r>
      <w:r>
        <w:rPr/>
        <w:t>eliminó</w:t>
      </w:r>
      <w:r>
        <w:rPr>
          <w:spacing w:val="-9"/>
        </w:rPr>
        <w:t> </w:t>
      </w:r>
      <w:r>
        <w:rPr/>
        <w:t>la obturación temporal con fresa de bola #5 de alta velocidad y la medicación intraconducto mediante irrigación manual con NaOCl 5.25%, se re-preparó el conducto a una lima apical #50 pero la salida del exudado ambar continuó y de nuevo se colocó medicación intraconducto, la obturación temporal y el provisional (</w:t>
      </w:r>
      <w:hyperlink w:history="true" w:anchor="_bookmark32">
        <w:r>
          <w:rPr>
            <w:rFonts w:ascii="Calibri" w:hAnsi="Calibri"/>
            <w:sz w:val="22"/>
          </w:rPr>
          <w:t>Fig.</w:t>
        </w:r>
        <w:r>
          <w:rPr>
            <w:rFonts w:ascii="Calibri" w:hAnsi="Calibri"/>
            <w:spacing w:val="-4"/>
            <w:sz w:val="22"/>
          </w:rPr>
          <w:t> </w:t>
        </w:r>
        <w:r>
          <w:rPr>
            <w:rFonts w:ascii="Calibri" w:hAnsi="Calibri"/>
            <w:sz w:val="22"/>
          </w:rPr>
          <w:t>6</w:t>
        </w:r>
      </w:hyperlink>
      <w:r>
        <w:rPr/>
        <w:t>).</w:t>
      </w:r>
    </w:p>
    <w:p>
      <w:pPr>
        <w:spacing w:after="0" w:line="360" w:lineRule="auto"/>
        <w:jc w:val="both"/>
        <w:sectPr>
          <w:pgSz w:w="12240" w:h="15840"/>
          <w:pgMar w:header="744" w:footer="1572" w:top="1080" w:bottom="1760" w:left="1540" w:right="1540"/>
        </w:sectPr>
      </w:pPr>
    </w:p>
    <w:p>
      <w:pPr>
        <w:pStyle w:val="BodyText"/>
        <w:spacing w:before="8"/>
        <w:rPr>
          <w:sz w:val="27"/>
        </w:rPr>
      </w:pPr>
    </w:p>
    <w:p>
      <w:pPr>
        <w:pStyle w:val="BodyText"/>
        <w:ind w:left="2165"/>
        <w:rPr>
          <w:sz w:val="20"/>
        </w:rPr>
      </w:pPr>
      <w:r>
        <w:rPr>
          <w:sz w:val="20"/>
        </w:rPr>
        <w:drawing>
          <wp:inline distT="0" distB="0" distL="0" distR="0">
            <wp:extent cx="3022587" cy="1249679"/>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9" cstate="print"/>
                    <a:stretch>
                      <a:fillRect/>
                    </a:stretch>
                  </pic:blipFill>
                  <pic:spPr>
                    <a:xfrm>
                      <a:off x="0" y="0"/>
                      <a:ext cx="3022587" cy="1249679"/>
                    </a:xfrm>
                    <a:prstGeom prst="rect">
                      <a:avLst/>
                    </a:prstGeom>
                  </pic:spPr>
                </pic:pic>
              </a:graphicData>
            </a:graphic>
          </wp:inline>
        </w:drawing>
      </w:r>
      <w:r>
        <w:rPr>
          <w:sz w:val="20"/>
        </w:rPr>
      </w:r>
    </w:p>
    <w:p>
      <w:pPr>
        <w:pStyle w:val="BodyText"/>
        <w:spacing w:before="9"/>
        <w:rPr>
          <w:sz w:val="8"/>
        </w:rPr>
      </w:pPr>
    </w:p>
    <w:p>
      <w:pPr>
        <w:spacing w:before="74"/>
        <w:ind w:left="3623" w:right="950" w:hanging="2893"/>
        <w:jc w:val="left"/>
        <w:rPr>
          <w:sz w:val="20"/>
        </w:rPr>
      </w:pPr>
      <w:bookmarkStart w:name="_bookmark32" w:id="59"/>
      <w:bookmarkEnd w:id="59"/>
      <w:r>
        <w:rPr/>
      </w:r>
      <w:r>
        <w:rPr>
          <w:sz w:val="20"/>
        </w:rPr>
        <w:t>Fig. 6. A) Salida de exudado color ambar a través del conducto radicular durante las primeras dos citas.</w:t>
      </w:r>
    </w:p>
    <w:p>
      <w:pPr>
        <w:pStyle w:val="BodyText"/>
        <w:rPr>
          <w:sz w:val="20"/>
        </w:rPr>
      </w:pPr>
    </w:p>
    <w:p>
      <w:pPr>
        <w:pStyle w:val="BodyText"/>
        <w:spacing w:before="4"/>
        <w:rPr>
          <w:sz w:val="20"/>
        </w:rPr>
      </w:pPr>
    </w:p>
    <w:p>
      <w:pPr>
        <w:pStyle w:val="BodyText"/>
        <w:spacing w:line="360" w:lineRule="auto"/>
        <w:ind w:left="162" w:right="159"/>
        <w:jc w:val="both"/>
      </w:pPr>
      <w:r>
        <w:rPr/>
        <w:drawing>
          <wp:anchor distT="0" distB="0" distL="0" distR="0" allowOverlap="1" layoutInCell="1" locked="0" behindDoc="0" simplePos="0" relativeHeight="1240">
            <wp:simplePos x="0" y="0"/>
            <wp:positionH relativeFrom="page">
              <wp:posOffset>1210055</wp:posOffset>
            </wp:positionH>
            <wp:positionV relativeFrom="paragraph">
              <wp:posOffset>3504639</wp:posOffset>
            </wp:positionV>
            <wp:extent cx="5355573" cy="1440180"/>
            <wp:effectExtent l="0" t="0" r="0" b="0"/>
            <wp:wrapTopAndBottom/>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20" cstate="print"/>
                    <a:stretch>
                      <a:fillRect/>
                    </a:stretch>
                  </pic:blipFill>
                  <pic:spPr>
                    <a:xfrm>
                      <a:off x="0" y="0"/>
                      <a:ext cx="5355573" cy="1440180"/>
                    </a:xfrm>
                    <a:prstGeom prst="rect">
                      <a:avLst/>
                    </a:prstGeom>
                  </pic:spPr>
                </pic:pic>
              </a:graphicData>
            </a:graphic>
          </wp:anchor>
        </w:drawing>
      </w:r>
      <w:r>
        <w:rPr/>
        <w:t>Durante la tercera cita, el hidroxido de calcio fue eliminado mediante irrigación manual profusa de NaOCl 5.25% y el conducto fue finalmente instrumentado a una lima apical #60. Se utilizó EDTA 17% (ULTRADENT PRODUCTS INC, Monterrey, México) durante 1 minuto como acondicionamiento final del conducto. En esta ocasión</w:t>
      </w:r>
      <w:r>
        <w:rPr>
          <w:spacing w:val="-13"/>
        </w:rPr>
        <w:t> </w:t>
      </w:r>
      <w:r>
        <w:rPr/>
        <w:t>ya</w:t>
      </w:r>
      <w:r>
        <w:rPr>
          <w:spacing w:val="-11"/>
        </w:rPr>
        <w:t> </w:t>
      </w:r>
      <w:r>
        <w:rPr/>
        <w:t>no</w:t>
      </w:r>
      <w:r>
        <w:rPr>
          <w:spacing w:val="-13"/>
        </w:rPr>
        <w:t> </w:t>
      </w:r>
      <w:r>
        <w:rPr/>
        <w:t>fue</w:t>
      </w:r>
      <w:r>
        <w:rPr>
          <w:spacing w:val="-13"/>
        </w:rPr>
        <w:t> </w:t>
      </w:r>
      <w:r>
        <w:rPr/>
        <w:t>visible</w:t>
      </w:r>
      <w:r>
        <w:rPr>
          <w:spacing w:val="-11"/>
        </w:rPr>
        <w:t> </w:t>
      </w:r>
      <w:r>
        <w:rPr/>
        <w:t>el</w:t>
      </w:r>
      <w:r>
        <w:rPr>
          <w:spacing w:val="-14"/>
        </w:rPr>
        <w:t> </w:t>
      </w:r>
      <w:r>
        <w:rPr/>
        <w:t>exudado</w:t>
      </w:r>
      <w:r>
        <w:rPr>
          <w:spacing w:val="-13"/>
        </w:rPr>
        <w:t> </w:t>
      </w:r>
      <w:r>
        <w:rPr/>
        <w:t>por</w:t>
      </w:r>
      <w:r>
        <w:rPr>
          <w:spacing w:val="-15"/>
        </w:rPr>
        <w:t> </w:t>
      </w:r>
      <w:r>
        <w:rPr/>
        <w:t>lo</w:t>
      </w:r>
      <w:r>
        <w:rPr>
          <w:spacing w:val="-11"/>
        </w:rPr>
        <w:t> </w:t>
      </w:r>
      <w:r>
        <w:rPr/>
        <w:t>que</w:t>
      </w:r>
      <w:r>
        <w:rPr>
          <w:spacing w:val="-13"/>
        </w:rPr>
        <w:t> </w:t>
      </w:r>
      <w:r>
        <w:rPr/>
        <w:t>se</w:t>
      </w:r>
      <w:r>
        <w:rPr>
          <w:spacing w:val="-13"/>
        </w:rPr>
        <w:t> </w:t>
      </w:r>
      <w:r>
        <w:rPr/>
        <w:t>decidió</w:t>
      </w:r>
      <w:r>
        <w:rPr>
          <w:spacing w:val="-11"/>
        </w:rPr>
        <w:t> </w:t>
      </w:r>
      <w:r>
        <w:rPr/>
        <w:t>llevar</w:t>
      </w:r>
      <w:r>
        <w:rPr>
          <w:spacing w:val="-12"/>
        </w:rPr>
        <w:t> </w:t>
      </w:r>
      <w:r>
        <w:rPr/>
        <w:t>a</w:t>
      </w:r>
      <w:r>
        <w:rPr>
          <w:spacing w:val="-13"/>
        </w:rPr>
        <w:t> </w:t>
      </w:r>
      <w:r>
        <w:rPr/>
        <w:t>cabo</w:t>
      </w:r>
      <w:r>
        <w:rPr>
          <w:spacing w:val="-11"/>
        </w:rPr>
        <w:t> </w:t>
      </w:r>
      <w:r>
        <w:rPr/>
        <w:t>la</w:t>
      </w:r>
      <w:r>
        <w:rPr>
          <w:spacing w:val="-13"/>
        </w:rPr>
        <w:t> </w:t>
      </w:r>
      <w:r>
        <w:rPr/>
        <w:t>obturación del conducto mediante técnica de compactación lateral con un cono maestro de gutapercha estandarizada #60 (HYGENIC, ColteneEndo, Altstatten, Suiza) y</w:t>
      </w:r>
      <w:r>
        <w:rPr>
          <w:spacing w:val="-36"/>
        </w:rPr>
        <w:t> </w:t>
      </w:r>
      <w:r>
        <w:rPr/>
        <w:t>conos accesorios</w:t>
      </w:r>
      <w:r>
        <w:rPr>
          <w:spacing w:val="-15"/>
        </w:rPr>
        <w:t> </w:t>
      </w:r>
      <w:r>
        <w:rPr/>
        <w:t>MF</w:t>
      </w:r>
      <w:r>
        <w:rPr>
          <w:spacing w:val="-15"/>
        </w:rPr>
        <w:t> </w:t>
      </w:r>
      <w:r>
        <w:rPr/>
        <w:t>y</w:t>
      </w:r>
      <w:r>
        <w:rPr>
          <w:spacing w:val="-17"/>
        </w:rPr>
        <w:t> </w:t>
      </w:r>
      <w:r>
        <w:rPr/>
        <w:t>FM</w:t>
      </w:r>
      <w:r>
        <w:rPr>
          <w:spacing w:val="-14"/>
        </w:rPr>
        <w:t> </w:t>
      </w:r>
      <w:r>
        <w:rPr/>
        <w:t>(HYGENIC,</w:t>
      </w:r>
      <w:r>
        <w:rPr>
          <w:spacing w:val="-15"/>
        </w:rPr>
        <w:t> </w:t>
      </w:r>
      <w:r>
        <w:rPr/>
        <w:t>ColteneEndo,</w:t>
      </w:r>
      <w:r>
        <w:rPr>
          <w:spacing w:val="-14"/>
        </w:rPr>
        <w:t> </w:t>
      </w:r>
      <w:r>
        <w:rPr/>
        <w:t>Altstatten,</w:t>
      </w:r>
      <w:r>
        <w:rPr>
          <w:spacing w:val="-14"/>
        </w:rPr>
        <w:t> </w:t>
      </w:r>
      <w:r>
        <w:rPr/>
        <w:t>Suiza)</w:t>
      </w:r>
      <w:r>
        <w:rPr>
          <w:spacing w:val="-16"/>
        </w:rPr>
        <w:t> </w:t>
      </w:r>
      <w:r>
        <w:rPr/>
        <w:t>utilizando</w:t>
      </w:r>
      <w:r>
        <w:rPr>
          <w:spacing w:val="-14"/>
        </w:rPr>
        <w:t> </w:t>
      </w:r>
      <w:r>
        <w:rPr/>
        <w:t>cemento sellador a base de hidroxido de calcio (Sealapex, SybronEndo, Orange, California, E.U.A.). Intencionalmente, se sobreobturó el conducto para garantizar el sellado apical. Finalmente se colocó una obturación de ionómero de vidrio (Fuji 9, GC Corporation, Tokio, Japón) y se ajustó el nuevo provisional para evitar filtración y contaminación del tratamiento (</w:t>
      </w:r>
      <w:hyperlink w:history="true" w:anchor="_bookmark33">
        <w:r>
          <w:rPr>
            <w:rFonts w:ascii="Calibri" w:hAnsi="Calibri"/>
            <w:sz w:val="22"/>
          </w:rPr>
          <w:t>Fig.</w:t>
        </w:r>
        <w:r>
          <w:rPr>
            <w:rFonts w:ascii="Calibri" w:hAnsi="Calibri"/>
            <w:spacing w:val="-9"/>
            <w:sz w:val="22"/>
          </w:rPr>
          <w:t> </w:t>
        </w:r>
        <w:r>
          <w:rPr>
            <w:rFonts w:ascii="Calibri" w:hAnsi="Calibri"/>
            <w:sz w:val="22"/>
          </w:rPr>
          <w:t>7</w:t>
        </w:r>
      </w:hyperlink>
      <w:r>
        <w:rPr/>
        <w:t>).</w:t>
      </w:r>
    </w:p>
    <w:p>
      <w:pPr>
        <w:spacing w:line="242" w:lineRule="auto" w:before="61"/>
        <w:ind w:left="913" w:right="0" w:hanging="548"/>
        <w:jc w:val="left"/>
        <w:rPr>
          <w:sz w:val="20"/>
        </w:rPr>
      </w:pPr>
      <w:bookmarkStart w:name="_bookmark33" w:id="60"/>
      <w:bookmarkEnd w:id="60"/>
      <w:r>
        <w:rPr/>
      </w:r>
      <w:r>
        <w:rPr>
          <w:sz w:val="20"/>
        </w:rPr>
        <w:t>Fig. 7. A) Lima apical final. B) Rx. Prueba de punta. C) y D) Vista clínica y radiográfica de la obturación lateral. E) y F) Reconstrucción y Rx. final del tratamiento del OD-11.</w:t>
      </w:r>
    </w:p>
    <w:p>
      <w:pPr>
        <w:spacing w:after="0" w:line="242" w:lineRule="auto"/>
        <w:jc w:val="left"/>
        <w:rPr>
          <w:sz w:val="20"/>
        </w:rPr>
        <w:sectPr>
          <w:footerReference w:type="default" r:id="rId18"/>
          <w:pgSz w:w="12240" w:h="15840"/>
          <w:pgMar w:footer="1572" w:header="744" w:top="1080" w:bottom="1760" w:left="1540" w:right="1540"/>
        </w:sectPr>
      </w:pPr>
    </w:p>
    <w:p>
      <w:pPr>
        <w:pStyle w:val="BodyText"/>
        <w:spacing w:before="4"/>
        <w:rPr>
          <w:sz w:val="21"/>
        </w:rPr>
      </w:pPr>
    </w:p>
    <w:p>
      <w:pPr>
        <w:pStyle w:val="BodyText"/>
        <w:spacing w:before="69"/>
        <w:ind w:left="162"/>
      </w:pPr>
      <w:r>
        <w:rPr>
          <w:u w:val="single"/>
        </w:rPr>
        <w:t>Órgano dentario 13</w:t>
      </w:r>
    </w:p>
    <w:p>
      <w:pPr>
        <w:pStyle w:val="BodyText"/>
        <w:rPr>
          <w:sz w:val="15"/>
        </w:rPr>
      </w:pPr>
    </w:p>
    <w:p>
      <w:pPr>
        <w:pStyle w:val="BodyText"/>
        <w:spacing w:line="360" w:lineRule="auto" w:before="70"/>
        <w:ind w:left="162" w:right="156"/>
        <w:jc w:val="both"/>
      </w:pPr>
      <w:r>
        <w:rPr/>
        <w:t>Se continuó con el tratamiento endodóntico del OD-13. Previo bloqueo anestésico del nervio alveolar superior anterior derecho (lidocaína/epinefrina 2% 1:100 000) y aislado absoluto, se conformó la cavidad de acceso y se localizó el conducto. Se obtuvo</w:t>
      </w:r>
      <w:r>
        <w:rPr>
          <w:spacing w:val="-16"/>
        </w:rPr>
        <w:t> </w:t>
      </w:r>
      <w:r>
        <w:rPr/>
        <w:t>la</w:t>
      </w:r>
      <w:r>
        <w:rPr>
          <w:spacing w:val="-16"/>
        </w:rPr>
        <w:t> </w:t>
      </w:r>
      <w:r>
        <w:rPr/>
        <w:t>longitud</w:t>
      </w:r>
      <w:r>
        <w:rPr>
          <w:spacing w:val="-16"/>
        </w:rPr>
        <w:t> </w:t>
      </w:r>
      <w:r>
        <w:rPr/>
        <w:t>de</w:t>
      </w:r>
      <w:r>
        <w:rPr>
          <w:spacing w:val="-18"/>
        </w:rPr>
        <w:t> </w:t>
      </w:r>
      <w:r>
        <w:rPr/>
        <w:t>trabajo</w:t>
      </w:r>
      <w:r>
        <w:rPr>
          <w:spacing w:val="-16"/>
        </w:rPr>
        <w:t> </w:t>
      </w:r>
      <w:r>
        <w:rPr/>
        <w:t>con</w:t>
      </w:r>
      <w:r>
        <w:rPr>
          <w:spacing w:val="-16"/>
        </w:rPr>
        <w:t> </w:t>
      </w:r>
      <w:r>
        <w:rPr/>
        <w:t>localizador</w:t>
      </w:r>
      <w:r>
        <w:rPr>
          <w:spacing w:val="-17"/>
        </w:rPr>
        <w:t> </w:t>
      </w:r>
      <w:r>
        <w:rPr/>
        <w:t>de</w:t>
      </w:r>
      <w:r>
        <w:rPr>
          <w:spacing w:val="-16"/>
        </w:rPr>
        <w:t> </w:t>
      </w:r>
      <w:r>
        <w:rPr/>
        <w:t>conductos</w:t>
      </w:r>
      <w:r>
        <w:rPr>
          <w:spacing w:val="-16"/>
        </w:rPr>
        <w:t> </w:t>
      </w:r>
      <w:r>
        <w:rPr/>
        <w:t>y</w:t>
      </w:r>
      <w:r>
        <w:rPr>
          <w:spacing w:val="-19"/>
        </w:rPr>
        <w:t> </w:t>
      </w:r>
      <w:r>
        <w:rPr/>
        <w:t>lima</w:t>
      </w:r>
      <w:r>
        <w:rPr>
          <w:spacing w:val="-18"/>
        </w:rPr>
        <w:t> </w:t>
      </w:r>
      <w:r>
        <w:rPr/>
        <w:t>manual</w:t>
      </w:r>
      <w:r>
        <w:rPr>
          <w:spacing w:val="-17"/>
        </w:rPr>
        <w:t> </w:t>
      </w:r>
      <w:r>
        <w:rPr/>
        <w:t>K-Flex</w:t>
      </w:r>
      <w:r>
        <w:rPr>
          <w:spacing w:val="-19"/>
        </w:rPr>
        <w:t> </w:t>
      </w:r>
      <w:r>
        <w:rPr/>
        <w:t>#20. La instrumentación fue realizada con técnica Crown Down y Fuerzas Balanceadas utilizando fresas Gates-Glidden 4, 3, 2 y limas manuales K-Flex hasta una lima apical final #40 (</w:t>
      </w:r>
      <w:hyperlink w:history="true" w:anchor="_bookmark34">
        <w:r>
          <w:rPr>
            <w:rFonts w:ascii="Calibri" w:hAnsi="Calibri"/>
            <w:sz w:val="22"/>
          </w:rPr>
          <w:t>Fig.</w:t>
        </w:r>
        <w:r>
          <w:rPr>
            <w:rFonts w:ascii="Calibri" w:hAnsi="Calibri"/>
            <w:spacing w:val="-5"/>
            <w:sz w:val="22"/>
          </w:rPr>
          <w:t> </w:t>
        </w:r>
        <w:r>
          <w:rPr>
            <w:rFonts w:ascii="Calibri" w:hAnsi="Calibri"/>
            <w:sz w:val="22"/>
          </w:rPr>
          <w:t>8</w:t>
        </w:r>
      </w:hyperlink>
      <w:r>
        <w:rPr/>
        <w:t>).</w:t>
      </w:r>
    </w:p>
    <w:p>
      <w:pPr>
        <w:pStyle w:val="BodyText"/>
        <w:ind w:left="1469"/>
        <w:rPr>
          <w:sz w:val="20"/>
        </w:rPr>
      </w:pPr>
      <w:r>
        <w:rPr>
          <w:sz w:val="20"/>
        </w:rPr>
        <w:drawing>
          <wp:inline distT="0" distB="0" distL="0" distR="0">
            <wp:extent cx="4157472" cy="1455420"/>
            <wp:effectExtent l="0" t="0" r="0" b="0"/>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22" cstate="print"/>
                    <a:stretch>
                      <a:fillRect/>
                    </a:stretch>
                  </pic:blipFill>
                  <pic:spPr>
                    <a:xfrm>
                      <a:off x="0" y="0"/>
                      <a:ext cx="4157472" cy="1455420"/>
                    </a:xfrm>
                    <a:prstGeom prst="rect">
                      <a:avLst/>
                    </a:prstGeom>
                  </pic:spPr>
                </pic:pic>
              </a:graphicData>
            </a:graphic>
          </wp:inline>
        </w:drawing>
      </w:r>
      <w:r>
        <w:rPr>
          <w:sz w:val="20"/>
        </w:rPr>
      </w:r>
    </w:p>
    <w:p>
      <w:pPr>
        <w:spacing w:line="242" w:lineRule="auto" w:before="141"/>
        <w:ind w:left="3822" w:right="506" w:hanging="3270"/>
        <w:jc w:val="left"/>
        <w:rPr>
          <w:sz w:val="20"/>
        </w:rPr>
      </w:pPr>
      <w:bookmarkStart w:name="_bookmark34" w:id="61"/>
      <w:bookmarkEnd w:id="61"/>
      <w:r>
        <w:rPr/>
      </w:r>
      <w:r>
        <w:rPr>
          <w:sz w:val="20"/>
        </w:rPr>
        <w:t>Fig. 8. A) Rx. de diagnóstico inicial. B) Acceso. C) Conductometría con lima K #20. D) Lima apical final k #40.</w:t>
      </w:r>
    </w:p>
    <w:p>
      <w:pPr>
        <w:pStyle w:val="BodyText"/>
        <w:rPr>
          <w:sz w:val="26"/>
        </w:rPr>
      </w:pPr>
    </w:p>
    <w:p>
      <w:pPr>
        <w:pStyle w:val="BodyText"/>
        <w:spacing w:line="360" w:lineRule="auto" w:before="69"/>
        <w:ind w:left="162" w:right="154"/>
        <w:jc w:val="both"/>
      </w:pPr>
      <w:r>
        <w:rPr/>
        <w:drawing>
          <wp:anchor distT="0" distB="0" distL="0" distR="0" allowOverlap="1" layoutInCell="1" locked="0" behindDoc="1" simplePos="0" relativeHeight="268395455">
            <wp:simplePos x="0" y="0"/>
            <wp:positionH relativeFrom="page">
              <wp:posOffset>1656588</wp:posOffset>
            </wp:positionH>
            <wp:positionV relativeFrom="paragraph">
              <wp:posOffset>1609545</wp:posOffset>
            </wp:positionV>
            <wp:extent cx="4498848" cy="1446275"/>
            <wp:effectExtent l="0" t="0" r="0" b="0"/>
            <wp:wrapNone/>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23" cstate="print"/>
                    <a:stretch>
                      <a:fillRect/>
                    </a:stretch>
                  </pic:blipFill>
                  <pic:spPr>
                    <a:xfrm>
                      <a:off x="0" y="0"/>
                      <a:ext cx="4498848" cy="1446275"/>
                    </a:xfrm>
                    <a:prstGeom prst="rect">
                      <a:avLst/>
                    </a:prstGeom>
                  </pic:spPr>
                </pic:pic>
              </a:graphicData>
            </a:graphic>
          </wp:anchor>
        </w:drawing>
      </w:r>
      <w:r>
        <w:rPr/>
        <w:t>Se</w:t>
      </w:r>
      <w:r>
        <w:rPr>
          <w:spacing w:val="-5"/>
        </w:rPr>
        <w:t> </w:t>
      </w:r>
      <w:r>
        <w:rPr/>
        <w:t>realizó</w:t>
      </w:r>
      <w:r>
        <w:rPr>
          <w:spacing w:val="-5"/>
        </w:rPr>
        <w:t> </w:t>
      </w:r>
      <w:r>
        <w:rPr/>
        <w:t>irrigación</w:t>
      </w:r>
      <w:r>
        <w:rPr>
          <w:spacing w:val="-4"/>
        </w:rPr>
        <w:t> </w:t>
      </w:r>
      <w:r>
        <w:rPr/>
        <w:t>pasiva</w:t>
      </w:r>
      <w:r>
        <w:rPr>
          <w:spacing w:val="-5"/>
        </w:rPr>
        <w:t> </w:t>
      </w:r>
      <w:r>
        <w:rPr/>
        <w:t>ultrasónica</w:t>
      </w:r>
      <w:r>
        <w:rPr>
          <w:spacing w:val="-5"/>
        </w:rPr>
        <w:t> </w:t>
      </w:r>
      <w:r>
        <w:rPr/>
        <w:t>con</w:t>
      </w:r>
      <w:r>
        <w:rPr>
          <w:spacing w:val="-7"/>
        </w:rPr>
        <w:t> </w:t>
      </w:r>
      <w:r>
        <w:rPr/>
        <w:t>hipoclorito</w:t>
      </w:r>
      <w:r>
        <w:rPr>
          <w:spacing w:val="-7"/>
        </w:rPr>
        <w:t> </w:t>
      </w:r>
      <w:r>
        <w:rPr/>
        <w:t>de</w:t>
      </w:r>
      <w:r>
        <w:rPr>
          <w:spacing w:val="-5"/>
        </w:rPr>
        <w:t> </w:t>
      </w:r>
      <w:r>
        <w:rPr/>
        <w:t>sodio</w:t>
      </w:r>
      <w:r>
        <w:rPr>
          <w:spacing w:val="-7"/>
        </w:rPr>
        <w:t> </w:t>
      </w:r>
      <w:r>
        <w:rPr/>
        <w:t>5.25%</w:t>
      </w:r>
      <w:r>
        <w:rPr>
          <w:spacing w:val="-5"/>
        </w:rPr>
        <w:t> </w:t>
      </w:r>
      <w:r>
        <w:rPr/>
        <w:t>y</w:t>
      </w:r>
      <w:r>
        <w:rPr>
          <w:spacing w:val="-8"/>
        </w:rPr>
        <w:t> </w:t>
      </w:r>
      <w:r>
        <w:rPr/>
        <w:t>EDTA</w:t>
      </w:r>
      <w:r>
        <w:rPr>
          <w:spacing w:val="-7"/>
        </w:rPr>
        <w:t> </w:t>
      </w:r>
      <w:r>
        <w:rPr/>
        <w:t>17% durante 1 minuto. Se obturó mediante compactación lateral utilizando un cono principal de gutapercha #40, conos accesorios MF y FM y cemento sellador Sealapex. Se obturó la cavidad con ionomero de vidrio para evitar filtración en el tratamiento. Se indicó al paciente la sustitución por una restauración definitiva lo más pronto posible (</w:t>
      </w:r>
      <w:hyperlink w:history="true" w:anchor="_bookmark35">
        <w:r>
          <w:rPr>
            <w:rFonts w:ascii="Calibri" w:hAnsi="Calibri"/>
            <w:sz w:val="22"/>
          </w:rPr>
          <w:t>Fig.</w:t>
        </w:r>
        <w:r>
          <w:rPr>
            <w:rFonts w:ascii="Calibri" w:hAnsi="Calibri"/>
            <w:spacing w:val="-10"/>
            <w:sz w:val="22"/>
          </w:rPr>
          <w:t> </w:t>
        </w:r>
        <w:r>
          <w:rPr>
            <w:rFonts w:ascii="Calibri" w:hAnsi="Calibri"/>
            <w:sz w:val="22"/>
          </w:rPr>
          <w:t>9</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42" w:lineRule="auto" w:before="168"/>
        <w:ind w:left="4122" w:right="0" w:hanging="3795"/>
        <w:jc w:val="left"/>
        <w:rPr>
          <w:sz w:val="20"/>
        </w:rPr>
      </w:pPr>
      <w:bookmarkStart w:name="_bookmark35" w:id="62"/>
      <w:bookmarkEnd w:id="62"/>
      <w:r>
        <w:rPr/>
      </w:r>
      <w:r>
        <w:rPr>
          <w:sz w:val="20"/>
        </w:rPr>
        <w:t>Fig. 9. A) Irrigación activada ultrasónicamente. B) Prueba de cono maestro. C) y D) Tratamiento finalizado.</w:t>
      </w:r>
    </w:p>
    <w:p>
      <w:pPr>
        <w:spacing w:after="0" w:line="242" w:lineRule="auto"/>
        <w:jc w:val="left"/>
        <w:rPr>
          <w:sz w:val="20"/>
        </w:rPr>
        <w:sectPr>
          <w:footerReference w:type="default" r:id="rId21"/>
          <w:pgSz w:w="12240" w:h="15840"/>
          <w:pgMar w:footer="1572" w:header="744" w:top="1080" w:bottom="1760" w:left="1540" w:right="1540"/>
          <w:pgNumType w:start="31"/>
        </w:sectPr>
      </w:pPr>
    </w:p>
    <w:p>
      <w:pPr>
        <w:pStyle w:val="BodyText"/>
        <w:spacing w:before="4"/>
        <w:rPr>
          <w:sz w:val="21"/>
        </w:rPr>
      </w:pPr>
    </w:p>
    <w:p>
      <w:pPr>
        <w:pStyle w:val="BodyText"/>
        <w:spacing w:before="69"/>
        <w:ind w:left="162"/>
      </w:pPr>
      <w:r>
        <w:rPr>
          <w:u w:val="single"/>
        </w:rPr>
        <w:t>Órgano dentario 14</w:t>
      </w:r>
    </w:p>
    <w:p>
      <w:pPr>
        <w:pStyle w:val="BodyText"/>
        <w:spacing w:before="5"/>
        <w:rPr>
          <w:sz w:val="23"/>
        </w:rPr>
      </w:pPr>
    </w:p>
    <w:p>
      <w:pPr>
        <w:pStyle w:val="BodyText"/>
        <w:spacing w:line="360" w:lineRule="auto" w:before="69"/>
        <w:ind w:left="162" w:right="154"/>
        <w:jc w:val="both"/>
      </w:pPr>
      <w:r>
        <w:rPr/>
        <w:drawing>
          <wp:anchor distT="0" distB="0" distL="0" distR="0" allowOverlap="1" layoutInCell="1" locked="0" behindDoc="1" simplePos="0" relativeHeight="268395503">
            <wp:simplePos x="0" y="0"/>
            <wp:positionH relativeFrom="page">
              <wp:posOffset>1943100</wp:posOffset>
            </wp:positionH>
            <wp:positionV relativeFrom="paragraph">
              <wp:posOffset>1334082</wp:posOffset>
            </wp:positionV>
            <wp:extent cx="3997452" cy="1254252"/>
            <wp:effectExtent l="0" t="0" r="0" b="0"/>
            <wp:wrapNone/>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24" cstate="print"/>
                    <a:stretch>
                      <a:fillRect/>
                    </a:stretch>
                  </pic:blipFill>
                  <pic:spPr>
                    <a:xfrm>
                      <a:off x="0" y="0"/>
                      <a:ext cx="3997452" cy="1254252"/>
                    </a:xfrm>
                    <a:prstGeom prst="rect">
                      <a:avLst/>
                    </a:prstGeom>
                  </pic:spPr>
                </pic:pic>
              </a:graphicData>
            </a:graphic>
          </wp:anchor>
        </w:drawing>
      </w:r>
      <w:r>
        <w:rPr/>
        <w:t>Se</w:t>
      </w:r>
      <w:r>
        <w:rPr>
          <w:spacing w:val="-18"/>
        </w:rPr>
        <w:t> </w:t>
      </w:r>
      <w:r>
        <w:rPr/>
        <w:t>procedió</w:t>
      </w:r>
      <w:r>
        <w:rPr>
          <w:spacing w:val="-16"/>
        </w:rPr>
        <w:t> </w:t>
      </w:r>
      <w:r>
        <w:rPr/>
        <w:t>al</w:t>
      </w:r>
      <w:r>
        <w:rPr>
          <w:spacing w:val="-19"/>
        </w:rPr>
        <w:t> </w:t>
      </w:r>
      <w:r>
        <w:rPr/>
        <w:t>tratamiento</w:t>
      </w:r>
      <w:r>
        <w:rPr>
          <w:spacing w:val="-18"/>
        </w:rPr>
        <w:t> </w:t>
      </w:r>
      <w:r>
        <w:rPr/>
        <w:t>del</w:t>
      </w:r>
      <w:r>
        <w:rPr>
          <w:spacing w:val="-19"/>
        </w:rPr>
        <w:t> </w:t>
      </w:r>
      <w:r>
        <w:rPr/>
        <w:t>OD-14.</w:t>
      </w:r>
      <w:r>
        <w:rPr>
          <w:spacing w:val="-18"/>
        </w:rPr>
        <w:t> </w:t>
      </w:r>
      <w:r>
        <w:rPr/>
        <w:t>Se</w:t>
      </w:r>
      <w:r>
        <w:rPr>
          <w:spacing w:val="-18"/>
        </w:rPr>
        <w:t> </w:t>
      </w:r>
      <w:r>
        <w:rPr/>
        <w:t>anestesió</w:t>
      </w:r>
      <w:r>
        <w:rPr>
          <w:spacing w:val="-18"/>
        </w:rPr>
        <w:t> </w:t>
      </w:r>
      <w:r>
        <w:rPr/>
        <w:t>el</w:t>
      </w:r>
      <w:r>
        <w:rPr>
          <w:spacing w:val="-17"/>
        </w:rPr>
        <w:t> </w:t>
      </w:r>
      <w:r>
        <w:rPr/>
        <w:t>nervio</w:t>
      </w:r>
      <w:r>
        <w:rPr>
          <w:spacing w:val="-15"/>
        </w:rPr>
        <w:t> </w:t>
      </w:r>
      <w:r>
        <w:rPr/>
        <w:t>alveolar</w:t>
      </w:r>
      <w:r>
        <w:rPr>
          <w:spacing w:val="-17"/>
        </w:rPr>
        <w:t> </w:t>
      </w:r>
      <w:r>
        <w:rPr/>
        <w:t>superior</w:t>
      </w:r>
      <w:r>
        <w:rPr>
          <w:spacing w:val="-19"/>
        </w:rPr>
        <w:t> </w:t>
      </w:r>
      <w:r>
        <w:rPr/>
        <w:t>medio derecho (lidocaína/epinefrina 2% 1:100 000) y se colocó dique de hule. Fue eliminada la amalgama para conformar la cavidad de acceso con fresa de bola #4 de carburo. Se tomó la longitud de trabajo con localizador de conductos y limas K- Flex #20 y 15 para los conductos vestibular y palatino respectivamente (</w:t>
      </w:r>
      <w:hyperlink w:history="true" w:anchor="_bookmark36">
        <w:r>
          <w:rPr>
            <w:rFonts w:ascii="Calibri" w:hAnsi="Calibri"/>
            <w:sz w:val="22"/>
          </w:rPr>
          <w:t>Fig.</w:t>
        </w:r>
        <w:r>
          <w:rPr>
            <w:rFonts w:ascii="Calibri" w:hAnsi="Calibri"/>
            <w:spacing w:val="-20"/>
            <w:sz w:val="22"/>
          </w:rPr>
          <w:t> </w:t>
        </w:r>
        <w:r>
          <w:rPr>
            <w:rFonts w:ascii="Calibri" w:hAnsi="Calibri"/>
            <w:sz w:val="22"/>
          </w:rPr>
          <w:t>10</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1"/>
        </w:rPr>
      </w:pPr>
    </w:p>
    <w:p>
      <w:pPr>
        <w:spacing w:before="0"/>
        <w:ind w:left="1030" w:right="0" w:firstLine="0"/>
        <w:jc w:val="left"/>
        <w:rPr>
          <w:sz w:val="20"/>
        </w:rPr>
      </w:pPr>
      <w:bookmarkStart w:name="_bookmark36" w:id="63"/>
      <w:bookmarkEnd w:id="63"/>
      <w:r>
        <w:rPr/>
      </w:r>
      <w:r>
        <w:rPr>
          <w:sz w:val="20"/>
        </w:rPr>
        <w:t>Fig. 10. A) Rx. Inicial. B) Toma de longitud de trabajo y C) Rx. de conductometría.</w:t>
      </w:r>
    </w:p>
    <w:p>
      <w:pPr>
        <w:pStyle w:val="BodyText"/>
        <w:spacing w:before="10"/>
        <w:rPr>
          <w:sz w:val="28"/>
        </w:rPr>
      </w:pPr>
    </w:p>
    <w:p>
      <w:pPr>
        <w:pStyle w:val="BodyText"/>
        <w:spacing w:line="360" w:lineRule="auto" w:before="70"/>
        <w:ind w:left="162" w:right="160"/>
        <w:jc w:val="both"/>
      </w:pPr>
      <w:r>
        <w:rPr/>
        <w:drawing>
          <wp:anchor distT="0" distB="0" distL="0" distR="0" allowOverlap="1" layoutInCell="1" locked="0" behindDoc="0" simplePos="0" relativeHeight="1288">
            <wp:simplePos x="0" y="0"/>
            <wp:positionH relativeFrom="page">
              <wp:posOffset>2071116</wp:posOffset>
            </wp:positionH>
            <wp:positionV relativeFrom="paragraph">
              <wp:posOffset>1666568</wp:posOffset>
            </wp:positionV>
            <wp:extent cx="3715634" cy="1249680"/>
            <wp:effectExtent l="0" t="0" r="0" b="0"/>
            <wp:wrapTopAndBottom/>
            <wp:docPr id="23" name="image13.jpeg" descr=""/>
            <wp:cNvGraphicFramePr>
              <a:graphicFrameLocks noChangeAspect="1"/>
            </wp:cNvGraphicFramePr>
            <a:graphic>
              <a:graphicData uri="http://schemas.openxmlformats.org/drawingml/2006/picture">
                <pic:pic>
                  <pic:nvPicPr>
                    <pic:cNvPr id="24" name="image13.jpeg"/>
                    <pic:cNvPicPr/>
                  </pic:nvPicPr>
                  <pic:blipFill>
                    <a:blip r:embed="rId25" cstate="print"/>
                    <a:stretch>
                      <a:fillRect/>
                    </a:stretch>
                  </pic:blipFill>
                  <pic:spPr>
                    <a:xfrm>
                      <a:off x="0" y="0"/>
                      <a:ext cx="3715634" cy="1249680"/>
                    </a:xfrm>
                    <a:prstGeom prst="rect">
                      <a:avLst/>
                    </a:prstGeom>
                  </pic:spPr>
                </pic:pic>
              </a:graphicData>
            </a:graphic>
          </wp:anchor>
        </w:drawing>
      </w:r>
      <w:r>
        <w:rPr/>
        <w:t>La instrumentación fue realizada con técnica Protaper Universal manual (DENTSPLY</w:t>
      </w:r>
      <w:r>
        <w:rPr>
          <w:spacing w:val="-8"/>
        </w:rPr>
        <w:t> </w:t>
      </w:r>
      <w:r>
        <w:rPr/>
        <w:t>Maillefer,</w:t>
      </w:r>
      <w:r>
        <w:rPr>
          <w:spacing w:val="-9"/>
        </w:rPr>
        <w:t> </w:t>
      </w:r>
      <w:r>
        <w:rPr/>
        <w:t>Ballaigues,</w:t>
      </w:r>
      <w:r>
        <w:rPr>
          <w:spacing w:val="-6"/>
        </w:rPr>
        <w:t> </w:t>
      </w:r>
      <w:r>
        <w:rPr/>
        <w:t>Suiza)</w:t>
      </w:r>
      <w:r>
        <w:rPr>
          <w:spacing w:val="-7"/>
        </w:rPr>
        <w:t> </w:t>
      </w:r>
      <w:r>
        <w:rPr/>
        <w:t>hasta</w:t>
      </w:r>
      <w:r>
        <w:rPr>
          <w:spacing w:val="-6"/>
        </w:rPr>
        <w:t> </w:t>
      </w:r>
      <w:r>
        <w:rPr/>
        <w:t>una</w:t>
      </w:r>
      <w:r>
        <w:rPr>
          <w:spacing w:val="-6"/>
        </w:rPr>
        <w:t> </w:t>
      </w:r>
      <w:r>
        <w:rPr/>
        <w:t>lima</w:t>
      </w:r>
      <w:r>
        <w:rPr>
          <w:spacing w:val="-6"/>
        </w:rPr>
        <w:t> </w:t>
      </w:r>
      <w:r>
        <w:rPr/>
        <w:t>apical</w:t>
      </w:r>
      <w:r>
        <w:rPr>
          <w:spacing w:val="-9"/>
        </w:rPr>
        <w:t> </w:t>
      </w:r>
      <w:r>
        <w:rPr/>
        <w:t>final</w:t>
      </w:r>
      <w:r>
        <w:rPr>
          <w:spacing w:val="-10"/>
        </w:rPr>
        <w:t> </w:t>
      </w:r>
      <w:r>
        <w:rPr/>
        <w:t>F3</w:t>
      </w:r>
      <w:r>
        <w:rPr>
          <w:spacing w:val="-6"/>
        </w:rPr>
        <w:t> </w:t>
      </w:r>
      <w:r>
        <w:rPr/>
        <w:t>para</w:t>
      </w:r>
      <w:r>
        <w:rPr>
          <w:spacing w:val="-7"/>
        </w:rPr>
        <w:t> </w:t>
      </w:r>
      <w:r>
        <w:rPr/>
        <w:t>ambos conductos. Se siguió el mismo protocolo de irrigación descrito anteriormente. Se realizó técnica de compactación lateral utilizando un cono de gutapercha F3 (DENTSPLY</w:t>
      </w:r>
      <w:r>
        <w:rPr>
          <w:spacing w:val="-16"/>
        </w:rPr>
        <w:t> </w:t>
      </w:r>
      <w:r>
        <w:rPr/>
        <w:t>Maillefer,</w:t>
      </w:r>
      <w:r>
        <w:rPr>
          <w:spacing w:val="-16"/>
        </w:rPr>
        <w:t> </w:t>
      </w:r>
      <w:r>
        <w:rPr/>
        <w:t>Ballaigues,</w:t>
      </w:r>
      <w:r>
        <w:rPr>
          <w:spacing w:val="-14"/>
        </w:rPr>
        <w:t> </w:t>
      </w:r>
      <w:r>
        <w:rPr/>
        <w:t>Suiza),</w:t>
      </w:r>
      <w:r>
        <w:rPr>
          <w:spacing w:val="-15"/>
        </w:rPr>
        <w:t> </w:t>
      </w:r>
      <w:r>
        <w:rPr/>
        <w:t>puntas</w:t>
      </w:r>
      <w:r>
        <w:rPr>
          <w:spacing w:val="-15"/>
        </w:rPr>
        <w:t> </w:t>
      </w:r>
      <w:r>
        <w:rPr/>
        <w:t>accesorias</w:t>
      </w:r>
      <w:r>
        <w:rPr>
          <w:spacing w:val="-15"/>
        </w:rPr>
        <w:t> </w:t>
      </w:r>
      <w:r>
        <w:rPr/>
        <w:t>MF</w:t>
      </w:r>
      <w:r>
        <w:rPr>
          <w:spacing w:val="-15"/>
        </w:rPr>
        <w:t> </w:t>
      </w:r>
      <w:r>
        <w:rPr/>
        <w:t>y</w:t>
      </w:r>
      <w:r>
        <w:rPr>
          <w:spacing w:val="-15"/>
        </w:rPr>
        <w:t> </w:t>
      </w:r>
      <w:r>
        <w:rPr/>
        <w:t>cemento</w:t>
      </w:r>
      <w:r>
        <w:rPr>
          <w:spacing w:val="-14"/>
        </w:rPr>
        <w:t> </w:t>
      </w:r>
      <w:r>
        <w:rPr/>
        <w:t>sellador Sealapex (</w:t>
      </w:r>
      <w:hyperlink w:history="true" w:anchor="_bookmark37">
        <w:r>
          <w:rPr>
            <w:rFonts w:ascii="Calibri" w:hAnsi="Calibri"/>
            <w:sz w:val="22"/>
          </w:rPr>
          <w:t>Fig.</w:t>
        </w:r>
        <w:r>
          <w:rPr>
            <w:rFonts w:ascii="Calibri" w:hAnsi="Calibri"/>
            <w:spacing w:val="-6"/>
            <w:sz w:val="22"/>
          </w:rPr>
          <w:t> </w:t>
        </w:r>
        <w:r>
          <w:rPr>
            <w:rFonts w:ascii="Calibri" w:hAnsi="Calibri"/>
            <w:sz w:val="22"/>
          </w:rPr>
          <w:t>11</w:t>
        </w:r>
      </w:hyperlink>
      <w:r>
        <w:rPr/>
        <w:t>).</w:t>
      </w:r>
    </w:p>
    <w:p>
      <w:pPr>
        <w:spacing w:before="113"/>
        <w:ind w:left="4273" w:right="186" w:hanging="3846"/>
        <w:jc w:val="left"/>
        <w:rPr>
          <w:sz w:val="20"/>
        </w:rPr>
      </w:pPr>
      <w:bookmarkStart w:name="_bookmark37" w:id="64"/>
      <w:bookmarkEnd w:id="64"/>
      <w:r>
        <w:rPr/>
      </w:r>
      <w:r>
        <w:rPr>
          <w:sz w:val="20"/>
        </w:rPr>
        <w:t>Fig. 11. A) Lima protaper F3 en conducto vestibular y B) En conducto palatino. C) Rx. de prueba de punta.</w:t>
      </w:r>
    </w:p>
    <w:p>
      <w:pPr>
        <w:pStyle w:val="BodyText"/>
        <w:rPr>
          <w:sz w:val="20"/>
        </w:rPr>
      </w:pPr>
    </w:p>
    <w:p>
      <w:pPr>
        <w:pStyle w:val="BodyText"/>
        <w:spacing w:before="2"/>
        <w:rPr>
          <w:sz w:val="29"/>
        </w:rPr>
      </w:pPr>
    </w:p>
    <w:p>
      <w:pPr>
        <w:pStyle w:val="BodyText"/>
        <w:spacing w:line="360" w:lineRule="auto" w:before="70"/>
        <w:ind w:left="162" w:right="156"/>
        <w:jc w:val="both"/>
      </w:pPr>
      <w:r>
        <w:rPr/>
        <w:t>Una</w:t>
      </w:r>
      <w:r>
        <w:rPr>
          <w:spacing w:val="-6"/>
        </w:rPr>
        <w:t> </w:t>
      </w:r>
      <w:r>
        <w:rPr/>
        <w:t>vez</w:t>
      </w:r>
      <w:r>
        <w:rPr>
          <w:spacing w:val="-9"/>
        </w:rPr>
        <w:t> </w:t>
      </w:r>
      <w:r>
        <w:rPr/>
        <w:t>concluido</w:t>
      </w:r>
      <w:r>
        <w:rPr>
          <w:spacing w:val="-6"/>
        </w:rPr>
        <w:t> </w:t>
      </w:r>
      <w:r>
        <w:rPr/>
        <w:t>el</w:t>
      </w:r>
      <w:r>
        <w:rPr>
          <w:spacing w:val="-10"/>
        </w:rPr>
        <w:t> </w:t>
      </w:r>
      <w:r>
        <w:rPr/>
        <w:t>tratamiento,</w:t>
      </w:r>
      <w:r>
        <w:rPr>
          <w:spacing w:val="-9"/>
        </w:rPr>
        <w:t> </w:t>
      </w:r>
      <w:r>
        <w:rPr/>
        <w:t>se</w:t>
      </w:r>
      <w:r>
        <w:rPr>
          <w:spacing w:val="-8"/>
        </w:rPr>
        <w:t> </w:t>
      </w:r>
      <w:r>
        <w:rPr/>
        <w:t>obturó</w:t>
      </w:r>
      <w:r>
        <w:rPr>
          <w:spacing w:val="-9"/>
        </w:rPr>
        <w:t> </w:t>
      </w:r>
      <w:r>
        <w:rPr/>
        <w:t>la</w:t>
      </w:r>
      <w:r>
        <w:rPr>
          <w:spacing w:val="-9"/>
        </w:rPr>
        <w:t> </w:t>
      </w:r>
      <w:r>
        <w:rPr/>
        <w:t>cavidad</w:t>
      </w:r>
      <w:r>
        <w:rPr>
          <w:spacing w:val="-6"/>
        </w:rPr>
        <w:t> </w:t>
      </w:r>
      <w:r>
        <w:rPr/>
        <w:t>con</w:t>
      </w:r>
      <w:r>
        <w:rPr>
          <w:spacing w:val="-8"/>
        </w:rPr>
        <w:t> </w:t>
      </w:r>
      <w:r>
        <w:rPr/>
        <w:t>ionómero</w:t>
      </w:r>
      <w:r>
        <w:rPr>
          <w:spacing w:val="-9"/>
        </w:rPr>
        <w:t> </w:t>
      </w:r>
      <w:r>
        <w:rPr/>
        <w:t>de</w:t>
      </w:r>
      <w:r>
        <w:rPr>
          <w:spacing w:val="-8"/>
        </w:rPr>
        <w:t> </w:t>
      </w:r>
      <w:r>
        <w:rPr/>
        <w:t>vidrio</w:t>
      </w:r>
      <w:r>
        <w:rPr>
          <w:spacing w:val="-5"/>
        </w:rPr>
        <w:t> </w:t>
      </w:r>
      <w:r>
        <w:rPr/>
        <w:t>como obturación temporal con la indicación al paciente de ser sustituida por una restauración definitiva (</w:t>
      </w:r>
      <w:hyperlink w:history="true" w:anchor="_bookmark38">
        <w:r>
          <w:rPr>
            <w:rFonts w:ascii="Calibri" w:hAnsi="Calibri"/>
            <w:sz w:val="22"/>
          </w:rPr>
          <w:t>Fig.</w:t>
        </w:r>
        <w:r>
          <w:rPr>
            <w:rFonts w:ascii="Calibri" w:hAnsi="Calibri"/>
            <w:spacing w:val="-8"/>
            <w:sz w:val="22"/>
          </w:rPr>
          <w:t> </w:t>
        </w:r>
        <w:r>
          <w:rPr>
            <w:rFonts w:ascii="Calibri" w:hAnsi="Calibri"/>
            <w:sz w:val="22"/>
          </w:rPr>
          <w:t>12</w:t>
        </w:r>
      </w:hyperlink>
      <w:r>
        <w:rPr/>
        <w:t>).</w:t>
      </w:r>
    </w:p>
    <w:p>
      <w:pPr>
        <w:spacing w:after="0" w:line="360" w:lineRule="auto"/>
        <w:jc w:val="both"/>
        <w:sectPr>
          <w:pgSz w:w="12240" w:h="15840"/>
          <w:pgMar w:header="744" w:footer="1572" w:top="1080" w:bottom="1760" w:left="1540" w:right="1540"/>
        </w:sectPr>
      </w:pPr>
    </w:p>
    <w:p>
      <w:pPr>
        <w:pStyle w:val="BodyText"/>
        <w:spacing w:before="10"/>
        <w:rPr>
          <w:sz w:val="2"/>
        </w:rPr>
      </w:pPr>
    </w:p>
    <w:p>
      <w:pPr>
        <w:pStyle w:val="BodyText"/>
        <w:ind w:left="1486"/>
        <w:rPr>
          <w:sz w:val="20"/>
        </w:rPr>
      </w:pPr>
      <w:r>
        <w:rPr>
          <w:sz w:val="20"/>
        </w:rPr>
        <w:drawing>
          <wp:inline distT="0" distB="0" distL="0" distR="0">
            <wp:extent cx="4048173" cy="1249679"/>
            <wp:effectExtent l="0" t="0" r="0" b="0"/>
            <wp:docPr id="25" name="image14.jpeg" descr=""/>
            <wp:cNvGraphicFramePr>
              <a:graphicFrameLocks noChangeAspect="1"/>
            </wp:cNvGraphicFramePr>
            <a:graphic>
              <a:graphicData uri="http://schemas.openxmlformats.org/drawingml/2006/picture">
                <pic:pic>
                  <pic:nvPicPr>
                    <pic:cNvPr id="26" name="image14.jpeg"/>
                    <pic:cNvPicPr/>
                  </pic:nvPicPr>
                  <pic:blipFill>
                    <a:blip r:embed="rId26" cstate="print"/>
                    <a:stretch>
                      <a:fillRect/>
                    </a:stretch>
                  </pic:blipFill>
                  <pic:spPr>
                    <a:xfrm>
                      <a:off x="0" y="0"/>
                      <a:ext cx="4048173" cy="1249679"/>
                    </a:xfrm>
                    <a:prstGeom prst="rect">
                      <a:avLst/>
                    </a:prstGeom>
                  </pic:spPr>
                </pic:pic>
              </a:graphicData>
            </a:graphic>
          </wp:inline>
        </w:drawing>
      </w:r>
      <w:r>
        <w:rPr>
          <w:sz w:val="20"/>
        </w:rPr>
      </w:r>
    </w:p>
    <w:p>
      <w:pPr>
        <w:spacing w:line="242" w:lineRule="auto" w:before="41"/>
        <w:ind w:left="4235" w:right="218" w:hanging="3589"/>
        <w:jc w:val="left"/>
        <w:rPr>
          <w:sz w:val="20"/>
        </w:rPr>
      </w:pPr>
      <w:bookmarkStart w:name="_bookmark38" w:id="65"/>
      <w:bookmarkEnd w:id="65"/>
      <w:r>
        <w:rPr/>
      </w:r>
      <w:r>
        <w:rPr>
          <w:sz w:val="20"/>
        </w:rPr>
        <w:t>Fig. 12. A) Rx. final. B) Vista clínica de la obturación final. C) Ionomero de vidrio en cavidad de acceso</w:t>
      </w:r>
    </w:p>
    <w:p>
      <w:pPr>
        <w:pStyle w:val="BodyText"/>
        <w:rPr>
          <w:sz w:val="17"/>
        </w:rPr>
      </w:pPr>
    </w:p>
    <w:p>
      <w:pPr>
        <w:pStyle w:val="BodyText"/>
        <w:spacing w:before="70"/>
        <w:ind w:left="162"/>
      </w:pPr>
      <w:r>
        <w:rPr>
          <w:u w:val="single"/>
        </w:rPr>
        <w:t>Órgano dentario 12</w:t>
      </w:r>
    </w:p>
    <w:p>
      <w:pPr>
        <w:pStyle w:val="BodyText"/>
        <w:spacing w:before="4"/>
        <w:rPr>
          <w:sz w:val="23"/>
        </w:rPr>
      </w:pPr>
    </w:p>
    <w:p>
      <w:pPr>
        <w:pStyle w:val="BodyText"/>
        <w:spacing w:line="360" w:lineRule="auto" w:before="70" w:after="15"/>
        <w:ind w:left="162" w:right="158"/>
        <w:jc w:val="both"/>
      </w:pPr>
      <w:r>
        <w:rPr/>
        <w:t>Finalmente fue realizado el retratamiento endodóntico en el OD-12. En la primera cita se procedió a la eliminación del poste metálico. Fue necesario utilizar punta ultrasónica</w:t>
      </w:r>
      <w:r>
        <w:rPr>
          <w:spacing w:val="-9"/>
        </w:rPr>
        <w:t> </w:t>
      </w:r>
      <w:r>
        <w:rPr/>
        <w:t>E7D</w:t>
      </w:r>
      <w:r>
        <w:rPr>
          <w:spacing w:val="-7"/>
        </w:rPr>
        <w:t> </w:t>
      </w:r>
      <w:r>
        <w:rPr/>
        <w:t>(NSK,</w:t>
      </w:r>
      <w:r>
        <w:rPr>
          <w:spacing w:val="-9"/>
        </w:rPr>
        <w:t> </w:t>
      </w:r>
      <w:r>
        <w:rPr/>
        <w:t>COA</w:t>
      </w:r>
      <w:r>
        <w:rPr>
          <w:spacing w:val="-7"/>
        </w:rPr>
        <w:t> </w:t>
      </w:r>
      <w:r>
        <w:rPr/>
        <w:t>internacional,</w:t>
      </w:r>
      <w:r>
        <w:rPr>
          <w:spacing w:val="-7"/>
        </w:rPr>
        <w:t> </w:t>
      </w:r>
      <w:r>
        <w:rPr/>
        <w:t>Jalisco,</w:t>
      </w:r>
      <w:r>
        <w:rPr>
          <w:spacing w:val="-7"/>
        </w:rPr>
        <w:t> </w:t>
      </w:r>
      <w:r>
        <w:rPr/>
        <w:t>México)</w:t>
      </w:r>
      <w:r>
        <w:rPr>
          <w:spacing w:val="-7"/>
        </w:rPr>
        <w:t> </w:t>
      </w:r>
      <w:r>
        <w:rPr/>
        <w:t>en</w:t>
      </w:r>
      <w:r>
        <w:rPr>
          <w:spacing w:val="-7"/>
        </w:rPr>
        <w:t> </w:t>
      </w:r>
      <w:r>
        <w:rPr/>
        <w:t>la</w:t>
      </w:r>
      <w:r>
        <w:rPr>
          <w:spacing w:val="-7"/>
        </w:rPr>
        <w:t> </w:t>
      </w:r>
      <w:r>
        <w:rPr/>
        <w:t>periferia</w:t>
      </w:r>
      <w:r>
        <w:rPr>
          <w:spacing w:val="-7"/>
        </w:rPr>
        <w:t> </w:t>
      </w:r>
      <w:r>
        <w:rPr/>
        <w:t>del</w:t>
      </w:r>
      <w:r>
        <w:rPr>
          <w:spacing w:val="-7"/>
        </w:rPr>
        <w:t> </w:t>
      </w:r>
      <w:r>
        <w:rPr/>
        <w:t>poste. Adicionalmente, fueron utilizadas fresas de bola de carburo de diferente número para</w:t>
      </w:r>
      <w:r>
        <w:rPr>
          <w:spacing w:val="-14"/>
        </w:rPr>
        <w:t> </w:t>
      </w:r>
      <w:r>
        <w:rPr/>
        <w:t>tratar</w:t>
      </w:r>
      <w:r>
        <w:rPr>
          <w:spacing w:val="-15"/>
        </w:rPr>
        <w:t> </w:t>
      </w:r>
      <w:r>
        <w:rPr/>
        <w:t>de</w:t>
      </w:r>
      <w:r>
        <w:rPr>
          <w:spacing w:val="-13"/>
        </w:rPr>
        <w:t> </w:t>
      </w:r>
      <w:r>
        <w:rPr/>
        <w:t>cortar</w:t>
      </w:r>
      <w:r>
        <w:rPr>
          <w:spacing w:val="-15"/>
        </w:rPr>
        <w:t> </w:t>
      </w:r>
      <w:r>
        <w:rPr/>
        <w:t>el</w:t>
      </w:r>
      <w:r>
        <w:rPr>
          <w:spacing w:val="-17"/>
        </w:rPr>
        <w:t> </w:t>
      </w:r>
      <w:r>
        <w:rPr/>
        <w:t>poste</w:t>
      </w:r>
      <w:r>
        <w:rPr>
          <w:spacing w:val="-13"/>
        </w:rPr>
        <w:t> </w:t>
      </w:r>
      <w:r>
        <w:rPr/>
        <w:t>sin</w:t>
      </w:r>
      <w:r>
        <w:rPr>
          <w:spacing w:val="-13"/>
        </w:rPr>
        <w:t> </w:t>
      </w:r>
      <w:r>
        <w:rPr/>
        <w:t>éxito.</w:t>
      </w:r>
      <w:r>
        <w:rPr>
          <w:spacing w:val="-13"/>
        </w:rPr>
        <w:t> </w:t>
      </w:r>
      <w:r>
        <w:rPr/>
        <w:t>Se</w:t>
      </w:r>
      <w:r>
        <w:rPr>
          <w:spacing w:val="-13"/>
        </w:rPr>
        <w:t> </w:t>
      </w:r>
      <w:r>
        <w:rPr/>
        <w:t>continuó</w:t>
      </w:r>
      <w:r>
        <w:rPr>
          <w:spacing w:val="-13"/>
        </w:rPr>
        <w:t> </w:t>
      </w:r>
      <w:r>
        <w:rPr/>
        <w:t>con</w:t>
      </w:r>
      <w:r>
        <w:rPr>
          <w:spacing w:val="-13"/>
        </w:rPr>
        <w:t> </w:t>
      </w:r>
      <w:r>
        <w:rPr/>
        <w:t>la</w:t>
      </w:r>
      <w:r>
        <w:rPr>
          <w:spacing w:val="-13"/>
        </w:rPr>
        <w:t> </w:t>
      </w:r>
      <w:r>
        <w:rPr/>
        <w:t>vibración</w:t>
      </w:r>
      <w:r>
        <w:rPr>
          <w:spacing w:val="-13"/>
        </w:rPr>
        <w:t> </w:t>
      </w:r>
      <w:r>
        <w:rPr/>
        <w:t>ultrasónica</w:t>
      </w:r>
      <w:r>
        <w:rPr>
          <w:spacing w:val="-13"/>
        </w:rPr>
        <w:t> </w:t>
      </w:r>
      <w:r>
        <w:rPr/>
        <w:t>hasta que</w:t>
      </w:r>
      <w:r>
        <w:rPr>
          <w:spacing w:val="-14"/>
        </w:rPr>
        <w:t> </w:t>
      </w:r>
      <w:r>
        <w:rPr/>
        <w:t>se</w:t>
      </w:r>
      <w:r>
        <w:rPr>
          <w:spacing w:val="-14"/>
        </w:rPr>
        <w:t> </w:t>
      </w:r>
      <w:r>
        <w:rPr/>
        <w:t>obtuvo</w:t>
      </w:r>
      <w:r>
        <w:rPr>
          <w:spacing w:val="-14"/>
        </w:rPr>
        <w:t> </w:t>
      </w:r>
      <w:r>
        <w:rPr/>
        <w:t>suficiente</w:t>
      </w:r>
      <w:r>
        <w:rPr>
          <w:spacing w:val="-14"/>
        </w:rPr>
        <w:t> </w:t>
      </w:r>
      <w:r>
        <w:rPr/>
        <w:t>movilidad</w:t>
      </w:r>
      <w:r>
        <w:rPr>
          <w:spacing w:val="-14"/>
        </w:rPr>
        <w:t> </w:t>
      </w:r>
      <w:r>
        <w:rPr/>
        <w:t>del</w:t>
      </w:r>
      <w:r>
        <w:rPr>
          <w:spacing w:val="-15"/>
        </w:rPr>
        <w:t> </w:t>
      </w:r>
      <w:r>
        <w:rPr/>
        <w:t>poste</w:t>
      </w:r>
      <w:r>
        <w:rPr>
          <w:spacing w:val="-14"/>
        </w:rPr>
        <w:t> </w:t>
      </w:r>
      <w:r>
        <w:rPr/>
        <w:t>que</w:t>
      </w:r>
      <w:r>
        <w:rPr>
          <w:spacing w:val="-17"/>
        </w:rPr>
        <w:t> </w:t>
      </w:r>
      <w:r>
        <w:rPr/>
        <w:t>finalmente</w:t>
      </w:r>
      <w:r>
        <w:rPr>
          <w:spacing w:val="-18"/>
        </w:rPr>
        <w:t> </w:t>
      </w:r>
      <w:r>
        <w:rPr/>
        <w:t>fue</w:t>
      </w:r>
      <w:r>
        <w:rPr>
          <w:spacing w:val="-14"/>
        </w:rPr>
        <w:t> </w:t>
      </w:r>
      <w:r>
        <w:rPr/>
        <w:t>removido</w:t>
      </w:r>
      <w:r>
        <w:rPr>
          <w:spacing w:val="-14"/>
        </w:rPr>
        <w:t> </w:t>
      </w:r>
      <w:r>
        <w:rPr/>
        <w:t>con</w:t>
      </w:r>
      <w:r>
        <w:rPr>
          <w:spacing w:val="-14"/>
        </w:rPr>
        <w:t> </w:t>
      </w:r>
      <w:r>
        <w:rPr/>
        <w:t>ayuda de pinzas de curación (</w:t>
      </w:r>
      <w:hyperlink w:history="true" w:anchor="_bookmark39">
        <w:r>
          <w:rPr>
            <w:rFonts w:ascii="Calibri" w:hAnsi="Calibri"/>
            <w:sz w:val="22"/>
          </w:rPr>
          <w:t>Fig.</w:t>
        </w:r>
        <w:r>
          <w:rPr>
            <w:rFonts w:ascii="Calibri" w:hAnsi="Calibri"/>
            <w:spacing w:val="-10"/>
            <w:sz w:val="22"/>
          </w:rPr>
          <w:t> </w:t>
        </w:r>
        <w:r>
          <w:rPr>
            <w:rFonts w:ascii="Calibri" w:hAnsi="Calibri"/>
            <w:sz w:val="22"/>
          </w:rPr>
          <w:t>13</w:t>
        </w:r>
      </w:hyperlink>
      <w:r>
        <w:rPr/>
        <w:t>).</w:t>
      </w:r>
    </w:p>
    <w:p>
      <w:pPr>
        <w:pStyle w:val="BodyText"/>
        <w:ind w:left="917"/>
        <w:rPr>
          <w:sz w:val="20"/>
        </w:rPr>
      </w:pPr>
      <w:r>
        <w:rPr>
          <w:sz w:val="20"/>
        </w:rPr>
        <w:drawing>
          <wp:inline distT="0" distB="0" distL="0" distR="0">
            <wp:extent cx="4673119" cy="1394460"/>
            <wp:effectExtent l="0" t="0" r="0" b="0"/>
            <wp:docPr id="27" name="image15.jpeg" descr=""/>
            <wp:cNvGraphicFramePr>
              <a:graphicFrameLocks noChangeAspect="1"/>
            </wp:cNvGraphicFramePr>
            <a:graphic>
              <a:graphicData uri="http://schemas.openxmlformats.org/drawingml/2006/picture">
                <pic:pic>
                  <pic:nvPicPr>
                    <pic:cNvPr id="28" name="image15.jpeg"/>
                    <pic:cNvPicPr/>
                  </pic:nvPicPr>
                  <pic:blipFill>
                    <a:blip r:embed="rId27" cstate="print"/>
                    <a:stretch>
                      <a:fillRect/>
                    </a:stretch>
                  </pic:blipFill>
                  <pic:spPr>
                    <a:xfrm>
                      <a:off x="0" y="0"/>
                      <a:ext cx="4673119" cy="1394460"/>
                    </a:xfrm>
                    <a:prstGeom prst="rect">
                      <a:avLst/>
                    </a:prstGeom>
                  </pic:spPr>
                </pic:pic>
              </a:graphicData>
            </a:graphic>
          </wp:inline>
        </w:drawing>
      </w:r>
      <w:r>
        <w:rPr>
          <w:sz w:val="20"/>
        </w:rPr>
      </w:r>
    </w:p>
    <w:p>
      <w:pPr>
        <w:spacing w:before="188"/>
        <w:ind w:left="459" w:right="0" w:firstLine="0"/>
        <w:jc w:val="left"/>
        <w:rPr>
          <w:sz w:val="20"/>
        </w:rPr>
      </w:pPr>
      <w:bookmarkStart w:name="_bookmark39" w:id="66"/>
      <w:bookmarkEnd w:id="66"/>
      <w:r>
        <w:rPr/>
      </w:r>
      <w:r>
        <w:rPr>
          <w:sz w:val="20"/>
        </w:rPr>
        <w:t>Fig. 13. A) Rx. inicial. B) y C) Vista clínica después de la eliminación el poste intrarradicular.</w:t>
      </w:r>
    </w:p>
    <w:p>
      <w:pPr>
        <w:spacing w:before="3"/>
        <w:ind w:left="3071" w:right="0" w:firstLine="0"/>
        <w:jc w:val="left"/>
        <w:rPr>
          <w:sz w:val="20"/>
        </w:rPr>
      </w:pPr>
      <w:r>
        <w:rPr>
          <w:sz w:val="20"/>
        </w:rPr>
        <w:t>D) Poste intrarradicular metálico.</w:t>
      </w:r>
    </w:p>
    <w:p>
      <w:pPr>
        <w:pStyle w:val="BodyText"/>
        <w:spacing w:before="4"/>
        <w:rPr>
          <w:sz w:val="29"/>
        </w:rPr>
      </w:pPr>
    </w:p>
    <w:p>
      <w:pPr>
        <w:pStyle w:val="BodyText"/>
        <w:spacing w:line="360" w:lineRule="auto" w:before="69"/>
        <w:ind w:left="162" w:right="157"/>
        <w:jc w:val="both"/>
      </w:pPr>
      <w:r>
        <w:rPr/>
        <w:t>Se continuó con el alargamiento de corona clínica para exponer de 2 a 3 mm radiculares</w:t>
      </w:r>
      <w:r>
        <w:rPr>
          <w:spacing w:val="-12"/>
        </w:rPr>
        <w:t> </w:t>
      </w:r>
      <w:r>
        <w:rPr/>
        <w:t>los</w:t>
      </w:r>
      <w:r>
        <w:rPr>
          <w:spacing w:val="-12"/>
        </w:rPr>
        <w:t> </w:t>
      </w:r>
      <w:r>
        <w:rPr/>
        <w:t>cuales</w:t>
      </w:r>
      <w:r>
        <w:rPr>
          <w:spacing w:val="-14"/>
        </w:rPr>
        <w:t> </w:t>
      </w:r>
      <w:r>
        <w:rPr/>
        <w:t>permitirían</w:t>
      </w:r>
      <w:r>
        <w:rPr>
          <w:spacing w:val="-12"/>
        </w:rPr>
        <w:t> </w:t>
      </w:r>
      <w:r>
        <w:rPr/>
        <w:t>obtener</w:t>
      </w:r>
      <w:r>
        <w:rPr>
          <w:spacing w:val="-13"/>
        </w:rPr>
        <w:t> </w:t>
      </w:r>
      <w:r>
        <w:rPr/>
        <w:t>el</w:t>
      </w:r>
      <w:r>
        <w:rPr>
          <w:spacing w:val="-13"/>
        </w:rPr>
        <w:t> </w:t>
      </w:r>
      <w:r>
        <w:rPr/>
        <w:t>aislado</w:t>
      </w:r>
      <w:r>
        <w:rPr>
          <w:spacing w:val="-12"/>
        </w:rPr>
        <w:t> </w:t>
      </w:r>
      <w:r>
        <w:rPr/>
        <w:t>absoluto.</w:t>
      </w:r>
      <w:r>
        <w:rPr>
          <w:spacing w:val="-12"/>
        </w:rPr>
        <w:t> </w:t>
      </w:r>
      <w:r>
        <w:rPr/>
        <w:t>Se</w:t>
      </w:r>
      <w:r>
        <w:rPr>
          <w:spacing w:val="-12"/>
        </w:rPr>
        <w:t> </w:t>
      </w:r>
      <w:r>
        <w:rPr/>
        <w:t>anestesió</w:t>
      </w:r>
      <w:r>
        <w:rPr>
          <w:spacing w:val="-14"/>
        </w:rPr>
        <w:t> </w:t>
      </w:r>
      <w:r>
        <w:rPr/>
        <w:t>el</w:t>
      </w:r>
      <w:r>
        <w:rPr>
          <w:spacing w:val="-13"/>
        </w:rPr>
        <w:t> </w:t>
      </w:r>
      <w:r>
        <w:rPr/>
        <w:t>nervio alveolar superior anterior derecho con lidocaína al 2% y epinefrina 1:100 000 y se cortaron</w:t>
      </w:r>
      <w:r>
        <w:rPr>
          <w:spacing w:val="-8"/>
        </w:rPr>
        <w:t> </w:t>
      </w:r>
      <w:r>
        <w:rPr/>
        <w:t>periféricamente</w:t>
      </w:r>
      <w:r>
        <w:rPr>
          <w:spacing w:val="-6"/>
        </w:rPr>
        <w:t> </w:t>
      </w:r>
      <w:r>
        <w:rPr/>
        <w:t>2</w:t>
      </w:r>
      <w:r>
        <w:rPr>
          <w:spacing w:val="-11"/>
        </w:rPr>
        <w:t> </w:t>
      </w:r>
      <w:r>
        <w:rPr/>
        <w:t>mm</w:t>
      </w:r>
      <w:r>
        <w:rPr>
          <w:spacing w:val="-7"/>
        </w:rPr>
        <w:t> </w:t>
      </w:r>
      <w:r>
        <w:rPr/>
        <w:t>de</w:t>
      </w:r>
      <w:r>
        <w:rPr>
          <w:spacing w:val="-8"/>
        </w:rPr>
        <w:t> </w:t>
      </w:r>
      <w:r>
        <w:rPr/>
        <w:t>la</w:t>
      </w:r>
      <w:r>
        <w:rPr>
          <w:spacing w:val="-9"/>
        </w:rPr>
        <w:t> </w:t>
      </w:r>
      <w:r>
        <w:rPr/>
        <w:t>encía</w:t>
      </w:r>
      <w:r>
        <w:rPr>
          <w:spacing w:val="-8"/>
        </w:rPr>
        <w:t> </w:t>
      </w:r>
      <w:r>
        <w:rPr/>
        <w:t>utilizando</w:t>
      </w:r>
      <w:r>
        <w:rPr>
          <w:spacing w:val="-6"/>
        </w:rPr>
        <w:t> </w:t>
      </w:r>
      <w:r>
        <w:rPr/>
        <w:t>un</w:t>
      </w:r>
      <w:r>
        <w:rPr>
          <w:spacing w:val="-6"/>
        </w:rPr>
        <w:t> </w:t>
      </w:r>
      <w:r>
        <w:rPr/>
        <w:t>electro-bisturí</w:t>
      </w:r>
      <w:r>
        <w:rPr>
          <w:spacing w:val="-9"/>
        </w:rPr>
        <w:t> </w:t>
      </w:r>
      <w:r>
        <w:rPr/>
        <w:t>(Perfect</w:t>
      </w:r>
      <w:r>
        <w:rPr>
          <w:spacing w:val="-11"/>
        </w:rPr>
        <w:t> </w:t>
      </w:r>
      <w:r>
        <w:rPr/>
        <w:t>TCS II, COA internacional, Jalisco, México) (</w:t>
      </w:r>
      <w:hyperlink w:history="true" w:anchor="_bookmark40">
        <w:r>
          <w:rPr>
            <w:rFonts w:ascii="Calibri" w:hAnsi="Calibri"/>
            <w:sz w:val="22"/>
          </w:rPr>
          <w:t>Fig.</w:t>
        </w:r>
        <w:r>
          <w:rPr>
            <w:rFonts w:ascii="Calibri" w:hAnsi="Calibri"/>
            <w:spacing w:val="-14"/>
            <w:sz w:val="22"/>
          </w:rPr>
          <w:t> </w:t>
        </w:r>
        <w:r>
          <w:rPr>
            <w:rFonts w:ascii="Calibri" w:hAnsi="Calibri"/>
            <w:sz w:val="22"/>
          </w:rPr>
          <w:t>14</w:t>
        </w:r>
      </w:hyperlink>
      <w:r>
        <w:rPr/>
        <w:t>).</w:t>
      </w:r>
    </w:p>
    <w:p>
      <w:pPr>
        <w:spacing w:after="0" w:line="360" w:lineRule="auto"/>
        <w:jc w:val="both"/>
        <w:sectPr>
          <w:pgSz w:w="12240" w:h="15840"/>
          <w:pgMar w:header="744" w:footer="1572" w:top="1080" w:bottom="1760" w:left="1540" w:right="1540"/>
        </w:sectPr>
      </w:pPr>
    </w:p>
    <w:p>
      <w:pPr>
        <w:pStyle w:val="BodyText"/>
        <w:spacing w:before="6"/>
        <w:rPr>
          <w:sz w:val="18"/>
        </w:rPr>
      </w:pPr>
    </w:p>
    <w:p>
      <w:pPr>
        <w:pStyle w:val="BodyText"/>
        <w:ind w:left="812"/>
        <w:rPr>
          <w:sz w:val="20"/>
        </w:rPr>
      </w:pPr>
      <w:r>
        <w:rPr>
          <w:sz w:val="20"/>
        </w:rPr>
        <w:drawing>
          <wp:inline distT="0" distB="0" distL="0" distR="0">
            <wp:extent cx="4766224" cy="1234440"/>
            <wp:effectExtent l="0" t="0" r="0" b="0"/>
            <wp:docPr id="29" name="image16.jpeg" descr=""/>
            <wp:cNvGraphicFramePr>
              <a:graphicFrameLocks noChangeAspect="1"/>
            </wp:cNvGraphicFramePr>
            <a:graphic>
              <a:graphicData uri="http://schemas.openxmlformats.org/drawingml/2006/picture">
                <pic:pic>
                  <pic:nvPicPr>
                    <pic:cNvPr id="30" name="image16.jpeg"/>
                    <pic:cNvPicPr/>
                  </pic:nvPicPr>
                  <pic:blipFill>
                    <a:blip r:embed="rId28" cstate="print"/>
                    <a:stretch>
                      <a:fillRect/>
                    </a:stretch>
                  </pic:blipFill>
                  <pic:spPr>
                    <a:xfrm>
                      <a:off x="0" y="0"/>
                      <a:ext cx="4766224" cy="1234440"/>
                    </a:xfrm>
                    <a:prstGeom prst="rect">
                      <a:avLst/>
                    </a:prstGeom>
                  </pic:spPr>
                </pic:pic>
              </a:graphicData>
            </a:graphic>
          </wp:inline>
        </w:drawing>
      </w:r>
      <w:r>
        <w:rPr>
          <w:sz w:val="20"/>
        </w:rPr>
      </w:r>
    </w:p>
    <w:p>
      <w:pPr>
        <w:spacing w:before="33"/>
        <w:ind w:left="476" w:right="0" w:firstLine="0"/>
        <w:jc w:val="left"/>
        <w:rPr>
          <w:sz w:val="20"/>
        </w:rPr>
      </w:pPr>
      <w:bookmarkStart w:name="_bookmark40" w:id="67"/>
      <w:bookmarkEnd w:id="67"/>
      <w:r>
        <w:rPr/>
      </w:r>
      <w:r>
        <w:rPr>
          <w:sz w:val="20"/>
        </w:rPr>
        <w:t>Fig. 14. A) y B) Corte de encía mediante electro bisturí. C) Alargamiento coronario concluido.</w:t>
      </w:r>
    </w:p>
    <w:p>
      <w:pPr>
        <w:pStyle w:val="BodyText"/>
        <w:spacing w:before="6"/>
      </w:pPr>
    </w:p>
    <w:p>
      <w:pPr>
        <w:pStyle w:val="BodyText"/>
        <w:spacing w:line="360" w:lineRule="auto" w:before="69"/>
        <w:ind w:left="162" w:right="159"/>
        <w:jc w:val="both"/>
      </w:pPr>
      <w:r>
        <w:rPr/>
        <w:drawing>
          <wp:anchor distT="0" distB="0" distL="0" distR="0" allowOverlap="1" layoutInCell="1" locked="0" behindDoc="0" simplePos="0" relativeHeight="1336">
            <wp:simplePos x="0" y="0"/>
            <wp:positionH relativeFrom="page">
              <wp:posOffset>1805939</wp:posOffset>
            </wp:positionH>
            <wp:positionV relativeFrom="paragraph">
              <wp:posOffset>2470986</wp:posOffset>
            </wp:positionV>
            <wp:extent cx="4253637" cy="1394460"/>
            <wp:effectExtent l="0" t="0" r="0" b="0"/>
            <wp:wrapTopAndBottom/>
            <wp:docPr id="31" name="image17.jpeg" descr=""/>
            <wp:cNvGraphicFramePr>
              <a:graphicFrameLocks noChangeAspect="1"/>
            </wp:cNvGraphicFramePr>
            <a:graphic>
              <a:graphicData uri="http://schemas.openxmlformats.org/drawingml/2006/picture">
                <pic:pic>
                  <pic:nvPicPr>
                    <pic:cNvPr id="32" name="image17.jpeg"/>
                    <pic:cNvPicPr/>
                  </pic:nvPicPr>
                  <pic:blipFill>
                    <a:blip r:embed="rId29" cstate="print"/>
                    <a:stretch>
                      <a:fillRect/>
                    </a:stretch>
                  </pic:blipFill>
                  <pic:spPr>
                    <a:xfrm>
                      <a:off x="0" y="0"/>
                      <a:ext cx="4253637" cy="1394460"/>
                    </a:xfrm>
                    <a:prstGeom prst="rect">
                      <a:avLst/>
                    </a:prstGeom>
                  </pic:spPr>
                </pic:pic>
              </a:graphicData>
            </a:graphic>
          </wp:anchor>
        </w:drawing>
      </w:r>
      <w:r>
        <w:rPr/>
        <w:t>Se inició el tratamiento de conducto previo aislado absoluto. Se llevó a cabo la desobturación</w:t>
      </w:r>
      <w:r>
        <w:rPr>
          <w:spacing w:val="-7"/>
        </w:rPr>
        <w:t> </w:t>
      </w:r>
      <w:r>
        <w:rPr/>
        <w:t>mediante</w:t>
      </w:r>
      <w:r>
        <w:rPr>
          <w:spacing w:val="-10"/>
        </w:rPr>
        <w:t> </w:t>
      </w:r>
      <w:r>
        <w:rPr/>
        <w:t>fresas</w:t>
      </w:r>
      <w:r>
        <w:rPr>
          <w:spacing w:val="-8"/>
        </w:rPr>
        <w:t> </w:t>
      </w:r>
      <w:r>
        <w:rPr/>
        <w:t>Gates-Glidden</w:t>
      </w:r>
      <w:r>
        <w:rPr>
          <w:spacing w:val="-10"/>
        </w:rPr>
        <w:t> </w:t>
      </w:r>
      <w:r>
        <w:rPr/>
        <w:t>4</w:t>
      </w:r>
      <w:r>
        <w:rPr>
          <w:spacing w:val="-7"/>
        </w:rPr>
        <w:t> </w:t>
      </w:r>
      <w:r>
        <w:rPr/>
        <w:t>y</w:t>
      </w:r>
      <w:r>
        <w:rPr>
          <w:spacing w:val="-11"/>
        </w:rPr>
        <w:t> </w:t>
      </w:r>
      <w:r>
        <w:rPr/>
        <w:t>3</w:t>
      </w:r>
      <w:r>
        <w:rPr>
          <w:spacing w:val="-7"/>
        </w:rPr>
        <w:t> </w:t>
      </w:r>
      <w:r>
        <w:rPr/>
        <w:t>para</w:t>
      </w:r>
      <w:r>
        <w:rPr>
          <w:spacing w:val="-8"/>
        </w:rPr>
        <w:t> </w:t>
      </w:r>
      <w:r>
        <w:rPr/>
        <w:t>el</w:t>
      </w:r>
      <w:r>
        <w:rPr>
          <w:spacing w:val="-9"/>
        </w:rPr>
        <w:t> </w:t>
      </w:r>
      <w:r>
        <w:rPr/>
        <w:t>tercio</w:t>
      </w:r>
      <w:r>
        <w:rPr>
          <w:spacing w:val="-10"/>
        </w:rPr>
        <w:t> </w:t>
      </w:r>
      <w:r>
        <w:rPr/>
        <w:t>medio</w:t>
      </w:r>
      <w:r>
        <w:rPr>
          <w:spacing w:val="-8"/>
        </w:rPr>
        <w:t> </w:t>
      </w:r>
      <w:r>
        <w:rPr/>
        <w:t>y</w:t>
      </w:r>
      <w:r>
        <w:rPr>
          <w:spacing w:val="-11"/>
        </w:rPr>
        <w:t> </w:t>
      </w:r>
      <w:r>
        <w:rPr/>
        <w:t>con</w:t>
      </w:r>
      <w:r>
        <w:rPr>
          <w:spacing w:val="-7"/>
        </w:rPr>
        <w:t> </w:t>
      </w:r>
      <w:r>
        <w:rPr/>
        <w:t>limas Hedström (DENTSPLY Maillefer, Ballaigues, Suiza) #60 para el tercio apical del conducto radicular. Se obtuvo la longitud de trabajo con localizador de foramen apical y lima manual K-Flex #50. La preparación biomecánica fue realizada con técnica de fuerzas balanceadas a lima apical final #70 aplicando el protocolo de irrigación</w:t>
      </w:r>
      <w:r>
        <w:rPr>
          <w:spacing w:val="-13"/>
        </w:rPr>
        <w:t> </w:t>
      </w:r>
      <w:r>
        <w:rPr/>
        <w:t>ya</w:t>
      </w:r>
      <w:r>
        <w:rPr>
          <w:spacing w:val="-13"/>
        </w:rPr>
        <w:t> </w:t>
      </w:r>
      <w:r>
        <w:rPr/>
        <w:t>descrito.</w:t>
      </w:r>
      <w:r>
        <w:rPr>
          <w:spacing w:val="-16"/>
        </w:rPr>
        <w:t> </w:t>
      </w:r>
      <w:r>
        <w:rPr/>
        <w:t>Se</w:t>
      </w:r>
      <w:r>
        <w:rPr>
          <w:spacing w:val="-12"/>
        </w:rPr>
        <w:t> </w:t>
      </w:r>
      <w:r>
        <w:rPr/>
        <w:t>observó</w:t>
      </w:r>
      <w:r>
        <w:rPr>
          <w:spacing w:val="-13"/>
        </w:rPr>
        <w:t> </w:t>
      </w:r>
      <w:r>
        <w:rPr/>
        <w:t>presencia</w:t>
      </w:r>
      <w:r>
        <w:rPr>
          <w:spacing w:val="-17"/>
        </w:rPr>
        <w:t> </w:t>
      </w:r>
      <w:r>
        <w:rPr/>
        <w:t>de</w:t>
      </w:r>
      <w:r>
        <w:rPr>
          <w:spacing w:val="-13"/>
        </w:rPr>
        <w:t> </w:t>
      </w:r>
      <w:r>
        <w:rPr/>
        <w:t>exudado</w:t>
      </w:r>
      <w:r>
        <w:rPr>
          <w:spacing w:val="-16"/>
        </w:rPr>
        <w:t> </w:t>
      </w:r>
      <w:r>
        <w:rPr/>
        <w:t>purulento</w:t>
      </w:r>
      <w:r>
        <w:rPr>
          <w:spacing w:val="-15"/>
        </w:rPr>
        <w:t> </w:t>
      </w:r>
      <w:r>
        <w:rPr/>
        <w:t>y</w:t>
      </w:r>
      <w:r>
        <w:rPr>
          <w:spacing w:val="-16"/>
        </w:rPr>
        <w:t> </w:t>
      </w:r>
      <w:r>
        <w:rPr/>
        <w:t>se</w:t>
      </w:r>
      <w:r>
        <w:rPr>
          <w:spacing w:val="-13"/>
        </w:rPr>
        <w:t> </w:t>
      </w:r>
      <w:r>
        <w:rPr/>
        <w:t>decidió</w:t>
      </w:r>
      <w:r>
        <w:rPr>
          <w:spacing w:val="-13"/>
        </w:rPr>
        <w:t> </w:t>
      </w:r>
      <w:r>
        <w:rPr/>
        <w:t>dejar medicación intraconducto de hidróxido de calcio y obturación temporal. Se ajustó y cementó el provisional (</w:t>
      </w:r>
      <w:hyperlink w:history="true" w:anchor="_bookmark41">
        <w:r>
          <w:rPr>
            <w:rFonts w:ascii="Calibri" w:hAnsi="Calibri"/>
            <w:sz w:val="22"/>
          </w:rPr>
          <w:t>Fig.</w:t>
        </w:r>
        <w:r>
          <w:rPr>
            <w:rFonts w:ascii="Calibri" w:hAnsi="Calibri"/>
            <w:spacing w:val="-10"/>
            <w:sz w:val="22"/>
          </w:rPr>
          <w:t> </w:t>
        </w:r>
        <w:r>
          <w:rPr>
            <w:rFonts w:ascii="Calibri" w:hAnsi="Calibri"/>
            <w:sz w:val="22"/>
          </w:rPr>
          <w:t>15</w:t>
        </w:r>
      </w:hyperlink>
      <w:r>
        <w:rPr/>
        <w:t>).</w:t>
      </w:r>
    </w:p>
    <w:p>
      <w:pPr>
        <w:spacing w:before="73"/>
        <w:ind w:left="757" w:right="836" w:firstLine="0"/>
        <w:jc w:val="center"/>
        <w:rPr>
          <w:sz w:val="20"/>
        </w:rPr>
      </w:pPr>
      <w:bookmarkStart w:name="_bookmark41" w:id="68"/>
      <w:bookmarkEnd w:id="68"/>
      <w:r>
        <w:rPr/>
      </w:r>
      <w:r>
        <w:rPr>
          <w:sz w:val="20"/>
        </w:rPr>
        <w:t>Fig. 15. A) Lima H #60 utilizada en la desobturación del tercio apical radicular. B) Rx.</w:t>
      </w:r>
    </w:p>
    <w:p>
      <w:pPr>
        <w:spacing w:before="3"/>
        <w:ind w:left="757" w:right="834" w:firstLine="0"/>
        <w:jc w:val="center"/>
        <w:rPr>
          <w:sz w:val="20"/>
        </w:rPr>
      </w:pPr>
      <w:r>
        <w:rPr>
          <w:sz w:val="20"/>
        </w:rPr>
        <w:t>Conductometría. C) Exudado purulento.</w:t>
      </w:r>
    </w:p>
    <w:p>
      <w:pPr>
        <w:pStyle w:val="BodyText"/>
        <w:rPr>
          <w:sz w:val="20"/>
        </w:rPr>
      </w:pPr>
    </w:p>
    <w:p>
      <w:pPr>
        <w:pStyle w:val="BodyText"/>
        <w:spacing w:line="360" w:lineRule="auto" w:before="191"/>
        <w:ind w:left="162" w:right="159"/>
        <w:jc w:val="both"/>
      </w:pPr>
      <w:r>
        <w:rPr/>
        <w:t>En la segunda cita se aisló con dique de hule y se retiraron provisional, obturación temporal y medicación intraconducto. Se re-preparó el conducto a una lima </w:t>
      </w:r>
      <w:r>
        <w:rPr>
          <w:spacing w:val="59"/>
        </w:rPr>
        <w:t> </w:t>
      </w:r>
      <w:r>
        <w:rPr/>
        <w:t>apical</w:t>
      </w:r>
    </w:p>
    <w:p>
      <w:pPr>
        <w:pStyle w:val="BodyText"/>
        <w:spacing w:line="360" w:lineRule="auto" w:before="5"/>
        <w:ind w:left="162" w:right="162"/>
        <w:jc w:val="both"/>
      </w:pPr>
      <w:r>
        <w:rPr/>
        <w:t>#90 siguiendo el mismo protocolo de irrigación ultrasónica mencionado anteriormente. Se realizó la obturación lateral previo ajuste de cono maestro de gutapercha</w:t>
      </w:r>
      <w:r>
        <w:rPr>
          <w:spacing w:val="-6"/>
        </w:rPr>
        <w:t> </w:t>
      </w:r>
      <w:r>
        <w:rPr/>
        <w:t>#90</w:t>
      </w:r>
      <w:r>
        <w:rPr>
          <w:spacing w:val="-8"/>
        </w:rPr>
        <w:t> </w:t>
      </w:r>
      <w:r>
        <w:rPr/>
        <w:t>y</w:t>
      </w:r>
      <w:r>
        <w:rPr>
          <w:spacing w:val="-9"/>
        </w:rPr>
        <w:t> </w:t>
      </w:r>
      <w:r>
        <w:rPr/>
        <w:t>se</w:t>
      </w:r>
      <w:r>
        <w:rPr>
          <w:spacing w:val="-6"/>
        </w:rPr>
        <w:t> </w:t>
      </w:r>
      <w:r>
        <w:rPr/>
        <w:t>concluyó</w:t>
      </w:r>
      <w:r>
        <w:rPr>
          <w:spacing w:val="-6"/>
        </w:rPr>
        <w:t> </w:t>
      </w:r>
      <w:r>
        <w:rPr/>
        <w:t>el</w:t>
      </w:r>
      <w:r>
        <w:rPr>
          <w:spacing w:val="-7"/>
        </w:rPr>
        <w:t> </w:t>
      </w:r>
      <w:r>
        <w:rPr/>
        <w:t>tratamiento</w:t>
      </w:r>
      <w:r>
        <w:rPr>
          <w:spacing w:val="-8"/>
        </w:rPr>
        <w:t> </w:t>
      </w:r>
      <w:r>
        <w:rPr/>
        <w:t>de</w:t>
      </w:r>
      <w:r>
        <w:rPr>
          <w:spacing w:val="-6"/>
        </w:rPr>
        <w:t> </w:t>
      </w:r>
      <w:r>
        <w:rPr/>
        <w:t>la</w:t>
      </w:r>
      <w:r>
        <w:rPr>
          <w:spacing w:val="-9"/>
        </w:rPr>
        <w:t> </w:t>
      </w:r>
      <w:r>
        <w:rPr/>
        <w:t>misma</w:t>
      </w:r>
      <w:r>
        <w:rPr>
          <w:spacing w:val="-8"/>
        </w:rPr>
        <w:t> </w:t>
      </w:r>
      <w:r>
        <w:rPr/>
        <w:t>manera</w:t>
      </w:r>
      <w:r>
        <w:rPr>
          <w:spacing w:val="-6"/>
        </w:rPr>
        <w:t> </w:t>
      </w:r>
      <w:r>
        <w:rPr/>
        <w:t>al</w:t>
      </w:r>
      <w:r>
        <w:rPr>
          <w:spacing w:val="-10"/>
        </w:rPr>
        <w:t> </w:t>
      </w:r>
      <w:r>
        <w:rPr/>
        <w:t>descrito</w:t>
      </w:r>
      <w:r>
        <w:rPr>
          <w:spacing w:val="-8"/>
        </w:rPr>
        <w:t> </w:t>
      </w:r>
      <w:r>
        <w:rPr/>
        <w:t>para</w:t>
      </w:r>
      <w:r>
        <w:rPr>
          <w:spacing w:val="-9"/>
        </w:rPr>
        <w:t> </w:t>
      </w:r>
      <w:r>
        <w:rPr/>
        <w:t>el OD-11 (</w:t>
      </w:r>
      <w:hyperlink w:history="true" w:anchor="_bookmark42">
        <w:r>
          <w:rPr>
            <w:rFonts w:ascii="Calibri" w:hAnsi="Calibri"/>
            <w:sz w:val="22"/>
          </w:rPr>
          <w:t>Fig.</w:t>
        </w:r>
        <w:r>
          <w:rPr>
            <w:rFonts w:ascii="Calibri" w:hAnsi="Calibri"/>
            <w:spacing w:val="-4"/>
            <w:sz w:val="22"/>
          </w:rPr>
          <w:t> </w:t>
        </w:r>
        <w:r>
          <w:rPr>
            <w:rFonts w:ascii="Calibri" w:hAnsi="Calibri"/>
            <w:sz w:val="22"/>
          </w:rPr>
          <w:t>16</w:t>
        </w:r>
      </w:hyperlink>
      <w:r>
        <w:rPr/>
        <w:t>).</w:t>
      </w:r>
    </w:p>
    <w:p>
      <w:pPr>
        <w:spacing w:after="0" w:line="360" w:lineRule="auto"/>
        <w:jc w:val="both"/>
        <w:sectPr>
          <w:pgSz w:w="12240" w:h="15840"/>
          <w:pgMar w:header="744" w:footer="1572" w:top="1080" w:bottom="1760" w:left="1540" w:right="1540"/>
        </w:sectPr>
      </w:pPr>
    </w:p>
    <w:p>
      <w:pPr>
        <w:pStyle w:val="BodyText"/>
        <w:spacing w:before="9"/>
        <w:rPr>
          <w:sz w:val="18"/>
        </w:rPr>
      </w:pPr>
    </w:p>
    <w:p>
      <w:pPr>
        <w:pStyle w:val="BodyText"/>
        <w:ind w:left="1294"/>
        <w:rPr>
          <w:sz w:val="20"/>
        </w:rPr>
      </w:pPr>
      <w:r>
        <w:rPr>
          <w:sz w:val="20"/>
        </w:rPr>
        <w:drawing>
          <wp:inline distT="0" distB="0" distL="0" distR="0">
            <wp:extent cx="4356538" cy="1394459"/>
            <wp:effectExtent l="0" t="0" r="0" b="0"/>
            <wp:docPr id="33" name="image18.jpeg" descr=""/>
            <wp:cNvGraphicFramePr>
              <a:graphicFrameLocks noChangeAspect="1"/>
            </wp:cNvGraphicFramePr>
            <a:graphic>
              <a:graphicData uri="http://schemas.openxmlformats.org/drawingml/2006/picture">
                <pic:pic>
                  <pic:nvPicPr>
                    <pic:cNvPr id="34" name="image18.jpeg"/>
                    <pic:cNvPicPr/>
                  </pic:nvPicPr>
                  <pic:blipFill>
                    <a:blip r:embed="rId30" cstate="print"/>
                    <a:stretch>
                      <a:fillRect/>
                    </a:stretch>
                  </pic:blipFill>
                  <pic:spPr>
                    <a:xfrm>
                      <a:off x="0" y="0"/>
                      <a:ext cx="4356538" cy="1394459"/>
                    </a:xfrm>
                    <a:prstGeom prst="rect">
                      <a:avLst/>
                    </a:prstGeom>
                  </pic:spPr>
                </pic:pic>
              </a:graphicData>
            </a:graphic>
          </wp:inline>
        </w:drawing>
      </w:r>
      <w:r>
        <w:rPr>
          <w:sz w:val="20"/>
        </w:rPr>
      </w:r>
    </w:p>
    <w:p>
      <w:pPr>
        <w:spacing w:line="242" w:lineRule="auto" w:before="55"/>
        <w:ind w:left="2970" w:right="0" w:hanging="2581"/>
        <w:jc w:val="left"/>
        <w:rPr>
          <w:sz w:val="20"/>
        </w:rPr>
      </w:pPr>
      <w:bookmarkStart w:name="_bookmark42" w:id="69"/>
      <w:bookmarkEnd w:id="69"/>
      <w:r>
        <w:rPr/>
      </w:r>
      <w:r>
        <w:rPr>
          <w:sz w:val="20"/>
        </w:rPr>
        <w:t>Fig. 16. A) Punta principal de gutapercha #90 y B) Rx. de prueba de punta. C) Compactación lateral. D) Rx. final del tratamiento.</w:t>
      </w:r>
    </w:p>
    <w:p>
      <w:pPr>
        <w:pStyle w:val="BodyText"/>
        <w:rPr>
          <w:sz w:val="20"/>
        </w:rPr>
      </w:pPr>
    </w:p>
    <w:p>
      <w:pPr>
        <w:pStyle w:val="BodyText"/>
        <w:spacing w:before="5"/>
        <w:rPr>
          <w:sz w:val="16"/>
        </w:rPr>
      </w:pPr>
    </w:p>
    <w:p>
      <w:pPr>
        <w:pStyle w:val="Heading1"/>
        <w:spacing w:before="69"/>
        <w:ind w:left="162" w:firstLine="0"/>
        <w:jc w:val="left"/>
      </w:pPr>
      <w:r>
        <w:rPr/>
        <w:t>Tratamiento quirúrgico</w:t>
      </w:r>
    </w:p>
    <w:p>
      <w:pPr>
        <w:pStyle w:val="BodyText"/>
        <w:spacing w:before="10"/>
        <w:rPr>
          <w:b/>
          <w:sz w:val="20"/>
        </w:rPr>
      </w:pPr>
    </w:p>
    <w:p>
      <w:pPr>
        <w:pStyle w:val="BodyText"/>
        <w:spacing w:line="364" w:lineRule="auto"/>
        <w:ind w:left="162" w:right="555"/>
      </w:pPr>
      <w:r>
        <w:rPr/>
        <w:t>La cirugía fue programada una vez valorados los estudios de laboratorio del paciente y obtenido su consentimiento informado (</w:t>
      </w:r>
      <w:hyperlink w:history="true" w:anchor="_bookmark74">
        <w:r>
          <w:rPr>
            <w:rFonts w:ascii="Calibri" w:hAnsi="Calibri"/>
            <w:sz w:val="22"/>
          </w:rPr>
          <w:t>ANEXO 1</w:t>
        </w:r>
      </w:hyperlink>
      <w:r>
        <w:rPr/>
        <w:t>).</w:t>
      </w:r>
    </w:p>
    <w:p>
      <w:pPr>
        <w:pStyle w:val="BodyText"/>
        <w:spacing w:before="191"/>
        <w:ind w:left="162"/>
      </w:pPr>
      <w:r>
        <w:rPr>
          <w:u w:val="single"/>
        </w:rPr>
        <w:t>Obtención del plasma rico en factores de crecimiento</w:t>
      </w:r>
    </w:p>
    <w:p>
      <w:pPr>
        <w:pStyle w:val="BodyText"/>
        <w:spacing w:before="4"/>
        <w:rPr>
          <w:sz w:val="23"/>
        </w:rPr>
      </w:pPr>
    </w:p>
    <w:p>
      <w:pPr>
        <w:pStyle w:val="BodyText"/>
        <w:spacing w:line="360" w:lineRule="auto" w:before="70"/>
        <w:ind w:left="162" w:right="163"/>
        <w:jc w:val="both"/>
      </w:pPr>
      <w:r>
        <w:rPr/>
        <w:drawing>
          <wp:anchor distT="0" distB="0" distL="0" distR="0" allowOverlap="1" layoutInCell="1" locked="0" behindDoc="0" simplePos="0" relativeHeight="1360">
            <wp:simplePos x="0" y="0"/>
            <wp:positionH relativeFrom="page">
              <wp:posOffset>2581655</wp:posOffset>
            </wp:positionH>
            <wp:positionV relativeFrom="paragraph">
              <wp:posOffset>1399868</wp:posOffset>
            </wp:positionV>
            <wp:extent cx="2494163" cy="1463039"/>
            <wp:effectExtent l="0" t="0" r="0" b="0"/>
            <wp:wrapTopAndBottom/>
            <wp:docPr id="35" name="image19.jpeg" descr=""/>
            <wp:cNvGraphicFramePr>
              <a:graphicFrameLocks noChangeAspect="1"/>
            </wp:cNvGraphicFramePr>
            <a:graphic>
              <a:graphicData uri="http://schemas.openxmlformats.org/drawingml/2006/picture">
                <pic:pic>
                  <pic:nvPicPr>
                    <pic:cNvPr id="36" name="image19.jpeg"/>
                    <pic:cNvPicPr/>
                  </pic:nvPicPr>
                  <pic:blipFill>
                    <a:blip r:embed="rId31" cstate="print"/>
                    <a:stretch>
                      <a:fillRect/>
                    </a:stretch>
                  </pic:blipFill>
                  <pic:spPr>
                    <a:xfrm>
                      <a:off x="0" y="0"/>
                      <a:ext cx="2494163" cy="1463039"/>
                    </a:xfrm>
                    <a:prstGeom prst="rect">
                      <a:avLst/>
                    </a:prstGeom>
                  </pic:spPr>
                </pic:pic>
              </a:graphicData>
            </a:graphic>
          </wp:anchor>
        </w:drawing>
      </w:r>
      <w:r>
        <w:rPr/>
        <w:t>Minutos</w:t>
      </w:r>
      <w:r>
        <w:rPr>
          <w:spacing w:val="-14"/>
        </w:rPr>
        <w:t> </w:t>
      </w:r>
      <w:r>
        <w:rPr/>
        <w:t>antes</w:t>
      </w:r>
      <w:r>
        <w:rPr>
          <w:spacing w:val="-16"/>
        </w:rPr>
        <w:t> </w:t>
      </w:r>
      <w:r>
        <w:rPr/>
        <w:t>de</w:t>
      </w:r>
      <w:r>
        <w:rPr>
          <w:spacing w:val="-13"/>
        </w:rPr>
        <w:t> </w:t>
      </w:r>
      <w:r>
        <w:rPr/>
        <w:t>iniciar</w:t>
      </w:r>
      <w:r>
        <w:rPr>
          <w:spacing w:val="-15"/>
        </w:rPr>
        <w:t> </w:t>
      </w:r>
      <w:r>
        <w:rPr/>
        <w:t>el</w:t>
      </w:r>
      <w:r>
        <w:rPr>
          <w:spacing w:val="-14"/>
        </w:rPr>
        <w:t> </w:t>
      </w:r>
      <w:r>
        <w:rPr/>
        <w:t>procedimiento</w:t>
      </w:r>
      <w:r>
        <w:rPr>
          <w:spacing w:val="-13"/>
        </w:rPr>
        <w:t> </w:t>
      </w:r>
      <w:r>
        <w:rPr/>
        <w:t>quirúrgico,</w:t>
      </w:r>
      <w:r>
        <w:rPr>
          <w:spacing w:val="-13"/>
        </w:rPr>
        <w:t> </w:t>
      </w:r>
      <w:r>
        <w:rPr/>
        <w:t>se</w:t>
      </w:r>
      <w:r>
        <w:rPr>
          <w:spacing w:val="-13"/>
        </w:rPr>
        <w:t> </w:t>
      </w:r>
      <w:r>
        <w:rPr/>
        <w:t>tomó</w:t>
      </w:r>
      <w:r>
        <w:rPr>
          <w:spacing w:val="-16"/>
        </w:rPr>
        <w:t> </w:t>
      </w:r>
      <w:r>
        <w:rPr/>
        <w:t>una</w:t>
      </w:r>
      <w:r>
        <w:rPr>
          <w:spacing w:val="-15"/>
        </w:rPr>
        <w:t> </w:t>
      </w:r>
      <w:r>
        <w:rPr/>
        <w:t>muestra</w:t>
      </w:r>
      <w:r>
        <w:rPr>
          <w:spacing w:val="-16"/>
        </w:rPr>
        <w:t> </w:t>
      </w:r>
      <w:r>
        <w:rPr/>
        <w:t>de</w:t>
      </w:r>
      <w:r>
        <w:rPr>
          <w:spacing w:val="-13"/>
        </w:rPr>
        <w:t> </w:t>
      </w:r>
      <w:r>
        <w:rPr/>
        <w:t>15</w:t>
      </w:r>
      <w:r>
        <w:rPr>
          <w:spacing w:val="-18"/>
        </w:rPr>
        <w:t> </w:t>
      </w:r>
      <w:r>
        <w:rPr/>
        <w:t>mm de</w:t>
      </w:r>
      <w:r>
        <w:rPr>
          <w:spacing w:val="-9"/>
        </w:rPr>
        <w:t> </w:t>
      </w:r>
      <w:r>
        <w:rPr/>
        <w:t>sangre</w:t>
      </w:r>
      <w:r>
        <w:rPr>
          <w:spacing w:val="-10"/>
        </w:rPr>
        <w:t> </w:t>
      </w:r>
      <w:r>
        <w:rPr/>
        <w:t>periférica</w:t>
      </w:r>
      <w:r>
        <w:rPr>
          <w:spacing w:val="-9"/>
        </w:rPr>
        <w:t> </w:t>
      </w:r>
      <w:r>
        <w:rPr/>
        <w:t>de</w:t>
      </w:r>
      <w:r>
        <w:rPr>
          <w:spacing w:val="-12"/>
        </w:rPr>
        <w:t> </w:t>
      </w:r>
      <w:r>
        <w:rPr/>
        <w:t>las</w:t>
      </w:r>
      <w:r>
        <w:rPr>
          <w:spacing w:val="-10"/>
        </w:rPr>
        <w:t> </w:t>
      </w:r>
      <w:r>
        <w:rPr/>
        <w:t>venas</w:t>
      </w:r>
      <w:r>
        <w:rPr>
          <w:spacing w:val="-13"/>
        </w:rPr>
        <w:t> </w:t>
      </w:r>
      <w:r>
        <w:rPr/>
        <w:t>ante</w:t>
      </w:r>
      <w:r>
        <w:rPr>
          <w:spacing w:val="-9"/>
        </w:rPr>
        <w:t> </w:t>
      </w:r>
      <w:r>
        <w:rPr/>
        <w:t>cubitales</w:t>
      </w:r>
      <w:r>
        <w:rPr>
          <w:spacing w:val="-10"/>
        </w:rPr>
        <w:t> </w:t>
      </w:r>
      <w:r>
        <w:rPr/>
        <w:t>del</w:t>
      </w:r>
      <w:r>
        <w:rPr>
          <w:spacing w:val="-11"/>
        </w:rPr>
        <w:t> </w:t>
      </w:r>
      <w:r>
        <w:rPr/>
        <w:t>brazo</w:t>
      </w:r>
      <w:r>
        <w:rPr>
          <w:spacing w:val="-9"/>
        </w:rPr>
        <w:t> </w:t>
      </w:r>
      <w:r>
        <w:rPr/>
        <w:t>izquierdo</w:t>
      </w:r>
      <w:r>
        <w:rPr>
          <w:spacing w:val="-12"/>
        </w:rPr>
        <w:t> </w:t>
      </w:r>
      <w:r>
        <w:rPr/>
        <w:t>del</w:t>
      </w:r>
      <w:r>
        <w:rPr>
          <w:spacing w:val="-11"/>
        </w:rPr>
        <w:t> </w:t>
      </w:r>
      <w:r>
        <w:rPr/>
        <w:t>paciente.</w:t>
      </w:r>
      <w:r>
        <w:rPr>
          <w:spacing w:val="-12"/>
        </w:rPr>
        <w:t> </w:t>
      </w:r>
      <w:r>
        <w:rPr/>
        <w:t>La sangre se colocó en 6 tubos Vacutainer de tapa azul (BD, Vacutainer, Distrito Federal, México) con capacidad de 4.5 ml. y citrato de sodio al 3.2% como anticoagulante, mezclándolos suavemente. (</w:t>
      </w:r>
      <w:hyperlink w:history="true" w:anchor="_bookmark43">
        <w:r>
          <w:rPr>
            <w:rFonts w:ascii="Calibri" w:hAnsi="Calibri"/>
            <w:sz w:val="20"/>
          </w:rPr>
          <w:t>Fig.</w:t>
        </w:r>
        <w:r>
          <w:rPr>
            <w:rFonts w:ascii="Calibri" w:hAnsi="Calibri"/>
            <w:spacing w:val="-18"/>
            <w:sz w:val="20"/>
          </w:rPr>
          <w:t> </w:t>
        </w:r>
        <w:r>
          <w:rPr>
            <w:rFonts w:ascii="Calibri" w:hAnsi="Calibri"/>
            <w:sz w:val="20"/>
          </w:rPr>
          <w:t>17</w:t>
        </w:r>
      </w:hyperlink>
      <w:r>
        <w:rPr/>
        <w:t>).</w:t>
      </w:r>
    </w:p>
    <w:p>
      <w:pPr>
        <w:spacing w:before="17"/>
        <w:ind w:left="692" w:right="0" w:firstLine="0"/>
        <w:jc w:val="left"/>
        <w:rPr>
          <w:rFonts w:ascii="Calibri" w:hAnsi="Calibri"/>
          <w:sz w:val="20"/>
        </w:rPr>
      </w:pPr>
      <w:bookmarkStart w:name="_bookmark43" w:id="70"/>
      <w:bookmarkEnd w:id="70"/>
      <w:r>
        <w:rPr/>
      </w:r>
      <w:r>
        <w:rPr>
          <w:rFonts w:ascii="Calibri" w:hAnsi="Calibri"/>
          <w:sz w:val="20"/>
        </w:rPr>
        <w:t>Fig. 17. A) Obtención de la muestra sanguínea y B) Colocación en los tubos con citrato de sodio.</w:t>
      </w:r>
    </w:p>
    <w:p>
      <w:pPr>
        <w:pStyle w:val="BodyText"/>
        <w:rPr>
          <w:rFonts w:ascii="Calibri"/>
          <w:sz w:val="20"/>
        </w:rPr>
      </w:pPr>
    </w:p>
    <w:p>
      <w:pPr>
        <w:pStyle w:val="BodyText"/>
        <w:spacing w:before="7"/>
        <w:rPr>
          <w:rFonts w:ascii="Calibri"/>
        </w:rPr>
      </w:pPr>
    </w:p>
    <w:p>
      <w:pPr>
        <w:pStyle w:val="BodyText"/>
        <w:spacing w:line="360" w:lineRule="auto" w:before="70"/>
        <w:ind w:left="162" w:right="162"/>
        <w:jc w:val="both"/>
      </w:pPr>
      <w:r>
        <w:rPr/>
        <w:t>Posteriormente los tubos fueron procesados siguiendo el método de Anitua (46) descrito anteriormente. Se extrajo la fracción 3 (rica en factores de crecimiento) y se colocó en una jeringa estéril de 5 ml identificándola con las letras FC para su distinción (</w:t>
      </w:r>
      <w:hyperlink w:history="true" w:anchor="_bookmark44">
        <w:r>
          <w:rPr>
            <w:rFonts w:ascii="Calibri" w:hAnsi="Calibri"/>
            <w:sz w:val="22"/>
          </w:rPr>
          <w:t>Fig. 18</w:t>
        </w:r>
      </w:hyperlink>
      <w:r>
        <w:rPr/>
        <w:t>).</w:t>
      </w:r>
    </w:p>
    <w:p>
      <w:pPr>
        <w:spacing w:after="0" w:line="360" w:lineRule="auto"/>
        <w:jc w:val="both"/>
        <w:sectPr>
          <w:pgSz w:w="12240" w:h="15840"/>
          <w:pgMar w:header="744" w:footer="1572" w:top="1080" w:bottom="1760" w:left="1540" w:right="1540"/>
        </w:sectPr>
      </w:pPr>
    </w:p>
    <w:p>
      <w:pPr>
        <w:pStyle w:val="BodyText"/>
        <w:spacing w:before="8" w:after="1"/>
        <w:rPr>
          <w:sz w:val="8"/>
        </w:rPr>
      </w:pPr>
    </w:p>
    <w:p>
      <w:pPr>
        <w:pStyle w:val="BodyText"/>
        <w:ind w:left="651"/>
        <w:rPr>
          <w:sz w:val="20"/>
        </w:rPr>
      </w:pPr>
      <w:r>
        <w:rPr>
          <w:sz w:val="20"/>
        </w:rPr>
        <w:drawing>
          <wp:inline distT="0" distB="0" distL="0" distR="0">
            <wp:extent cx="5116196" cy="1729740"/>
            <wp:effectExtent l="0" t="0" r="0" b="0"/>
            <wp:docPr id="37" name="image20.jpeg" descr=""/>
            <wp:cNvGraphicFramePr>
              <a:graphicFrameLocks noChangeAspect="1"/>
            </wp:cNvGraphicFramePr>
            <a:graphic>
              <a:graphicData uri="http://schemas.openxmlformats.org/drawingml/2006/picture">
                <pic:pic>
                  <pic:nvPicPr>
                    <pic:cNvPr id="38" name="image20.jpeg"/>
                    <pic:cNvPicPr/>
                  </pic:nvPicPr>
                  <pic:blipFill>
                    <a:blip r:embed="rId32" cstate="print"/>
                    <a:stretch>
                      <a:fillRect/>
                    </a:stretch>
                  </pic:blipFill>
                  <pic:spPr>
                    <a:xfrm>
                      <a:off x="0" y="0"/>
                      <a:ext cx="5116196" cy="1729740"/>
                    </a:xfrm>
                    <a:prstGeom prst="rect">
                      <a:avLst/>
                    </a:prstGeom>
                  </pic:spPr>
                </pic:pic>
              </a:graphicData>
            </a:graphic>
          </wp:inline>
        </w:drawing>
      </w:r>
      <w:r>
        <w:rPr>
          <w:sz w:val="20"/>
        </w:rPr>
      </w:r>
    </w:p>
    <w:p>
      <w:pPr>
        <w:spacing w:line="242" w:lineRule="auto" w:before="96"/>
        <w:ind w:left="1930" w:right="186" w:hanging="1455"/>
        <w:jc w:val="left"/>
        <w:rPr>
          <w:sz w:val="20"/>
        </w:rPr>
      </w:pPr>
      <w:bookmarkStart w:name="_bookmark44" w:id="71"/>
      <w:bookmarkEnd w:id="71"/>
      <w:r>
        <w:rPr/>
      </w:r>
      <w:r>
        <w:rPr>
          <w:sz w:val="20"/>
        </w:rPr>
        <w:t>Fig. 18. A) Separación de las fracciones obtenidas tras la centrifugación. B) y C) Jeringas de 5 ml con las diferentes fracciones y los factores de crecimiento.</w:t>
      </w:r>
    </w:p>
    <w:p>
      <w:pPr>
        <w:pStyle w:val="BodyText"/>
        <w:rPr>
          <w:sz w:val="20"/>
        </w:rPr>
      </w:pPr>
    </w:p>
    <w:p>
      <w:pPr>
        <w:pStyle w:val="BodyText"/>
        <w:spacing w:before="4"/>
        <w:rPr>
          <w:sz w:val="27"/>
        </w:rPr>
      </w:pPr>
    </w:p>
    <w:p>
      <w:pPr>
        <w:pStyle w:val="BodyText"/>
        <w:spacing w:line="360" w:lineRule="auto" w:before="69"/>
        <w:ind w:left="162" w:right="159"/>
        <w:jc w:val="both"/>
      </w:pPr>
      <w:r>
        <w:rPr/>
        <w:t>La</w:t>
      </w:r>
      <w:r>
        <w:rPr>
          <w:spacing w:val="-8"/>
        </w:rPr>
        <w:t> </w:t>
      </w:r>
      <w:r>
        <w:rPr/>
        <w:t>preparación</w:t>
      </w:r>
      <w:r>
        <w:rPr>
          <w:spacing w:val="-8"/>
        </w:rPr>
        <w:t> </w:t>
      </w:r>
      <w:r>
        <w:rPr/>
        <w:t>obtenida</w:t>
      </w:r>
      <w:r>
        <w:rPr>
          <w:spacing w:val="-6"/>
        </w:rPr>
        <w:t> </w:t>
      </w:r>
      <w:r>
        <w:rPr/>
        <w:t>de</w:t>
      </w:r>
      <w:r>
        <w:rPr>
          <w:spacing w:val="-8"/>
        </w:rPr>
        <w:t> </w:t>
      </w:r>
      <w:r>
        <w:rPr/>
        <w:t>PRGF</w:t>
      </w:r>
      <w:r>
        <w:rPr>
          <w:spacing w:val="-9"/>
        </w:rPr>
        <w:t> </w:t>
      </w:r>
      <w:r>
        <w:rPr/>
        <w:t>fue</w:t>
      </w:r>
      <w:r>
        <w:rPr>
          <w:spacing w:val="-8"/>
        </w:rPr>
        <w:t> </w:t>
      </w:r>
      <w:r>
        <w:rPr/>
        <w:t>combinada</w:t>
      </w:r>
      <w:r>
        <w:rPr>
          <w:spacing w:val="-8"/>
        </w:rPr>
        <w:t> </w:t>
      </w:r>
      <w:r>
        <w:rPr/>
        <w:t>con</w:t>
      </w:r>
      <w:r>
        <w:rPr>
          <w:spacing w:val="-8"/>
        </w:rPr>
        <w:t> </w:t>
      </w:r>
      <w:r>
        <w:rPr/>
        <w:t>el</w:t>
      </w:r>
      <w:r>
        <w:rPr>
          <w:spacing w:val="-10"/>
        </w:rPr>
        <w:t> </w:t>
      </w:r>
      <w:r>
        <w:rPr/>
        <w:t>injerto</w:t>
      </w:r>
      <w:r>
        <w:rPr>
          <w:spacing w:val="-8"/>
        </w:rPr>
        <w:t> </w:t>
      </w:r>
      <w:r>
        <w:rPr/>
        <w:t>óseo</w:t>
      </w:r>
      <w:r>
        <w:rPr>
          <w:spacing w:val="-11"/>
        </w:rPr>
        <w:t> </w:t>
      </w:r>
      <w:r>
        <w:rPr/>
        <w:t>con</w:t>
      </w:r>
      <w:r>
        <w:rPr>
          <w:spacing w:val="-8"/>
        </w:rPr>
        <w:t> </w:t>
      </w:r>
      <w:r>
        <w:rPr/>
        <w:t>el</w:t>
      </w:r>
      <w:r>
        <w:rPr>
          <w:spacing w:val="-7"/>
        </w:rPr>
        <w:t> </w:t>
      </w:r>
      <w:r>
        <w:rPr/>
        <w:t>objetivo de mejorar así la consistencia y el manejo del mismo. Antes de ser colocado en la cavidad</w:t>
      </w:r>
      <w:r>
        <w:rPr>
          <w:spacing w:val="-14"/>
        </w:rPr>
        <w:t> </w:t>
      </w:r>
      <w:r>
        <w:rPr/>
        <w:t>quirúrgica</w:t>
      </w:r>
      <w:r>
        <w:rPr>
          <w:spacing w:val="-14"/>
        </w:rPr>
        <w:t> </w:t>
      </w:r>
      <w:r>
        <w:rPr/>
        <w:t>remanente</w:t>
      </w:r>
      <w:r>
        <w:rPr>
          <w:spacing w:val="-14"/>
        </w:rPr>
        <w:t> </w:t>
      </w:r>
      <w:r>
        <w:rPr/>
        <w:t>se</w:t>
      </w:r>
      <w:r>
        <w:rPr>
          <w:spacing w:val="-14"/>
        </w:rPr>
        <w:t> </w:t>
      </w:r>
      <w:r>
        <w:rPr/>
        <w:t>procedió</w:t>
      </w:r>
      <w:r>
        <w:rPr>
          <w:spacing w:val="-14"/>
        </w:rPr>
        <w:t> </w:t>
      </w:r>
      <w:r>
        <w:rPr/>
        <w:t>a</w:t>
      </w:r>
      <w:r>
        <w:rPr>
          <w:spacing w:val="-14"/>
        </w:rPr>
        <w:t> </w:t>
      </w:r>
      <w:r>
        <w:rPr/>
        <w:t>la</w:t>
      </w:r>
      <w:r>
        <w:rPr>
          <w:spacing w:val="-16"/>
        </w:rPr>
        <w:t> </w:t>
      </w:r>
      <w:r>
        <w:rPr/>
        <w:t>activación</w:t>
      </w:r>
      <w:r>
        <w:rPr>
          <w:spacing w:val="-14"/>
        </w:rPr>
        <w:t> </w:t>
      </w:r>
      <w:r>
        <w:rPr/>
        <w:t>del</w:t>
      </w:r>
      <w:r>
        <w:rPr>
          <w:spacing w:val="-15"/>
        </w:rPr>
        <w:t> </w:t>
      </w:r>
      <w:r>
        <w:rPr/>
        <w:t>coagulo</w:t>
      </w:r>
      <w:r>
        <w:rPr>
          <w:spacing w:val="-17"/>
        </w:rPr>
        <w:t> </w:t>
      </w:r>
      <w:r>
        <w:rPr/>
        <w:t>utilizando</w:t>
      </w:r>
      <w:r>
        <w:rPr>
          <w:spacing w:val="-14"/>
        </w:rPr>
        <w:t> </w:t>
      </w:r>
      <w:r>
        <w:rPr/>
        <w:t>0.05 ml</w:t>
      </w:r>
      <w:r>
        <w:rPr>
          <w:spacing w:val="-7"/>
        </w:rPr>
        <w:t> </w:t>
      </w:r>
      <w:r>
        <w:rPr/>
        <w:t>de</w:t>
      </w:r>
      <w:r>
        <w:rPr>
          <w:spacing w:val="-6"/>
        </w:rPr>
        <w:t> </w:t>
      </w:r>
      <w:r>
        <w:rPr/>
        <w:t>cloruro</w:t>
      </w:r>
      <w:r>
        <w:rPr>
          <w:spacing w:val="-6"/>
        </w:rPr>
        <w:t> </w:t>
      </w:r>
      <w:r>
        <w:rPr/>
        <w:t>de</w:t>
      </w:r>
      <w:r>
        <w:rPr>
          <w:spacing w:val="-6"/>
        </w:rPr>
        <w:t> </w:t>
      </w:r>
      <w:r>
        <w:rPr/>
        <w:t>calcio</w:t>
      </w:r>
      <w:r>
        <w:rPr>
          <w:spacing w:val="-8"/>
        </w:rPr>
        <w:t> </w:t>
      </w:r>
      <w:r>
        <w:rPr/>
        <w:t>al</w:t>
      </w:r>
      <w:r>
        <w:rPr>
          <w:spacing w:val="-7"/>
        </w:rPr>
        <w:t> </w:t>
      </w:r>
      <w:r>
        <w:rPr/>
        <w:t>10%,</w:t>
      </w:r>
      <w:r>
        <w:rPr>
          <w:spacing w:val="-9"/>
        </w:rPr>
        <w:t> </w:t>
      </w:r>
      <w:r>
        <w:rPr/>
        <w:t>de</w:t>
      </w:r>
      <w:r>
        <w:rPr>
          <w:spacing w:val="-8"/>
        </w:rPr>
        <w:t> </w:t>
      </w:r>
      <w:r>
        <w:rPr/>
        <w:t>10</w:t>
      </w:r>
      <w:r>
        <w:rPr>
          <w:spacing w:val="-8"/>
        </w:rPr>
        <w:t> </w:t>
      </w:r>
      <w:r>
        <w:rPr/>
        <w:t>a</w:t>
      </w:r>
      <w:r>
        <w:rPr>
          <w:spacing w:val="-8"/>
        </w:rPr>
        <w:t> </w:t>
      </w:r>
      <w:r>
        <w:rPr/>
        <w:t>15</w:t>
      </w:r>
      <w:r>
        <w:rPr>
          <w:spacing w:val="-8"/>
        </w:rPr>
        <w:t> </w:t>
      </w:r>
      <w:r>
        <w:rPr/>
        <w:t>minutos</w:t>
      </w:r>
      <w:r>
        <w:rPr>
          <w:spacing w:val="-9"/>
        </w:rPr>
        <w:t> </w:t>
      </w:r>
      <w:r>
        <w:rPr/>
        <w:t>después</w:t>
      </w:r>
      <w:r>
        <w:rPr>
          <w:spacing w:val="-9"/>
        </w:rPr>
        <w:t> </w:t>
      </w:r>
      <w:r>
        <w:rPr/>
        <w:t>se</w:t>
      </w:r>
      <w:r>
        <w:rPr>
          <w:spacing w:val="-8"/>
        </w:rPr>
        <w:t> </w:t>
      </w:r>
      <w:r>
        <w:rPr/>
        <w:t>obtuvo</w:t>
      </w:r>
      <w:r>
        <w:rPr>
          <w:spacing w:val="-6"/>
        </w:rPr>
        <w:t> </w:t>
      </w:r>
      <w:r>
        <w:rPr/>
        <w:t>la</w:t>
      </w:r>
      <w:r>
        <w:rPr>
          <w:spacing w:val="-9"/>
        </w:rPr>
        <w:t> </w:t>
      </w:r>
      <w:r>
        <w:rPr/>
        <w:t>membrana de injerto con la consistencia ideal para manejar y modelar (</w:t>
      </w:r>
      <w:hyperlink w:history="true" w:anchor="_bookmark45">
        <w:r>
          <w:rPr>
            <w:rFonts w:ascii="Calibri" w:hAnsi="Calibri"/>
            <w:sz w:val="22"/>
          </w:rPr>
          <w:t>Fig.</w:t>
        </w:r>
        <w:r>
          <w:rPr>
            <w:rFonts w:ascii="Calibri" w:hAnsi="Calibri"/>
            <w:spacing w:val="-23"/>
            <w:sz w:val="22"/>
          </w:rPr>
          <w:t> </w:t>
        </w:r>
        <w:r>
          <w:rPr>
            <w:rFonts w:ascii="Calibri" w:hAnsi="Calibri"/>
            <w:sz w:val="22"/>
          </w:rPr>
          <w:t>19</w:t>
        </w:r>
      </w:hyperlink>
      <w:r>
        <w:rPr/>
        <w:t>).</w:t>
      </w:r>
    </w:p>
    <w:p>
      <w:pPr>
        <w:pStyle w:val="BodyText"/>
        <w:rPr>
          <w:sz w:val="14"/>
        </w:rPr>
      </w:pPr>
      <w:r>
        <w:rPr/>
        <w:drawing>
          <wp:anchor distT="0" distB="0" distL="0" distR="0" allowOverlap="1" layoutInCell="1" locked="0" behindDoc="0" simplePos="0" relativeHeight="1384">
            <wp:simplePos x="0" y="0"/>
            <wp:positionH relativeFrom="page">
              <wp:posOffset>1485900</wp:posOffset>
            </wp:positionH>
            <wp:positionV relativeFrom="paragraph">
              <wp:posOffset>127091</wp:posOffset>
            </wp:positionV>
            <wp:extent cx="4791456" cy="1670303"/>
            <wp:effectExtent l="0" t="0" r="0" b="0"/>
            <wp:wrapTopAndBottom/>
            <wp:docPr id="39" name="image21.jpeg" descr=""/>
            <wp:cNvGraphicFramePr>
              <a:graphicFrameLocks noChangeAspect="1"/>
            </wp:cNvGraphicFramePr>
            <a:graphic>
              <a:graphicData uri="http://schemas.openxmlformats.org/drawingml/2006/picture">
                <pic:pic>
                  <pic:nvPicPr>
                    <pic:cNvPr id="40" name="image21.jpeg"/>
                    <pic:cNvPicPr/>
                  </pic:nvPicPr>
                  <pic:blipFill>
                    <a:blip r:embed="rId33" cstate="print"/>
                    <a:stretch>
                      <a:fillRect/>
                    </a:stretch>
                  </pic:blipFill>
                  <pic:spPr>
                    <a:xfrm>
                      <a:off x="0" y="0"/>
                      <a:ext cx="4791456" cy="1670303"/>
                    </a:xfrm>
                    <a:prstGeom prst="rect">
                      <a:avLst/>
                    </a:prstGeom>
                  </pic:spPr>
                </pic:pic>
              </a:graphicData>
            </a:graphic>
          </wp:anchor>
        </w:drawing>
      </w:r>
    </w:p>
    <w:p>
      <w:pPr>
        <w:spacing w:line="242" w:lineRule="auto" w:before="37"/>
        <w:ind w:left="3741" w:right="0" w:hanging="3414"/>
        <w:jc w:val="left"/>
        <w:rPr>
          <w:sz w:val="20"/>
        </w:rPr>
      </w:pPr>
      <w:bookmarkStart w:name="_bookmark45" w:id="72"/>
      <w:bookmarkEnd w:id="72"/>
      <w:r>
        <w:rPr/>
      </w:r>
      <w:r>
        <w:rPr>
          <w:sz w:val="20"/>
        </w:rPr>
        <w:t>Fig. 19. A) Injerto óseo. B) Factores de crecimiento agregado al injerto óseo. C) Activación del cloruro de calcio.</w:t>
      </w:r>
    </w:p>
    <w:p>
      <w:pPr>
        <w:pStyle w:val="BodyText"/>
        <w:rPr>
          <w:sz w:val="20"/>
        </w:rPr>
      </w:pPr>
    </w:p>
    <w:p>
      <w:pPr>
        <w:pStyle w:val="BodyText"/>
        <w:spacing w:before="198"/>
        <w:ind w:left="162"/>
      </w:pPr>
      <w:r>
        <w:rPr>
          <w:u w:val="single"/>
        </w:rPr>
        <w:t>Cirugía perirradicular</w:t>
      </w:r>
    </w:p>
    <w:p>
      <w:pPr>
        <w:pStyle w:val="BodyText"/>
        <w:spacing w:before="4"/>
        <w:rPr>
          <w:sz w:val="23"/>
        </w:rPr>
      </w:pPr>
    </w:p>
    <w:p>
      <w:pPr>
        <w:pStyle w:val="BodyText"/>
        <w:spacing w:line="360" w:lineRule="auto" w:before="70"/>
        <w:ind w:left="162" w:right="164"/>
        <w:jc w:val="both"/>
      </w:pPr>
      <w:r>
        <w:rPr/>
        <w:t>De manera simultánea a la preparación del injerto y el manejo de los factores de crecimiento, se le explicó nuevamente al paciente el procedimiento a realizar y se tomaron signos vitales, los cuales se encontraron dentro de los parámetros normales.</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2" w:lineRule="auto" w:before="69"/>
        <w:ind w:left="162" w:right="163"/>
        <w:jc w:val="both"/>
      </w:pPr>
      <w:r>
        <w:rPr/>
        <w:drawing>
          <wp:anchor distT="0" distB="0" distL="0" distR="0" allowOverlap="1" layoutInCell="1" locked="0" behindDoc="1" simplePos="0" relativeHeight="268395599">
            <wp:simplePos x="0" y="0"/>
            <wp:positionH relativeFrom="page">
              <wp:posOffset>3308603</wp:posOffset>
            </wp:positionH>
            <wp:positionV relativeFrom="paragraph">
              <wp:posOffset>520520</wp:posOffset>
            </wp:positionV>
            <wp:extent cx="3293363" cy="1271016"/>
            <wp:effectExtent l="0" t="0" r="0" b="0"/>
            <wp:wrapNone/>
            <wp:docPr id="41" name="image22.jpeg" descr=""/>
            <wp:cNvGraphicFramePr>
              <a:graphicFrameLocks noChangeAspect="1"/>
            </wp:cNvGraphicFramePr>
            <a:graphic>
              <a:graphicData uri="http://schemas.openxmlformats.org/drawingml/2006/picture">
                <pic:pic>
                  <pic:nvPicPr>
                    <pic:cNvPr id="42" name="image22.jpeg"/>
                    <pic:cNvPicPr/>
                  </pic:nvPicPr>
                  <pic:blipFill>
                    <a:blip r:embed="rId34" cstate="print"/>
                    <a:stretch>
                      <a:fillRect/>
                    </a:stretch>
                  </pic:blipFill>
                  <pic:spPr>
                    <a:xfrm>
                      <a:off x="0" y="0"/>
                      <a:ext cx="3293363" cy="1271016"/>
                    </a:xfrm>
                    <a:prstGeom prst="rect">
                      <a:avLst/>
                    </a:prstGeom>
                  </pic:spPr>
                </pic:pic>
              </a:graphicData>
            </a:graphic>
          </wp:anchor>
        </w:drawing>
      </w:r>
      <w:r>
        <w:rPr/>
        <w:t>Se</w:t>
      </w:r>
      <w:r>
        <w:rPr>
          <w:spacing w:val="-9"/>
        </w:rPr>
        <w:t> </w:t>
      </w:r>
      <w:r>
        <w:rPr/>
        <w:t>procedió</w:t>
      </w:r>
      <w:r>
        <w:rPr>
          <w:spacing w:val="-10"/>
        </w:rPr>
        <w:t> </w:t>
      </w:r>
      <w:r>
        <w:rPr/>
        <w:t>a</w:t>
      </w:r>
      <w:r>
        <w:rPr>
          <w:spacing w:val="-7"/>
        </w:rPr>
        <w:t> </w:t>
      </w:r>
      <w:r>
        <w:rPr/>
        <w:t>la</w:t>
      </w:r>
      <w:r>
        <w:rPr>
          <w:spacing w:val="-9"/>
        </w:rPr>
        <w:t> </w:t>
      </w:r>
      <w:r>
        <w:rPr/>
        <w:t>asepsia</w:t>
      </w:r>
      <w:r>
        <w:rPr>
          <w:spacing w:val="-7"/>
        </w:rPr>
        <w:t> </w:t>
      </w:r>
      <w:r>
        <w:rPr/>
        <w:t>y</w:t>
      </w:r>
      <w:r>
        <w:rPr>
          <w:spacing w:val="-10"/>
        </w:rPr>
        <w:t> </w:t>
      </w:r>
      <w:r>
        <w:rPr/>
        <w:t>antisepsia</w:t>
      </w:r>
      <w:r>
        <w:rPr>
          <w:spacing w:val="-10"/>
        </w:rPr>
        <w:t> </w:t>
      </w:r>
      <w:r>
        <w:rPr/>
        <w:t>de</w:t>
      </w:r>
      <w:r>
        <w:rPr>
          <w:spacing w:val="-7"/>
        </w:rPr>
        <w:t> </w:t>
      </w:r>
      <w:r>
        <w:rPr/>
        <w:t>la</w:t>
      </w:r>
      <w:r>
        <w:rPr>
          <w:spacing w:val="-10"/>
        </w:rPr>
        <w:t> </w:t>
      </w:r>
      <w:r>
        <w:rPr/>
        <w:t>zona</w:t>
      </w:r>
      <w:r>
        <w:rPr>
          <w:spacing w:val="-7"/>
        </w:rPr>
        <w:t> </w:t>
      </w:r>
      <w:r>
        <w:rPr/>
        <w:t>quirúrgica.</w:t>
      </w:r>
      <w:r>
        <w:rPr>
          <w:spacing w:val="-7"/>
        </w:rPr>
        <w:t> </w:t>
      </w:r>
      <w:r>
        <w:rPr/>
        <w:t>Se</w:t>
      </w:r>
      <w:r>
        <w:rPr>
          <w:spacing w:val="-7"/>
        </w:rPr>
        <w:t> </w:t>
      </w:r>
      <w:r>
        <w:rPr/>
        <w:t>inició</w:t>
      </w:r>
      <w:r>
        <w:rPr>
          <w:spacing w:val="-9"/>
        </w:rPr>
        <w:t> </w:t>
      </w:r>
      <w:r>
        <w:rPr/>
        <w:t>con</w:t>
      </w:r>
      <w:r>
        <w:rPr>
          <w:spacing w:val="-9"/>
        </w:rPr>
        <w:t> </w:t>
      </w:r>
      <w:r>
        <w:rPr/>
        <w:t>el</w:t>
      </w:r>
      <w:r>
        <w:rPr>
          <w:spacing w:val="-11"/>
        </w:rPr>
        <w:t> </w:t>
      </w:r>
      <w:r>
        <w:rPr/>
        <w:t>bloqueo anestésico del nervio alveolar superior anterior y medio derecho así como el nervio nasopalatino (</w:t>
      </w:r>
      <w:hyperlink w:history="true" w:anchor="_bookmark46">
        <w:r>
          <w:rPr>
            <w:rFonts w:ascii="Calibri" w:hAnsi="Calibri"/>
            <w:sz w:val="22"/>
          </w:rPr>
          <w:t>Fig.</w:t>
        </w:r>
        <w:r>
          <w:rPr>
            <w:rFonts w:ascii="Calibri" w:hAnsi="Calibri"/>
            <w:spacing w:val="-6"/>
            <w:sz w:val="22"/>
          </w:rPr>
          <w:t> </w:t>
        </w:r>
        <w:r>
          <w:rPr>
            <w:rFonts w:ascii="Calibri" w:hAnsi="Calibri"/>
            <w:sz w:val="22"/>
          </w:rPr>
          <w:t>20</w:t>
        </w:r>
      </w:hyperlink>
      <w:r>
        <w:rPr/>
        <w:t>).</w:t>
      </w:r>
    </w:p>
    <w:p>
      <w:pPr>
        <w:pStyle w:val="BodyText"/>
      </w:pPr>
    </w:p>
    <w:p>
      <w:pPr>
        <w:pStyle w:val="BodyText"/>
      </w:pPr>
    </w:p>
    <w:p>
      <w:pPr>
        <w:pStyle w:val="BodyText"/>
      </w:pPr>
    </w:p>
    <w:p>
      <w:pPr>
        <w:pStyle w:val="BodyText"/>
      </w:pPr>
    </w:p>
    <w:p>
      <w:pPr>
        <w:pStyle w:val="BodyText"/>
      </w:pPr>
    </w:p>
    <w:p>
      <w:pPr>
        <w:spacing w:before="174"/>
        <w:ind w:left="4771" w:right="0" w:firstLine="0"/>
        <w:jc w:val="left"/>
        <w:rPr>
          <w:sz w:val="20"/>
        </w:rPr>
      </w:pPr>
      <w:bookmarkStart w:name="_bookmark46" w:id="73"/>
      <w:bookmarkEnd w:id="73"/>
      <w:r>
        <w:rPr/>
      </w:r>
      <w:r>
        <w:rPr>
          <w:sz w:val="20"/>
        </w:rPr>
        <w:t>Fig. 20. A) Asepsia. B) Anestesia.</w:t>
      </w:r>
    </w:p>
    <w:p>
      <w:pPr>
        <w:pStyle w:val="BodyText"/>
        <w:spacing w:before="11"/>
        <w:rPr>
          <w:sz w:val="15"/>
        </w:rPr>
      </w:pPr>
    </w:p>
    <w:p>
      <w:pPr>
        <w:pStyle w:val="BodyText"/>
        <w:spacing w:line="360" w:lineRule="auto" w:before="70"/>
        <w:ind w:left="162" w:right="164"/>
        <w:jc w:val="both"/>
      </w:pPr>
      <w:r>
        <w:rPr/>
        <w:drawing>
          <wp:anchor distT="0" distB="0" distL="0" distR="0" allowOverlap="1" layoutInCell="1" locked="0" behindDoc="1" simplePos="0" relativeHeight="268395623">
            <wp:simplePos x="0" y="0"/>
            <wp:positionH relativeFrom="page">
              <wp:posOffset>1368552</wp:posOffset>
            </wp:positionH>
            <wp:positionV relativeFrom="paragraph">
              <wp:posOffset>1612085</wp:posOffset>
            </wp:positionV>
            <wp:extent cx="5126736" cy="1243584"/>
            <wp:effectExtent l="0" t="0" r="0" b="0"/>
            <wp:wrapNone/>
            <wp:docPr id="43" name="image23.jpeg" descr=""/>
            <wp:cNvGraphicFramePr>
              <a:graphicFrameLocks noChangeAspect="1"/>
            </wp:cNvGraphicFramePr>
            <a:graphic>
              <a:graphicData uri="http://schemas.openxmlformats.org/drawingml/2006/picture">
                <pic:pic>
                  <pic:nvPicPr>
                    <pic:cNvPr id="44" name="image23.jpeg"/>
                    <pic:cNvPicPr/>
                  </pic:nvPicPr>
                  <pic:blipFill>
                    <a:blip r:embed="rId35" cstate="print"/>
                    <a:stretch>
                      <a:fillRect/>
                    </a:stretch>
                  </pic:blipFill>
                  <pic:spPr>
                    <a:xfrm>
                      <a:off x="0" y="0"/>
                      <a:ext cx="5126736" cy="1243584"/>
                    </a:xfrm>
                    <a:prstGeom prst="rect">
                      <a:avLst/>
                    </a:prstGeom>
                  </pic:spPr>
                </pic:pic>
              </a:graphicData>
            </a:graphic>
          </wp:anchor>
        </w:drawing>
      </w:r>
      <w:r>
        <w:rPr/>
        <w:t>Para la incisión se utilizó mango de bisturí No. 7 y hoja 15, fue efectuada profundizando hasta la cortical ósea e incidiendo el periostio. Se continuó con la elevación del colgajo de espesor total con el periostótomo 7A comenzando por las papilas interdentales. El manejo del colgajo se realizó mediante un separador de Minnesota, aplicando ligera presión en el hueso para evitar la isquemia del colgajo (</w:t>
      </w:r>
      <w:hyperlink w:history="true" w:anchor="_bookmark47">
        <w:r>
          <w:rPr>
            <w:rFonts w:ascii="Calibri" w:hAnsi="Calibri"/>
            <w:sz w:val="22"/>
          </w:rPr>
          <w:t>Fig. 21</w:t>
        </w:r>
      </w:hyperlink>
      <w:r>
        <w:rPr/>
        <w:t>). Se realizó la osteotomía con fresa quirúrgica de bola #6 de baja velocidad.</w:t>
      </w: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33"/>
        </w:rPr>
      </w:pPr>
    </w:p>
    <w:p>
      <w:pPr>
        <w:spacing w:before="0"/>
        <w:ind w:left="973" w:right="0" w:firstLine="0"/>
        <w:jc w:val="left"/>
        <w:rPr>
          <w:sz w:val="20"/>
        </w:rPr>
      </w:pPr>
      <w:bookmarkStart w:name="_bookmark47" w:id="74"/>
      <w:bookmarkEnd w:id="74"/>
      <w:r>
        <w:rPr/>
      </w:r>
      <w:r>
        <w:rPr>
          <w:sz w:val="20"/>
        </w:rPr>
        <w:t>Fig. 21. A) y B) Levantamiento de colgajo. C) Fenestración ósea debido a la lesión.</w:t>
      </w:r>
    </w:p>
    <w:p>
      <w:pPr>
        <w:pStyle w:val="BodyText"/>
        <w:spacing w:before="7"/>
        <w:rPr>
          <w:sz w:val="26"/>
        </w:rPr>
      </w:pPr>
    </w:p>
    <w:p>
      <w:pPr>
        <w:pStyle w:val="BodyText"/>
        <w:spacing w:line="360" w:lineRule="auto" w:before="69"/>
        <w:ind w:left="162" w:right="156"/>
        <w:jc w:val="both"/>
      </w:pPr>
      <w:r>
        <w:rPr/>
        <w:drawing>
          <wp:anchor distT="0" distB="0" distL="0" distR="0" allowOverlap="1" layoutInCell="1" locked="0" behindDoc="1" simplePos="0" relativeHeight="268395647">
            <wp:simplePos x="0" y="0"/>
            <wp:positionH relativeFrom="page">
              <wp:posOffset>1178052</wp:posOffset>
            </wp:positionH>
            <wp:positionV relativeFrom="paragraph">
              <wp:posOffset>798523</wp:posOffset>
            </wp:positionV>
            <wp:extent cx="5413248" cy="1275588"/>
            <wp:effectExtent l="0" t="0" r="0" b="0"/>
            <wp:wrapNone/>
            <wp:docPr id="45" name="image24.jpeg" descr=""/>
            <wp:cNvGraphicFramePr>
              <a:graphicFrameLocks noChangeAspect="1"/>
            </wp:cNvGraphicFramePr>
            <a:graphic>
              <a:graphicData uri="http://schemas.openxmlformats.org/drawingml/2006/picture">
                <pic:pic>
                  <pic:nvPicPr>
                    <pic:cNvPr id="46" name="image24.jpeg"/>
                    <pic:cNvPicPr/>
                  </pic:nvPicPr>
                  <pic:blipFill>
                    <a:blip r:embed="rId36" cstate="print"/>
                    <a:stretch>
                      <a:fillRect/>
                    </a:stretch>
                  </pic:blipFill>
                  <pic:spPr>
                    <a:xfrm>
                      <a:off x="0" y="0"/>
                      <a:ext cx="5413248" cy="1275588"/>
                    </a:xfrm>
                    <a:prstGeom prst="rect">
                      <a:avLst/>
                    </a:prstGeom>
                  </pic:spPr>
                </pic:pic>
              </a:graphicData>
            </a:graphic>
          </wp:anchor>
        </w:drawing>
      </w:r>
      <w:r>
        <w:rPr/>
        <w:t>Una vez expuestas las raíces de los órganos a tratar, se realizó la completa enucleación de la lesión la cual se colocó en una solución de formocresol para su posterior estudio histopatológico (</w:t>
      </w:r>
      <w:hyperlink w:history="true" w:anchor="_bookmark48">
        <w:r>
          <w:rPr>
            <w:rFonts w:ascii="Calibri" w:hAnsi="Calibri"/>
            <w:sz w:val="22"/>
          </w:rPr>
          <w:t>Fig. 22</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9"/>
        </w:rPr>
      </w:pPr>
    </w:p>
    <w:p>
      <w:pPr>
        <w:spacing w:line="242" w:lineRule="auto" w:before="0"/>
        <w:ind w:left="3779" w:right="0" w:hanging="3291"/>
        <w:jc w:val="left"/>
        <w:rPr>
          <w:sz w:val="20"/>
        </w:rPr>
      </w:pPr>
      <w:bookmarkStart w:name="_bookmark48" w:id="75"/>
      <w:bookmarkEnd w:id="75"/>
      <w:r>
        <w:rPr/>
      </w:r>
      <w:r>
        <w:rPr>
          <w:sz w:val="20"/>
        </w:rPr>
        <w:t>Fig. 22. A) Osteotomía. B) Extirpación de la lesión. C) Lesión para estudio histopatológico. F) Cavidad quirúrgica</w:t>
      </w:r>
    </w:p>
    <w:p>
      <w:pPr>
        <w:spacing w:after="0" w:line="242" w:lineRule="auto"/>
        <w:jc w:val="left"/>
        <w:rPr>
          <w:sz w:val="20"/>
        </w:rPr>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9"/>
        <w:jc w:val="both"/>
      </w:pPr>
      <w:r>
        <w:rPr/>
        <w:drawing>
          <wp:anchor distT="0" distB="0" distL="0" distR="0" allowOverlap="1" layoutInCell="1" locked="0" behindDoc="0" simplePos="0" relativeHeight="1480">
            <wp:simplePos x="0" y="0"/>
            <wp:positionH relativeFrom="page">
              <wp:posOffset>1560575</wp:posOffset>
            </wp:positionH>
            <wp:positionV relativeFrom="paragraph">
              <wp:posOffset>1660472</wp:posOffset>
            </wp:positionV>
            <wp:extent cx="4560195" cy="1257300"/>
            <wp:effectExtent l="0" t="0" r="0" b="0"/>
            <wp:wrapTopAndBottom/>
            <wp:docPr id="47" name="image25.jpeg" descr=""/>
            <wp:cNvGraphicFramePr>
              <a:graphicFrameLocks noChangeAspect="1"/>
            </wp:cNvGraphicFramePr>
            <a:graphic>
              <a:graphicData uri="http://schemas.openxmlformats.org/drawingml/2006/picture">
                <pic:pic>
                  <pic:nvPicPr>
                    <pic:cNvPr id="48" name="image25.jpeg"/>
                    <pic:cNvPicPr/>
                  </pic:nvPicPr>
                  <pic:blipFill>
                    <a:blip r:embed="rId37" cstate="print"/>
                    <a:stretch>
                      <a:fillRect/>
                    </a:stretch>
                  </pic:blipFill>
                  <pic:spPr>
                    <a:xfrm>
                      <a:off x="0" y="0"/>
                      <a:ext cx="4560195" cy="1257300"/>
                    </a:xfrm>
                    <a:prstGeom prst="rect">
                      <a:avLst/>
                    </a:prstGeom>
                  </pic:spPr>
                </pic:pic>
              </a:graphicData>
            </a:graphic>
          </wp:anchor>
        </w:drawing>
      </w:r>
      <w:r>
        <w:rPr/>
        <w:t>Se</w:t>
      </w:r>
      <w:r>
        <w:rPr>
          <w:spacing w:val="-3"/>
        </w:rPr>
        <w:t> </w:t>
      </w:r>
      <w:r>
        <w:rPr/>
        <w:t>procedió</w:t>
      </w:r>
      <w:r>
        <w:rPr>
          <w:spacing w:val="-3"/>
        </w:rPr>
        <w:t> </w:t>
      </w:r>
      <w:r>
        <w:rPr/>
        <w:t>a</w:t>
      </w:r>
      <w:r>
        <w:rPr>
          <w:spacing w:val="-3"/>
        </w:rPr>
        <w:t> </w:t>
      </w:r>
      <w:r>
        <w:rPr/>
        <w:t>la</w:t>
      </w:r>
      <w:r>
        <w:rPr>
          <w:spacing w:val="-3"/>
        </w:rPr>
        <w:t> </w:t>
      </w:r>
      <w:r>
        <w:rPr/>
        <w:t>resección</w:t>
      </w:r>
      <w:r>
        <w:rPr>
          <w:spacing w:val="-2"/>
        </w:rPr>
        <w:t> </w:t>
      </w:r>
      <w:r>
        <w:rPr/>
        <w:t>de</w:t>
      </w:r>
      <w:r>
        <w:rPr>
          <w:spacing w:val="-3"/>
        </w:rPr>
        <w:t> </w:t>
      </w:r>
      <w:r>
        <w:rPr/>
        <w:t>los</w:t>
      </w:r>
      <w:r>
        <w:rPr>
          <w:spacing w:val="-3"/>
        </w:rPr>
        <w:t> </w:t>
      </w:r>
      <w:r>
        <w:rPr/>
        <w:t>tres</w:t>
      </w:r>
      <w:r>
        <w:rPr>
          <w:spacing w:val="-6"/>
        </w:rPr>
        <w:t> </w:t>
      </w:r>
      <w:r>
        <w:rPr/>
        <w:t>milímetros</w:t>
      </w:r>
      <w:r>
        <w:rPr>
          <w:spacing w:val="-3"/>
        </w:rPr>
        <w:t> </w:t>
      </w:r>
      <w:r>
        <w:rPr/>
        <w:t>apicales</w:t>
      </w:r>
      <w:r>
        <w:rPr>
          <w:spacing w:val="-3"/>
        </w:rPr>
        <w:t> </w:t>
      </w:r>
      <w:r>
        <w:rPr/>
        <w:t>de</w:t>
      </w:r>
      <w:r>
        <w:rPr>
          <w:spacing w:val="-3"/>
        </w:rPr>
        <w:t> </w:t>
      </w:r>
      <w:r>
        <w:rPr/>
        <w:t>los</w:t>
      </w:r>
      <w:r>
        <w:rPr>
          <w:spacing w:val="-5"/>
        </w:rPr>
        <w:t> </w:t>
      </w:r>
      <w:r>
        <w:rPr/>
        <w:t>dientes</w:t>
      </w:r>
      <w:r>
        <w:rPr>
          <w:spacing w:val="-3"/>
        </w:rPr>
        <w:t> </w:t>
      </w:r>
      <w:r>
        <w:rPr/>
        <w:t>11,12</w:t>
      </w:r>
      <w:r>
        <w:rPr>
          <w:spacing w:val="-3"/>
        </w:rPr>
        <w:t> </w:t>
      </w:r>
      <w:r>
        <w:rPr/>
        <w:t>y</w:t>
      </w:r>
      <w:r>
        <w:rPr>
          <w:spacing w:val="-6"/>
        </w:rPr>
        <w:t> </w:t>
      </w:r>
      <w:r>
        <w:rPr/>
        <w:t>13 mediante fresa quirúrgica #702L. Se retro-prepararon con punta angulada ultrasónica seguida de la retro-obturación apical con MTA (Angelus, Londrina, Brasil). Se llevó a cabo el lavado de la cavidad remanente con abundante solución fisiológica para eliminar restos de tejido, calculo dental o cemento y proporcionar una zona libre de contaminación ideal para la colocación del injerto (</w:t>
      </w:r>
      <w:hyperlink w:history="true" w:anchor="_bookmark49">
        <w:r>
          <w:rPr>
            <w:rFonts w:ascii="Calibri" w:hAnsi="Calibri"/>
            <w:sz w:val="22"/>
          </w:rPr>
          <w:t>Fig.</w:t>
        </w:r>
        <w:r>
          <w:rPr>
            <w:rFonts w:ascii="Calibri" w:hAnsi="Calibri"/>
            <w:spacing w:val="-20"/>
            <w:sz w:val="22"/>
          </w:rPr>
          <w:t> </w:t>
        </w:r>
        <w:r>
          <w:rPr>
            <w:rFonts w:ascii="Calibri" w:hAnsi="Calibri"/>
            <w:sz w:val="22"/>
          </w:rPr>
          <w:t>23</w:t>
        </w:r>
      </w:hyperlink>
      <w:r>
        <w:rPr/>
        <w:t>).</w:t>
      </w:r>
    </w:p>
    <w:p>
      <w:pPr>
        <w:spacing w:before="67"/>
        <w:ind w:left="521" w:right="0" w:firstLine="0"/>
        <w:jc w:val="left"/>
        <w:rPr>
          <w:sz w:val="20"/>
        </w:rPr>
      </w:pPr>
      <w:bookmarkStart w:name="_bookmark49" w:id="76"/>
      <w:bookmarkEnd w:id="76"/>
      <w:r>
        <w:rPr/>
      </w:r>
      <w:r>
        <w:rPr>
          <w:sz w:val="20"/>
        </w:rPr>
        <w:t>Fig. 23. Fig. 22. A) Retropreparación ultrasónica.  B) y C) Retroobturación apical con MTA.</w:t>
      </w:r>
    </w:p>
    <w:p>
      <w:pPr>
        <w:pStyle w:val="BodyText"/>
        <w:spacing w:before="8"/>
        <w:rPr>
          <w:sz w:val="19"/>
        </w:rPr>
      </w:pPr>
    </w:p>
    <w:p>
      <w:pPr>
        <w:pStyle w:val="BodyText"/>
        <w:spacing w:line="360" w:lineRule="auto" w:before="70"/>
        <w:ind w:left="162" w:right="165"/>
        <w:jc w:val="both"/>
      </w:pPr>
      <w:r>
        <w:rPr/>
        <w:drawing>
          <wp:anchor distT="0" distB="0" distL="0" distR="0" allowOverlap="1" layoutInCell="1" locked="0" behindDoc="1" simplePos="0" relativeHeight="268395695">
            <wp:simplePos x="0" y="0"/>
            <wp:positionH relativeFrom="page">
              <wp:posOffset>1795272</wp:posOffset>
            </wp:positionH>
            <wp:positionV relativeFrom="paragraph">
              <wp:posOffset>1294712</wp:posOffset>
            </wp:positionV>
            <wp:extent cx="4136136" cy="2753867"/>
            <wp:effectExtent l="0" t="0" r="0" b="0"/>
            <wp:wrapNone/>
            <wp:docPr id="49" name="image26.jpeg" descr=""/>
            <wp:cNvGraphicFramePr>
              <a:graphicFrameLocks noChangeAspect="1"/>
            </wp:cNvGraphicFramePr>
            <a:graphic>
              <a:graphicData uri="http://schemas.openxmlformats.org/drawingml/2006/picture">
                <pic:pic>
                  <pic:nvPicPr>
                    <pic:cNvPr id="50" name="image26.jpeg"/>
                    <pic:cNvPicPr/>
                  </pic:nvPicPr>
                  <pic:blipFill>
                    <a:blip r:embed="rId38" cstate="print"/>
                    <a:stretch>
                      <a:fillRect/>
                    </a:stretch>
                  </pic:blipFill>
                  <pic:spPr>
                    <a:xfrm>
                      <a:off x="0" y="0"/>
                      <a:ext cx="4136136" cy="2753867"/>
                    </a:xfrm>
                    <a:prstGeom prst="rect">
                      <a:avLst/>
                    </a:prstGeom>
                  </pic:spPr>
                </pic:pic>
              </a:graphicData>
            </a:graphic>
          </wp:anchor>
        </w:drawing>
      </w:r>
      <w:r>
        <w:rPr/>
        <w:t>Finalmente el gel obtenido del injerto y los factores de crecimiento fueron llevados y compactados en la cavidad remanente. Se procedió a reposicionar el colgajo el cual fue suturado con material reabsorbible vicryl (Vicryl Plus, Ethicon, Johnson &amp; Johnson,</w:t>
      </w:r>
      <w:r>
        <w:rPr>
          <w:spacing w:val="-4"/>
        </w:rPr>
        <w:t> </w:t>
      </w:r>
      <w:r>
        <w:rPr/>
        <w:t>Juárez,</w:t>
      </w:r>
      <w:r>
        <w:rPr>
          <w:spacing w:val="-4"/>
        </w:rPr>
        <w:t> </w:t>
      </w:r>
      <w:r>
        <w:rPr/>
        <w:t>México)</w:t>
      </w:r>
      <w:r>
        <w:rPr>
          <w:spacing w:val="-5"/>
        </w:rPr>
        <w:t> </w:t>
      </w:r>
      <w:r>
        <w:rPr/>
        <w:t>mediante</w:t>
      </w:r>
      <w:r>
        <w:rPr>
          <w:spacing w:val="-6"/>
        </w:rPr>
        <w:t> </w:t>
      </w:r>
      <w:r>
        <w:rPr/>
        <w:t>puntos</w:t>
      </w:r>
      <w:r>
        <w:rPr>
          <w:spacing w:val="-4"/>
        </w:rPr>
        <w:t> </w:t>
      </w:r>
      <w:r>
        <w:rPr/>
        <w:t>simples</w:t>
      </w:r>
      <w:r>
        <w:rPr>
          <w:spacing w:val="-4"/>
        </w:rPr>
        <w:t> </w:t>
      </w:r>
      <w:r>
        <w:rPr/>
        <w:t>a</w:t>
      </w:r>
      <w:r>
        <w:rPr>
          <w:spacing w:val="-4"/>
        </w:rPr>
        <w:t> </w:t>
      </w:r>
      <w:r>
        <w:rPr/>
        <w:t>lo</w:t>
      </w:r>
      <w:r>
        <w:rPr>
          <w:spacing w:val="-4"/>
        </w:rPr>
        <w:t> </w:t>
      </w:r>
      <w:r>
        <w:rPr/>
        <w:t>largo</w:t>
      </w:r>
      <w:r>
        <w:rPr>
          <w:spacing w:val="-4"/>
        </w:rPr>
        <w:t> </w:t>
      </w:r>
      <w:r>
        <w:rPr/>
        <w:t>de</w:t>
      </w:r>
      <w:r>
        <w:rPr>
          <w:spacing w:val="-4"/>
        </w:rPr>
        <w:t> </w:t>
      </w:r>
      <w:r>
        <w:rPr/>
        <w:t>la</w:t>
      </w:r>
      <w:r>
        <w:rPr>
          <w:spacing w:val="-4"/>
        </w:rPr>
        <w:t> </w:t>
      </w:r>
      <w:r>
        <w:rPr/>
        <w:t>incisión</w:t>
      </w:r>
      <w:r>
        <w:rPr>
          <w:spacing w:val="-4"/>
        </w:rPr>
        <w:t> </w:t>
      </w:r>
      <w:r>
        <w:rPr/>
        <w:t>y</w:t>
      </w:r>
      <w:r>
        <w:rPr>
          <w:spacing w:val="-7"/>
        </w:rPr>
        <w:t> </w:t>
      </w:r>
      <w:r>
        <w:rPr/>
        <w:t>en</w:t>
      </w:r>
      <w:r>
        <w:rPr>
          <w:spacing w:val="-4"/>
        </w:rPr>
        <w:t> </w:t>
      </w:r>
      <w:r>
        <w:rPr/>
        <w:t>las zonas interproximales (</w:t>
      </w:r>
      <w:hyperlink w:history="true" w:anchor="_bookmark50">
        <w:r>
          <w:rPr>
            <w:rFonts w:ascii="Calibri" w:hAnsi="Calibri"/>
            <w:sz w:val="22"/>
          </w:rPr>
          <w:t>Fig.</w:t>
        </w:r>
        <w:r>
          <w:rPr>
            <w:rFonts w:ascii="Calibri" w:hAnsi="Calibri"/>
            <w:spacing w:val="-7"/>
            <w:sz w:val="22"/>
          </w:rPr>
          <w:t> </w:t>
        </w:r>
        <w:r>
          <w:rPr>
            <w:rFonts w:ascii="Calibri" w:hAnsi="Calibri"/>
            <w:sz w:val="22"/>
          </w:rPr>
          <w:t>24</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7"/>
        <w:ind w:left="879" w:right="0" w:hanging="339"/>
        <w:jc w:val="left"/>
        <w:rPr>
          <w:sz w:val="20"/>
        </w:rPr>
      </w:pPr>
      <w:bookmarkStart w:name="_bookmark50" w:id="77"/>
      <w:bookmarkEnd w:id="77"/>
      <w:r>
        <w:rPr/>
      </w:r>
      <w:r>
        <w:rPr>
          <w:sz w:val="20"/>
        </w:rPr>
        <w:t>Fig. 24. A) Injerto óseo con factores de crecimiento. B) y C) Colocación del injerto óseo. D) Reposicionamiento del colgajo y sutura. E) Lavado de la zona quirúrgica. F) Sutura.</w:t>
      </w:r>
    </w:p>
    <w:p>
      <w:pPr>
        <w:spacing w:after="0"/>
        <w:jc w:val="left"/>
        <w:rPr>
          <w:sz w:val="20"/>
        </w:rPr>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63"/>
        <w:jc w:val="both"/>
      </w:pPr>
      <w:r>
        <w:rPr/>
        <w:t>Una vez realizada la sutura, se colocó una gasa estéril y se le pidió al paciente</w:t>
      </w:r>
      <w:r>
        <w:rPr>
          <w:spacing w:val="-33"/>
        </w:rPr>
        <w:t> </w:t>
      </w:r>
      <w:r>
        <w:rPr/>
        <w:t>que ocluyera para favorecer la formación del coagulo. Se le entregó por escrito receta médica e indicaciones</w:t>
      </w:r>
      <w:r>
        <w:rPr>
          <w:spacing w:val="-14"/>
        </w:rPr>
        <w:t> </w:t>
      </w:r>
      <w:r>
        <w:rPr/>
        <w:t>postoperatorias.</w:t>
      </w:r>
    </w:p>
    <w:p>
      <w:pPr>
        <w:pStyle w:val="BodyText"/>
        <w:spacing w:before="204"/>
        <w:ind w:left="162"/>
        <w:jc w:val="both"/>
      </w:pPr>
      <w:r>
        <w:rPr>
          <w:u w:val="single"/>
        </w:rPr>
        <w:t>Postoperatorio</w:t>
      </w:r>
    </w:p>
    <w:p>
      <w:pPr>
        <w:pStyle w:val="BodyText"/>
        <w:spacing w:before="4"/>
        <w:rPr>
          <w:sz w:val="23"/>
        </w:rPr>
      </w:pPr>
    </w:p>
    <w:p>
      <w:pPr>
        <w:pStyle w:val="BodyText"/>
        <w:spacing w:line="360" w:lineRule="auto" w:before="70"/>
        <w:ind w:left="162" w:right="157"/>
        <w:jc w:val="both"/>
      </w:pPr>
      <w:r>
        <w:rPr/>
        <w:drawing>
          <wp:anchor distT="0" distB="0" distL="0" distR="0" allowOverlap="1" layoutInCell="1" locked="0" behindDoc="1" simplePos="0" relativeHeight="268395719">
            <wp:simplePos x="0" y="0"/>
            <wp:positionH relativeFrom="page">
              <wp:posOffset>1953767</wp:posOffset>
            </wp:positionH>
            <wp:positionV relativeFrom="paragraph">
              <wp:posOffset>2396945</wp:posOffset>
            </wp:positionV>
            <wp:extent cx="3870959" cy="1412748"/>
            <wp:effectExtent l="0" t="0" r="0" b="0"/>
            <wp:wrapNone/>
            <wp:docPr id="51" name="image27.jpeg" descr=""/>
            <wp:cNvGraphicFramePr>
              <a:graphicFrameLocks noChangeAspect="1"/>
            </wp:cNvGraphicFramePr>
            <a:graphic>
              <a:graphicData uri="http://schemas.openxmlformats.org/drawingml/2006/picture">
                <pic:pic>
                  <pic:nvPicPr>
                    <pic:cNvPr id="52" name="image27.jpeg"/>
                    <pic:cNvPicPr/>
                  </pic:nvPicPr>
                  <pic:blipFill>
                    <a:blip r:embed="rId39" cstate="print"/>
                    <a:stretch>
                      <a:fillRect/>
                    </a:stretch>
                  </pic:blipFill>
                  <pic:spPr>
                    <a:xfrm>
                      <a:off x="0" y="0"/>
                      <a:ext cx="3870959" cy="1412748"/>
                    </a:xfrm>
                    <a:prstGeom prst="rect">
                      <a:avLst/>
                    </a:prstGeom>
                  </pic:spPr>
                </pic:pic>
              </a:graphicData>
            </a:graphic>
          </wp:anchor>
        </w:drawing>
      </w:r>
      <w:r>
        <w:rPr/>
        <w:t>Las</w:t>
      </w:r>
      <w:r>
        <w:rPr>
          <w:spacing w:val="-8"/>
        </w:rPr>
        <w:t> </w:t>
      </w:r>
      <w:r>
        <w:rPr/>
        <w:t>suturas</w:t>
      </w:r>
      <w:r>
        <w:rPr>
          <w:spacing w:val="-9"/>
        </w:rPr>
        <w:t> </w:t>
      </w:r>
      <w:r>
        <w:rPr/>
        <w:t>fueron</w:t>
      </w:r>
      <w:r>
        <w:rPr>
          <w:spacing w:val="-7"/>
        </w:rPr>
        <w:t> </w:t>
      </w:r>
      <w:r>
        <w:rPr/>
        <w:t>retiradas</w:t>
      </w:r>
      <w:r>
        <w:rPr>
          <w:spacing w:val="-9"/>
        </w:rPr>
        <w:t> </w:t>
      </w:r>
      <w:r>
        <w:rPr/>
        <w:t>a</w:t>
      </w:r>
      <w:r>
        <w:rPr>
          <w:spacing w:val="-7"/>
        </w:rPr>
        <w:t> </w:t>
      </w:r>
      <w:r>
        <w:rPr/>
        <w:t>los</w:t>
      </w:r>
      <w:r>
        <w:rPr>
          <w:spacing w:val="-7"/>
        </w:rPr>
        <w:t> </w:t>
      </w:r>
      <w:r>
        <w:rPr/>
        <w:t>7</w:t>
      </w:r>
      <w:r>
        <w:rPr>
          <w:spacing w:val="-9"/>
        </w:rPr>
        <w:t> </w:t>
      </w:r>
      <w:r>
        <w:rPr/>
        <w:t>días</w:t>
      </w:r>
      <w:r>
        <w:rPr>
          <w:spacing w:val="-8"/>
        </w:rPr>
        <w:t> </w:t>
      </w:r>
      <w:r>
        <w:rPr/>
        <w:t>de</w:t>
      </w:r>
      <w:r>
        <w:rPr>
          <w:spacing w:val="-7"/>
        </w:rPr>
        <w:t> </w:t>
      </w:r>
      <w:r>
        <w:rPr/>
        <w:t>realizado</w:t>
      </w:r>
      <w:r>
        <w:rPr>
          <w:spacing w:val="-7"/>
        </w:rPr>
        <w:t> </w:t>
      </w:r>
      <w:r>
        <w:rPr/>
        <w:t>el</w:t>
      </w:r>
      <w:r>
        <w:rPr>
          <w:spacing w:val="-8"/>
        </w:rPr>
        <w:t> </w:t>
      </w:r>
      <w:r>
        <w:rPr/>
        <w:t>procedimiento</w:t>
      </w:r>
      <w:r>
        <w:rPr>
          <w:spacing w:val="-7"/>
        </w:rPr>
        <w:t> </w:t>
      </w:r>
      <w:r>
        <w:rPr/>
        <w:t>quirúrgico.</w:t>
      </w:r>
      <w:r>
        <w:rPr>
          <w:spacing w:val="-7"/>
        </w:rPr>
        <w:t> </w:t>
      </w:r>
      <w:r>
        <w:rPr/>
        <w:t>A la exploración clínica se observó inflamación papilar leve sin datos de infección y evolución</w:t>
      </w:r>
      <w:r>
        <w:rPr>
          <w:spacing w:val="-17"/>
        </w:rPr>
        <w:t> </w:t>
      </w:r>
      <w:r>
        <w:rPr/>
        <w:t>satisfactoria</w:t>
      </w:r>
      <w:r>
        <w:rPr>
          <w:spacing w:val="-19"/>
        </w:rPr>
        <w:t> </w:t>
      </w:r>
      <w:r>
        <w:rPr/>
        <w:t>del</w:t>
      </w:r>
      <w:r>
        <w:rPr>
          <w:spacing w:val="-18"/>
        </w:rPr>
        <w:t> </w:t>
      </w:r>
      <w:r>
        <w:rPr/>
        <w:t>proceso</w:t>
      </w:r>
      <w:r>
        <w:rPr>
          <w:spacing w:val="-17"/>
        </w:rPr>
        <w:t> </w:t>
      </w:r>
      <w:r>
        <w:rPr/>
        <w:t>de</w:t>
      </w:r>
      <w:r>
        <w:rPr>
          <w:spacing w:val="-17"/>
        </w:rPr>
        <w:t> </w:t>
      </w:r>
      <w:r>
        <w:rPr/>
        <w:t>cicatrización.</w:t>
      </w:r>
      <w:r>
        <w:rPr>
          <w:spacing w:val="-17"/>
        </w:rPr>
        <w:t> </w:t>
      </w:r>
      <w:r>
        <w:rPr/>
        <w:t>Se</w:t>
      </w:r>
      <w:r>
        <w:rPr>
          <w:spacing w:val="-17"/>
        </w:rPr>
        <w:t> </w:t>
      </w:r>
      <w:r>
        <w:rPr/>
        <w:t>realiza</w:t>
      </w:r>
      <w:r>
        <w:rPr>
          <w:spacing w:val="-17"/>
        </w:rPr>
        <w:t> </w:t>
      </w:r>
      <w:r>
        <w:rPr/>
        <w:t>una</w:t>
      </w:r>
      <w:r>
        <w:rPr>
          <w:spacing w:val="-17"/>
        </w:rPr>
        <w:t> </w:t>
      </w:r>
      <w:r>
        <w:rPr/>
        <w:t>toma</w:t>
      </w:r>
      <w:r>
        <w:rPr>
          <w:spacing w:val="-17"/>
        </w:rPr>
        <w:t> </w:t>
      </w:r>
      <w:r>
        <w:rPr/>
        <w:t>radiográfica de la zona intervenida para su evaluación. Se le indica al paciente retomar su dieta normal y se sugiere la restauración de las prótesis desajustadas. Finalmente se le entregan los resultados histopatológicos (Anexo 2) y se le indica la periodicidad en que deberá presentarse a consulta para evaluar los resultados obtenidos, primeramente</w:t>
      </w:r>
      <w:r>
        <w:rPr>
          <w:spacing w:val="-11"/>
        </w:rPr>
        <w:t> </w:t>
      </w:r>
      <w:r>
        <w:rPr/>
        <w:t>a</w:t>
      </w:r>
      <w:r>
        <w:rPr>
          <w:spacing w:val="-12"/>
        </w:rPr>
        <w:t> </w:t>
      </w:r>
      <w:r>
        <w:rPr/>
        <w:t>los</w:t>
      </w:r>
      <w:r>
        <w:rPr>
          <w:spacing w:val="-10"/>
        </w:rPr>
        <w:t> </w:t>
      </w:r>
      <w:r>
        <w:rPr/>
        <w:t>6</w:t>
      </w:r>
      <w:r>
        <w:rPr>
          <w:spacing w:val="-14"/>
        </w:rPr>
        <w:t> </w:t>
      </w:r>
      <w:r>
        <w:rPr/>
        <w:t>meses</w:t>
      </w:r>
      <w:r>
        <w:rPr>
          <w:spacing w:val="-13"/>
        </w:rPr>
        <w:t> </w:t>
      </w:r>
      <w:r>
        <w:rPr/>
        <w:t>y</w:t>
      </w:r>
      <w:r>
        <w:rPr>
          <w:spacing w:val="-15"/>
        </w:rPr>
        <w:t> </w:t>
      </w:r>
      <w:r>
        <w:rPr/>
        <w:t>posteriormente</w:t>
      </w:r>
      <w:r>
        <w:rPr>
          <w:spacing w:val="-12"/>
        </w:rPr>
        <w:t> </w:t>
      </w:r>
      <w:r>
        <w:rPr/>
        <w:t>al</w:t>
      </w:r>
      <w:r>
        <w:rPr>
          <w:spacing w:val="-13"/>
        </w:rPr>
        <w:t> </w:t>
      </w:r>
      <w:r>
        <w:rPr/>
        <w:t>año</w:t>
      </w:r>
      <w:r>
        <w:rPr>
          <w:spacing w:val="-12"/>
        </w:rPr>
        <w:t> </w:t>
      </w:r>
      <w:r>
        <w:rPr/>
        <w:t>de</w:t>
      </w:r>
      <w:r>
        <w:rPr>
          <w:spacing w:val="-12"/>
        </w:rPr>
        <w:t> </w:t>
      </w:r>
      <w:r>
        <w:rPr/>
        <w:t>realizado</w:t>
      </w:r>
      <w:r>
        <w:rPr>
          <w:spacing w:val="-12"/>
        </w:rPr>
        <w:t> </w:t>
      </w:r>
      <w:r>
        <w:rPr/>
        <w:t>el</w:t>
      </w:r>
      <w:r>
        <w:rPr>
          <w:spacing w:val="-15"/>
        </w:rPr>
        <w:t> </w:t>
      </w:r>
      <w:r>
        <w:rPr/>
        <w:t>tratamiento</w:t>
      </w:r>
      <w:r>
        <w:rPr>
          <w:spacing w:val="-5"/>
        </w:rPr>
        <w:t> </w:t>
      </w:r>
      <w:r>
        <w:rPr/>
        <w:t>(</w:t>
      </w:r>
      <w:hyperlink w:history="true" w:anchor="_bookmark51">
        <w:r>
          <w:rPr>
            <w:rFonts w:ascii="Calibri" w:hAnsi="Calibri"/>
            <w:sz w:val="22"/>
          </w:rPr>
          <w:t>Fig.</w:t>
        </w:r>
      </w:hyperlink>
      <w:r>
        <w:rPr>
          <w:rFonts w:ascii="Calibri" w:hAnsi="Calibri"/>
          <w:sz w:val="22"/>
        </w:rPr>
        <w:t> </w:t>
      </w:r>
      <w:hyperlink w:history="true" w:anchor="_bookmark51">
        <w:r>
          <w:rPr>
            <w:rFonts w:ascii="Calibri" w:hAnsi="Calibri"/>
            <w:sz w:val="22"/>
          </w:rPr>
          <w:t>25</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8"/>
        </w:rPr>
      </w:pPr>
    </w:p>
    <w:p>
      <w:pPr>
        <w:spacing w:before="1"/>
        <w:ind w:left="1181" w:right="0" w:firstLine="0"/>
        <w:jc w:val="left"/>
        <w:rPr>
          <w:sz w:val="20"/>
        </w:rPr>
      </w:pPr>
      <w:bookmarkStart w:name="_bookmark51" w:id="78"/>
      <w:bookmarkEnd w:id="78"/>
      <w:r>
        <w:rPr/>
      </w:r>
      <w:r>
        <w:rPr>
          <w:sz w:val="20"/>
        </w:rPr>
        <w:t>Fig. 25. A) Tejido en el postoperatorio a los 7 días.  B) y C) Rx. de evaluación.</w:t>
      </w:r>
    </w:p>
    <w:p>
      <w:pPr>
        <w:pStyle w:val="BodyText"/>
        <w:rPr>
          <w:sz w:val="20"/>
        </w:rPr>
      </w:pPr>
    </w:p>
    <w:p>
      <w:pPr>
        <w:pStyle w:val="BodyText"/>
        <w:rPr>
          <w:sz w:val="20"/>
        </w:rPr>
      </w:pPr>
    </w:p>
    <w:p>
      <w:pPr>
        <w:pStyle w:val="BodyText"/>
        <w:spacing w:before="11"/>
        <w:rPr>
          <w:sz w:val="18"/>
        </w:rPr>
      </w:pPr>
    </w:p>
    <w:p>
      <w:pPr>
        <w:pStyle w:val="BodyText"/>
        <w:ind w:left="162"/>
      </w:pPr>
      <w:r>
        <w:rPr>
          <w:u w:val="single"/>
        </w:rPr>
        <w:t>Evaluación Postoperatoria a los 6 meses</w:t>
      </w:r>
    </w:p>
    <w:p>
      <w:pPr>
        <w:pStyle w:val="BodyText"/>
        <w:rPr>
          <w:sz w:val="15"/>
        </w:rPr>
      </w:pPr>
    </w:p>
    <w:p>
      <w:pPr>
        <w:pStyle w:val="BodyText"/>
        <w:spacing w:line="360" w:lineRule="auto" w:before="70"/>
        <w:ind w:left="162" w:right="156"/>
        <w:jc w:val="both"/>
      </w:pPr>
      <w:r>
        <w:rPr/>
        <w:t>El paciente no refiere sintomatología. Clínicamente no se observan datos de reincidencia de la lesión. El paciente continúa sin restauraciones definitivas. Se toma radiografía de la zona tratada en la cual se observan zonas radiolúcidas en</w:t>
      </w:r>
      <w:r>
        <w:rPr>
          <w:spacing w:val="-37"/>
        </w:rPr>
        <w:t> </w:t>
      </w:r>
      <w:r>
        <w:rPr/>
        <w:t>la zona</w:t>
      </w:r>
      <w:r>
        <w:rPr>
          <w:spacing w:val="-11"/>
        </w:rPr>
        <w:t> </w:t>
      </w:r>
      <w:r>
        <w:rPr/>
        <w:t>injertada</w:t>
      </w:r>
      <w:r>
        <w:rPr>
          <w:spacing w:val="-13"/>
        </w:rPr>
        <w:t> </w:t>
      </w:r>
      <w:r>
        <w:rPr/>
        <w:t>principalmente</w:t>
      </w:r>
      <w:r>
        <w:rPr>
          <w:spacing w:val="-10"/>
        </w:rPr>
        <w:t> </w:t>
      </w:r>
      <w:r>
        <w:rPr/>
        <w:t>rodeando</w:t>
      </w:r>
      <w:r>
        <w:rPr>
          <w:spacing w:val="-13"/>
        </w:rPr>
        <w:t> </w:t>
      </w:r>
      <w:r>
        <w:rPr/>
        <w:t>el</w:t>
      </w:r>
      <w:r>
        <w:rPr>
          <w:spacing w:val="-12"/>
        </w:rPr>
        <w:t> </w:t>
      </w:r>
      <w:r>
        <w:rPr/>
        <w:t>OD-12</w:t>
      </w:r>
      <w:r>
        <w:rPr>
          <w:spacing w:val="-11"/>
        </w:rPr>
        <w:t> </w:t>
      </w:r>
      <w:r>
        <w:rPr/>
        <w:t>al</w:t>
      </w:r>
      <w:r>
        <w:rPr>
          <w:spacing w:val="-12"/>
        </w:rPr>
        <w:t> </w:t>
      </w:r>
      <w:r>
        <w:rPr/>
        <w:t>cual</w:t>
      </w:r>
      <w:r>
        <w:rPr>
          <w:spacing w:val="-12"/>
        </w:rPr>
        <w:t> </w:t>
      </w:r>
      <w:r>
        <w:rPr/>
        <w:t>se</w:t>
      </w:r>
      <w:r>
        <w:rPr>
          <w:spacing w:val="-11"/>
        </w:rPr>
        <w:t> </w:t>
      </w:r>
      <w:r>
        <w:rPr/>
        <w:t>le</w:t>
      </w:r>
      <w:r>
        <w:rPr>
          <w:spacing w:val="-11"/>
        </w:rPr>
        <w:t> </w:t>
      </w:r>
      <w:r>
        <w:rPr/>
        <w:t>atribuye</w:t>
      </w:r>
      <w:r>
        <w:rPr>
          <w:spacing w:val="-11"/>
        </w:rPr>
        <w:t> </w:t>
      </w:r>
      <w:r>
        <w:rPr/>
        <w:t>ser</w:t>
      </w:r>
      <w:r>
        <w:rPr>
          <w:spacing w:val="-12"/>
        </w:rPr>
        <w:t> </w:t>
      </w:r>
      <w:r>
        <w:rPr/>
        <w:t>el</w:t>
      </w:r>
      <w:r>
        <w:rPr>
          <w:spacing w:val="-12"/>
        </w:rPr>
        <w:t> </w:t>
      </w:r>
      <w:r>
        <w:rPr/>
        <w:t>agente causal de la lesión inicial. Se le pide al paciente la toma de una ortopantomografía pero desafortunadamente ya no vuelve a acudir a consulta (</w:t>
      </w:r>
      <w:hyperlink w:history="true" w:anchor="_bookmark52">
        <w:r>
          <w:rPr>
            <w:rFonts w:ascii="Calibri" w:hAnsi="Calibri"/>
            <w:sz w:val="22"/>
          </w:rPr>
          <w:t>Fig.</w:t>
        </w:r>
        <w:r>
          <w:rPr>
            <w:rFonts w:ascii="Calibri" w:hAnsi="Calibri"/>
            <w:spacing w:val="-19"/>
            <w:sz w:val="22"/>
          </w:rPr>
          <w:t> </w:t>
        </w:r>
        <w:r>
          <w:rPr>
            <w:rFonts w:ascii="Calibri" w:hAnsi="Calibri"/>
            <w:sz w:val="22"/>
          </w:rPr>
          <w:t>26</w:t>
        </w:r>
      </w:hyperlink>
      <w:r>
        <w:rPr/>
        <w:t>).</w:t>
      </w:r>
    </w:p>
    <w:p>
      <w:pPr>
        <w:spacing w:after="0" w:line="360" w:lineRule="auto"/>
        <w:jc w:val="both"/>
        <w:sectPr>
          <w:pgSz w:w="12240" w:h="15840"/>
          <w:pgMar w:header="744" w:footer="1572" w:top="1080" w:bottom="1760" w:left="1540" w:right="1540"/>
        </w:sectPr>
      </w:pPr>
    </w:p>
    <w:p>
      <w:pPr>
        <w:pStyle w:val="BodyText"/>
        <w:spacing w:before="1"/>
        <w:rPr>
          <w:sz w:val="12"/>
        </w:rPr>
      </w:pPr>
    </w:p>
    <w:p>
      <w:pPr>
        <w:pStyle w:val="BodyText"/>
        <w:ind w:left="1608"/>
        <w:rPr>
          <w:sz w:val="20"/>
        </w:rPr>
      </w:pPr>
      <w:r>
        <w:rPr>
          <w:sz w:val="20"/>
        </w:rPr>
        <w:drawing>
          <wp:inline distT="0" distB="0" distL="0" distR="0">
            <wp:extent cx="3641768" cy="1394459"/>
            <wp:effectExtent l="0" t="0" r="0" b="0"/>
            <wp:docPr id="53" name="image28.jpeg" descr=""/>
            <wp:cNvGraphicFramePr>
              <a:graphicFrameLocks noChangeAspect="1"/>
            </wp:cNvGraphicFramePr>
            <a:graphic>
              <a:graphicData uri="http://schemas.openxmlformats.org/drawingml/2006/picture">
                <pic:pic>
                  <pic:nvPicPr>
                    <pic:cNvPr id="54" name="image28.jpeg"/>
                    <pic:cNvPicPr/>
                  </pic:nvPicPr>
                  <pic:blipFill>
                    <a:blip r:embed="rId41" cstate="print"/>
                    <a:stretch>
                      <a:fillRect/>
                    </a:stretch>
                  </pic:blipFill>
                  <pic:spPr>
                    <a:xfrm>
                      <a:off x="0" y="0"/>
                      <a:ext cx="3641768" cy="1394459"/>
                    </a:xfrm>
                    <a:prstGeom prst="rect">
                      <a:avLst/>
                    </a:prstGeom>
                  </pic:spPr>
                </pic:pic>
              </a:graphicData>
            </a:graphic>
          </wp:inline>
        </w:drawing>
      </w:r>
      <w:r>
        <w:rPr>
          <w:sz w:val="20"/>
        </w:rPr>
      </w:r>
    </w:p>
    <w:p>
      <w:pPr>
        <w:pStyle w:val="BodyText"/>
        <w:spacing w:before="8"/>
        <w:rPr>
          <w:sz w:val="10"/>
        </w:rPr>
      </w:pPr>
    </w:p>
    <w:p>
      <w:pPr>
        <w:spacing w:before="74"/>
        <w:ind w:left="673" w:right="0" w:hanging="267"/>
        <w:jc w:val="left"/>
        <w:rPr>
          <w:sz w:val="20"/>
        </w:rPr>
      </w:pPr>
      <w:bookmarkStart w:name="_bookmark52" w:id="79"/>
      <w:bookmarkEnd w:id="79"/>
      <w:r>
        <w:rPr/>
      </w:r>
      <w:r>
        <w:rPr>
          <w:sz w:val="20"/>
        </w:rPr>
        <w:t>Fig. 26. A) y B) Rx. postoperatorias de la zona anterior a diferente angulación a los 6 meses de realizado el procedimiento quirúrgico. C) Rx. de evaluación postoperatoria zona posterior.</w:t>
      </w:r>
    </w:p>
    <w:p>
      <w:pPr>
        <w:spacing w:after="0"/>
        <w:jc w:val="left"/>
        <w:rPr>
          <w:sz w:val="20"/>
        </w:rPr>
        <w:sectPr>
          <w:footerReference w:type="default" r:id="rId40"/>
          <w:pgSz w:w="12240" w:h="15840"/>
          <w:pgMar w:footer="1572" w:header="744" w:top="1080" w:bottom="1760" w:left="1540" w:right="1540"/>
        </w:sectPr>
      </w:pPr>
    </w:p>
    <w:p>
      <w:pPr>
        <w:pStyle w:val="BodyText"/>
        <w:spacing w:before="4"/>
        <w:rPr>
          <w:sz w:val="21"/>
        </w:rPr>
      </w:pPr>
    </w:p>
    <w:p>
      <w:pPr>
        <w:pStyle w:val="Heading1"/>
        <w:numPr>
          <w:ilvl w:val="1"/>
          <w:numId w:val="10"/>
        </w:numPr>
        <w:tabs>
          <w:tab w:pos="630" w:val="left" w:leader="none"/>
        </w:tabs>
        <w:spacing w:line="240" w:lineRule="auto" w:before="69" w:after="0"/>
        <w:ind w:left="630" w:right="0" w:hanging="468"/>
        <w:jc w:val="left"/>
      </w:pPr>
      <w:bookmarkStart w:name="_bookmark53" w:id="80"/>
      <w:bookmarkEnd w:id="80"/>
      <w:r>
        <w:rPr>
          <w:b w:val="0"/>
        </w:rPr>
      </w:r>
      <w:bookmarkStart w:name="_bookmark53" w:id="81"/>
      <w:bookmarkEnd w:id="81"/>
      <w:r>
        <w:rPr/>
        <w:t>P</w:t>
      </w:r>
      <w:r>
        <w:rPr/>
        <w:t>resentación de Caso Clínico</w:t>
      </w:r>
      <w:r>
        <w:rPr>
          <w:spacing w:val="-6"/>
        </w:rPr>
        <w:t> </w:t>
      </w:r>
      <w:r>
        <w:rPr/>
        <w:t>2</w:t>
      </w:r>
    </w:p>
    <w:p>
      <w:pPr>
        <w:pStyle w:val="BodyText"/>
        <w:spacing w:before="6"/>
        <w:rPr>
          <w:b/>
          <w:sz w:val="22"/>
        </w:rPr>
      </w:pPr>
    </w:p>
    <w:p>
      <w:pPr>
        <w:pStyle w:val="BodyText"/>
        <w:ind w:left="162"/>
      </w:pPr>
      <w:r>
        <w:rPr>
          <w:u w:val="single"/>
        </w:rPr>
        <w:t>Ficha de identificación</w:t>
      </w:r>
    </w:p>
    <w:p>
      <w:pPr>
        <w:pStyle w:val="BodyText"/>
        <w:spacing w:before="4"/>
        <w:rPr>
          <w:sz w:val="23"/>
        </w:rPr>
      </w:pPr>
    </w:p>
    <w:p>
      <w:pPr>
        <w:pStyle w:val="ListParagraph"/>
        <w:numPr>
          <w:ilvl w:val="2"/>
          <w:numId w:val="10"/>
        </w:numPr>
        <w:tabs>
          <w:tab w:pos="882" w:val="left" w:leader="none"/>
        </w:tabs>
        <w:spacing w:line="240" w:lineRule="auto" w:before="70" w:after="0"/>
        <w:ind w:left="162" w:right="0" w:firstLine="360"/>
        <w:jc w:val="left"/>
        <w:rPr>
          <w:sz w:val="24"/>
        </w:rPr>
      </w:pPr>
      <w:r>
        <w:rPr>
          <w:sz w:val="24"/>
        </w:rPr>
        <w:t>Nombre:</w:t>
      </w:r>
      <w:r>
        <w:rPr>
          <w:spacing w:val="-4"/>
          <w:sz w:val="24"/>
        </w:rPr>
        <w:t> </w:t>
      </w:r>
      <w:r>
        <w:rPr>
          <w:sz w:val="24"/>
        </w:rPr>
        <w:t>GGME</w:t>
      </w:r>
    </w:p>
    <w:p>
      <w:pPr>
        <w:pStyle w:val="ListParagraph"/>
        <w:numPr>
          <w:ilvl w:val="2"/>
          <w:numId w:val="10"/>
        </w:numPr>
        <w:tabs>
          <w:tab w:pos="882" w:val="left" w:leader="none"/>
        </w:tabs>
        <w:spacing w:line="240" w:lineRule="auto" w:before="137" w:after="0"/>
        <w:ind w:left="882" w:right="0" w:hanging="360"/>
        <w:jc w:val="left"/>
        <w:rPr>
          <w:sz w:val="24"/>
        </w:rPr>
      </w:pPr>
      <w:r>
        <w:rPr>
          <w:sz w:val="24"/>
        </w:rPr>
        <w:t>Sexo:</w:t>
      </w:r>
      <w:r>
        <w:rPr>
          <w:spacing w:val="-7"/>
          <w:sz w:val="24"/>
        </w:rPr>
        <w:t> </w:t>
      </w:r>
      <w:r>
        <w:rPr>
          <w:sz w:val="24"/>
        </w:rPr>
        <w:t>Femenino</w:t>
      </w:r>
    </w:p>
    <w:p>
      <w:pPr>
        <w:pStyle w:val="ListParagraph"/>
        <w:numPr>
          <w:ilvl w:val="2"/>
          <w:numId w:val="10"/>
        </w:numPr>
        <w:tabs>
          <w:tab w:pos="882" w:val="left" w:leader="none"/>
        </w:tabs>
        <w:spacing w:line="240" w:lineRule="auto" w:before="139" w:after="0"/>
        <w:ind w:left="882" w:right="0" w:hanging="360"/>
        <w:jc w:val="left"/>
        <w:rPr>
          <w:sz w:val="24"/>
        </w:rPr>
      </w:pPr>
      <w:r>
        <w:rPr>
          <w:sz w:val="24"/>
        </w:rPr>
        <w:t>Estado Civil:</w:t>
      </w:r>
      <w:r>
        <w:rPr>
          <w:spacing w:val="-5"/>
          <w:sz w:val="24"/>
        </w:rPr>
        <w:t> </w:t>
      </w:r>
      <w:r>
        <w:rPr>
          <w:sz w:val="24"/>
        </w:rPr>
        <w:t>Viuda</w:t>
      </w:r>
    </w:p>
    <w:p>
      <w:pPr>
        <w:pStyle w:val="ListParagraph"/>
        <w:numPr>
          <w:ilvl w:val="2"/>
          <w:numId w:val="10"/>
        </w:numPr>
        <w:tabs>
          <w:tab w:pos="882" w:val="left" w:leader="none"/>
        </w:tabs>
        <w:spacing w:line="240" w:lineRule="auto" w:before="137" w:after="0"/>
        <w:ind w:left="882" w:right="0" w:hanging="360"/>
        <w:jc w:val="left"/>
        <w:rPr>
          <w:sz w:val="24"/>
        </w:rPr>
      </w:pPr>
      <w:r>
        <w:rPr>
          <w:sz w:val="24"/>
        </w:rPr>
        <w:t>Lugar de Residencia: Calle Estela #238; Unidad Victoria, Toluca,</w:t>
      </w:r>
      <w:r>
        <w:rPr>
          <w:spacing w:val="-19"/>
          <w:sz w:val="24"/>
        </w:rPr>
        <w:t> </w:t>
      </w:r>
      <w:r>
        <w:rPr>
          <w:sz w:val="24"/>
        </w:rPr>
        <w:t>México.</w:t>
      </w:r>
    </w:p>
    <w:p>
      <w:pPr>
        <w:pStyle w:val="ListParagraph"/>
        <w:numPr>
          <w:ilvl w:val="2"/>
          <w:numId w:val="10"/>
        </w:numPr>
        <w:tabs>
          <w:tab w:pos="882" w:val="left" w:leader="none"/>
        </w:tabs>
        <w:spacing w:line="240" w:lineRule="auto" w:before="139" w:after="0"/>
        <w:ind w:left="882" w:right="0" w:hanging="360"/>
        <w:jc w:val="left"/>
        <w:rPr>
          <w:sz w:val="24"/>
        </w:rPr>
      </w:pPr>
      <w:r>
        <w:rPr>
          <w:sz w:val="24"/>
        </w:rPr>
        <w:t>Escolaridad: Carrera</w:t>
      </w:r>
      <w:r>
        <w:rPr>
          <w:spacing w:val="-7"/>
          <w:sz w:val="24"/>
        </w:rPr>
        <w:t> </w:t>
      </w:r>
      <w:r>
        <w:rPr>
          <w:sz w:val="24"/>
        </w:rPr>
        <w:t>Técnica</w:t>
      </w:r>
    </w:p>
    <w:p>
      <w:pPr>
        <w:pStyle w:val="ListParagraph"/>
        <w:numPr>
          <w:ilvl w:val="2"/>
          <w:numId w:val="10"/>
        </w:numPr>
        <w:tabs>
          <w:tab w:pos="882" w:val="left" w:leader="none"/>
        </w:tabs>
        <w:spacing w:line="535" w:lineRule="auto" w:before="137" w:after="0"/>
        <w:ind w:left="162" w:right="5685" w:firstLine="360"/>
        <w:jc w:val="left"/>
        <w:rPr>
          <w:sz w:val="24"/>
        </w:rPr>
      </w:pPr>
      <w:r>
        <w:rPr>
          <w:sz w:val="24"/>
        </w:rPr>
        <w:t>Ocupación: Estilista </w:t>
      </w:r>
      <w:r>
        <w:rPr>
          <w:sz w:val="24"/>
          <w:u w:val="single"/>
        </w:rPr>
        <w:t>Antecedentes</w:t>
      </w:r>
      <w:r>
        <w:rPr>
          <w:spacing w:val="-8"/>
          <w:sz w:val="24"/>
          <w:u w:val="single"/>
        </w:rPr>
        <w:t> </w:t>
      </w:r>
      <w:r>
        <w:rPr>
          <w:sz w:val="24"/>
          <w:u w:val="single"/>
        </w:rPr>
        <w:t>heredofamiliares</w:t>
      </w:r>
    </w:p>
    <w:p>
      <w:pPr>
        <w:pStyle w:val="ListParagraph"/>
        <w:numPr>
          <w:ilvl w:val="2"/>
          <w:numId w:val="10"/>
        </w:numPr>
        <w:tabs>
          <w:tab w:pos="882" w:val="left" w:leader="none"/>
        </w:tabs>
        <w:spacing w:line="240" w:lineRule="auto" w:before="8" w:after="0"/>
        <w:ind w:left="882" w:right="0" w:hanging="360"/>
        <w:jc w:val="left"/>
        <w:rPr>
          <w:sz w:val="24"/>
        </w:rPr>
      </w:pPr>
      <w:r>
        <w:rPr>
          <w:sz w:val="24"/>
        </w:rPr>
        <w:t>Sin relevancia para el padecimiento</w:t>
      </w:r>
      <w:r>
        <w:rPr>
          <w:spacing w:val="-10"/>
          <w:sz w:val="24"/>
        </w:rPr>
        <w:t> </w:t>
      </w:r>
      <w:r>
        <w:rPr>
          <w:sz w:val="24"/>
        </w:rPr>
        <w:t>actual.</w:t>
      </w:r>
    </w:p>
    <w:p>
      <w:pPr>
        <w:pStyle w:val="BodyText"/>
        <w:spacing w:before="4"/>
        <w:rPr>
          <w:sz w:val="29"/>
        </w:rPr>
      </w:pPr>
    </w:p>
    <w:p>
      <w:pPr>
        <w:pStyle w:val="BodyText"/>
        <w:spacing w:before="1"/>
        <w:ind w:left="162"/>
      </w:pPr>
      <w:r>
        <w:rPr>
          <w:u w:val="single"/>
        </w:rPr>
        <w:t>Antecedentes personales no patológicos</w:t>
      </w:r>
    </w:p>
    <w:p>
      <w:pPr>
        <w:pStyle w:val="BodyText"/>
        <w:spacing w:before="2"/>
        <w:rPr>
          <w:sz w:val="23"/>
        </w:rPr>
      </w:pPr>
    </w:p>
    <w:p>
      <w:pPr>
        <w:pStyle w:val="ListParagraph"/>
        <w:numPr>
          <w:ilvl w:val="2"/>
          <w:numId w:val="10"/>
        </w:numPr>
        <w:tabs>
          <w:tab w:pos="882" w:val="left" w:leader="none"/>
        </w:tabs>
        <w:spacing w:line="360" w:lineRule="auto" w:before="69" w:after="0"/>
        <w:ind w:left="882" w:right="158" w:hanging="360"/>
        <w:jc w:val="left"/>
        <w:rPr>
          <w:sz w:val="24"/>
        </w:rPr>
      </w:pPr>
      <w:r>
        <w:rPr>
          <w:sz w:val="24"/>
        </w:rPr>
        <w:t>Vivienda: Casa propia de ladrillo y cemento, cuenta con todos los servicios de</w:t>
      </w:r>
      <w:r>
        <w:rPr>
          <w:spacing w:val="-5"/>
          <w:sz w:val="24"/>
        </w:rPr>
        <w:t> </w:t>
      </w:r>
      <w:r>
        <w:rPr>
          <w:sz w:val="24"/>
        </w:rPr>
        <w:t>urbanización.</w:t>
      </w:r>
    </w:p>
    <w:p>
      <w:pPr>
        <w:pStyle w:val="ListParagraph"/>
        <w:numPr>
          <w:ilvl w:val="2"/>
          <w:numId w:val="10"/>
        </w:numPr>
        <w:tabs>
          <w:tab w:pos="882" w:val="left" w:leader="none"/>
        </w:tabs>
        <w:spacing w:line="360" w:lineRule="auto" w:before="2" w:after="0"/>
        <w:ind w:left="882" w:right="166" w:hanging="360"/>
        <w:jc w:val="left"/>
        <w:rPr>
          <w:sz w:val="24"/>
        </w:rPr>
      </w:pPr>
      <w:r>
        <w:rPr>
          <w:sz w:val="24"/>
        </w:rPr>
        <w:t>Alimentación: 3 veces al día, ligeramente alta en carbohidratos. Buena en calidad y</w:t>
      </w:r>
      <w:r>
        <w:rPr>
          <w:spacing w:val="-8"/>
          <w:sz w:val="24"/>
        </w:rPr>
        <w:t> </w:t>
      </w:r>
      <w:r>
        <w:rPr>
          <w:sz w:val="24"/>
        </w:rPr>
        <w:t>cantidad.</w:t>
      </w:r>
    </w:p>
    <w:p>
      <w:pPr>
        <w:pStyle w:val="ListParagraph"/>
        <w:numPr>
          <w:ilvl w:val="2"/>
          <w:numId w:val="10"/>
        </w:numPr>
        <w:tabs>
          <w:tab w:pos="882" w:val="left" w:leader="none"/>
        </w:tabs>
        <w:spacing w:line="240" w:lineRule="auto" w:before="3" w:after="0"/>
        <w:ind w:left="882" w:right="0" w:hanging="360"/>
        <w:jc w:val="left"/>
        <w:rPr>
          <w:sz w:val="24"/>
        </w:rPr>
      </w:pPr>
      <w:r>
        <w:rPr>
          <w:sz w:val="24"/>
        </w:rPr>
        <w:t>Higiene Personal: Baño diario con cambio de</w:t>
      </w:r>
      <w:r>
        <w:rPr>
          <w:spacing w:val="-18"/>
          <w:sz w:val="24"/>
        </w:rPr>
        <w:t> </w:t>
      </w:r>
      <w:r>
        <w:rPr>
          <w:sz w:val="24"/>
        </w:rPr>
        <w:t>ropa.</w:t>
      </w:r>
    </w:p>
    <w:p>
      <w:pPr>
        <w:pStyle w:val="ListParagraph"/>
        <w:numPr>
          <w:ilvl w:val="2"/>
          <w:numId w:val="10"/>
        </w:numPr>
        <w:tabs>
          <w:tab w:pos="882" w:val="left" w:leader="none"/>
        </w:tabs>
        <w:spacing w:line="240" w:lineRule="auto" w:before="139" w:after="0"/>
        <w:ind w:left="882" w:right="0" w:hanging="360"/>
        <w:jc w:val="left"/>
        <w:rPr>
          <w:sz w:val="24"/>
        </w:rPr>
      </w:pPr>
      <w:r>
        <w:rPr>
          <w:sz w:val="24"/>
        </w:rPr>
        <w:t>Higiene Bucal: 2 veces al día, por la mañana y en la</w:t>
      </w:r>
      <w:r>
        <w:rPr>
          <w:spacing w:val="-26"/>
          <w:sz w:val="24"/>
        </w:rPr>
        <w:t> </w:t>
      </w:r>
      <w:r>
        <w:rPr>
          <w:sz w:val="24"/>
        </w:rPr>
        <w:t>noche.</w:t>
      </w:r>
    </w:p>
    <w:p>
      <w:pPr>
        <w:pStyle w:val="ListParagraph"/>
        <w:numPr>
          <w:ilvl w:val="2"/>
          <w:numId w:val="10"/>
        </w:numPr>
        <w:tabs>
          <w:tab w:pos="882" w:val="left" w:leader="none"/>
        </w:tabs>
        <w:spacing w:line="240" w:lineRule="auto" w:before="137" w:after="0"/>
        <w:ind w:left="882" w:right="0" w:hanging="360"/>
        <w:jc w:val="left"/>
        <w:rPr>
          <w:sz w:val="24"/>
        </w:rPr>
      </w:pPr>
      <w:r>
        <w:rPr>
          <w:sz w:val="24"/>
        </w:rPr>
        <w:t>Toxicomanías: Interrogadas y</w:t>
      </w:r>
      <w:r>
        <w:rPr>
          <w:spacing w:val="-11"/>
          <w:sz w:val="24"/>
        </w:rPr>
        <w:t> </w:t>
      </w:r>
      <w:r>
        <w:rPr>
          <w:sz w:val="24"/>
        </w:rPr>
        <w:t>negadas.</w:t>
      </w:r>
    </w:p>
    <w:p>
      <w:pPr>
        <w:pStyle w:val="BodyText"/>
        <w:spacing w:before="4"/>
        <w:rPr>
          <w:sz w:val="29"/>
        </w:rPr>
      </w:pPr>
    </w:p>
    <w:p>
      <w:pPr>
        <w:pStyle w:val="BodyText"/>
        <w:spacing w:before="1"/>
        <w:ind w:left="162"/>
      </w:pPr>
      <w:r>
        <w:rPr>
          <w:u w:val="single"/>
        </w:rPr>
        <w:t>Antecedentes personales patológicos</w:t>
      </w:r>
    </w:p>
    <w:p>
      <w:pPr>
        <w:pStyle w:val="BodyText"/>
        <w:spacing w:before="4"/>
        <w:rPr>
          <w:sz w:val="23"/>
        </w:rPr>
      </w:pPr>
    </w:p>
    <w:p>
      <w:pPr>
        <w:pStyle w:val="ListParagraph"/>
        <w:numPr>
          <w:ilvl w:val="2"/>
          <w:numId w:val="10"/>
        </w:numPr>
        <w:tabs>
          <w:tab w:pos="882" w:val="left" w:leader="none"/>
        </w:tabs>
        <w:spacing w:line="240" w:lineRule="auto" w:before="70" w:after="0"/>
        <w:ind w:left="882" w:right="0" w:hanging="360"/>
        <w:jc w:val="left"/>
        <w:rPr>
          <w:sz w:val="24"/>
        </w:rPr>
      </w:pPr>
      <w:r>
        <w:rPr>
          <w:sz w:val="24"/>
        </w:rPr>
        <w:t>3 cesáreas sin</w:t>
      </w:r>
      <w:r>
        <w:rPr>
          <w:spacing w:val="-9"/>
          <w:sz w:val="24"/>
        </w:rPr>
        <w:t> </w:t>
      </w:r>
      <w:r>
        <w:rPr>
          <w:sz w:val="24"/>
        </w:rPr>
        <w:t>complicaciones.</w:t>
      </w:r>
    </w:p>
    <w:p>
      <w:pPr>
        <w:pStyle w:val="BodyText"/>
        <w:spacing w:before="4"/>
        <w:rPr>
          <w:sz w:val="29"/>
        </w:rPr>
      </w:pPr>
    </w:p>
    <w:p>
      <w:pPr>
        <w:pStyle w:val="BodyText"/>
        <w:spacing w:before="1"/>
        <w:ind w:left="162"/>
      </w:pPr>
      <w:r>
        <w:rPr>
          <w:u w:val="single"/>
        </w:rPr>
        <w:t>Padecimiento actual</w:t>
      </w:r>
    </w:p>
    <w:p>
      <w:pPr>
        <w:pStyle w:val="BodyText"/>
        <w:spacing w:before="4"/>
        <w:rPr>
          <w:sz w:val="23"/>
        </w:rPr>
      </w:pPr>
    </w:p>
    <w:p>
      <w:pPr>
        <w:pStyle w:val="BodyText"/>
        <w:spacing w:line="362" w:lineRule="auto" w:before="70"/>
        <w:ind w:left="162" w:right="156"/>
        <w:jc w:val="both"/>
      </w:pPr>
      <w:r>
        <w:rPr/>
        <w:t>Se presenta paciente femenino de 53 años de edad, remitida de la clínica 1 de la UAEM</w:t>
      </w:r>
      <w:r>
        <w:rPr>
          <w:spacing w:val="-7"/>
        </w:rPr>
        <w:t> </w:t>
      </w:r>
      <w:r>
        <w:rPr/>
        <w:t>para</w:t>
      </w:r>
      <w:r>
        <w:rPr>
          <w:spacing w:val="-7"/>
        </w:rPr>
        <w:t> </w:t>
      </w:r>
      <w:r>
        <w:rPr/>
        <w:t>valoración</w:t>
      </w:r>
      <w:r>
        <w:rPr>
          <w:spacing w:val="-8"/>
        </w:rPr>
        <w:t> </w:t>
      </w:r>
      <w:r>
        <w:rPr/>
        <w:t>endodóntica</w:t>
      </w:r>
      <w:r>
        <w:rPr>
          <w:spacing w:val="-6"/>
        </w:rPr>
        <w:t> </w:t>
      </w:r>
      <w:r>
        <w:rPr/>
        <w:t>de</w:t>
      </w:r>
      <w:r>
        <w:rPr>
          <w:spacing w:val="-6"/>
        </w:rPr>
        <w:t> </w:t>
      </w:r>
      <w:r>
        <w:rPr/>
        <w:t>OD-24</w:t>
      </w:r>
      <w:r>
        <w:rPr>
          <w:spacing w:val="-8"/>
        </w:rPr>
        <w:t> </w:t>
      </w:r>
      <w:r>
        <w:rPr/>
        <w:t>y</w:t>
      </w:r>
      <w:r>
        <w:rPr>
          <w:spacing w:val="-9"/>
        </w:rPr>
        <w:t> </w:t>
      </w:r>
      <w:r>
        <w:rPr/>
        <w:t>25.</w:t>
      </w:r>
      <w:r>
        <w:rPr>
          <w:spacing w:val="-6"/>
        </w:rPr>
        <w:t> </w:t>
      </w:r>
      <w:r>
        <w:rPr/>
        <w:t>Durante</w:t>
      </w:r>
      <w:r>
        <w:rPr>
          <w:spacing w:val="-8"/>
        </w:rPr>
        <w:t> </w:t>
      </w:r>
      <w:r>
        <w:rPr/>
        <w:t>el</w:t>
      </w:r>
      <w:r>
        <w:rPr>
          <w:spacing w:val="-7"/>
        </w:rPr>
        <w:t> </w:t>
      </w:r>
      <w:r>
        <w:rPr/>
        <w:t>examen</w:t>
      </w:r>
      <w:r>
        <w:rPr>
          <w:spacing w:val="-6"/>
        </w:rPr>
        <w:t> </w:t>
      </w:r>
      <w:r>
        <w:rPr/>
        <w:t>radiográfico se</w:t>
      </w:r>
      <w:r>
        <w:rPr>
          <w:spacing w:val="-7"/>
        </w:rPr>
        <w:t> </w:t>
      </w:r>
      <w:r>
        <w:rPr/>
        <w:t>descubre</w:t>
      </w:r>
      <w:r>
        <w:rPr>
          <w:spacing w:val="-9"/>
        </w:rPr>
        <w:t> </w:t>
      </w:r>
      <w:r>
        <w:rPr/>
        <w:t>una</w:t>
      </w:r>
      <w:r>
        <w:rPr>
          <w:spacing w:val="-8"/>
        </w:rPr>
        <w:t> </w:t>
      </w:r>
      <w:r>
        <w:rPr/>
        <w:t>lesión</w:t>
      </w:r>
      <w:r>
        <w:rPr>
          <w:spacing w:val="-7"/>
        </w:rPr>
        <w:t> </w:t>
      </w:r>
      <w:r>
        <w:rPr/>
        <w:t>periapical</w:t>
      </w:r>
      <w:r>
        <w:rPr>
          <w:spacing w:val="-7"/>
        </w:rPr>
        <w:t> </w:t>
      </w:r>
      <w:r>
        <w:rPr/>
        <w:t>asociada</w:t>
      </w:r>
      <w:r>
        <w:rPr>
          <w:spacing w:val="-7"/>
        </w:rPr>
        <w:t> </w:t>
      </w:r>
      <w:r>
        <w:rPr/>
        <w:t>al</w:t>
      </w:r>
      <w:r>
        <w:rPr>
          <w:spacing w:val="-12"/>
        </w:rPr>
        <w:t> </w:t>
      </w:r>
      <w:r>
        <w:rPr/>
        <w:t>OD-22</w:t>
      </w:r>
      <w:r>
        <w:rPr>
          <w:spacing w:val="-7"/>
        </w:rPr>
        <w:t> </w:t>
      </w:r>
      <w:r>
        <w:rPr/>
        <w:t>la</w:t>
      </w:r>
      <w:r>
        <w:rPr>
          <w:spacing w:val="-9"/>
        </w:rPr>
        <w:t> </w:t>
      </w:r>
      <w:r>
        <w:rPr/>
        <w:t>cual</w:t>
      </w:r>
      <w:r>
        <w:rPr>
          <w:spacing w:val="-10"/>
        </w:rPr>
        <w:t> </w:t>
      </w:r>
      <w:r>
        <w:rPr/>
        <w:t>decide</w:t>
      </w:r>
      <w:r>
        <w:rPr>
          <w:spacing w:val="-8"/>
        </w:rPr>
        <w:t> </w:t>
      </w:r>
      <w:r>
        <w:rPr/>
        <w:t>tratarse</w:t>
      </w:r>
      <w:r>
        <w:rPr>
          <w:spacing w:val="-7"/>
        </w:rPr>
        <w:t> </w:t>
      </w:r>
      <w:r>
        <w:rPr/>
        <w:t>(</w:t>
      </w:r>
      <w:hyperlink w:history="true" w:anchor="_bookmark54">
        <w:r>
          <w:rPr>
            <w:rFonts w:ascii="Calibri" w:hAnsi="Calibri"/>
            <w:sz w:val="22"/>
          </w:rPr>
          <w:t>Fig.</w:t>
        </w:r>
        <w:r>
          <w:rPr>
            <w:rFonts w:ascii="Calibri" w:hAnsi="Calibri"/>
            <w:spacing w:val="-7"/>
            <w:sz w:val="22"/>
          </w:rPr>
          <w:t> </w:t>
        </w:r>
        <w:r>
          <w:rPr>
            <w:rFonts w:ascii="Calibri" w:hAnsi="Calibri"/>
            <w:sz w:val="22"/>
          </w:rPr>
          <w:t>27</w:t>
        </w:r>
      </w:hyperlink>
      <w:r>
        <w:rPr/>
        <w:t>).</w:t>
      </w:r>
    </w:p>
    <w:p>
      <w:pPr>
        <w:spacing w:after="0" w:line="362" w:lineRule="auto"/>
        <w:jc w:val="both"/>
        <w:sectPr>
          <w:footerReference w:type="default" r:id="rId42"/>
          <w:pgSz w:w="12240" w:h="15840"/>
          <w:pgMar w:footer="1572" w:header="744" w:top="1080" w:bottom="1760" w:left="1540" w:right="1540"/>
          <w:pgNumType w:start="41"/>
        </w:sectPr>
      </w:pPr>
    </w:p>
    <w:p>
      <w:pPr>
        <w:pStyle w:val="BodyText"/>
        <w:spacing w:before="6"/>
        <w:rPr>
          <w:sz w:val="27"/>
        </w:rPr>
      </w:pPr>
    </w:p>
    <w:p>
      <w:pPr>
        <w:pStyle w:val="BodyText"/>
        <w:ind w:left="735"/>
        <w:rPr>
          <w:sz w:val="20"/>
        </w:rPr>
      </w:pPr>
      <w:r>
        <w:rPr>
          <w:sz w:val="20"/>
        </w:rPr>
        <w:drawing>
          <wp:inline distT="0" distB="0" distL="0" distR="0">
            <wp:extent cx="4882895" cy="1920240"/>
            <wp:effectExtent l="0" t="0" r="0" b="0"/>
            <wp:docPr id="55" name="image29.jpeg" descr=""/>
            <wp:cNvGraphicFramePr>
              <a:graphicFrameLocks noChangeAspect="1"/>
            </wp:cNvGraphicFramePr>
            <a:graphic>
              <a:graphicData uri="http://schemas.openxmlformats.org/drawingml/2006/picture">
                <pic:pic>
                  <pic:nvPicPr>
                    <pic:cNvPr id="56" name="image29.jpeg"/>
                    <pic:cNvPicPr/>
                  </pic:nvPicPr>
                  <pic:blipFill>
                    <a:blip r:embed="rId43" cstate="print"/>
                    <a:stretch>
                      <a:fillRect/>
                    </a:stretch>
                  </pic:blipFill>
                  <pic:spPr>
                    <a:xfrm>
                      <a:off x="0" y="0"/>
                      <a:ext cx="4882895" cy="1920240"/>
                    </a:xfrm>
                    <a:prstGeom prst="rect">
                      <a:avLst/>
                    </a:prstGeom>
                  </pic:spPr>
                </pic:pic>
              </a:graphicData>
            </a:graphic>
          </wp:inline>
        </w:drawing>
      </w:r>
      <w:r>
        <w:rPr>
          <w:sz w:val="20"/>
        </w:rPr>
      </w:r>
    </w:p>
    <w:p>
      <w:pPr>
        <w:spacing w:line="280" w:lineRule="auto" w:before="71"/>
        <w:ind w:left="4201" w:right="986" w:hanging="3224"/>
        <w:jc w:val="left"/>
        <w:rPr>
          <w:rFonts w:ascii="Calibri"/>
          <w:sz w:val="20"/>
        </w:rPr>
      </w:pPr>
      <w:bookmarkStart w:name="_bookmark54" w:id="82"/>
      <w:bookmarkEnd w:id="82"/>
      <w:r>
        <w:rPr/>
      </w:r>
      <w:r>
        <w:rPr>
          <w:rFonts w:ascii="Calibri"/>
          <w:sz w:val="22"/>
        </w:rPr>
        <w:t>Fig. 27. </w:t>
      </w:r>
      <w:r>
        <w:rPr>
          <w:rFonts w:ascii="Calibri"/>
          <w:sz w:val="20"/>
        </w:rPr>
        <w:t>Fig. 1. Fotos extraorales del paciente. A) Lateral izquierda, B) Frontal y C) Lateral Derecha.</w:t>
      </w:r>
    </w:p>
    <w:p>
      <w:pPr>
        <w:pStyle w:val="BodyText"/>
        <w:spacing w:line="360" w:lineRule="auto" w:before="95"/>
        <w:ind w:left="162" w:right="159"/>
        <w:jc w:val="both"/>
      </w:pPr>
      <w:r>
        <w:rPr/>
        <w:drawing>
          <wp:anchor distT="0" distB="0" distL="0" distR="0" allowOverlap="1" layoutInCell="1" locked="0" behindDoc="1" simplePos="0" relativeHeight="268395743">
            <wp:simplePos x="0" y="0"/>
            <wp:positionH relativeFrom="page">
              <wp:posOffset>1082039</wp:posOffset>
            </wp:positionH>
            <wp:positionV relativeFrom="paragraph">
              <wp:posOffset>1871419</wp:posOffset>
            </wp:positionV>
            <wp:extent cx="4020312" cy="3721608"/>
            <wp:effectExtent l="0" t="0" r="0" b="0"/>
            <wp:wrapNone/>
            <wp:docPr id="57" name="image30.jpeg" descr=""/>
            <wp:cNvGraphicFramePr>
              <a:graphicFrameLocks noChangeAspect="1"/>
            </wp:cNvGraphicFramePr>
            <a:graphic>
              <a:graphicData uri="http://schemas.openxmlformats.org/drawingml/2006/picture">
                <pic:pic>
                  <pic:nvPicPr>
                    <pic:cNvPr id="58" name="image30.jpeg"/>
                    <pic:cNvPicPr/>
                  </pic:nvPicPr>
                  <pic:blipFill>
                    <a:blip r:embed="rId44" cstate="print"/>
                    <a:stretch>
                      <a:fillRect/>
                    </a:stretch>
                  </pic:blipFill>
                  <pic:spPr>
                    <a:xfrm>
                      <a:off x="0" y="0"/>
                      <a:ext cx="4020312" cy="3721608"/>
                    </a:xfrm>
                    <a:prstGeom prst="rect">
                      <a:avLst/>
                    </a:prstGeom>
                  </pic:spPr>
                </pic:pic>
              </a:graphicData>
            </a:graphic>
          </wp:anchor>
        </w:drawing>
      </w:r>
      <w:r>
        <w:rPr/>
        <w:t>A exploración clínica se observaron dos restauraciones de resina clase III mal ajustadas, con caries reincidente correspondiente a los OD-21 y 22 además de recromía en el órgano 22. La paciente se encontraba asintomática y refirió nunca haber sufrido odontalgia relacionada a dicho diente. El examen radiográfico reveló una extensa zona radiolúcida en la región que circunscribe al órgano dental 22 y que se extiende a los órganos 21, 23. El paciente refiere que las restauraciones le fueron colocadas aproximadamente hace 15 años (</w:t>
      </w:r>
      <w:hyperlink w:history="true" w:anchor="_bookmark55">
        <w:r>
          <w:rPr>
            <w:rFonts w:ascii="Calibri" w:hAnsi="Calibri"/>
            <w:sz w:val="22"/>
          </w:rPr>
          <w:t>Fig. 28</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tabs>
          <w:tab w:pos="8718" w:val="left" w:leader="none"/>
        </w:tabs>
        <w:spacing w:line="276" w:lineRule="auto" w:before="165"/>
        <w:ind w:left="6635" w:right="227" w:firstLine="0"/>
        <w:jc w:val="both"/>
        <w:rPr>
          <w:sz w:val="20"/>
        </w:rPr>
      </w:pPr>
      <w:bookmarkStart w:name="_bookmark55" w:id="83"/>
      <w:bookmarkEnd w:id="83"/>
      <w:r>
        <w:rPr/>
      </w:r>
      <w:r>
        <w:rPr>
          <w:rFonts w:ascii="Calibri" w:hAnsi="Calibri"/>
          <w:sz w:val="22"/>
        </w:rPr>
        <w:t>Fig. 28. </w:t>
      </w:r>
      <w:r>
        <w:rPr>
          <w:sz w:val="20"/>
        </w:rPr>
        <w:t>A) Vista Oclusal Inicial y B) Acercamiento del OD 11 Y 12, nótese el aumento de volumen de la mitad izquierda del paladar.</w:t>
        <w:tab/>
        <w:t>C)</w:t>
      </w:r>
    </w:p>
    <w:p>
      <w:pPr>
        <w:spacing w:line="276" w:lineRule="auto" w:before="0"/>
        <w:ind w:left="6635" w:right="229" w:firstLine="0"/>
        <w:jc w:val="both"/>
        <w:rPr>
          <w:sz w:val="20"/>
        </w:rPr>
      </w:pPr>
      <w:r>
        <w:rPr>
          <w:sz w:val="20"/>
        </w:rPr>
        <w:t>Ortopantomografía que muestra la lesión tipo quística del lado superior izquierdo.</w:t>
      </w:r>
    </w:p>
    <w:p>
      <w:pPr>
        <w:spacing w:after="0" w:line="276" w:lineRule="auto"/>
        <w:jc w:val="both"/>
        <w:rPr>
          <w:sz w:val="20"/>
        </w:rPr>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314"/>
        <w:jc w:val="both"/>
      </w:pPr>
      <w:r>
        <w:rPr/>
        <w:t>Después de realizar las pruebas de vitalidad pulpar y de percusión se determinó el diagnóstico y el plan de tratamiento indicando terapia de conducto radicular en los órganos</w:t>
      </w:r>
      <w:r>
        <w:rPr>
          <w:spacing w:val="-10"/>
        </w:rPr>
        <w:t> </w:t>
      </w:r>
      <w:r>
        <w:rPr/>
        <w:t>21</w:t>
      </w:r>
      <w:r>
        <w:rPr>
          <w:spacing w:val="-9"/>
        </w:rPr>
        <w:t> </w:t>
      </w:r>
      <w:r>
        <w:rPr/>
        <w:t>y</w:t>
      </w:r>
      <w:r>
        <w:rPr>
          <w:spacing w:val="-13"/>
        </w:rPr>
        <w:t> </w:t>
      </w:r>
      <w:r>
        <w:rPr/>
        <w:t>22</w:t>
      </w:r>
      <w:r>
        <w:rPr>
          <w:spacing w:val="-10"/>
        </w:rPr>
        <w:t> </w:t>
      </w:r>
      <w:r>
        <w:rPr/>
        <w:t>(</w:t>
      </w:r>
      <w:hyperlink w:history="true" w:anchor="_bookmark56">
        <w:r>
          <w:rPr>
            <w:rFonts w:ascii="Calibri" w:hAnsi="Calibri"/>
            <w:sz w:val="22"/>
          </w:rPr>
          <w:t>Tabla</w:t>
        </w:r>
        <w:r>
          <w:rPr>
            <w:rFonts w:ascii="Calibri" w:hAnsi="Calibri"/>
            <w:spacing w:val="-8"/>
            <w:sz w:val="22"/>
          </w:rPr>
          <w:t> </w:t>
        </w:r>
        <w:r>
          <w:rPr>
            <w:rFonts w:ascii="Calibri" w:hAnsi="Calibri"/>
            <w:sz w:val="22"/>
          </w:rPr>
          <w:t>2</w:t>
        </w:r>
      </w:hyperlink>
      <w:r>
        <w:rPr/>
        <w:t>).</w:t>
      </w:r>
      <w:r>
        <w:rPr>
          <w:spacing w:val="-10"/>
        </w:rPr>
        <w:t> </w:t>
      </w:r>
      <w:r>
        <w:rPr/>
        <w:t>Adicional,</w:t>
      </w:r>
      <w:r>
        <w:rPr>
          <w:spacing w:val="-13"/>
        </w:rPr>
        <w:t> </w:t>
      </w:r>
      <w:r>
        <w:rPr/>
        <w:t>se</w:t>
      </w:r>
      <w:r>
        <w:rPr>
          <w:spacing w:val="-12"/>
        </w:rPr>
        <w:t> </w:t>
      </w:r>
      <w:r>
        <w:rPr/>
        <w:t>propuso</w:t>
      </w:r>
      <w:r>
        <w:rPr>
          <w:spacing w:val="-9"/>
        </w:rPr>
        <w:t> </w:t>
      </w:r>
      <w:r>
        <w:rPr/>
        <w:t>el</w:t>
      </w:r>
      <w:r>
        <w:rPr>
          <w:spacing w:val="-13"/>
        </w:rPr>
        <w:t> </w:t>
      </w:r>
      <w:r>
        <w:rPr/>
        <w:t>tratamiento</w:t>
      </w:r>
      <w:r>
        <w:rPr>
          <w:spacing w:val="-9"/>
        </w:rPr>
        <w:t> </w:t>
      </w:r>
      <w:r>
        <w:rPr/>
        <w:t>quirúrgico</w:t>
      </w:r>
      <w:r>
        <w:rPr>
          <w:spacing w:val="-10"/>
        </w:rPr>
        <w:t> </w:t>
      </w:r>
      <w:r>
        <w:rPr/>
        <w:t>de</w:t>
      </w:r>
      <w:r>
        <w:rPr>
          <w:spacing w:val="-9"/>
        </w:rPr>
        <w:t> </w:t>
      </w:r>
      <w:r>
        <w:rPr/>
        <w:t>la</w:t>
      </w:r>
      <w:r>
        <w:rPr>
          <w:spacing w:val="-12"/>
        </w:rPr>
        <w:t> </w:t>
      </w:r>
      <w:r>
        <w:rPr/>
        <w:t>lesión mediante curetaje periapical y apicectomía con retroobturación de MTA de los órganos involucrados y la colocación de injerto óseo enriquecido con PRGF para favorecer la regeneración ósea de la cavidad quirúrgica remanente además de la obtención de biopsia para estudio histopatológico. Se dejó en observación el OD- 23.</w:t>
      </w:r>
    </w:p>
    <w:p>
      <w:pPr>
        <w:pStyle w:val="BodyText"/>
        <w:spacing w:before="8" w:after="1"/>
        <w:rPr>
          <w:sz w:val="18"/>
        </w:rPr>
      </w:pPr>
    </w:p>
    <w:tbl>
      <w:tblPr>
        <w:tblW w:w="0" w:type="auto"/>
        <w:jc w:val="left"/>
        <w:tblInd w:w="1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6"/>
        <w:gridCol w:w="1417"/>
        <w:gridCol w:w="1869"/>
        <w:gridCol w:w="1138"/>
        <w:gridCol w:w="1901"/>
        <w:gridCol w:w="2059"/>
      </w:tblGrid>
      <w:tr>
        <w:trPr>
          <w:trHeight w:val="1042" w:hRule="exact"/>
        </w:trPr>
        <w:tc>
          <w:tcPr>
            <w:tcW w:w="656" w:type="dxa"/>
            <w:tcBorders>
              <w:top w:val="single" w:sz="8" w:space="0" w:color="8063A1"/>
              <w:bottom w:val="single" w:sz="8" w:space="0" w:color="8063A1"/>
            </w:tcBorders>
          </w:tcPr>
          <w:p>
            <w:pPr>
              <w:pStyle w:val="TableParagraph"/>
              <w:spacing w:line="201" w:lineRule="exact"/>
              <w:ind w:right="184"/>
              <w:jc w:val="right"/>
              <w:rPr>
                <w:b/>
                <w:sz w:val="18"/>
              </w:rPr>
            </w:pPr>
            <w:r>
              <w:rPr>
                <w:b/>
                <w:color w:val="5F4879"/>
                <w:sz w:val="18"/>
              </w:rPr>
              <w:t>OD</w:t>
            </w:r>
          </w:p>
        </w:tc>
        <w:tc>
          <w:tcPr>
            <w:tcW w:w="1417" w:type="dxa"/>
            <w:tcBorders>
              <w:top w:val="single" w:sz="8" w:space="0" w:color="8063A1"/>
              <w:bottom w:val="single" w:sz="8" w:space="0" w:color="8063A1"/>
            </w:tcBorders>
          </w:tcPr>
          <w:p>
            <w:pPr>
              <w:pStyle w:val="TableParagraph"/>
              <w:spacing w:line="201" w:lineRule="exact"/>
              <w:ind w:left="166" w:right="130"/>
              <w:rPr>
                <w:b/>
                <w:sz w:val="18"/>
              </w:rPr>
            </w:pPr>
            <w:r>
              <w:rPr>
                <w:b/>
                <w:color w:val="5F4879"/>
                <w:sz w:val="18"/>
              </w:rPr>
              <w:t>Térmica Frío</w:t>
            </w:r>
          </w:p>
        </w:tc>
        <w:tc>
          <w:tcPr>
            <w:tcW w:w="1869" w:type="dxa"/>
            <w:tcBorders>
              <w:top w:val="single" w:sz="8" w:space="0" w:color="8063A1"/>
              <w:bottom w:val="single" w:sz="8" w:space="0" w:color="8063A1"/>
            </w:tcBorders>
          </w:tcPr>
          <w:p>
            <w:pPr>
              <w:pStyle w:val="TableParagraph"/>
              <w:spacing w:line="592" w:lineRule="auto"/>
              <w:ind w:left="149" w:right="119" w:firstLine="355"/>
              <w:jc w:val="left"/>
              <w:rPr>
                <w:b/>
                <w:sz w:val="18"/>
              </w:rPr>
            </w:pPr>
            <w:r>
              <w:rPr>
                <w:b/>
                <w:color w:val="5F4879"/>
                <w:sz w:val="18"/>
              </w:rPr>
              <w:t>Percusión Vertical/Horizontal</w:t>
            </w:r>
          </w:p>
        </w:tc>
        <w:tc>
          <w:tcPr>
            <w:tcW w:w="1138" w:type="dxa"/>
            <w:tcBorders>
              <w:top w:val="single" w:sz="8" w:space="0" w:color="8063A1"/>
              <w:bottom w:val="single" w:sz="8" w:space="0" w:color="8063A1"/>
            </w:tcBorders>
          </w:tcPr>
          <w:p>
            <w:pPr>
              <w:pStyle w:val="TableParagraph"/>
              <w:spacing w:line="201" w:lineRule="exact"/>
              <w:ind w:left="117" w:right="129"/>
              <w:rPr>
                <w:b/>
                <w:sz w:val="18"/>
              </w:rPr>
            </w:pPr>
            <w:r>
              <w:rPr>
                <w:b/>
                <w:color w:val="5F4879"/>
                <w:sz w:val="18"/>
              </w:rPr>
              <w:t>Palpación</w:t>
            </w:r>
          </w:p>
        </w:tc>
        <w:tc>
          <w:tcPr>
            <w:tcW w:w="1901" w:type="dxa"/>
            <w:tcBorders>
              <w:top w:val="single" w:sz="8" w:space="0" w:color="8063A1"/>
              <w:bottom w:val="single" w:sz="8" w:space="0" w:color="8063A1"/>
            </w:tcBorders>
          </w:tcPr>
          <w:p>
            <w:pPr>
              <w:pStyle w:val="TableParagraph"/>
              <w:spacing w:line="201" w:lineRule="exact"/>
              <w:ind w:left="257" w:right="332"/>
              <w:rPr>
                <w:b/>
                <w:sz w:val="18"/>
              </w:rPr>
            </w:pPr>
            <w:r>
              <w:rPr>
                <w:b/>
                <w:color w:val="5F4879"/>
                <w:sz w:val="18"/>
              </w:rPr>
              <w:t>Dx. Pulpar</w:t>
            </w:r>
          </w:p>
        </w:tc>
        <w:tc>
          <w:tcPr>
            <w:tcW w:w="2059" w:type="dxa"/>
            <w:tcBorders>
              <w:top w:val="single" w:sz="8" w:space="0" w:color="8063A1"/>
              <w:bottom w:val="single" w:sz="8" w:space="0" w:color="8063A1"/>
            </w:tcBorders>
          </w:tcPr>
          <w:p>
            <w:pPr>
              <w:pStyle w:val="TableParagraph"/>
              <w:spacing w:line="201" w:lineRule="exact"/>
              <w:ind w:left="226" w:right="289"/>
              <w:rPr>
                <w:b/>
                <w:sz w:val="18"/>
              </w:rPr>
            </w:pPr>
            <w:r>
              <w:rPr>
                <w:b/>
                <w:color w:val="5F4879"/>
                <w:sz w:val="18"/>
              </w:rPr>
              <w:t>Dx. Periapical</w:t>
            </w:r>
          </w:p>
        </w:tc>
      </w:tr>
      <w:tr>
        <w:trPr>
          <w:trHeight w:val="631" w:hRule="exact"/>
        </w:trPr>
        <w:tc>
          <w:tcPr>
            <w:tcW w:w="656" w:type="dxa"/>
            <w:tcBorders>
              <w:top w:val="single" w:sz="8" w:space="0" w:color="8063A1"/>
            </w:tcBorders>
            <w:shd w:val="clear" w:color="auto" w:fill="DFD7E8"/>
          </w:tcPr>
          <w:p>
            <w:pPr>
              <w:pStyle w:val="TableParagraph"/>
              <w:spacing w:line="201" w:lineRule="exact"/>
              <w:ind w:right="215"/>
              <w:jc w:val="right"/>
              <w:rPr>
                <w:b/>
                <w:sz w:val="18"/>
              </w:rPr>
            </w:pPr>
            <w:r>
              <w:rPr>
                <w:b/>
                <w:color w:val="5F4879"/>
                <w:w w:val="95"/>
                <w:sz w:val="18"/>
              </w:rPr>
              <w:t>21</w:t>
            </w:r>
          </w:p>
        </w:tc>
        <w:tc>
          <w:tcPr>
            <w:tcW w:w="1417" w:type="dxa"/>
            <w:tcBorders>
              <w:top w:val="single" w:sz="8" w:space="0" w:color="8063A1"/>
            </w:tcBorders>
            <w:shd w:val="clear" w:color="auto" w:fill="DFD7E8"/>
          </w:tcPr>
          <w:p>
            <w:pPr>
              <w:pStyle w:val="TableParagraph"/>
              <w:ind w:left="165" w:right="130"/>
              <w:rPr>
                <w:sz w:val="18"/>
              </w:rPr>
            </w:pPr>
            <w:r>
              <w:rPr>
                <w:color w:val="5F4879"/>
                <w:sz w:val="18"/>
              </w:rPr>
              <w:t>(+)</w:t>
            </w:r>
          </w:p>
        </w:tc>
        <w:tc>
          <w:tcPr>
            <w:tcW w:w="1869" w:type="dxa"/>
            <w:tcBorders>
              <w:top w:val="single" w:sz="8" w:space="0" w:color="8063A1"/>
            </w:tcBorders>
            <w:shd w:val="clear" w:color="auto" w:fill="DFD7E8"/>
          </w:tcPr>
          <w:p>
            <w:pPr>
              <w:pStyle w:val="TableParagraph"/>
              <w:ind w:left="624" w:right="612"/>
              <w:rPr>
                <w:sz w:val="18"/>
              </w:rPr>
            </w:pPr>
            <w:r>
              <w:rPr>
                <w:color w:val="5F4879"/>
                <w:sz w:val="18"/>
              </w:rPr>
              <w:t>SI/SI</w:t>
            </w:r>
          </w:p>
        </w:tc>
        <w:tc>
          <w:tcPr>
            <w:tcW w:w="1138" w:type="dxa"/>
            <w:tcBorders>
              <w:top w:val="single" w:sz="8" w:space="0" w:color="8063A1"/>
            </w:tcBorders>
            <w:shd w:val="clear" w:color="auto" w:fill="DFD7E8"/>
          </w:tcPr>
          <w:p>
            <w:pPr>
              <w:pStyle w:val="TableParagraph"/>
              <w:ind w:left="114" w:right="129"/>
              <w:rPr>
                <w:sz w:val="18"/>
              </w:rPr>
            </w:pPr>
            <w:r>
              <w:rPr>
                <w:color w:val="5F4879"/>
                <w:sz w:val="18"/>
              </w:rPr>
              <w:t>(-)</w:t>
            </w:r>
          </w:p>
        </w:tc>
        <w:tc>
          <w:tcPr>
            <w:tcW w:w="1901" w:type="dxa"/>
            <w:tcBorders>
              <w:top w:val="single" w:sz="8" w:space="0" w:color="8063A1"/>
            </w:tcBorders>
            <w:shd w:val="clear" w:color="auto" w:fill="DFD7E8"/>
          </w:tcPr>
          <w:p>
            <w:pPr>
              <w:pStyle w:val="TableParagraph"/>
              <w:spacing w:line="360" w:lineRule="auto"/>
              <w:ind w:left="395" w:right="210" w:hanging="245"/>
              <w:jc w:val="left"/>
              <w:rPr>
                <w:sz w:val="18"/>
              </w:rPr>
            </w:pPr>
            <w:r>
              <w:rPr>
                <w:color w:val="5F4879"/>
                <w:sz w:val="18"/>
              </w:rPr>
              <w:t>Pulpitis Irreversible Asintomática</w:t>
            </w:r>
          </w:p>
        </w:tc>
        <w:tc>
          <w:tcPr>
            <w:tcW w:w="2059" w:type="dxa"/>
            <w:tcBorders>
              <w:top w:val="single" w:sz="8" w:space="0" w:color="8063A1"/>
            </w:tcBorders>
            <w:shd w:val="clear" w:color="auto" w:fill="DFD7E8"/>
          </w:tcPr>
          <w:p>
            <w:pPr>
              <w:pStyle w:val="TableParagraph"/>
              <w:spacing w:line="360" w:lineRule="auto"/>
              <w:ind w:left="480" w:right="280" w:hanging="252"/>
              <w:jc w:val="left"/>
              <w:rPr>
                <w:sz w:val="18"/>
              </w:rPr>
            </w:pPr>
            <w:r>
              <w:rPr>
                <w:color w:val="5F4879"/>
                <w:sz w:val="18"/>
              </w:rPr>
              <w:t>Periodontitis Apical Asintomática</w:t>
            </w:r>
          </w:p>
        </w:tc>
      </w:tr>
      <w:tr>
        <w:trPr>
          <w:trHeight w:val="622" w:hRule="exact"/>
        </w:trPr>
        <w:tc>
          <w:tcPr>
            <w:tcW w:w="656" w:type="dxa"/>
            <w:tcBorders>
              <w:top w:val="single" w:sz="44" w:space="0" w:color="DFD7E8"/>
            </w:tcBorders>
          </w:tcPr>
          <w:p>
            <w:pPr>
              <w:pStyle w:val="TableParagraph"/>
              <w:spacing w:line="146" w:lineRule="exact"/>
              <w:ind w:right="215"/>
              <w:jc w:val="right"/>
              <w:rPr>
                <w:b/>
                <w:sz w:val="18"/>
              </w:rPr>
            </w:pPr>
            <w:r>
              <w:rPr>
                <w:b/>
                <w:color w:val="5F4879"/>
                <w:w w:val="95"/>
                <w:sz w:val="18"/>
              </w:rPr>
              <w:t>22</w:t>
            </w:r>
          </w:p>
        </w:tc>
        <w:tc>
          <w:tcPr>
            <w:tcW w:w="1417" w:type="dxa"/>
            <w:tcBorders>
              <w:top w:val="single" w:sz="44" w:space="0" w:color="DFD7E8"/>
            </w:tcBorders>
          </w:tcPr>
          <w:p>
            <w:pPr>
              <w:pStyle w:val="TableParagraph"/>
              <w:spacing w:line="151" w:lineRule="exact"/>
              <w:ind w:left="166" w:right="129"/>
              <w:rPr>
                <w:sz w:val="18"/>
              </w:rPr>
            </w:pPr>
            <w:r>
              <w:rPr>
                <w:color w:val="5F4879"/>
                <w:sz w:val="18"/>
              </w:rPr>
              <w:t>(-)</w:t>
            </w:r>
          </w:p>
        </w:tc>
        <w:tc>
          <w:tcPr>
            <w:tcW w:w="1869" w:type="dxa"/>
            <w:tcBorders>
              <w:top w:val="single" w:sz="44" w:space="0" w:color="DFD7E8"/>
            </w:tcBorders>
          </w:tcPr>
          <w:p>
            <w:pPr>
              <w:pStyle w:val="TableParagraph"/>
              <w:spacing w:line="151" w:lineRule="exact"/>
              <w:ind w:left="625" w:right="612"/>
              <w:rPr>
                <w:sz w:val="18"/>
              </w:rPr>
            </w:pPr>
            <w:r>
              <w:rPr>
                <w:color w:val="5F4879"/>
                <w:sz w:val="18"/>
              </w:rPr>
              <w:t>NO/NO</w:t>
            </w:r>
          </w:p>
        </w:tc>
        <w:tc>
          <w:tcPr>
            <w:tcW w:w="1138" w:type="dxa"/>
            <w:tcBorders>
              <w:top w:val="single" w:sz="44" w:space="0" w:color="DFD7E8"/>
            </w:tcBorders>
          </w:tcPr>
          <w:p>
            <w:pPr>
              <w:pStyle w:val="TableParagraph"/>
              <w:spacing w:line="151" w:lineRule="exact"/>
              <w:ind w:left="114" w:right="129"/>
              <w:rPr>
                <w:sz w:val="18"/>
              </w:rPr>
            </w:pPr>
            <w:r>
              <w:rPr>
                <w:color w:val="5F4879"/>
                <w:sz w:val="18"/>
              </w:rPr>
              <w:t>(-)</w:t>
            </w:r>
          </w:p>
        </w:tc>
        <w:tc>
          <w:tcPr>
            <w:tcW w:w="1901" w:type="dxa"/>
          </w:tcPr>
          <w:p>
            <w:pPr>
              <w:pStyle w:val="TableParagraph"/>
              <w:ind w:left="257" w:right="333"/>
              <w:rPr>
                <w:sz w:val="18"/>
              </w:rPr>
            </w:pPr>
            <w:r>
              <w:rPr>
                <w:color w:val="5F4879"/>
                <w:sz w:val="18"/>
              </w:rPr>
              <w:t>Necrosis Pulpar</w:t>
            </w:r>
          </w:p>
        </w:tc>
        <w:tc>
          <w:tcPr>
            <w:tcW w:w="2059" w:type="dxa"/>
          </w:tcPr>
          <w:p>
            <w:pPr>
              <w:pStyle w:val="TableParagraph"/>
              <w:spacing w:line="360" w:lineRule="auto"/>
              <w:ind w:left="480" w:right="280" w:hanging="252"/>
              <w:jc w:val="left"/>
              <w:rPr>
                <w:sz w:val="18"/>
              </w:rPr>
            </w:pPr>
            <w:r>
              <w:rPr>
                <w:color w:val="5F4879"/>
                <w:sz w:val="18"/>
              </w:rPr>
              <w:t>Periodontitis Apical Asintomática</w:t>
            </w:r>
          </w:p>
        </w:tc>
      </w:tr>
      <w:tr>
        <w:trPr>
          <w:trHeight w:val="630" w:hRule="exact"/>
        </w:trPr>
        <w:tc>
          <w:tcPr>
            <w:tcW w:w="656" w:type="dxa"/>
            <w:tcBorders>
              <w:bottom w:val="single" w:sz="8" w:space="0" w:color="8063A1"/>
            </w:tcBorders>
            <w:shd w:val="clear" w:color="auto" w:fill="DFD7E8"/>
          </w:tcPr>
          <w:p>
            <w:pPr>
              <w:pStyle w:val="TableParagraph"/>
              <w:spacing w:line="201" w:lineRule="exact"/>
              <w:ind w:right="215"/>
              <w:jc w:val="right"/>
              <w:rPr>
                <w:b/>
                <w:sz w:val="18"/>
              </w:rPr>
            </w:pPr>
            <w:r>
              <w:rPr>
                <w:b/>
                <w:color w:val="5F4879"/>
                <w:w w:val="95"/>
                <w:sz w:val="18"/>
              </w:rPr>
              <w:t>23</w:t>
            </w:r>
          </w:p>
        </w:tc>
        <w:tc>
          <w:tcPr>
            <w:tcW w:w="1417" w:type="dxa"/>
            <w:tcBorders>
              <w:bottom w:val="single" w:sz="8" w:space="0" w:color="8063A1"/>
            </w:tcBorders>
            <w:shd w:val="clear" w:color="auto" w:fill="DFD7E8"/>
          </w:tcPr>
          <w:p>
            <w:pPr>
              <w:pStyle w:val="TableParagraph"/>
              <w:ind w:left="166" w:right="129"/>
              <w:rPr>
                <w:sz w:val="18"/>
              </w:rPr>
            </w:pPr>
            <w:r>
              <w:rPr>
                <w:color w:val="5F4879"/>
                <w:sz w:val="18"/>
              </w:rPr>
              <w:t>(+) &lt; a 3 seg.</w:t>
            </w:r>
          </w:p>
        </w:tc>
        <w:tc>
          <w:tcPr>
            <w:tcW w:w="1869" w:type="dxa"/>
            <w:tcBorders>
              <w:bottom w:val="single" w:sz="8" w:space="0" w:color="8063A1"/>
            </w:tcBorders>
            <w:shd w:val="clear" w:color="auto" w:fill="DFD7E8"/>
          </w:tcPr>
          <w:p>
            <w:pPr>
              <w:pStyle w:val="TableParagraph"/>
              <w:ind w:left="625" w:right="612"/>
              <w:rPr>
                <w:sz w:val="18"/>
              </w:rPr>
            </w:pPr>
            <w:r>
              <w:rPr>
                <w:color w:val="5F4879"/>
                <w:sz w:val="18"/>
              </w:rPr>
              <w:t>NO/NO</w:t>
            </w:r>
          </w:p>
        </w:tc>
        <w:tc>
          <w:tcPr>
            <w:tcW w:w="1138" w:type="dxa"/>
            <w:tcBorders>
              <w:bottom w:val="single" w:sz="8" w:space="0" w:color="8063A1"/>
            </w:tcBorders>
            <w:shd w:val="clear" w:color="auto" w:fill="DFD7E8"/>
          </w:tcPr>
          <w:p>
            <w:pPr>
              <w:pStyle w:val="TableParagraph"/>
              <w:ind w:left="114" w:right="129"/>
              <w:rPr>
                <w:sz w:val="18"/>
              </w:rPr>
            </w:pPr>
            <w:r>
              <w:rPr>
                <w:color w:val="5F4879"/>
                <w:sz w:val="18"/>
              </w:rPr>
              <w:t>(-)</w:t>
            </w:r>
          </w:p>
        </w:tc>
        <w:tc>
          <w:tcPr>
            <w:tcW w:w="1901" w:type="dxa"/>
            <w:tcBorders>
              <w:bottom w:val="single" w:sz="8" w:space="0" w:color="8063A1"/>
            </w:tcBorders>
            <w:shd w:val="clear" w:color="auto" w:fill="DFD7E8"/>
          </w:tcPr>
          <w:p>
            <w:pPr>
              <w:pStyle w:val="TableParagraph"/>
              <w:spacing w:line="360" w:lineRule="auto"/>
              <w:ind w:left="395" w:right="231" w:hanging="226"/>
              <w:jc w:val="left"/>
              <w:rPr>
                <w:sz w:val="18"/>
              </w:rPr>
            </w:pPr>
            <w:r>
              <w:rPr>
                <w:color w:val="5F4879"/>
                <w:sz w:val="18"/>
              </w:rPr>
              <w:t>Pulpitis Reversible Asintomática</w:t>
            </w:r>
          </w:p>
        </w:tc>
        <w:tc>
          <w:tcPr>
            <w:tcW w:w="2059" w:type="dxa"/>
            <w:tcBorders>
              <w:bottom w:val="single" w:sz="8" w:space="0" w:color="8063A1"/>
            </w:tcBorders>
            <w:shd w:val="clear" w:color="auto" w:fill="DFD7E8"/>
          </w:tcPr>
          <w:p>
            <w:pPr>
              <w:pStyle w:val="TableParagraph"/>
              <w:ind w:left="226" w:right="292"/>
              <w:rPr>
                <w:sz w:val="18"/>
              </w:rPr>
            </w:pPr>
            <w:r>
              <w:rPr>
                <w:color w:val="5F4879"/>
                <w:sz w:val="18"/>
              </w:rPr>
              <w:t>Periodonto Normal</w:t>
            </w:r>
          </w:p>
        </w:tc>
      </w:tr>
    </w:tbl>
    <w:p>
      <w:pPr>
        <w:spacing w:line="221" w:lineRule="exact" w:before="0"/>
        <w:ind w:left="896" w:right="0" w:firstLine="0"/>
        <w:jc w:val="left"/>
        <w:rPr>
          <w:sz w:val="18"/>
        </w:rPr>
      </w:pPr>
      <w:bookmarkStart w:name="_bookmark56" w:id="84"/>
      <w:bookmarkEnd w:id="84"/>
      <w:r>
        <w:rPr/>
      </w:r>
      <w:r>
        <w:rPr>
          <w:sz w:val="20"/>
        </w:rPr>
        <w:t>Tabla 2. </w:t>
      </w:r>
      <w:r>
        <w:rPr>
          <w:sz w:val="18"/>
        </w:rPr>
        <w:t>Pruebas de sensibilidad pulpar, diagnóstico pulpar y periapical del OD 21, 22 y 23.</w:t>
      </w:r>
    </w:p>
    <w:p>
      <w:pPr>
        <w:pStyle w:val="BodyText"/>
        <w:rPr>
          <w:sz w:val="20"/>
        </w:rPr>
      </w:pPr>
    </w:p>
    <w:p>
      <w:pPr>
        <w:pStyle w:val="BodyText"/>
        <w:rPr>
          <w:sz w:val="20"/>
        </w:rPr>
      </w:pPr>
    </w:p>
    <w:p>
      <w:pPr>
        <w:pStyle w:val="BodyText"/>
        <w:rPr>
          <w:sz w:val="20"/>
        </w:rPr>
      </w:pPr>
    </w:p>
    <w:p>
      <w:pPr>
        <w:spacing w:line="532" w:lineRule="auto" w:before="123"/>
        <w:ind w:left="162" w:right="6258" w:firstLine="0"/>
        <w:jc w:val="left"/>
        <w:rPr>
          <w:sz w:val="24"/>
        </w:rPr>
      </w:pPr>
      <w:r>
        <w:rPr>
          <w:b/>
          <w:sz w:val="24"/>
        </w:rPr>
        <w:t>Desarrollo del Caso Tratamiento endodóntico </w:t>
      </w:r>
      <w:r>
        <w:rPr>
          <w:sz w:val="24"/>
          <w:u w:val="single"/>
        </w:rPr>
        <w:t>Órgano dentario 22</w:t>
      </w:r>
    </w:p>
    <w:p>
      <w:pPr>
        <w:pStyle w:val="BodyText"/>
        <w:spacing w:line="360" w:lineRule="auto" w:before="11"/>
        <w:ind w:left="162" w:right="317"/>
        <w:jc w:val="both"/>
      </w:pPr>
      <w:r>
        <w:rPr/>
        <w:t>Se</w:t>
      </w:r>
      <w:r>
        <w:rPr>
          <w:spacing w:val="-11"/>
        </w:rPr>
        <w:t> </w:t>
      </w:r>
      <w:r>
        <w:rPr/>
        <w:t>inició</w:t>
      </w:r>
      <w:r>
        <w:rPr>
          <w:spacing w:val="-11"/>
        </w:rPr>
        <w:t> </w:t>
      </w:r>
      <w:r>
        <w:rPr/>
        <w:t>el</w:t>
      </w:r>
      <w:r>
        <w:rPr>
          <w:spacing w:val="-12"/>
        </w:rPr>
        <w:t> </w:t>
      </w:r>
      <w:r>
        <w:rPr/>
        <w:t>tratamiento</w:t>
      </w:r>
      <w:r>
        <w:rPr>
          <w:spacing w:val="-13"/>
        </w:rPr>
        <w:t> </w:t>
      </w:r>
      <w:r>
        <w:rPr/>
        <w:t>de</w:t>
      </w:r>
      <w:r>
        <w:rPr>
          <w:spacing w:val="-11"/>
        </w:rPr>
        <w:t> </w:t>
      </w:r>
      <w:r>
        <w:rPr/>
        <w:t>endodoncia</w:t>
      </w:r>
      <w:r>
        <w:rPr>
          <w:spacing w:val="-11"/>
        </w:rPr>
        <w:t> </w:t>
      </w:r>
      <w:r>
        <w:rPr/>
        <w:t>en</w:t>
      </w:r>
      <w:r>
        <w:rPr>
          <w:spacing w:val="-11"/>
        </w:rPr>
        <w:t> </w:t>
      </w:r>
      <w:r>
        <w:rPr/>
        <w:t>OD-22</w:t>
      </w:r>
      <w:r>
        <w:rPr>
          <w:spacing w:val="-11"/>
        </w:rPr>
        <w:t> </w:t>
      </w:r>
      <w:r>
        <w:rPr/>
        <w:t>bajo</w:t>
      </w:r>
      <w:r>
        <w:rPr>
          <w:spacing w:val="-13"/>
        </w:rPr>
        <w:t> </w:t>
      </w:r>
      <w:r>
        <w:rPr/>
        <w:t>bloqueo</w:t>
      </w:r>
      <w:r>
        <w:rPr>
          <w:spacing w:val="-11"/>
        </w:rPr>
        <w:t> </w:t>
      </w:r>
      <w:r>
        <w:rPr/>
        <w:t>anestésico</w:t>
      </w:r>
      <w:r>
        <w:rPr>
          <w:spacing w:val="-11"/>
        </w:rPr>
        <w:t> </w:t>
      </w:r>
      <w:r>
        <w:rPr/>
        <w:t>del</w:t>
      </w:r>
      <w:r>
        <w:rPr>
          <w:spacing w:val="-12"/>
        </w:rPr>
        <w:t> </w:t>
      </w:r>
      <w:r>
        <w:rPr/>
        <w:t>nervio alveolar anterior superior con lidocaína al 2% y epinefrina 1:100 000. Se colocó aislado absoluto con dique de hule. Se conformó el acceso con fresa de bola #5</w:t>
      </w:r>
      <w:r>
        <w:rPr>
          <w:spacing w:val="-40"/>
        </w:rPr>
        <w:t> </w:t>
      </w:r>
      <w:r>
        <w:rPr/>
        <w:t>de alta velocidad. Una vez visualizado el conducto, se irrigó abundantemente con NaOCl 5.25% para neutralizar el contenido séptico- tóxico y se reconoció el conducto con lima K-Flex #20. Se abordó corono-apical utilizando instrumentos Gates-Glidden #5, 4, 3 sucesivamente para la preparación de los tercios coronal </w:t>
      </w:r>
      <w:r>
        <w:rPr>
          <w:spacing w:val="7"/>
        </w:rPr>
        <w:t> </w:t>
      </w:r>
      <w:r>
        <w:rPr/>
        <w:t>y</w:t>
      </w:r>
    </w:p>
    <w:p>
      <w:pPr>
        <w:spacing w:after="0" w:line="360" w:lineRule="auto"/>
        <w:jc w:val="both"/>
        <w:sectPr>
          <w:pgSz w:w="12240" w:h="15840"/>
          <w:pgMar w:header="744" w:footer="1572" w:top="1080" w:bottom="1760" w:left="1540" w:right="1380"/>
        </w:sectPr>
      </w:pPr>
    </w:p>
    <w:p>
      <w:pPr>
        <w:pStyle w:val="BodyText"/>
        <w:spacing w:before="4"/>
        <w:rPr>
          <w:sz w:val="21"/>
        </w:rPr>
      </w:pPr>
    </w:p>
    <w:p>
      <w:pPr>
        <w:pStyle w:val="BodyText"/>
        <w:spacing w:line="362" w:lineRule="auto" w:before="69"/>
        <w:ind w:left="162" w:right="165"/>
        <w:jc w:val="both"/>
      </w:pPr>
      <w:r>
        <w:rPr/>
        <w:t>medio. Se procedió a la toma de conductometría con apoyo de un localizador eléctronico de foramen y limas manuales K-Flex #20.</w:t>
      </w:r>
    </w:p>
    <w:p>
      <w:pPr>
        <w:pStyle w:val="BodyText"/>
        <w:spacing w:line="360" w:lineRule="auto" w:before="201"/>
        <w:ind w:left="162" w:right="163"/>
        <w:jc w:val="both"/>
      </w:pPr>
      <w:r>
        <w:rPr/>
        <w:t>La preparación biomecánica fue realizada con técnica manual de fuerzas balanceadas hasta lograr un diámetro apical #45 e irrigación manual utilizando NaOCl 5.25%. Durante esta primer cita se observó la salida de un líquido color ambar</w:t>
      </w:r>
      <w:r>
        <w:rPr>
          <w:spacing w:val="-13"/>
        </w:rPr>
        <w:t> </w:t>
      </w:r>
      <w:r>
        <w:rPr/>
        <w:t>a</w:t>
      </w:r>
      <w:r>
        <w:rPr>
          <w:spacing w:val="-12"/>
        </w:rPr>
        <w:t> </w:t>
      </w:r>
      <w:r>
        <w:rPr/>
        <w:t>través</w:t>
      </w:r>
      <w:r>
        <w:rPr>
          <w:spacing w:val="-10"/>
        </w:rPr>
        <w:t> </w:t>
      </w:r>
      <w:r>
        <w:rPr/>
        <w:t>del</w:t>
      </w:r>
      <w:r>
        <w:rPr>
          <w:spacing w:val="-13"/>
        </w:rPr>
        <w:t> </w:t>
      </w:r>
      <w:r>
        <w:rPr/>
        <w:t>conducto</w:t>
      </w:r>
      <w:r>
        <w:rPr>
          <w:spacing w:val="-11"/>
        </w:rPr>
        <w:t> </w:t>
      </w:r>
      <w:r>
        <w:rPr/>
        <w:t>por</w:t>
      </w:r>
      <w:r>
        <w:rPr>
          <w:spacing w:val="-11"/>
        </w:rPr>
        <w:t> </w:t>
      </w:r>
      <w:r>
        <w:rPr/>
        <w:t>lo</w:t>
      </w:r>
      <w:r>
        <w:rPr>
          <w:spacing w:val="-12"/>
        </w:rPr>
        <w:t> </w:t>
      </w:r>
      <w:r>
        <w:rPr/>
        <w:t>que</w:t>
      </w:r>
      <w:r>
        <w:rPr>
          <w:spacing w:val="-12"/>
        </w:rPr>
        <w:t> </w:t>
      </w:r>
      <w:r>
        <w:rPr/>
        <w:t>se</w:t>
      </w:r>
      <w:r>
        <w:rPr>
          <w:spacing w:val="-12"/>
        </w:rPr>
        <w:t> </w:t>
      </w:r>
      <w:r>
        <w:rPr/>
        <w:t>decidió</w:t>
      </w:r>
      <w:r>
        <w:rPr>
          <w:spacing w:val="-9"/>
        </w:rPr>
        <w:t> </w:t>
      </w:r>
      <w:r>
        <w:rPr/>
        <w:t>colocar</w:t>
      </w:r>
      <w:r>
        <w:rPr>
          <w:spacing w:val="-13"/>
        </w:rPr>
        <w:t> </w:t>
      </w:r>
      <w:r>
        <w:rPr/>
        <w:t>medicación</w:t>
      </w:r>
      <w:r>
        <w:rPr>
          <w:spacing w:val="-9"/>
        </w:rPr>
        <w:t> </w:t>
      </w:r>
      <w:r>
        <w:rPr/>
        <w:t>intraconducto de hidroxido de calcio y una obturación temporal a base de óxido de zinc.  (</w:t>
      </w:r>
      <w:hyperlink w:history="true" w:anchor="_bookmark57">
        <w:r>
          <w:rPr>
            <w:rFonts w:ascii="Calibri" w:hAnsi="Calibri"/>
            <w:sz w:val="22"/>
          </w:rPr>
          <w:t>Fig.</w:t>
        </w:r>
        <w:r>
          <w:rPr>
            <w:rFonts w:ascii="Calibri" w:hAnsi="Calibri"/>
            <w:spacing w:val="-20"/>
            <w:sz w:val="22"/>
          </w:rPr>
          <w:t> </w:t>
        </w:r>
        <w:r>
          <w:rPr>
            <w:rFonts w:ascii="Calibri" w:hAnsi="Calibri"/>
            <w:sz w:val="22"/>
          </w:rPr>
          <w:t>29</w:t>
        </w:r>
      </w:hyperlink>
      <w:r>
        <w:rPr/>
        <w:t>).</w:t>
      </w:r>
    </w:p>
    <w:p>
      <w:pPr>
        <w:pStyle w:val="BodyText"/>
        <w:spacing w:before="6"/>
        <w:rPr>
          <w:sz w:val="16"/>
        </w:rPr>
      </w:pPr>
      <w:r>
        <w:rPr/>
        <w:drawing>
          <wp:anchor distT="0" distB="0" distL="0" distR="0" allowOverlap="1" layoutInCell="1" locked="0" behindDoc="0" simplePos="0" relativeHeight="1576">
            <wp:simplePos x="0" y="0"/>
            <wp:positionH relativeFrom="page">
              <wp:posOffset>2139695</wp:posOffset>
            </wp:positionH>
            <wp:positionV relativeFrom="paragraph">
              <wp:posOffset>145760</wp:posOffset>
            </wp:positionV>
            <wp:extent cx="3493007" cy="1444752"/>
            <wp:effectExtent l="0" t="0" r="0" b="0"/>
            <wp:wrapTopAndBottom/>
            <wp:docPr id="59" name="image31.jpeg" descr=""/>
            <wp:cNvGraphicFramePr>
              <a:graphicFrameLocks noChangeAspect="1"/>
            </wp:cNvGraphicFramePr>
            <a:graphic>
              <a:graphicData uri="http://schemas.openxmlformats.org/drawingml/2006/picture">
                <pic:pic>
                  <pic:nvPicPr>
                    <pic:cNvPr id="60" name="image31.jpeg"/>
                    <pic:cNvPicPr/>
                  </pic:nvPicPr>
                  <pic:blipFill>
                    <a:blip r:embed="rId45" cstate="print"/>
                    <a:stretch>
                      <a:fillRect/>
                    </a:stretch>
                  </pic:blipFill>
                  <pic:spPr>
                    <a:xfrm>
                      <a:off x="0" y="0"/>
                      <a:ext cx="3493007" cy="1444752"/>
                    </a:xfrm>
                    <a:prstGeom prst="rect">
                      <a:avLst/>
                    </a:prstGeom>
                  </pic:spPr>
                </pic:pic>
              </a:graphicData>
            </a:graphic>
          </wp:anchor>
        </w:drawing>
      </w:r>
    </w:p>
    <w:p>
      <w:pPr>
        <w:spacing w:line="226" w:lineRule="exact" w:before="170"/>
        <w:ind w:left="2658" w:right="682" w:hanging="2060"/>
        <w:jc w:val="left"/>
        <w:rPr>
          <w:sz w:val="20"/>
        </w:rPr>
      </w:pPr>
      <w:bookmarkStart w:name="_bookmark57" w:id="85"/>
      <w:bookmarkEnd w:id="85"/>
      <w:r>
        <w:rPr/>
      </w:r>
      <w:r>
        <w:rPr>
          <w:sz w:val="20"/>
        </w:rPr>
        <w:t>Fig. 29. A) Rx. de diagnóstico inicial. B) Y C) Salida de exudado color ambar a través del conducto radicular durante la primera cita.</w:t>
      </w:r>
    </w:p>
    <w:p>
      <w:pPr>
        <w:pStyle w:val="BodyText"/>
        <w:rPr>
          <w:sz w:val="20"/>
        </w:rPr>
      </w:pPr>
    </w:p>
    <w:p>
      <w:pPr>
        <w:pStyle w:val="BodyText"/>
        <w:spacing w:before="6"/>
      </w:pPr>
    </w:p>
    <w:p>
      <w:pPr>
        <w:pStyle w:val="BodyText"/>
        <w:spacing w:line="360" w:lineRule="auto" w:before="69"/>
        <w:ind w:left="162" w:right="156"/>
        <w:jc w:val="both"/>
      </w:pPr>
      <w:r>
        <w:rPr/>
        <w:t>Durante la segunda cita, el hidroxido de calcio fue eliminado mediante irrigación manual profusa de NaOCl 5.25%, se utilizó EDTA 17% durante 1 minuto como acondicionamiento final del conducto. En esta ocasión ya no fue visible el exudado por lo que se decidió llevar a cabo la obturación mediante técnica híbrida de compactación lateral y McSpadden con un cono maestro de gutapercha estandarizada</w:t>
      </w:r>
      <w:r>
        <w:rPr>
          <w:spacing w:val="-5"/>
        </w:rPr>
        <w:t> </w:t>
      </w:r>
      <w:r>
        <w:rPr/>
        <w:t>#45</w:t>
      </w:r>
      <w:r>
        <w:rPr>
          <w:spacing w:val="-5"/>
        </w:rPr>
        <w:t> </w:t>
      </w:r>
      <w:r>
        <w:rPr/>
        <w:t>y</w:t>
      </w:r>
      <w:r>
        <w:rPr>
          <w:spacing w:val="-7"/>
        </w:rPr>
        <w:t> </w:t>
      </w:r>
      <w:r>
        <w:rPr/>
        <w:t>conos</w:t>
      </w:r>
      <w:r>
        <w:rPr>
          <w:spacing w:val="-5"/>
        </w:rPr>
        <w:t> </w:t>
      </w:r>
      <w:r>
        <w:rPr/>
        <w:t>accesorios</w:t>
      </w:r>
      <w:r>
        <w:rPr>
          <w:spacing w:val="-5"/>
        </w:rPr>
        <w:t> </w:t>
      </w:r>
      <w:r>
        <w:rPr/>
        <w:t>MF</w:t>
      </w:r>
      <w:r>
        <w:rPr>
          <w:spacing w:val="-6"/>
        </w:rPr>
        <w:t> </w:t>
      </w:r>
      <w:r>
        <w:rPr/>
        <w:t>y</w:t>
      </w:r>
      <w:r>
        <w:rPr>
          <w:spacing w:val="-6"/>
        </w:rPr>
        <w:t> </w:t>
      </w:r>
      <w:r>
        <w:rPr/>
        <w:t>FM</w:t>
      </w:r>
      <w:r>
        <w:rPr>
          <w:spacing w:val="-6"/>
        </w:rPr>
        <w:t> </w:t>
      </w:r>
      <w:r>
        <w:rPr/>
        <w:t>utilizando</w:t>
      </w:r>
      <w:r>
        <w:rPr>
          <w:spacing w:val="-5"/>
        </w:rPr>
        <w:t> </w:t>
      </w:r>
      <w:r>
        <w:rPr/>
        <w:t>cemento</w:t>
      </w:r>
      <w:r>
        <w:rPr>
          <w:spacing w:val="-6"/>
        </w:rPr>
        <w:t> </w:t>
      </w:r>
      <w:r>
        <w:rPr/>
        <w:t>sellador</w:t>
      </w:r>
      <w:r>
        <w:rPr>
          <w:spacing w:val="-6"/>
        </w:rPr>
        <w:t> </w:t>
      </w:r>
      <w:r>
        <w:rPr/>
        <w:t>a</w:t>
      </w:r>
      <w:r>
        <w:rPr>
          <w:spacing w:val="-5"/>
        </w:rPr>
        <w:t> </w:t>
      </w:r>
      <w:r>
        <w:rPr/>
        <w:t>base de</w:t>
      </w:r>
      <w:r>
        <w:rPr>
          <w:spacing w:val="-18"/>
        </w:rPr>
        <w:t> </w:t>
      </w:r>
      <w:r>
        <w:rPr/>
        <w:t>resina</w:t>
      </w:r>
      <w:r>
        <w:rPr>
          <w:spacing w:val="-20"/>
        </w:rPr>
        <w:t> </w:t>
      </w:r>
      <w:r>
        <w:rPr/>
        <w:t>(AH</w:t>
      </w:r>
      <w:r>
        <w:rPr>
          <w:spacing w:val="-19"/>
        </w:rPr>
        <w:t> </w:t>
      </w:r>
      <w:r>
        <w:rPr/>
        <w:t>Plus,</w:t>
      </w:r>
      <w:r>
        <w:rPr>
          <w:spacing w:val="-18"/>
        </w:rPr>
        <w:t> </w:t>
      </w:r>
      <w:r>
        <w:rPr/>
        <w:t>DENTSPLY</w:t>
      </w:r>
      <w:r>
        <w:rPr>
          <w:spacing w:val="-20"/>
        </w:rPr>
        <w:t> </w:t>
      </w:r>
      <w:r>
        <w:rPr/>
        <w:t>DeTrey,</w:t>
      </w:r>
      <w:r>
        <w:rPr>
          <w:spacing w:val="-18"/>
        </w:rPr>
        <w:t> </w:t>
      </w:r>
      <w:r>
        <w:rPr/>
        <w:t>Konstanz,</w:t>
      </w:r>
      <w:r>
        <w:rPr>
          <w:spacing w:val="-18"/>
        </w:rPr>
        <w:t> </w:t>
      </w:r>
      <w:r>
        <w:rPr/>
        <w:t>Alemania).</w:t>
      </w:r>
      <w:r>
        <w:rPr>
          <w:spacing w:val="-19"/>
        </w:rPr>
        <w:t> </w:t>
      </w:r>
      <w:r>
        <w:rPr/>
        <w:t>Finalmente</w:t>
      </w:r>
      <w:r>
        <w:rPr>
          <w:spacing w:val="-18"/>
        </w:rPr>
        <w:t> </w:t>
      </w:r>
      <w:r>
        <w:rPr/>
        <w:t>se</w:t>
      </w:r>
      <w:r>
        <w:rPr>
          <w:spacing w:val="-18"/>
        </w:rPr>
        <w:t> </w:t>
      </w:r>
      <w:r>
        <w:rPr/>
        <w:t>colocó una obturación de ionomero de vidrio para evitar filtración y contaminación del tratamiento (</w:t>
      </w:r>
      <w:hyperlink w:history="true" w:anchor="_bookmark58">
        <w:r>
          <w:rPr>
            <w:rFonts w:ascii="Calibri" w:hAnsi="Calibri"/>
            <w:sz w:val="22"/>
          </w:rPr>
          <w:t>Fig.</w:t>
        </w:r>
        <w:r>
          <w:rPr>
            <w:rFonts w:ascii="Calibri" w:hAnsi="Calibri"/>
            <w:spacing w:val="-5"/>
            <w:sz w:val="22"/>
          </w:rPr>
          <w:t> </w:t>
        </w:r>
        <w:r>
          <w:rPr>
            <w:rFonts w:ascii="Calibri" w:hAnsi="Calibri"/>
            <w:sz w:val="22"/>
          </w:rPr>
          <w:t>30</w:t>
        </w:r>
      </w:hyperlink>
      <w:r>
        <w:rPr/>
        <w:t>).</w:t>
      </w:r>
    </w:p>
    <w:p>
      <w:pPr>
        <w:spacing w:after="0" w:line="360" w:lineRule="auto"/>
        <w:jc w:val="both"/>
        <w:sectPr>
          <w:pgSz w:w="12240" w:h="15840"/>
          <w:pgMar w:header="744" w:footer="1572" w:top="1080" w:bottom="1760" w:left="1540" w:right="1540"/>
        </w:sectPr>
      </w:pPr>
    </w:p>
    <w:p>
      <w:pPr>
        <w:pStyle w:val="BodyText"/>
        <w:rPr>
          <w:sz w:val="10"/>
        </w:rPr>
      </w:pPr>
    </w:p>
    <w:p>
      <w:pPr>
        <w:pStyle w:val="BodyText"/>
        <w:ind w:left="934"/>
        <w:rPr>
          <w:sz w:val="20"/>
        </w:rPr>
      </w:pPr>
      <w:r>
        <w:rPr>
          <w:sz w:val="20"/>
        </w:rPr>
        <w:drawing>
          <wp:inline distT="0" distB="0" distL="0" distR="0">
            <wp:extent cx="4291529" cy="1447800"/>
            <wp:effectExtent l="0" t="0" r="0" b="0"/>
            <wp:docPr id="61" name="image32.jpeg" descr=""/>
            <wp:cNvGraphicFramePr>
              <a:graphicFrameLocks noChangeAspect="1"/>
            </wp:cNvGraphicFramePr>
            <a:graphic>
              <a:graphicData uri="http://schemas.openxmlformats.org/drawingml/2006/picture">
                <pic:pic>
                  <pic:nvPicPr>
                    <pic:cNvPr id="62" name="image32.jpeg"/>
                    <pic:cNvPicPr/>
                  </pic:nvPicPr>
                  <pic:blipFill>
                    <a:blip r:embed="rId46" cstate="print"/>
                    <a:stretch>
                      <a:fillRect/>
                    </a:stretch>
                  </pic:blipFill>
                  <pic:spPr>
                    <a:xfrm>
                      <a:off x="0" y="0"/>
                      <a:ext cx="4291529" cy="1447800"/>
                    </a:xfrm>
                    <a:prstGeom prst="rect">
                      <a:avLst/>
                    </a:prstGeom>
                  </pic:spPr>
                </pic:pic>
              </a:graphicData>
            </a:graphic>
          </wp:inline>
        </w:drawing>
      </w:r>
      <w:r>
        <w:rPr>
          <w:sz w:val="20"/>
        </w:rPr>
      </w:r>
    </w:p>
    <w:p>
      <w:pPr>
        <w:pStyle w:val="BodyText"/>
        <w:spacing w:before="2"/>
        <w:rPr>
          <w:sz w:val="8"/>
        </w:rPr>
      </w:pPr>
    </w:p>
    <w:p>
      <w:pPr>
        <w:spacing w:before="74"/>
        <w:ind w:left="1244" w:right="0" w:hanging="922"/>
        <w:jc w:val="left"/>
        <w:rPr>
          <w:sz w:val="20"/>
        </w:rPr>
      </w:pPr>
      <w:bookmarkStart w:name="_bookmark58" w:id="86"/>
      <w:bookmarkEnd w:id="86"/>
      <w:r>
        <w:rPr/>
      </w:r>
      <w:r>
        <w:rPr>
          <w:sz w:val="20"/>
        </w:rPr>
        <w:t>Fig. 30. A) y B) Rx. y vista clínica de la prueba de punta. C) Vista radiográfica de la obturación lateral antes de usar McSpadden. D)  Rx. final del tratamiento del OD-22.</w:t>
      </w:r>
    </w:p>
    <w:p>
      <w:pPr>
        <w:pStyle w:val="BodyText"/>
        <w:spacing w:before="6"/>
        <w:rPr>
          <w:sz w:val="25"/>
        </w:rPr>
      </w:pPr>
    </w:p>
    <w:p>
      <w:pPr>
        <w:pStyle w:val="BodyText"/>
        <w:spacing w:before="70"/>
        <w:ind w:left="162"/>
      </w:pPr>
      <w:r>
        <w:rPr>
          <w:u w:val="single"/>
        </w:rPr>
        <w:t>Órgano dentario 21</w:t>
      </w:r>
    </w:p>
    <w:p>
      <w:pPr>
        <w:pStyle w:val="BodyText"/>
        <w:spacing w:before="2"/>
        <w:rPr>
          <w:sz w:val="23"/>
        </w:rPr>
      </w:pPr>
    </w:p>
    <w:p>
      <w:pPr>
        <w:pStyle w:val="BodyText"/>
        <w:spacing w:line="360" w:lineRule="auto" w:before="70"/>
        <w:ind w:left="162" w:right="156"/>
        <w:jc w:val="both"/>
      </w:pPr>
      <w:r>
        <w:rPr/>
        <w:drawing>
          <wp:anchor distT="0" distB="0" distL="0" distR="0" allowOverlap="1" layoutInCell="1" locked="0" behindDoc="1" simplePos="0" relativeHeight="268395791">
            <wp:simplePos x="0" y="0"/>
            <wp:positionH relativeFrom="page">
              <wp:posOffset>2496311</wp:posOffset>
            </wp:positionH>
            <wp:positionV relativeFrom="paragraph">
              <wp:posOffset>1160600</wp:posOffset>
            </wp:positionV>
            <wp:extent cx="2478024" cy="1467612"/>
            <wp:effectExtent l="0" t="0" r="0" b="0"/>
            <wp:wrapNone/>
            <wp:docPr id="63" name="image33.jpeg" descr=""/>
            <wp:cNvGraphicFramePr>
              <a:graphicFrameLocks noChangeAspect="1"/>
            </wp:cNvGraphicFramePr>
            <a:graphic>
              <a:graphicData uri="http://schemas.openxmlformats.org/drawingml/2006/picture">
                <pic:pic>
                  <pic:nvPicPr>
                    <pic:cNvPr id="64" name="image33.jpeg"/>
                    <pic:cNvPicPr/>
                  </pic:nvPicPr>
                  <pic:blipFill>
                    <a:blip r:embed="rId47" cstate="print"/>
                    <a:stretch>
                      <a:fillRect/>
                    </a:stretch>
                  </pic:blipFill>
                  <pic:spPr>
                    <a:xfrm>
                      <a:off x="0" y="0"/>
                      <a:ext cx="2478024" cy="1467612"/>
                    </a:xfrm>
                    <a:prstGeom prst="rect">
                      <a:avLst/>
                    </a:prstGeom>
                  </pic:spPr>
                </pic:pic>
              </a:graphicData>
            </a:graphic>
          </wp:anchor>
        </w:drawing>
      </w:r>
      <w:r>
        <w:rPr/>
        <w:t>Se continuó con el tratamiento endodóntico del OD-21. Previo bloqueo anestésico del nervio alveolar superior anterior izquierdo (lidocaína/epinefrina 2% 1:100 000)</w:t>
      </w:r>
      <w:r>
        <w:rPr>
          <w:spacing w:val="-37"/>
        </w:rPr>
        <w:t> </w:t>
      </w:r>
      <w:r>
        <w:rPr/>
        <w:t>y aislado absoluto, se conformó la cavidad de acceso y se localizó el conducto. Se obtuvo</w:t>
      </w:r>
      <w:r>
        <w:rPr>
          <w:spacing w:val="-10"/>
        </w:rPr>
        <w:t> </w:t>
      </w:r>
      <w:r>
        <w:rPr/>
        <w:t>la</w:t>
      </w:r>
      <w:r>
        <w:rPr>
          <w:spacing w:val="-10"/>
        </w:rPr>
        <w:t> </w:t>
      </w:r>
      <w:r>
        <w:rPr/>
        <w:t>longitud</w:t>
      </w:r>
      <w:r>
        <w:rPr>
          <w:spacing w:val="-12"/>
        </w:rPr>
        <w:t> </w:t>
      </w:r>
      <w:r>
        <w:rPr/>
        <w:t>de</w:t>
      </w:r>
      <w:r>
        <w:rPr>
          <w:spacing w:val="-10"/>
        </w:rPr>
        <w:t> </w:t>
      </w:r>
      <w:r>
        <w:rPr/>
        <w:t>trabajo</w:t>
      </w:r>
      <w:r>
        <w:rPr>
          <w:spacing w:val="-10"/>
        </w:rPr>
        <w:t> </w:t>
      </w:r>
      <w:r>
        <w:rPr/>
        <w:t>con</w:t>
      </w:r>
      <w:r>
        <w:rPr>
          <w:spacing w:val="-10"/>
        </w:rPr>
        <w:t> </w:t>
      </w:r>
      <w:r>
        <w:rPr/>
        <w:t>localizador</w:t>
      </w:r>
      <w:r>
        <w:rPr>
          <w:spacing w:val="-11"/>
        </w:rPr>
        <w:t> </w:t>
      </w:r>
      <w:r>
        <w:rPr/>
        <w:t>de</w:t>
      </w:r>
      <w:r>
        <w:rPr>
          <w:spacing w:val="-10"/>
        </w:rPr>
        <w:t> </w:t>
      </w:r>
      <w:r>
        <w:rPr/>
        <w:t>conductos</w:t>
      </w:r>
      <w:r>
        <w:rPr>
          <w:spacing w:val="-11"/>
        </w:rPr>
        <w:t> </w:t>
      </w:r>
      <w:r>
        <w:rPr/>
        <w:t>y</w:t>
      </w:r>
      <w:r>
        <w:rPr>
          <w:spacing w:val="-13"/>
        </w:rPr>
        <w:t> </w:t>
      </w:r>
      <w:r>
        <w:rPr/>
        <w:t>lima</w:t>
      </w:r>
      <w:r>
        <w:rPr>
          <w:spacing w:val="-10"/>
        </w:rPr>
        <w:t> </w:t>
      </w:r>
      <w:r>
        <w:rPr/>
        <w:t>manual</w:t>
      </w:r>
      <w:r>
        <w:rPr>
          <w:spacing w:val="-11"/>
        </w:rPr>
        <w:t> </w:t>
      </w:r>
      <w:r>
        <w:rPr/>
        <w:t>K-Flex</w:t>
      </w:r>
      <w:r>
        <w:rPr>
          <w:spacing w:val="-13"/>
        </w:rPr>
        <w:t> </w:t>
      </w:r>
      <w:r>
        <w:rPr/>
        <w:t>#20 (</w:t>
      </w:r>
      <w:hyperlink w:history="true" w:anchor="_bookmark59">
        <w:r>
          <w:rPr>
            <w:rFonts w:ascii="Calibri" w:hAnsi="Calibri"/>
            <w:sz w:val="22"/>
          </w:rPr>
          <w:t>Fig.</w:t>
        </w:r>
        <w:r>
          <w:rPr>
            <w:rFonts w:ascii="Calibri" w:hAnsi="Calibri"/>
            <w:spacing w:val="-4"/>
            <w:sz w:val="22"/>
          </w:rPr>
          <w:t> </w:t>
        </w:r>
        <w:r>
          <w:rPr>
            <w:rFonts w:ascii="Calibri" w:hAnsi="Calibri"/>
            <w:sz w:val="22"/>
          </w:rPr>
          <w:t>31</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1"/>
        <w:ind w:left="1155" w:right="0" w:firstLine="0"/>
        <w:jc w:val="left"/>
        <w:rPr>
          <w:sz w:val="20"/>
        </w:rPr>
      </w:pPr>
      <w:bookmarkStart w:name="_bookmark59" w:id="87"/>
      <w:bookmarkEnd w:id="87"/>
      <w:r>
        <w:rPr/>
      </w:r>
      <w:r>
        <w:rPr>
          <w:sz w:val="20"/>
        </w:rPr>
        <w:t>Fig. 31. A) Rx. de diagnóstico inicial OD-21. B) Vista clínica del acceso.</w:t>
      </w:r>
    </w:p>
    <w:p>
      <w:pPr>
        <w:pStyle w:val="BodyText"/>
        <w:spacing w:before="6"/>
      </w:pPr>
    </w:p>
    <w:p>
      <w:pPr>
        <w:pStyle w:val="BodyText"/>
        <w:spacing w:line="360" w:lineRule="auto" w:before="69"/>
        <w:ind w:left="162" w:right="154"/>
        <w:jc w:val="both"/>
      </w:pPr>
      <w:r>
        <w:rPr/>
        <w:t>La instrumentación fue realizada con técnica Crown Down utilizando fresas Gates- Glidden 4, 3, 2 y sistema rotatorio Mtwo (VDW, Munich, Alemania) hasta una lima apical final #40/04. Se realizó irrigación pasiva ultrasónica con hipoclorito de sodio 5.25% y EDTA 17% durante 1 minuto. Se obturó mediante técnica termomecanica de McSpadden utilizando un cono principal de gutapercha #40, conos accesorios MF y FM y cemento sellador AH Plus. Se obturó la cavidad con ionomero de vidrio para evitar filtración en el tratamiento. Se indicó al paciente la sustitución por una restauración definitiva lo más pronto posible (</w:t>
      </w:r>
      <w:hyperlink w:history="true" w:anchor="_bookmark60">
        <w:r>
          <w:rPr>
            <w:rFonts w:ascii="Calibri" w:hAnsi="Calibri"/>
            <w:sz w:val="22"/>
          </w:rPr>
          <w:t>Fig. 32</w:t>
        </w:r>
      </w:hyperlink>
      <w:r>
        <w:rPr/>
        <w:t>).</w:t>
      </w:r>
    </w:p>
    <w:p>
      <w:pPr>
        <w:spacing w:after="0" w:line="360" w:lineRule="auto"/>
        <w:jc w:val="both"/>
        <w:sectPr>
          <w:pgSz w:w="12240" w:h="15840"/>
          <w:pgMar w:header="744" w:footer="1572" w:top="1080" w:bottom="1760" w:left="1540" w:right="1540"/>
        </w:sectPr>
      </w:pPr>
    </w:p>
    <w:p>
      <w:pPr>
        <w:pStyle w:val="BodyText"/>
        <w:spacing w:before="10"/>
        <w:rPr>
          <w:sz w:val="2"/>
        </w:rPr>
      </w:pPr>
    </w:p>
    <w:p>
      <w:pPr>
        <w:pStyle w:val="BodyText"/>
        <w:ind w:left="1203"/>
        <w:rPr>
          <w:sz w:val="20"/>
        </w:rPr>
      </w:pPr>
      <w:r>
        <w:rPr>
          <w:sz w:val="20"/>
        </w:rPr>
        <w:drawing>
          <wp:inline distT="0" distB="0" distL="0" distR="0">
            <wp:extent cx="4227811" cy="1485900"/>
            <wp:effectExtent l="0" t="0" r="0" b="0"/>
            <wp:docPr id="65" name="image34.jpeg" descr=""/>
            <wp:cNvGraphicFramePr>
              <a:graphicFrameLocks noChangeAspect="1"/>
            </wp:cNvGraphicFramePr>
            <a:graphic>
              <a:graphicData uri="http://schemas.openxmlformats.org/drawingml/2006/picture">
                <pic:pic>
                  <pic:nvPicPr>
                    <pic:cNvPr id="66" name="image34.jpeg"/>
                    <pic:cNvPicPr/>
                  </pic:nvPicPr>
                  <pic:blipFill>
                    <a:blip r:embed="rId48" cstate="print"/>
                    <a:stretch>
                      <a:fillRect/>
                    </a:stretch>
                  </pic:blipFill>
                  <pic:spPr>
                    <a:xfrm>
                      <a:off x="0" y="0"/>
                      <a:ext cx="4227811" cy="1485900"/>
                    </a:xfrm>
                    <a:prstGeom prst="rect">
                      <a:avLst/>
                    </a:prstGeom>
                  </pic:spPr>
                </pic:pic>
              </a:graphicData>
            </a:graphic>
          </wp:inline>
        </w:drawing>
      </w:r>
      <w:r>
        <w:rPr>
          <w:sz w:val="20"/>
        </w:rPr>
      </w:r>
    </w:p>
    <w:p>
      <w:pPr>
        <w:spacing w:before="104"/>
        <w:ind w:left="1347" w:right="0" w:hanging="951"/>
        <w:jc w:val="left"/>
        <w:rPr>
          <w:sz w:val="20"/>
        </w:rPr>
      </w:pPr>
      <w:bookmarkStart w:name="_bookmark60" w:id="88"/>
      <w:bookmarkEnd w:id="88"/>
      <w:r>
        <w:rPr/>
      </w:r>
      <w:r>
        <w:rPr>
          <w:sz w:val="20"/>
        </w:rPr>
        <w:t>Fig. 32. A) y B) Rx. y vista clínica de la prueba de punta. C) Vista radiográfica de la obturación lateral antes de usar McSpadden. D) Rx. final del tratamiento del OD-21.</w:t>
      </w:r>
    </w:p>
    <w:p>
      <w:pPr>
        <w:pStyle w:val="BodyText"/>
        <w:rPr>
          <w:sz w:val="20"/>
        </w:rPr>
      </w:pPr>
    </w:p>
    <w:p>
      <w:pPr>
        <w:pStyle w:val="BodyText"/>
        <w:spacing w:before="1"/>
        <w:rPr>
          <w:sz w:val="19"/>
        </w:rPr>
      </w:pPr>
    </w:p>
    <w:p>
      <w:pPr>
        <w:pStyle w:val="Heading1"/>
        <w:spacing w:before="0"/>
        <w:ind w:left="162" w:firstLine="0"/>
        <w:jc w:val="left"/>
      </w:pPr>
      <w:r>
        <w:rPr/>
        <w:t>Tratamiento quirúrgico</w:t>
      </w:r>
    </w:p>
    <w:p>
      <w:pPr>
        <w:pStyle w:val="BodyText"/>
        <w:spacing w:before="3"/>
        <w:rPr>
          <w:b/>
          <w:sz w:val="29"/>
        </w:rPr>
      </w:pPr>
    </w:p>
    <w:p>
      <w:pPr>
        <w:pStyle w:val="BodyText"/>
        <w:spacing w:line="362" w:lineRule="auto"/>
        <w:ind w:left="162"/>
      </w:pPr>
      <w:r>
        <w:rPr/>
        <w:t>La cirugía fue programada una vez valorados los estudios de laboratorio de la paciente y obtenido su consentimiento informado (</w:t>
      </w:r>
      <w:hyperlink w:history="true" w:anchor="_bookmark75">
        <w:r>
          <w:rPr>
            <w:rFonts w:ascii="Calibri" w:hAnsi="Calibri"/>
            <w:sz w:val="22"/>
          </w:rPr>
          <w:t>ANEXO 2</w:t>
        </w:r>
      </w:hyperlink>
      <w:r>
        <w:rPr/>
        <w:t>).</w:t>
      </w:r>
    </w:p>
    <w:p>
      <w:pPr>
        <w:pStyle w:val="BodyText"/>
        <w:spacing w:before="194"/>
        <w:ind w:left="162"/>
      </w:pPr>
      <w:r>
        <w:rPr>
          <w:u w:val="single"/>
        </w:rPr>
        <w:t>Obtención del plasma rico en factores de crecimiento</w:t>
      </w:r>
    </w:p>
    <w:p>
      <w:pPr>
        <w:pStyle w:val="BodyText"/>
        <w:spacing w:before="4"/>
        <w:rPr>
          <w:sz w:val="23"/>
        </w:rPr>
      </w:pPr>
    </w:p>
    <w:p>
      <w:pPr>
        <w:pStyle w:val="BodyText"/>
        <w:spacing w:line="360" w:lineRule="auto" w:before="70"/>
        <w:ind w:left="162" w:right="157"/>
        <w:jc w:val="both"/>
      </w:pPr>
      <w:r>
        <w:rPr/>
        <w:drawing>
          <wp:anchor distT="0" distB="0" distL="0" distR="0" allowOverlap="1" layoutInCell="1" locked="0" behindDoc="0" simplePos="0" relativeHeight="1624">
            <wp:simplePos x="0" y="0"/>
            <wp:positionH relativeFrom="page">
              <wp:posOffset>1645920</wp:posOffset>
            </wp:positionH>
            <wp:positionV relativeFrom="paragraph">
              <wp:posOffset>1645232</wp:posOffset>
            </wp:positionV>
            <wp:extent cx="4478370" cy="2338197"/>
            <wp:effectExtent l="0" t="0" r="0" b="0"/>
            <wp:wrapTopAndBottom/>
            <wp:docPr id="67" name="image35.jpeg" descr=""/>
            <wp:cNvGraphicFramePr>
              <a:graphicFrameLocks noChangeAspect="1"/>
            </wp:cNvGraphicFramePr>
            <a:graphic>
              <a:graphicData uri="http://schemas.openxmlformats.org/drawingml/2006/picture">
                <pic:pic>
                  <pic:nvPicPr>
                    <pic:cNvPr id="68" name="image35.jpeg"/>
                    <pic:cNvPicPr/>
                  </pic:nvPicPr>
                  <pic:blipFill>
                    <a:blip r:embed="rId49" cstate="print"/>
                    <a:stretch>
                      <a:fillRect/>
                    </a:stretch>
                  </pic:blipFill>
                  <pic:spPr>
                    <a:xfrm>
                      <a:off x="0" y="0"/>
                      <a:ext cx="4478370" cy="2338197"/>
                    </a:xfrm>
                    <a:prstGeom prst="rect">
                      <a:avLst/>
                    </a:prstGeom>
                  </pic:spPr>
                </pic:pic>
              </a:graphicData>
            </a:graphic>
          </wp:anchor>
        </w:drawing>
      </w:r>
      <w:r>
        <w:rPr/>
        <w:t>Minutos antes de iniciar el procedimiento quirúrgico, se tomó una muestra de 15</w:t>
      </w:r>
      <w:r>
        <w:rPr>
          <w:spacing w:val="-36"/>
        </w:rPr>
        <w:t> </w:t>
      </w:r>
      <w:r>
        <w:rPr/>
        <w:t>ml de sangre periférica de las venas ante cubitales del brazo derecho de la paciente. La sangre se colocó en 6 tubos Vacutainer de tapa azul con capacidad de 4.5 ml.</w:t>
      </w:r>
      <w:r>
        <w:rPr>
          <w:spacing w:val="-35"/>
        </w:rPr>
        <w:t> </w:t>
      </w:r>
      <w:r>
        <w:rPr/>
        <w:t>y citrato de sodio al 3.2% como anticoagulante. Los tubos fueron procesados siguiendo el método de Anitua (46). Se extrajo la fracción 3 (rica en factores de crecimiento) y se colocó en una jeringa estéril (</w:t>
      </w:r>
      <w:hyperlink w:history="true" w:anchor="_bookmark61">
        <w:r>
          <w:rPr>
            <w:rFonts w:ascii="Calibri" w:hAnsi="Calibri"/>
            <w:sz w:val="22"/>
          </w:rPr>
          <w:t>Fig.</w:t>
        </w:r>
        <w:r>
          <w:rPr>
            <w:rFonts w:ascii="Calibri" w:hAnsi="Calibri"/>
            <w:spacing w:val="-11"/>
            <w:sz w:val="22"/>
          </w:rPr>
          <w:t> </w:t>
        </w:r>
        <w:r>
          <w:rPr>
            <w:rFonts w:ascii="Calibri" w:hAnsi="Calibri"/>
            <w:sz w:val="22"/>
          </w:rPr>
          <w:t>33</w:t>
        </w:r>
      </w:hyperlink>
      <w:r>
        <w:rPr/>
        <w:t>).</w:t>
      </w:r>
    </w:p>
    <w:p>
      <w:pPr>
        <w:spacing w:line="229" w:lineRule="exact" w:before="49"/>
        <w:ind w:left="274" w:right="0" w:firstLine="0"/>
        <w:jc w:val="left"/>
        <w:rPr>
          <w:sz w:val="20"/>
        </w:rPr>
      </w:pPr>
      <w:bookmarkStart w:name="_bookmark61" w:id="89"/>
      <w:bookmarkEnd w:id="89"/>
      <w:r>
        <w:rPr/>
      </w:r>
      <w:r>
        <w:rPr>
          <w:sz w:val="20"/>
        </w:rPr>
        <w:t>Fig. 33. A) Obtención de la muestra sanguínea y B) Colocación en los tubos con citrato de sodio.</w:t>
      </w:r>
    </w:p>
    <w:p>
      <w:pPr>
        <w:spacing w:line="242" w:lineRule="auto" w:before="0"/>
        <w:ind w:left="1973" w:right="0" w:hanging="1716"/>
        <w:jc w:val="left"/>
        <w:rPr>
          <w:sz w:val="20"/>
        </w:rPr>
      </w:pPr>
      <w:r>
        <w:rPr>
          <w:sz w:val="20"/>
        </w:rPr>
        <w:t>C) y D) Separación de las fracciones obtenidas tras la centrifugación. E) y F) Jeringas de insulina con las diferentes fracciones y los factores de crecimiento.</w:t>
      </w:r>
    </w:p>
    <w:p>
      <w:pPr>
        <w:spacing w:after="0" w:line="242" w:lineRule="auto"/>
        <w:jc w:val="left"/>
        <w:rPr>
          <w:sz w:val="20"/>
        </w:rPr>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4"/>
        <w:jc w:val="both"/>
      </w:pPr>
      <w:r>
        <w:rPr/>
        <w:t>La preparación obtenida de plasma rico en factores de crecimiento fue combinada con</w:t>
      </w:r>
      <w:r>
        <w:rPr>
          <w:spacing w:val="-8"/>
        </w:rPr>
        <w:t> </w:t>
      </w:r>
      <w:r>
        <w:rPr/>
        <w:t>el</w:t>
      </w:r>
      <w:r>
        <w:rPr>
          <w:spacing w:val="-10"/>
        </w:rPr>
        <w:t> </w:t>
      </w:r>
      <w:r>
        <w:rPr/>
        <w:t>injerto</w:t>
      </w:r>
      <w:r>
        <w:rPr>
          <w:spacing w:val="-8"/>
        </w:rPr>
        <w:t> </w:t>
      </w:r>
      <w:r>
        <w:rPr/>
        <w:t>óseo</w:t>
      </w:r>
      <w:r>
        <w:rPr>
          <w:spacing w:val="-8"/>
        </w:rPr>
        <w:t> </w:t>
      </w:r>
      <w:r>
        <w:rPr/>
        <w:t>para</w:t>
      </w:r>
      <w:r>
        <w:rPr>
          <w:spacing w:val="-8"/>
        </w:rPr>
        <w:t> </w:t>
      </w:r>
      <w:r>
        <w:rPr/>
        <w:t>mejorar</w:t>
      </w:r>
      <w:r>
        <w:rPr>
          <w:spacing w:val="-10"/>
        </w:rPr>
        <w:t> </w:t>
      </w:r>
      <w:r>
        <w:rPr/>
        <w:t>así</w:t>
      </w:r>
      <w:r>
        <w:rPr>
          <w:spacing w:val="-11"/>
        </w:rPr>
        <w:t> </w:t>
      </w:r>
      <w:r>
        <w:rPr/>
        <w:t>la</w:t>
      </w:r>
      <w:r>
        <w:rPr>
          <w:spacing w:val="-9"/>
        </w:rPr>
        <w:t> </w:t>
      </w:r>
      <w:r>
        <w:rPr/>
        <w:t>consistencia</w:t>
      </w:r>
      <w:r>
        <w:rPr>
          <w:spacing w:val="-9"/>
        </w:rPr>
        <w:t> </w:t>
      </w:r>
      <w:r>
        <w:rPr/>
        <w:t>y</w:t>
      </w:r>
      <w:r>
        <w:rPr>
          <w:spacing w:val="-12"/>
        </w:rPr>
        <w:t> </w:t>
      </w:r>
      <w:r>
        <w:rPr/>
        <w:t>el</w:t>
      </w:r>
      <w:r>
        <w:rPr>
          <w:spacing w:val="-10"/>
        </w:rPr>
        <w:t> </w:t>
      </w:r>
      <w:r>
        <w:rPr/>
        <w:t>manejo</w:t>
      </w:r>
      <w:r>
        <w:rPr>
          <w:spacing w:val="-9"/>
        </w:rPr>
        <w:t> </w:t>
      </w:r>
      <w:r>
        <w:rPr/>
        <w:t>del</w:t>
      </w:r>
      <w:r>
        <w:rPr>
          <w:spacing w:val="-12"/>
        </w:rPr>
        <w:t> </w:t>
      </w:r>
      <w:r>
        <w:rPr/>
        <w:t>mismo.</w:t>
      </w:r>
      <w:r>
        <w:rPr>
          <w:spacing w:val="-9"/>
        </w:rPr>
        <w:t> </w:t>
      </w:r>
      <w:r>
        <w:rPr/>
        <w:t>Antes</w:t>
      </w:r>
      <w:r>
        <w:rPr>
          <w:spacing w:val="-9"/>
        </w:rPr>
        <w:t> </w:t>
      </w:r>
      <w:r>
        <w:rPr/>
        <w:t>de ser colocado en la cavidad quirúrgica remanente se procedió a la activación del coagulo utilizando 0.05 ml de cloruro de calcio al 10%, </w:t>
      </w:r>
      <w:r>
        <w:rPr>
          <w:spacing w:val="4"/>
        </w:rPr>
        <w:t>15 </w:t>
      </w:r>
      <w:r>
        <w:rPr/>
        <w:t>minutos después se obtuvo</w:t>
      </w:r>
      <w:r>
        <w:rPr>
          <w:spacing w:val="-12"/>
        </w:rPr>
        <w:t> </w:t>
      </w:r>
      <w:r>
        <w:rPr/>
        <w:t>la</w:t>
      </w:r>
      <w:r>
        <w:rPr>
          <w:spacing w:val="-13"/>
        </w:rPr>
        <w:t> </w:t>
      </w:r>
      <w:r>
        <w:rPr/>
        <w:t>membrana</w:t>
      </w:r>
      <w:r>
        <w:rPr>
          <w:spacing w:val="-12"/>
        </w:rPr>
        <w:t> </w:t>
      </w:r>
      <w:r>
        <w:rPr/>
        <w:t>de</w:t>
      </w:r>
      <w:r>
        <w:rPr>
          <w:spacing w:val="-12"/>
        </w:rPr>
        <w:t> </w:t>
      </w:r>
      <w:r>
        <w:rPr/>
        <w:t>injerto</w:t>
      </w:r>
      <w:r>
        <w:rPr>
          <w:spacing w:val="-13"/>
        </w:rPr>
        <w:t> </w:t>
      </w:r>
      <w:r>
        <w:rPr/>
        <w:t>con</w:t>
      </w:r>
      <w:r>
        <w:rPr>
          <w:spacing w:val="-12"/>
        </w:rPr>
        <w:t> </w:t>
      </w:r>
      <w:r>
        <w:rPr/>
        <w:t>la</w:t>
      </w:r>
      <w:r>
        <w:rPr>
          <w:spacing w:val="-13"/>
        </w:rPr>
        <w:t> </w:t>
      </w:r>
      <w:r>
        <w:rPr/>
        <w:t>consistencia</w:t>
      </w:r>
      <w:r>
        <w:rPr>
          <w:spacing w:val="-12"/>
        </w:rPr>
        <w:t> </w:t>
      </w:r>
      <w:r>
        <w:rPr/>
        <w:t>ideal</w:t>
      </w:r>
      <w:r>
        <w:rPr>
          <w:spacing w:val="-14"/>
        </w:rPr>
        <w:t> </w:t>
      </w:r>
      <w:r>
        <w:rPr/>
        <w:t>para</w:t>
      </w:r>
      <w:r>
        <w:rPr>
          <w:spacing w:val="-14"/>
        </w:rPr>
        <w:t> </w:t>
      </w:r>
      <w:r>
        <w:rPr/>
        <w:t>manejar</w:t>
      </w:r>
      <w:r>
        <w:rPr>
          <w:spacing w:val="-13"/>
        </w:rPr>
        <w:t> </w:t>
      </w:r>
      <w:r>
        <w:rPr/>
        <w:t>y</w:t>
      </w:r>
      <w:r>
        <w:rPr>
          <w:spacing w:val="-14"/>
        </w:rPr>
        <w:t> </w:t>
      </w:r>
      <w:r>
        <w:rPr/>
        <w:t>modelar</w:t>
      </w:r>
      <w:r>
        <w:rPr>
          <w:spacing w:val="-5"/>
        </w:rPr>
        <w:t> </w:t>
      </w:r>
      <w:r>
        <w:rPr/>
        <w:t>(</w:t>
      </w:r>
      <w:hyperlink w:history="true" w:anchor="_bookmark62">
        <w:r>
          <w:rPr>
            <w:rFonts w:ascii="Calibri" w:hAnsi="Calibri"/>
            <w:sz w:val="22"/>
          </w:rPr>
          <w:t>Fig.</w:t>
        </w:r>
      </w:hyperlink>
      <w:r>
        <w:rPr>
          <w:rFonts w:ascii="Calibri" w:hAnsi="Calibri"/>
          <w:sz w:val="22"/>
        </w:rPr>
        <w:t> </w:t>
      </w:r>
      <w:hyperlink w:history="true" w:anchor="_bookmark62">
        <w:r>
          <w:rPr>
            <w:rFonts w:ascii="Calibri" w:hAnsi="Calibri"/>
            <w:sz w:val="22"/>
          </w:rPr>
          <w:t>34</w:t>
        </w:r>
      </w:hyperlink>
      <w:r>
        <w:rPr/>
        <w:t>).</w:t>
      </w:r>
    </w:p>
    <w:p>
      <w:pPr>
        <w:pStyle w:val="BodyText"/>
        <w:ind w:left="315"/>
        <w:rPr>
          <w:sz w:val="20"/>
        </w:rPr>
      </w:pPr>
      <w:r>
        <w:rPr>
          <w:sz w:val="20"/>
        </w:rPr>
        <w:drawing>
          <wp:inline distT="0" distB="0" distL="0" distR="0">
            <wp:extent cx="5422119" cy="1325879"/>
            <wp:effectExtent l="0" t="0" r="0" b="0"/>
            <wp:docPr id="69" name="image36.jpeg" descr=""/>
            <wp:cNvGraphicFramePr>
              <a:graphicFrameLocks noChangeAspect="1"/>
            </wp:cNvGraphicFramePr>
            <a:graphic>
              <a:graphicData uri="http://schemas.openxmlformats.org/drawingml/2006/picture">
                <pic:pic>
                  <pic:nvPicPr>
                    <pic:cNvPr id="70" name="image36.jpeg"/>
                    <pic:cNvPicPr/>
                  </pic:nvPicPr>
                  <pic:blipFill>
                    <a:blip r:embed="rId50" cstate="print"/>
                    <a:stretch>
                      <a:fillRect/>
                    </a:stretch>
                  </pic:blipFill>
                  <pic:spPr>
                    <a:xfrm>
                      <a:off x="0" y="0"/>
                      <a:ext cx="5422119" cy="1325879"/>
                    </a:xfrm>
                    <a:prstGeom prst="rect">
                      <a:avLst/>
                    </a:prstGeom>
                  </pic:spPr>
                </pic:pic>
              </a:graphicData>
            </a:graphic>
          </wp:inline>
        </w:drawing>
      </w:r>
      <w:r>
        <w:rPr>
          <w:sz w:val="20"/>
        </w:rPr>
      </w:r>
    </w:p>
    <w:p>
      <w:pPr>
        <w:spacing w:line="242" w:lineRule="auto" w:before="119"/>
        <w:ind w:left="1693" w:right="0" w:hanging="960"/>
        <w:jc w:val="left"/>
        <w:rPr>
          <w:sz w:val="20"/>
        </w:rPr>
      </w:pPr>
      <w:bookmarkStart w:name="_bookmark62" w:id="90"/>
      <w:bookmarkEnd w:id="90"/>
      <w:r>
        <w:rPr/>
      </w:r>
      <w:r>
        <w:rPr>
          <w:sz w:val="20"/>
        </w:rPr>
        <w:t>Fig. 34. A) Injerto óseo. B) y C) Factores de crecimiento agregado al injerto óseo. D) Consistencia después de la activación con el cloruro de calcio.</w:t>
      </w:r>
    </w:p>
    <w:p>
      <w:pPr>
        <w:pStyle w:val="BodyText"/>
        <w:rPr>
          <w:sz w:val="20"/>
        </w:rPr>
      </w:pPr>
    </w:p>
    <w:p>
      <w:pPr>
        <w:pStyle w:val="BodyText"/>
        <w:spacing w:before="9"/>
        <w:rPr>
          <w:sz w:val="25"/>
        </w:rPr>
      </w:pPr>
    </w:p>
    <w:p>
      <w:pPr>
        <w:pStyle w:val="BodyText"/>
        <w:spacing w:before="70"/>
        <w:ind w:left="162"/>
      </w:pPr>
      <w:r>
        <w:rPr>
          <w:u w:val="single"/>
        </w:rPr>
        <w:t>Cirugía perirradicular</w:t>
      </w:r>
    </w:p>
    <w:p>
      <w:pPr>
        <w:pStyle w:val="BodyText"/>
        <w:spacing w:before="2"/>
        <w:rPr>
          <w:sz w:val="23"/>
        </w:rPr>
      </w:pPr>
    </w:p>
    <w:p>
      <w:pPr>
        <w:pStyle w:val="BodyText"/>
        <w:spacing w:line="360" w:lineRule="auto" w:before="69"/>
        <w:ind w:left="162" w:right="164"/>
        <w:jc w:val="both"/>
      </w:pPr>
      <w:r>
        <w:rPr/>
        <w:t>De manera simultánea a la preparación del injerto y el manejo de los factores de crecimiento, se le explicó nuevamente al paciente el procedimiento a realizar y se tomaron signos vitales, los cuales se encontraron dentro de los parámetros normales.</w:t>
      </w:r>
    </w:p>
    <w:p>
      <w:pPr>
        <w:pStyle w:val="BodyText"/>
        <w:spacing w:line="360" w:lineRule="auto" w:before="204"/>
        <w:ind w:left="162" w:right="163"/>
        <w:jc w:val="both"/>
      </w:pPr>
      <w:r>
        <w:rPr/>
        <w:drawing>
          <wp:anchor distT="0" distB="0" distL="0" distR="0" allowOverlap="1" layoutInCell="1" locked="0" behindDoc="1" simplePos="0" relativeHeight="268395839">
            <wp:simplePos x="0" y="0"/>
            <wp:positionH relativeFrom="page">
              <wp:posOffset>1231391</wp:posOffset>
            </wp:positionH>
            <wp:positionV relativeFrom="paragraph">
              <wp:posOffset>1163140</wp:posOffset>
            </wp:positionV>
            <wp:extent cx="5242560" cy="1277111"/>
            <wp:effectExtent l="0" t="0" r="0" b="0"/>
            <wp:wrapNone/>
            <wp:docPr id="71" name="image37.jpeg" descr=""/>
            <wp:cNvGraphicFramePr>
              <a:graphicFrameLocks noChangeAspect="1"/>
            </wp:cNvGraphicFramePr>
            <a:graphic>
              <a:graphicData uri="http://schemas.openxmlformats.org/drawingml/2006/picture">
                <pic:pic>
                  <pic:nvPicPr>
                    <pic:cNvPr id="72" name="image37.jpeg"/>
                    <pic:cNvPicPr/>
                  </pic:nvPicPr>
                  <pic:blipFill>
                    <a:blip r:embed="rId51" cstate="print"/>
                    <a:stretch>
                      <a:fillRect/>
                    </a:stretch>
                  </pic:blipFill>
                  <pic:spPr>
                    <a:xfrm>
                      <a:off x="0" y="0"/>
                      <a:ext cx="5242560" cy="1277111"/>
                    </a:xfrm>
                    <a:prstGeom prst="rect">
                      <a:avLst/>
                    </a:prstGeom>
                  </pic:spPr>
                </pic:pic>
              </a:graphicData>
            </a:graphic>
          </wp:anchor>
        </w:drawing>
      </w:r>
      <w:r>
        <w:rPr/>
        <w:t>Se</w:t>
      </w:r>
      <w:r>
        <w:rPr>
          <w:spacing w:val="-9"/>
        </w:rPr>
        <w:t> </w:t>
      </w:r>
      <w:r>
        <w:rPr/>
        <w:t>procedió</w:t>
      </w:r>
      <w:r>
        <w:rPr>
          <w:spacing w:val="-10"/>
        </w:rPr>
        <w:t> </w:t>
      </w:r>
      <w:r>
        <w:rPr/>
        <w:t>a</w:t>
      </w:r>
      <w:r>
        <w:rPr>
          <w:spacing w:val="-7"/>
        </w:rPr>
        <w:t> </w:t>
      </w:r>
      <w:r>
        <w:rPr/>
        <w:t>la</w:t>
      </w:r>
      <w:r>
        <w:rPr>
          <w:spacing w:val="-9"/>
        </w:rPr>
        <w:t> </w:t>
      </w:r>
      <w:r>
        <w:rPr/>
        <w:t>asepsia</w:t>
      </w:r>
      <w:r>
        <w:rPr>
          <w:spacing w:val="-7"/>
        </w:rPr>
        <w:t> </w:t>
      </w:r>
      <w:r>
        <w:rPr/>
        <w:t>y</w:t>
      </w:r>
      <w:r>
        <w:rPr>
          <w:spacing w:val="-10"/>
        </w:rPr>
        <w:t> </w:t>
      </w:r>
      <w:r>
        <w:rPr/>
        <w:t>antisepsia</w:t>
      </w:r>
      <w:r>
        <w:rPr>
          <w:spacing w:val="-10"/>
        </w:rPr>
        <w:t> </w:t>
      </w:r>
      <w:r>
        <w:rPr/>
        <w:t>de</w:t>
      </w:r>
      <w:r>
        <w:rPr>
          <w:spacing w:val="-7"/>
        </w:rPr>
        <w:t> </w:t>
      </w:r>
      <w:r>
        <w:rPr/>
        <w:t>la</w:t>
      </w:r>
      <w:r>
        <w:rPr>
          <w:spacing w:val="-10"/>
        </w:rPr>
        <w:t> </w:t>
      </w:r>
      <w:r>
        <w:rPr/>
        <w:t>zona</w:t>
      </w:r>
      <w:r>
        <w:rPr>
          <w:spacing w:val="-7"/>
        </w:rPr>
        <w:t> </w:t>
      </w:r>
      <w:r>
        <w:rPr/>
        <w:t>quirúrgica.</w:t>
      </w:r>
      <w:r>
        <w:rPr>
          <w:spacing w:val="-7"/>
        </w:rPr>
        <w:t> </w:t>
      </w:r>
      <w:r>
        <w:rPr/>
        <w:t>Se</w:t>
      </w:r>
      <w:r>
        <w:rPr>
          <w:spacing w:val="-7"/>
        </w:rPr>
        <w:t> </w:t>
      </w:r>
      <w:r>
        <w:rPr/>
        <w:t>inició</w:t>
      </w:r>
      <w:r>
        <w:rPr>
          <w:spacing w:val="-9"/>
        </w:rPr>
        <w:t> </w:t>
      </w:r>
      <w:r>
        <w:rPr/>
        <w:t>con</w:t>
      </w:r>
      <w:r>
        <w:rPr>
          <w:spacing w:val="-9"/>
        </w:rPr>
        <w:t> </w:t>
      </w:r>
      <w:r>
        <w:rPr/>
        <w:t>el</w:t>
      </w:r>
      <w:r>
        <w:rPr>
          <w:spacing w:val="-11"/>
        </w:rPr>
        <w:t> </w:t>
      </w:r>
      <w:r>
        <w:rPr/>
        <w:t>bloqueo anestésico del nervio alveolar superior anterior y medio derecho así como el nervio nasopalatino. Para la incisión se utilizó mango de bisturí No. 7 y hoja 15, fue efectuada profundizando hasta la cortical ósea e incidiendo el periostio (</w:t>
      </w:r>
      <w:hyperlink w:history="true" w:anchor="_bookmark63">
        <w:r>
          <w:rPr>
            <w:rFonts w:ascii="Calibri" w:hAnsi="Calibri"/>
            <w:sz w:val="22"/>
          </w:rPr>
          <w:t>Fig.</w:t>
        </w:r>
        <w:r>
          <w:rPr>
            <w:rFonts w:ascii="Calibri" w:hAnsi="Calibri"/>
            <w:spacing w:val="-22"/>
            <w:sz w:val="22"/>
          </w:rPr>
          <w:t> </w:t>
        </w:r>
        <w:r>
          <w:rPr>
            <w:rFonts w:ascii="Calibri" w:hAnsi="Calibri"/>
            <w:sz w:val="22"/>
          </w:rPr>
          <w:t>35</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2"/>
        </w:rPr>
      </w:pPr>
    </w:p>
    <w:p>
      <w:pPr>
        <w:spacing w:before="0"/>
        <w:ind w:left="2260" w:right="0" w:firstLine="0"/>
        <w:jc w:val="left"/>
        <w:rPr>
          <w:sz w:val="20"/>
        </w:rPr>
      </w:pPr>
      <w:bookmarkStart w:name="_bookmark63" w:id="91"/>
      <w:bookmarkEnd w:id="91"/>
      <w:r>
        <w:rPr/>
      </w:r>
      <w:r>
        <w:rPr>
          <w:sz w:val="20"/>
        </w:rPr>
        <w:t>Fig. 35. A) Bloqueo anestésico. B) y C) Incisión.</w:t>
      </w:r>
    </w:p>
    <w:p>
      <w:pPr>
        <w:spacing w:after="0"/>
        <w:jc w:val="left"/>
        <w:rPr>
          <w:sz w:val="20"/>
        </w:rPr>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65"/>
        <w:jc w:val="both"/>
      </w:pPr>
      <w:r>
        <w:rPr/>
        <w:drawing>
          <wp:anchor distT="0" distB="0" distL="0" distR="0" allowOverlap="1" layoutInCell="1" locked="0" behindDoc="1" simplePos="0" relativeHeight="268395863">
            <wp:simplePos x="0" y="0"/>
            <wp:positionH relativeFrom="page">
              <wp:posOffset>2103120</wp:posOffset>
            </wp:positionH>
            <wp:positionV relativeFrom="paragraph">
              <wp:posOffset>1309952</wp:posOffset>
            </wp:positionV>
            <wp:extent cx="3584448" cy="2679192"/>
            <wp:effectExtent l="0" t="0" r="0" b="0"/>
            <wp:wrapNone/>
            <wp:docPr id="73" name="image38.jpeg" descr=""/>
            <wp:cNvGraphicFramePr>
              <a:graphicFrameLocks noChangeAspect="1"/>
            </wp:cNvGraphicFramePr>
            <a:graphic>
              <a:graphicData uri="http://schemas.openxmlformats.org/drawingml/2006/picture">
                <pic:pic>
                  <pic:nvPicPr>
                    <pic:cNvPr id="74" name="image38.jpeg"/>
                    <pic:cNvPicPr/>
                  </pic:nvPicPr>
                  <pic:blipFill>
                    <a:blip r:embed="rId52" cstate="print"/>
                    <a:stretch>
                      <a:fillRect/>
                    </a:stretch>
                  </pic:blipFill>
                  <pic:spPr>
                    <a:xfrm>
                      <a:off x="0" y="0"/>
                      <a:ext cx="3584448" cy="2679192"/>
                    </a:xfrm>
                    <a:prstGeom prst="rect">
                      <a:avLst/>
                    </a:prstGeom>
                  </pic:spPr>
                </pic:pic>
              </a:graphicData>
            </a:graphic>
          </wp:anchor>
        </w:drawing>
      </w:r>
      <w:r>
        <w:rPr/>
        <w:t>Se continuó con la elevación del colgajo de espesor total con el periostótomo 7A comenzando</w:t>
      </w:r>
      <w:r>
        <w:rPr>
          <w:spacing w:val="-19"/>
        </w:rPr>
        <w:t> </w:t>
      </w:r>
      <w:r>
        <w:rPr/>
        <w:t>por</w:t>
      </w:r>
      <w:r>
        <w:rPr>
          <w:spacing w:val="-18"/>
        </w:rPr>
        <w:t> </w:t>
      </w:r>
      <w:r>
        <w:rPr/>
        <w:t>las</w:t>
      </w:r>
      <w:r>
        <w:rPr>
          <w:spacing w:val="-17"/>
        </w:rPr>
        <w:t> </w:t>
      </w:r>
      <w:r>
        <w:rPr/>
        <w:t>papilas</w:t>
      </w:r>
      <w:r>
        <w:rPr>
          <w:spacing w:val="-17"/>
        </w:rPr>
        <w:t> </w:t>
      </w:r>
      <w:r>
        <w:rPr/>
        <w:t>interdentales.</w:t>
      </w:r>
      <w:r>
        <w:rPr>
          <w:spacing w:val="-17"/>
        </w:rPr>
        <w:t> </w:t>
      </w:r>
      <w:r>
        <w:rPr/>
        <w:t>El</w:t>
      </w:r>
      <w:r>
        <w:rPr>
          <w:spacing w:val="-20"/>
        </w:rPr>
        <w:t> </w:t>
      </w:r>
      <w:r>
        <w:rPr/>
        <w:t>manejo</w:t>
      </w:r>
      <w:r>
        <w:rPr>
          <w:spacing w:val="-17"/>
        </w:rPr>
        <w:t> </w:t>
      </w:r>
      <w:r>
        <w:rPr/>
        <w:t>del</w:t>
      </w:r>
      <w:r>
        <w:rPr>
          <w:spacing w:val="-18"/>
        </w:rPr>
        <w:t> </w:t>
      </w:r>
      <w:r>
        <w:rPr/>
        <w:t>colgajo</w:t>
      </w:r>
      <w:r>
        <w:rPr>
          <w:spacing w:val="-17"/>
        </w:rPr>
        <w:t> </w:t>
      </w:r>
      <w:r>
        <w:rPr/>
        <w:t>se</w:t>
      </w:r>
      <w:r>
        <w:rPr>
          <w:spacing w:val="-17"/>
        </w:rPr>
        <w:t> </w:t>
      </w:r>
      <w:r>
        <w:rPr/>
        <w:t>realizó</w:t>
      </w:r>
      <w:r>
        <w:rPr>
          <w:spacing w:val="-17"/>
        </w:rPr>
        <w:t> </w:t>
      </w:r>
      <w:r>
        <w:rPr/>
        <w:t>mediante un separador de Minnesota, aplicando ligera presión en el hueso para evitar la isquemia del colgajo. Se realizó la osteotomía con fresa quirúrgica de bola #6 de baja velocidad (</w:t>
      </w:r>
      <w:hyperlink w:history="true" w:anchor="_bookmark64">
        <w:r>
          <w:rPr>
            <w:sz w:val="20"/>
          </w:rPr>
          <w:t>Fig.</w:t>
        </w:r>
        <w:r>
          <w:rPr>
            <w:spacing w:val="-10"/>
            <w:sz w:val="20"/>
          </w:rPr>
          <w:t> </w:t>
        </w:r>
        <w:r>
          <w:rPr>
            <w:sz w:val="20"/>
          </w:rPr>
          <w:t>36</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2"/>
        </w:rPr>
      </w:pPr>
    </w:p>
    <w:p>
      <w:pPr>
        <w:spacing w:line="278" w:lineRule="auto" w:before="0"/>
        <w:ind w:left="620" w:right="0" w:firstLine="0"/>
        <w:jc w:val="left"/>
        <w:rPr>
          <w:sz w:val="20"/>
        </w:rPr>
      </w:pPr>
      <w:bookmarkStart w:name="_bookmark64" w:id="92"/>
      <w:bookmarkEnd w:id="92"/>
      <w:r>
        <w:rPr/>
      </w:r>
      <w:r>
        <w:rPr>
          <w:sz w:val="20"/>
        </w:rPr>
        <w:t>Fig. 36. A) Levantamiento de colgajo. B) Fenestración ósea debida a la lesión. C) y D) Osteotomía con fresa quirúrgica de baja velocidad.</w:t>
      </w:r>
    </w:p>
    <w:p>
      <w:pPr>
        <w:pStyle w:val="BodyText"/>
        <w:spacing w:before="4"/>
      </w:pPr>
    </w:p>
    <w:p>
      <w:pPr>
        <w:pStyle w:val="BodyText"/>
        <w:spacing w:line="362" w:lineRule="auto" w:before="69" w:after="17"/>
        <w:ind w:left="162" w:right="161"/>
        <w:jc w:val="both"/>
      </w:pPr>
      <w:r>
        <w:rPr/>
        <w:t>Una vez expuestas las raíces de los órganos a tratar, se realizó la completa enucleación de la lesión la cual se colocó en una solución de formocresol para su posterior estudio histopatológico (</w:t>
      </w:r>
      <w:hyperlink w:history="true" w:anchor="_bookmark65">
        <w:r>
          <w:rPr>
            <w:rFonts w:ascii="Calibri" w:hAnsi="Calibri"/>
            <w:sz w:val="22"/>
          </w:rPr>
          <w:t>Fig. 37</w:t>
        </w:r>
      </w:hyperlink>
      <w:r>
        <w:rPr/>
        <w:t>).</w:t>
      </w:r>
    </w:p>
    <w:p>
      <w:pPr>
        <w:pStyle w:val="BodyText"/>
        <w:ind w:left="214"/>
        <w:rPr>
          <w:sz w:val="20"/>
        </w:rPr>
      </w:pPr>
      <w:r>
        <w:rPr>
          <w:sz w:val="20"/>
        </w:rPr>
        <w:drawing>
          <wp:inline distT="0" distB="0" distL="0" distR="0">
            <wp:extent cx="5563346" cy="1310639"/>
            <wp:effectExtent l="0" t="0" r="0" b="0"/>
            <wp:docPr id="75" name="image39.jpeg" descr=""/>
            <wp:cNvGraphicFramePr>
              <a:graphicFrameLocks noChangeAspect="1"/>
            </wp:cNvGraphicFramePr>
            <a:graphic>
              <a:graphicData uri="http://schemas.openxmlformats.org/drawingml/2006/picture">
                <pic:pic>
                  <pic:nvPicPr>
                    <pic:cNvPr id="76" name="image39.jpeg"/>
                    <pic:cNvPicPr/>
                  </pic:nvPicPr>
                  <pic:blipFill>
                    <a:blip r:embed="rId53" cstate="print"/>
                    <a:stretch>
                      <a:fillRect/>
                    </a:stretch>
                  </pic:blipFill>
                  <pic:spPr>
                    <a:xfrm>
                      <a:off x="0" y="0"/>
                      <a:ext cx="5563346" cy="1310639"/>
                    </a:xfrm>
                    <a:prstGeom prst="rect">
                      <a:avLst/>
                    </a:prstGeom>
                  </pic:spPr>
                </pic:pic>
              </a:graphicData>
            </a:graphic>
          </wp:inline>
        </w:drawing>
      </w:r>
      <w:r>
        <w:rPr>
          <w:sz w:val="20"/>
        </w:rPr>
      </w:r>
    </w:p>
    <w:p>
      <w:pPr>
        <w:spacing w:line="242" w:lineRule="auto" w:before="106"/>
        <w:ind w:left="3637" w:right="0" w:hanging="2900"/>
        <w:jc w:val="left"/>
        <w:rPr>
          <w:sz w:val="20"/>
        </w:rPr>
      </w:pPr>
      <w:bookmarkStart w:name="_bookmark65" w:id="93"/>
      <w:bookmarkEnd w:id="93"/>
      <w:r>
        <w:rPr/>
      </w:r>
      <w:r>
        <w:rPr>
          <w:sz w:val="20"/>
        </w:rPr>
        <w:t>Fig. 37. A) Extirpación de la lesión. B) Lesión para estudio histopatológico y C) Cavidad quirúrgica remanente.</w:t>
      </w:r>
    </w:p>
    <w:p>
      <w:pPr>
        <w:spacing w:after="0" w:line="242" w:lineRule="auto"/>
        <w:jc w:val="left"/>
        <w:rPr>
          <w:sz w:val="20"/>
        </w:rPr>
        <w:sectPr>
          <w:pgSz w:w="12240" w:h="15840"/>
          <w:pgMar w:header="744" w:footer="1572" w:top="1080" w:bottom="1760" w:left="1540" w:right="1540"/>
        </w:sectPr>
      </w:pPr>
    </w:p>
    <w:p>
      <w:pPr>
        <w:pStyle w:val="BodyText"/>
        <w:spacing w:before="4"/>
        <w:rPr>
          <w:sz w:val="21"/>
        </w:rPr>
      </w:pPr>
    </w:p>
    <w:p>
      <w:pPr>
        <w:pStyle w:val="BodyText"/>
        <w:spacing w:line="362" w:lineRule="auto" w:before="69"/>
        <w:ind w:left="162" w:right="163"/>
        <w:jc w:val="both"/>
      </w:pPr>
      <w:r>
        <w:rPr/>
        <w:t>Se</w:t>
      </w:r>
      <w:r>
        <w:rPr>
          <w:spacing w:val="-3"/>
        </w:rPr>
        <w:t> </w:t>
      </w:r>
      <w:r>
        <w:rPr/>
        <w:t>procedió</w:t>
      </w:r>
      <w:r>
        <w:rPr>
          <w:spacing w:val="-3"/>
        </w:rPr>
        <w:t> </w:t>
      </w:r>
      <w:r>
        <w:rPr/>
        <w:t>a</w:t>
      </w:r>
      <w:r>
        <w:rPr>
          <w:spacing w:val="-3"/>
        </w:rPr>
        <w:t> </w:t>
      </w:r>
      <w:r>
        <w:rPr/>
        <w:t>la</w:t>
      </w:r>
      <w:r>
        <w:rPr>
          <w:spacing w:val="-3"/>
        </w:rPr>
        <w:t> </w:t>
      </w:r>
      <w:r>
        <w:rPr/>
        <w:t>resección</w:t>
      </w:r>
      <w:r>
        <w:rPr>
          <w:spacing w:val="-2"/>
        </w:rPr>
        <w:t> </w:t>
      </w:r>
      <w:r>
        <w:rPr/>
        <w:t>de</w:t>
      </w:r>
      <w:r>
        <w:rPr>
          <w:spacing w:val="-3"/>
        </w:rPr>
        <w:t> </w:t>
      </w:r>
      <w:r>
        <w:rPr/>
        <w:t>los</w:t>
      </w:r>
      <w:r>
        <w:rPr>
          <w:spacing w:val="-3"/>
        </w:rPr>
        <w:t> </w:t>
      </w:r>
      <w:r>
        <w:rPr/>
        <w:t>tres</w:t>
      </w:r>
      <w:r>
        <w:rPr>
          <w:spacing w:val="-6"/>
        </w:rPr>
        <w:t> </w:t>
      </w:r>
      <w:r>
        <w:rPr/>
        <w:t>milímetros</w:t>
      </w:r>
      <w:r>
        <w:rPr>
          <w:spacing w:val="-3"/>
        </w:rPr>
        <w:t> </w:t>
      </w:r>
      <w:r>
        <w:rPr/>
        <w:t>apicales</w:t>
      </w:r>
      <w:r>
        <w:rPr>
          <w:spacing w:val="-3"/>
        </w:rPr>
        <w:t> </w:t>
      </w:r>
      <w:r>
        <w:rPr/>
        <w:t>de</w:t>
      </w:r>
      <w:r>
        <w:rPr>
          <w:spacing w:val="-3"/>
        </w:rPr>
        <w:t> </w:t>
      </w:r>
      <w:r>
        <w:rPr/>
        <w:t>los</w:t>
      </w:r>
      <w:r>
        <w:rPr>
          <w:spacing w:val="-5"/>
        </w:rPr>
        <w:t> </w:t>
      </w:r>
      <w:r>
        <w:rPr/>
        <w:t>dientes</w:t>
      </w:r>
      <w:r>
        <w:rPr>
          <w:spacing w:val="-3"/>
        </w:rPr>
        <w:t> </w:t>
      </w:r>
      <w:r>
        <w:rPr/>
        <w:t>11,12</w:t>
      </w:r>
      <w:r>
        <w:rPr>
          <w:spacing w:val="-3"/>
        </w:rPr>
        <w:t> </w:t>
      </w:r>
      <w:r>
        <w:rPr/>
        <w:t>y</w:t>
      </w:r>
      <w:r>
        <w:rPr>
          <w:spacing w:val="-6"/>
        </w:rPr>
        <w:t> </w:t>
      </w:r>
      <w:r>
        <w:rPr/>
        <w:t>13 mediante fresa quirúrgica #702L. Se prepararon con punta angulada ultrasónica</w:t>
      </w:r>
      <w:r>
        <w:rPr>
          <w:spacing w:val="-42"/>
        </w:rPr>
        <w:t> </w:t>
      </w:r>
      <w:r>
        <w:rPr/>
        <w:t>de retropreparación seguida de la retro-obturación apical con MTA (</w:t>
      </w:r>
      <w:hyperlink w:history="true" w:anchor="_bookmark66">
        <w:r>
          <w:rPr>
            <w:rFonts w:ascii="Calibri" w:hAnsi="Calibri"/>
            <w:sz w:val="22"/>
          </w:rPr>
          <w:t>Fig.</w:t>
        </w:r>
        <w:r>
          <w:rPr>
            <w:rFonts w:ascii="Calibri" w:hAnsi="Calibri"/>
            <w:spacing w:val="-17"/>
            <w:sz w:val="22"/>
          </w:rPr>
          <w:t> </w:t>
        </w:r>
        <w:r>
          <w:rPr>
            <w:rFonts w:ascii="Calibri" w:hAnsi="Calibri"/>
            <w:sz w:val="22"/>
          </w:rPr>
          <w:t>38</w:t>
        </w:r>
      </w:hyperlink>
      <w:r>
        <w:rPr/>
        <w:t>).</w:t>
      </w:r>
    </w:p>
    <w:p>
      <w:pPr>
        <w:pStyle w:val="BodyText"/>
        <w:spacing w:before="7"/>
        <w:rPr>
          <w:sz w:val="13"/>
        </w:rPr>
      </w:pPr>
      <w:r>
        <w:rPr/>
        <w:drawing>
          <wp:anchor distT="0" distB="0" distL="0" distR="0" allowOverlap="1" layoutInCell="1" locked="0" behindDoc="0" simplePos="0" relativeHeight="1696">
            <wp:simplePos x="0" y="0"/>
            <wp:positionH relativeFrom="page">
              <wp:posOffset>2162555</wp:posOffset>
            </wp:positionH>
            <wp:positionV relativeFrom="paragraph">
              <wp:posOffset>124193</wp:posOffset>
            </wp:positionV>
            <wp:extent cx="3438144" cy="1243583"/>
            <wp:effectExtent l="0" t="0" r="0" b="0"/>
            <wp:wrapTopAndBottom/>
            <wp:docPr id="77" name="image40.jpeg" descr=""/>
            <wp:cNvGraphicFramePr>
              <a:graphicFrameLocks noChangeAspect="1"/>
            </wp:cNvGraphicFramePr>
            <a:graphic>
              <a:graphicData uri="http://schemas.openxmlformats.org/drawingml/2006/picture">
                <pic:pic>
                  <pic:nvPicPr>
                    <pic:cNvPr id="78" name="image40.jpeg"/>
                    <pic:cNvPicPr/>
                  </pic:nvPicPr>
                  <pic:blipFill>
                    <a:blip r:embed="rId54" cstate="print"/>
                    <a:stretch>
                      <a:fillRect/>
                    </a:stretch>
                  </pic:blipFill>
                  <pic:spPr>
                    <a:xfrm>
                      <a:off x="0" y="0"/>
                      <a:ext cx="3438144" cy="1243583"/>
                    </a:xfrm>
                    <a:prstGeom prst="rect">
                      <a:avLst/>
                    </a:prstGeom>
                  </pic:spPr>
                </pic:pic>
              </a:graphicData>
            </a:graphic>
          </wp:anchor>
        </w:drawing>
      </w:r>
    </w:p>
    <w:p>
      <w:pPr>
        <w:spacing w:before="0"/>
        <w:ind w:left="1263" w:right="0" w:firstLine="0"/>
        <w:jc w:val="left"/>
        <w:rPr>
          <w:sz w:val="20"/>
        </w:rPr>
      </w:pPr>
      <w:bookmarkStart w:name="_bookmark66" w:id="94"/>
      <w:bookmarkEnd w:id="94"/>
      <w:r>
        <w:rPr/>
      </w:r>
      <w:r>
        <w:rPr>
          <w:sz w:val="20"/>
        </w:rPr>
        <w:t>Fig. 38. A) y B) Retro-preparación ultrasónica y retro-obturación con MTA.</w:t>
      </w:r>
    </w:p>
    <w:p>
      <w:pPr>
        <w:pStyle w:val="BodyText"/>
        <w:spacing w:before="3"/>
        <w:rPr>
          <w:sz w:val="26"/>
        </w:rPr>
      </w:pPr>
    </w:p>
    <w:p>
      <w:pPr>
        <w:pStyle w:val="BodyText"/>
        <w:spacing w:line="360" w:lineRule="auto" w:before="69"/>
        <w:ind w:left="162" w:right="162"/>
        <w:jc w:val="both"/>
      </w:pPr>
      <w:r>
        <w:rPr/>
        <w:drawing>
          <wp:anchor distT="0" distB="0" distL="0" distR="0" allowOverlap="1" layoutInCell="1" locked="0" behindDoc="1" simplePos="0" relativeHeight="268395911">
            <wp:simplePos x="0" y="0"/>
            <wp:positionH relativeFrom="page">
              <wp:posOffset>2049779</wp:posOffset>
            </wp:positionH>
            <wp:positionV relativeFrom="paragraph">
              <wp:posOffset>1877769</wp:posOffset>
            </wp:positionV>
            <wp:extent cx="3680460" cy="2540508"/>
            <wp:effectExtent l="0" t="0" r="0" b="0"/>
            <wp:wrapNone/>
            <wp:docPr id="79" name="image41.jpeg" descr=""/>
            <wp:cNvGraphicFramePr>
              <a:graphicFrameLocks noChangeAspect="1"/>
            </wp:cNvGraphicFramePr>
            <a:graphic>
              <a:graphicData uri="http://schemas.openxmlformats.org/drawingml/2006/picture">
                <pic:pic>
                  <pic:nvPicPr>
                    <pic:cNvPr id="80" name="image41.jpeg"/>
                    <pic:cNvPicPr/>
                  </pic:nvPicPr>
                  <pic:blipFill>
                    <a:blip r:embed="rId55" cstate="print"/>
                    <a:stretch>
                      <a:fillRect/>
                    </a:stretch>
                  </pic:blipFill>
                  <pic:spPr>
                    <a:xfrm>
                      <a:off x="0" y="0"/>
                      <a:ext cx="3680460" cy="2540508"/>
                    </a:xfrm>
                    <a:prstGeom prst="rect">
                      <a:avLst/>
                    </a:prstGeom>
                  </pic:spPr>
                </pic:pic>
              </a:graphicData>
            </a:graphic>
          </wp:anchor>
        </w:drawing>
      </w:r>
      <w:r>
        <w:rPr/>
        <w:t>Se llevó a cabo el lavado de la cavidad remanente con abundante solución fisiológica para eliminar restos de tejido, calculo dental o cemento y proporcionar una zona libre de contaminación ideal para la colocación del injerto. Finalmente el gel</w:t>
      </w:r>
      <w:r>
        <w:rPr>
          <w:spacing w:val="-7"/>
        </w:rPr>
        <w:t> </w:t>
      </w:r>
      <w:r>
        <w:rPr/>
        <w:t>obtenido</w:t>
      </w:r>
      <w:r>
        <w:rPr>
          <w:spacing w:val="-8"/>
        </w:rPr>
        <w:t> </w:t>
      </w:r>
      <w:r>
        <w:rPr/>
        <w:t>del</w:t>
      </w:r>
      <w:r>
        <w:rPr>
          <w:spacing w:val="-7"/>
        </w:rPr>
        <w:t> </w:t>
      </w:r>
      <w:r>
        <w:rPr/>
        <w:t>injerto</w:t>
      </w:r>
      <w:r>
        <w:rPr>
          <w:spacing w:val="-8"/>
        </w:rPr>
        <w:t> </w:t>
      </w:r>
      <w:r>
        <w:rPr/>
        <w:t>y</w:t>
      </w:r>
      <w:r>
        <w:rPr>
          <w:spacing w:val="-9"/>
        </w:rPr>
        <w:t> </w:t>
      </w:r>
      <w:r>
        <w:rPr/>
        <w:t>los</w:t>
      </w:r>
      <w:r>
        <w:rPr>
          <w:spacing w:val="-6"/>
        </w:rPr>
        <w:t> </w:t>
      </w:r>
      <w:r>
        <w:rPr/>
        <w:t>factores</w:t>
      </w:r>
      <w:r>
        <w:rPr>
          <w:spacing w:val="-9"/>
        </w:rPr>
        <w:t> </w:t>
      </w:r>
      <w:r>
        <w:rPr/>
        <w:t>de</w:t>
      </w:r>
      <w:r>
        <w:rPr>
          <w:spacing w:val="-8"/>
        </w:rPr>
        <w:t> </w:t>
      </w:r>
      <w:r>
        <w:rPr/>
        <w:t>crecimiento</w:t>
      </w:r>
      <w:r>
        <w:rPr>
          <w:spacing w:val="-8"/>
        </w:rPr>
        <w:t> </w:t>
      </w:r>
      <w:r>
        <w:rPr/>
        <w:t>fueron</w:t>
      </w:r>
      <w:r>
        <w:rPr>
          <w:spacing w:val="-6"/>
        </w:rPr>
        <w:t> </w:t>
      </w:r>
      <w:r>
        <w:rPr/>
        <w:t>llevados</w:t>
      </w:r>
      <w:r>
        <w:rPr>
          <w:spacing w:val="-9"/>
        </w:rPr>
        <w:t> </w:t>
      </w:r>
      <w:r>
        <w:rPr/>
        <w:t>y</w:t>
      </w:r>
      <w:r>
        <w:rPr>
          <w:spacing w:val="-9"/>
        </w:rPr>
        <w:t> </w:t>
      </w:r>
      <w:r>
        <w:rPr/>
        <w:t>compactados en</w:t>
      </w:r>
      <w:r>
        <w:rPr>
          <w:spacing w:val="-4"/>
        </w:rPr>
        <w:t> </w:t>
      </w:r>
      <w:r>
        <w:rPr/>
        <w:t>la</w:t>
      </w:r>
      <w:r>
        <w:rPr>
          <w:spacing w:val="-4"/>
        </w:rPr>
        <w:t> </w:t>
      </w:r>
      <w:r>
        <w:rPr/>
        <w:t>cavidad</w:t>
      </w:r>
      <w:r>
        <w:rPr>
          <w:spacing w:val="-4"/>
        </w:rPr>
        <w:t> </w:t>
      </w:r>
      <w:r>
        <w:rPr/>
        <w:t>remanente.</w:t>
      </w:r>
      <w:r>
        <w:rPr>
          <w:spacing w:val="-4"/>
        </w:rPr>
        <w:t> </w:t>
      </w:r>
      <w:r>
        <w:rPr/>
        <w:t>Se</w:t>
      </w:r>
      <w:r>
        <w:rPr>
          <w:spacing w:val="-6"/>
        </w:rPr>
        <w:t> </w:t>
      </w:r>
      <w:r>
        <w:rPr/>
        <w:t>procedió</w:t>
      </w:r>
      <w:r>
        <w:rPr>
          <w:spacing w:val="-4"/>
        </w:rPr>
        <w:t> </w:t>
      </w:r>
      <w:r>
        <w:rPr/>
        <w:t>a</w:t>
      </w:r>
      <w:r>
        <w:rPr>
          <w:spacing w:val="-4"/>
        </w:rPr>
        <w:t> </w:t>
      </w:r>
      <w:r>
        <w:rPr/>
        <w:t>reposicionar</w:t>
      </w:r>
      <w:r>
        <w:rPr>
          <w:spacing w:val="-5"/>
        </w:rPr>
        <w:t> </w:t>
      </w:r>
      <w:r>
        <w:rPr/>
        <w:t>el</w:t>
      </w:r>
      <w:r>
        <w:rPr>
          <w:spacing w:val="-5"/>
        </w:rPr>
        <w:t> </w:t>
      </w:r>
      <w:r>
        <w:rPr/>
        <w:t>colgajo</w:t>
      </w:r>
      <w:r>
        <w:rPr>
          <w:spacing w:val="-4"/>
        </w:rPr>
        <w:t> </w:t>
      </w:r>
      <w:r>
        <w:rPr/>
        <w:t>el</w:t>
      </w:r>
      <w:r>
        <w:rPr>
          <w:spacing w:val="-5"/>
        </w:rPr>
        <w:t> </w:t>
      </w:r>
      <w:r>
        <w:rPr/>
        <w:t>cual</w:t>
      </w:r>
      <w:r>
        <w:rPr>
          <w:spacing w:val="-7"/>
        </w:rPr>
        <w:t> </w:t>
      </w:r>
      <w:r>
        <w:rPr/>
        <w:t>fue</w:t>
      </w:r>
      <w:r>
        <w:rPr>
          <w:spacing w:val="-4"/>
        </w:rPr>
        <w:t> </w:t>
      </w:r>
      <w:r>
        <w:rPr/>
        <w:t>suturado con material reabsorbible vicryl mediante puntos simples a lo largo de la incisión y en las zonas interproximales (</w:t>
      </w:r>
      <w:hyperlink w:history="true" w:anchor="_bookmark67">
        <w:r>
          <w:rPr>
            <w:rFonts w:ascii="Calibri" w:hAnsi="Calibri"/>
            <w:sz w:val="22"/>
          </w:rPr>
          <w:t>Fig.</w:t>
        </w:r>
        <w:r>
          <w:rPr>
            <w:rFonts w:ascii="Calibri" w:hAnsi="Calibri"/>
            <w:spacing w:val="-11"/>
            <w:sz w:val="22"/>
          </w:rPr>
          <w:t> </w:t>
        </w:r>
        <w:r>
          <w:rPr>
            <w:rFonts w:ascii="Calibri" w:hAnsi="Calibri"/>
            <w:sz w:val="22"/>
          </w:rPr>
          <w:t>39</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0"/>
        </w:rPr>
      </w:pPr>
    </w:p>
    <w:p>
      <w:pPr>
        <w:spacing w:line="242" w:lineRule="auto" w:before="0"/>
        <w:ind w:left="4281" w:right="555" w:hanging="3483"/>
        <w:jc w:val="left"/>
        <w:rPr>
          <w:sz w:val="20"/>
        </w:rPr>
      </w:pPr>
      <w:bookmarkStart w:name="_bookmark67" w:id="95"/>
      <w:bookmarkEnd w:id="95"/>
      <w:r>
        <w:rPr/>
      </w:r>
      <w:r>
        <w:rPr>
          <w:sz w:val="20"/>
        </w:rPr>
        <w:t>Fig. 39. A) y B) Colocación del injerto óseo. C) Reposicionamiento del colgajo. D) y E) Sutura.</w:t>
      </w:r>
    </w:p>
    <w:p>
      <w:pPr>
        <w:spacing w:after="0" w:line="242" w:lineRule="auto"/>
        <w:jc w:val="left"/>
        <w:rPr>
          <w:sz w:val="20"/>
        </w:rPr>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8"/>
        <w:jc w:val="both"/>
      </w:pPr>
      <w:r>
        <w:rPr/>
        <w:t>Una vez realizada la sutura, se colocó una gasa estéril y se le pidió al paciente</w:t>
      </w:r>
      <w:r>
        <w:rPr>
          <w:spacing w:val="-28"/>
        </w:rPr>
        <w:t> </w:t>
      </w:r>
      <w:r>
        <w:rPr/>
        <w:t>que ocluyera para favorecer la formación del coagulo. Se entregó por escrito receta médica e indicaciones</w:t>
      </w:r>
      <w:r>
        <w:rPr>
          <w:spacing w:val="-14"/>
        </w:rPr>
        <w:t> </w:t>
      </w:r>
      <w:r>
        <w:rPr/>
        <w:t>postoperatorias.</w:t>
      </w:r>
    </w:p>
    <w:p>
      <w:pPr>
        <w:pStyle w:val="BodyText"/>
        <w:spacing w:before="204"/>
        <w:ind w:left="162"/>
        <w:jc w:val="both"/>
      </w:pPr>
      <w:r>
        <w:rPr>
          <w:u w:val="single"/>
        </w:rPr>
        <w:t>Postoperatorio</w:t>
      </w:r>
    </w:p>
    <w:p>
      <w:pPr>
        <w:pStyle w:val="BodyText"/>
        <w:spacing w:before="4"/>
        <w:rPr>
          <w:sz w:val="23"/>
        </w:rPr>
      </w:pPr>
    </w:p>
    <w:p>
      <w:pPr>
        <w:pStyle w:val="BodyText"/>
        <w:spacing w:line="360" w:lineRule="auto" w:before="70"/>
        <w:ind w:left="162" w:right="160"/>
        <w:jc w:val="both"/>
      </w:pPr>
      <w:r>
        <w:rPr/>
        <w:t>Las</w:t>
      </w:r>
      <w:r>
        <w:rPr>
          <w:spacing w:val="-8"/>
        </w:rPr>
        <w:t> </w:t>
      </w:r>
      <w:r>
        <w:rPr/>
        <w:t>suturas</w:t>
      </w:r>
      <w:r>
        <w:rPr>
          <w:spacing w:val="-10"/>
        </w:rPr>
        <w:t> </w:t>
      </w:r>
      <w:r>
        <w:rPr/>
        <w:t>fueron</w:t>
      </w:r>
      <w:r>
        <w:rPr>
          <w:spacing w:val="-7"/>
        </w:rPr>
        <w:t> </w:t>
      </w:r>
      <w:r>
        <w:rPr/>
        <w:t>retiradas</w:t>
      </w:r>
      <w:r>
        <w:rPr>
          <w:spacing w:val="-10"/>
        </w:rPr>
        <w:t> </w:t>
      </w:r>
      <w:r>
        <w:rPr/>
        <w:t>a</w:t>
      </w:r>
      <w:r>
        <w:rPr>
          <w:spacing w:val="-7"/>
        </w:rPr>
        <w:t> </w:t>
      </w:r>
      <w:r>
        <w:rPr/>
        <w:t>los</w:t>
      </w:r>
      <w:r>
        <w:rPr>
          <w:spacing w:val="-7"/>
        </w:rPr>
        <w:t> </w:t>
      </w:r>
      <w:r>
        <w:rPr/>
        <w:t>7</w:t>
      </w:r>
      <w:r>
        <w:rPr>
          <w:spacing w:val="-9"/>
        </w:rPr>
        <w:t> </w:t>
      </w:r>
      <w:r>
        <w:rPr/>
        <w:t>días</w:t>
      </w:r>
      <w:r>
        <w:rPr>
          <w:spacing w:val="-8"/>
        </w:rPr>
        <w:t> </w:t>
      </w:r>
      <w:r>
        <w:rPr/>
        <w:t>de</w:t>
      </w:r>
      <w:r>
        <w:rPr>
          <w:spacing w:val="-7"/>
        </w:rPr>
        <w:t> </w:t>
      </w:r>
      <w:r>
        <w:rPr/>
        <w:t>realizado</w:t>
      </w:r>
      <w:r>
        <w:rPr>
          <w:spacing w:val="-7"/>
        </w:rPr>
        <w:t> </w:t>
      </w:r>
      <w:r>
        <w:rPr/>
        <w:t>el</w:t>
      </w:r>
      <w:r>
        <w:rPr>
          <w:spacing w:val="-8"/>
        </w:rPr>
        <w:t> </w:t>
      </w:r>
      <w:r>
        <w:rPr/>
        <w:t>procedimiento</w:t>
      </w:r>
      <w:r>
        <w:rPr>
          <w:spacing w:val="-7"/>
        </w:rPr>
        <w:t> </w:t>
      </w:r>
      <w:r>
        <w:rPr/>
        <w:t>quirúrgico.</w:t>
      </w:r>
      <w:r>
        <w:rPr>
          <w:spacing w:val="-7"/>
        </w:rPr>
        <w:t> </w:t>
      </w:r>
      <w:r>
        <w:rPr/>
        <w:t>A exploración clínica se observó tejidos blandos sin datos de inflamación ni infección así como evolución satisfactoria del proceso de cicatrización. Se realiza una toma radiográfica</w:t>
      </w:r>
      <w:r>
        <w:rPr>
          <w:spacing w:val="-18"/>
        </w:rPr>
        <w:t> </w:t>
      </w:r>
      <w:r>
        <w:rPr/>
        <w:t>de</w:t>
      </w:r>
      <w:r>
        <w:rPr>
          <w:spacing w:val="-16"/>
        </w:rPr>
        <w:t> </w:t>
      </w:r>
      <w:r>
        <w:rPr/>
        <w:t>la</w:t>
      </w:r>
      <w:r>
        <w:rPr>
          <w:spacing w:val="-18"/>
        </w:rPr>
        <w:t> </w:t>
      </w:r>
      <w:r>
        <w:rPr/>
        <w:t>zona</w:t>
      </w:r>
      <w:r>
        <w:rPr>
          <w:spacing w:val="-20"/>
        </w:rPr>
        <w:t> </w:t>
      </w:r>
      <w:r>
        <w:rPr/>
        <w:t>intervenida</w:t>
      </w:r>
      <w:r>
        <w:rPr>
          <w:spacing w:val="-18"/>
        </w:rPr>
        <w:t> </w:t>
      </w:r>
      <w:r>
        <w:rPr/>
        <w:t>para</w:t>
      </w:r>
      <w:r>
        <w:rPr>
          <w:spacing w:val="-19"/>
        </w:rPr>
        <w:t> </w:t>
      </w:r>
      <w:r>
        <w:rPr/>
        <w:t>la</w:t>
      </w:r>
      <w:r>
        <w:rPr>
          <w:spacing w:val="-18"/>
        </w:rPr>
        <w:t> </w:t>
      </w:r>
      <w:r>
        <w:rPr/>
        <w:t>evaluación</w:t>
      </w:r>
      <w:r>
        <w:rPr>
          <w:spacing w:val="-17"/>
        </w:rPr>
        <w:t> </w:t>
      </w:r>
      <w:r>
        <w:rPr/>
        <w:t>del</w:t>
      </w:r>
      <w:r>
        <w:rPr>
          <w:spacing w:val="-17"/>
        </w:rPr>
        <w:t> </w:t>
      </w:r>
      <w:r>
        <w:rPr/>
        <w:t>procedimiento.</w:t>
      </w:r>
      <w:r>
        <w:rPr>
          <w:spacing w:val="-18"/>
        </w:rPr>
        <w:t> </w:t>
      </w:r>
      <w:r>
        <w:rPr/>
        <w:t>Se</w:t>
      </w:r>
      <w:r>
        <w:rPr>
          <w:spacing w:val="-16"/>
        </w:rPr>
        <w:t> </w:t>
      </w:r>
      <w:r>
        <w:rPr/>
        <w:t>le</w:t>
      </w:r>
      <w:r>
        <w:rPr>
          <w:spacing w:val="-16"/>
        </w:rPr>
        <w:t> </w:t>
      </w:r>
      <w:r>
        <w:rPr/>
        <w:t>indica a la paciente retomar su dieta normal. Se entregan los resultados del estudio histopatológico con diagnóstico definitivo de granuloma periapical maxila región incisivo-canino superior izquierdo (</w:t>
      </w:r>
      <w:hyperlink w:history="true" w:anchor="_bookmark76">
        <w:r>
          <w:rPr>
            <w:rFonts w:ascii="Calibri" w:hAnsi="Calibri"/>
            <w:sz w:val="22"/>
          </w:rPr>
          <w:t>ANEXO 3</w:t>
        </w:r>
      </w:hyperlink>
      <w:r>
        <w:rPr/>
        <w:t>). Finalmente se le indica la periodicidad en</w:t>
      </w:r>
      <w:r>
        <w:rPr>
          <w:spacing w:val="-4"/>
        </w:rPr>
        <w:t> </w:t>
      </w:r>
      <w:r>
        <w:rPr/>
        <w:t>que</w:t>
      </w:r>
      <w:r>
        <w:rPr>
          <w:spacing w:val="-6"/>
        </w:rPr>
        <w:t> </w:t>
      </w:r>
      <w:r>
        <w:rPr/>
        <w:t>deberá</w:t>
      </w:r>
      <w:r>
        <w:rPr>
          <w:spacing w:val="-7"/>
        </w:rPr>
        <w:t> </w:t>
      </w:r>
      <w:r>
        <w:rPr/>
        <w:t>presentarse</w:t>
      </w:r>
      <w:r>
        <w:rPr>
          <w:spacing w:val="-4"/>
        </w:rPr>
        <w:t> </w:t>
      </w:r>
      <w:r>
        <w:rPr/>
        <w:t>a</w:t>
      </w:r>
      <w:r>
        <w:rPr>
          <w:spacing w:val="-4"/>
        </w:rPr>
        <w:t> </w:t>
      </w:r>
      <w:r>
        <w:rPr/>
        <w:t>consulta</w:t>
      </w:r>
      <w:r>
        <w:rPr>
          <w:spacing w:val="-6"/>
        </w:rPr>
        <w:t> </w:t>
      </w:r>
      <w:r>
        <w:rPr/>
        <w:t>para</w:t>
      </w:r>
      <w:r>
        <w:rPr>
          <w:spacing w:val="-7"/>
        </w:rPr>
        <w:t> </w:t>
      </w:r>
      <w:r>
        <w:rPr/>
        <w:t>evaluar</w:t>
      </w:r>
      <w:r>
        <w:rPr>
          <w:spacing w:val="-5"/>
        </w:rPr>
        <w:t> </w:t>
      </w:r>
      <w:r>
        <w:rPr/>
        <w:t>los</w:t>
      </w:r>
      <w:r>
        <w:rPr>
          <w:spacing w:val="-4"/>
        </w:rPr>
        <w:t> </w:t>
      </w:r>
      <w:r>
        <w:rPr/>
        <w:t>resultados</w:t>
      </w:r>
      <w:r>
        <w:rPr>
          <w:spacing w:val="-7"/>
        </w:rPr>
        <w:t> </w:t>
      </w:r>
      <w:r>
        <w:rPr/>
        <w:t>obtenidos</w:t>
      </w:r>
      <w:r>
        <w:rPr>
          <w:spacing w:val="-7"/>
        </w:rPr>
        <w:t> </w:t>
      </w:r>
      <w:r>
        <w:rPr/>
        <w:t>a</w:t>
      </w:r>
      <w:r>
        <w:rPr>
          <w:spacing w:val="-4"/>
        </w:rPr>
        <w:t> </w:t>
      </w:r>
      <w:r>
        <w:rPr/>
        <w:t>los</w:t>
      </w:r>
      <w:r>
        <w:rPr>
          <w:spacing w:val="-6"/>
        </w:rPr>
        <w:t> </w:t>
      </w:r>
      <w:r>
        <w:rPr/>
        <w:t>6 meses y posteriormente al año de realizado el tratamiento (</w:t>
      </w:r>
      <w:hyperlink w:history="true" w:anchor="_bookmark68">
        <w:r>
          <w:rPr>
            <w:rFonts w:ascii="Calibri" w:hAnsi="Calibri"/>
            <w:sz w:val="22"/>
          </w:rPr>
          <w:t>Fig.</w:t>
        </w:r>
        <w:r>
          <w:rPr>
            <w:rFonts w:ascii="Calibri" w:hAnsi="Calibri"/>
            <w:spacing w:val="-19"/>
            <w:sz w:val="22"/>
          </w:rPr>
          <w:t> </w:t>
        </w:r>
        <w:r>
          <w:rPr>
            <w:rFonts w:ascii="Calibri" w:hAnsi="Calibri"/>
            <w:sz w:val="22"/>
          </w:rPr>
          <w:t>40</w:t>
        </w:r>
      </w:hyperlink>
      <w:r>
        <w:rPr/>
        <w:t>).</w:t>
      </w:r>
    </w:p>
    <w:p>
      <w:pPr>
        <w:pStyle w:val="BodyText"/>
        <w:rPr>
          <w:sz w:val="14"/>
        </w:rPr>
      </w:pPr>
      <w:r>
        <w:rPr/>
        <w:drawing>
          <wp:anchor distT="0" distB="0" distL="0" distR="0" allowOverlap="1" layoutInCell="1" locked="0" behindDoc="0" simplePos="0" relativeHeight="1744">
            <wp:simplePos x="0" y="0"/>
            <wp:positionH relativeFrom="page">
              <wp:posOffset>2019300</wp:posOffset>
            </wp:positionH>
            <wp:positionV relativeFrom="paragraph">
              <wp:posOffset>127091</wp:posOffset>
            </wp:positionV>
            <wp:extent cx="3724655" cy="2785872"/>
            <wp:effectExtent l="0" t="0" r="0" b="0"/>
            <wp:wrapTopAndBottom/>
            <wp:docPr id="81" name="image42.jpeg" descr=""/>
            <wp:cNvGraphicFramePr>
              <a:graphicFrameLocks noChangeAspect="1"/>
            </wp:cNvGraphicFramePr>
            <a:graphic>
              <a:graphicData uri="http://schemas.openxmlformats.org/drawingml/2006/picture">
                <pic:pic>
                  <pic:nvPicPr>
                    <pic:cNvPr id="82" name="image42.jpeg"/>
                    <pic:cNvPicPr/>
                  </pic:nvPicPr>
                  <pic:blipFill>
                    <a:blip r:embed="rId57" cstate="print"/>
                    <a:stretch>
                      <a:fillRect/>
                    </a:stretch>
                  </pic:blipFill>
                  <pic:spPr>
                    <a:xfrm>
                      <a:off x="0" y="0"/>
                      <a:ext cx="3724655" cy="2785872"/>
                    </a:xfrm>
                    <a:prstGeom prst="rect">
                      <a:avLst/>
                    </a:prstGeom>
                  </pic:spPr>
                </pic:pic>
              </a:graphicData>
            </a:graphic>
          </wp:anchor>
        </w:drawing>
      </w:r>
    </w:p>
    <w:p>
      <w:pPr>
        <w:spacing w:line="242" w:lineRule="auto" w:before="169"/>
        <w:ind w:left="3366" w:right="0" w:hanging="2463"/>
        <w:jc w:val="left"/>
        <w:rPr>
          <w:sz w:val="20"/>
        </w:rPr>
      </w:pPr>
      <w:bookmarkStart w:name="_bookmark68" w:id="96"/>
      <w:bookmarkEnd w:id="96"/>
      <w:r>
        <w:rPr/>
      </w:r>
      <w:r>
        <w:rPr>
          <w:sz w:val="20"/>
        </w:rPr>
        <w:t>Fig. 40. A) y B) Tejido en el postoperatorio a los 7 días. C) y D) Rx. de evaluación postoperatoria a los 7 días.</w:t>
      </w:r>
    </w:p>
    <w:p>
      <w:pPr>
        <w:spacing w:after="0" w:line="242" w:lineRule="auto"/>
        <w:jc w:val="left"/>
        <w:rPr>
          <w:sz w:val="20"/>
        </w:rPr>
        <w:sectPr>
          <w:footerReference w:type="default" r:id="rId56"/>
          <w:pgSz w:w="12240" w:h="15840"/>
          <w:pgMar w:footer="1572" w:header="744" w:top="1080" w:bottom="1760" w:left="1540" w:right="1540"/>
        </w:sectPr>
      </w:pPr>
    </w:p>
    <w:p>
      <w:pPr>
        <w:pStyle w:val="BodyText"/>
        <w:spacing w:before="4"/>
        <w:rPr>
          <w:sz w:val="21"/>
        </w:rPr>
      </w:pPr>
    </w:p>
    <w:p>
      <w:pPr>
        <w:pStyle w:val="BodyText"/>
        <w:spacing w:before="69"/>
        <w:ind w:left="162"/>
      </w:pPr>
      <w:r>
        <w:rPr>
          <w:u w:val="single"/>
        </w:rPr>
        <w:t>Evaluación postoperatoria a los 6 meses</w:t>
      </w:r>
    </w:p>
    <w:p>
      <w:pPr>
        <w:pStyle w:val="BodyText"/>
        <w:spacing w:before="5"/>
        <w:rPr>
          <w:sz w:val="23"/>
        </w:rPr>
      </w:pPr>
    </w:p>
    <w:p>
      <w:pPr>
        <w:pStyle w:val="BodyText"/>
        <w:spacing w:line="360" w:lineRule="auto" w:before="69"/>
        <w:ind w:left="162" w:right="154"/>
        <w:jc w:val="both"/>
      </w:pPr>
      <w:r>
        <w:rPr/>
        <w:drawing>
          <wp:anchor distT="0" distB="0" distL="0" distR="0" allowOverlap="1" layoutInCell="1" locked="0" behindDoc="1" simplePos="0" relativeHeight="268395959">
            <wp:simplePos x="0" y="0"/>
            <wp:positionH relativeFrom="page">
              <wp:posOffset>2177795</wp:posOffset>
            </wp:positionH>
            <wp:positionV relativeFrom="paragraph">
              <wp:posOffset>1250262</wp:posOffset>
            </wp:positionV>
            <wp:extent cx="3584448" cy="1487423"/>
            <wp:effectExtent l="0" t="0" r="0" b="0"/>
            <wp:wrapNone/>
            <wp:docPr id="83" name="image43.jpeg" descr=""/>
            <wp:cNvGraphicFramePr>
              <a:graphicFrameLocks noChangeAspect="1"/>
            </wp:cNvGraphicFramePr>
            <a:graphic>
              <a:graphicData uri="http://schemas.openxmlformats.org/drawingml/2006/picture">
                <pic:pic>
                  <pic:nvPicPr>
                    <pic:cNvPr id="84" name="image43.jpeg"/>
                    <pic:cNvPicPr/>
                  </pic:nvPicPr>
                  <pic:blipFill>
                    <a:blip r:embed="rId59" cstate="print"/>
                    <a:stretch>
                      <a:fillRect/>
                    </a:stretch>
                  </pic:blipFill>
                  <pic:spPr>
                    <a:xfrm>
                      <a:off x="0" y="0"/>
                      <a:ext cx="3584448" cy="1487423"/>
                    </a:xfrm>
                    <a:prstGeom prst="rect">
                      <a:avLst/>
                    </a:prstGeom>
                  </pic:spPr>
                </pic:pic>
              </a:graphicData>
            </a:graphic>
          </wp:anchor>
        </w:drawing>
      </w:r>
      <w:r>
        <w:rPr/>
        <w:t>La paciente refiere ligero dolor de tipo punzante en el OD-23. Clínicamente no se observan datos de reincidencia de la lesión. Se toma radiografía de la zona tratada en la cual se observan zonas radiolúcidas en la zona injertada principalmente rodeando la raíz del OD-22 y reabsorción externa en el tercio apical del OD-23 (</w:t>
      </w:r>
      <w:hyperlink w:history="true" w:anchor="_bookmark69">
        <w:r>
          <w:rPr>
            <w:rFonts w:ascii="Calibri" w:hAnsi="Calibri"/>
            <w:sz w:val="22"/>
          </w:rPr>
          <w:t>Fig.</w:t>
        </w:r>
      </w:hyperlink>
      <w:r>
        <w:rPr>
          <w:rFonts w:ascii="Calibri" w:hAnsi="Calibri"/>
          <w:sz w:val="22"/>
        </w:rPr>
        <w:t> </w:t>
      </w:r>
      <w:hyperlink w:history="true" w:anchor="_bookmark69">
        <w:r>
          <w:rPr>
            <w:rFonts w:ascii="Calibri" w:hAnsi="Calibri"/>
            <w:sz w:val="22"/>
          </w:rPr>
          <w:t>41</w:t>
        </w:r>
      </w:hyperlink>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5"/>
        </w:rPr>
      </w:pPr>
    </w:p>
    <w:p>
      <w:pPr>
        <w:spacing w:before="1"/>
        <w:ind w:left="630" w:right="439" w:firstLine="9"/>
        <w:jc w:val="center"/>
        <w:rPr>
          <w:sz w:val="20"/>
        </w:rPr>
      </w:pPr>
      <w:bookmarkStart w:name="_bookmark69" w:id="97"/>
      <w:bookmarkEnd w:id="97"/>
      <w:r>
        <w:rPr/>
      </w:r>
      <w:r>
        <w:rPr>
          <w:sz w:val="20"/>
        </w:rPr>
        <w:t>Fig. 41. A), B) y C) Rx. postoperatorias de la zona anterior en diferente angulación a los 6 meses de realizado el procedimiento quirúrgico. Se observa adecuada osteointegración</w:t>
      </w:r>
      <w:r>
        <w:rPr>
          <w:spacing w:val="-23"/>
          <w:sz w:val="20"/>
        </w:rPr>
        <w:t> </w:t>
      </w:r>
      <w:r>
        <w:rPr>
          <w:sz w:val="20"/>
        </w:rPr>
        <w:t>del injerto óseo y reabsorción apical en el</w:t>
      </w:r>
      <w:r>
        <w:rPr>
          <w:spacing w:val="-18"/>
          <w:sz w:val="20"/>
        </w:rPr>
        <w:t> </w:t>
      </w:r>
      <w:r>
        <w:rPr>
          <w:sz w:val="20"/>
        </w:rPr>
        <w:t>OD-23.</w:t>
      </w:r>
    </w:p>
    <w:p>
      <w:pPr>
        <w:spacing w:after="0"/>
        <w:jc w:val="center"/>
        <w:rPr>
          <w:sz w:val="20"/>
        </w:rPr>
        <w:sectPr>
          <w:footerReference w:type="default" r:id="rId58"/>
          <w:pgSz w:w="12240" w:h="15840"/>
          <w:pgMar w:footer="1572" w:header="744" w:top="1080" w:bottom="1760" w:left="1540" w:right="1540"/>
          <w:pgNumType w:start="51"/>
        </w:sectPr>
      </w:pPr>
    </w:p>
    <w:p>
      <w:pPr>
        <w:pStyle w:val="BodyText"/>
        <w:spacing w:before="6"/>
        <w:rPr>
          <w:sz w:val="21"/>
        </w:rPr>
      </w:pPr>
    </w:p>
    <w:p>
      <w:pPr>
        <w:pStyle w:val="Heading1"/>
        <w:numPr>
          <w:ilvl w:val="0"/>
          <w:numId w:val="9"/>
        </w:numPr>
        <w:tabs>
          <w:tab w:pos="882" w:val="left" w:leader="none"/>
        </w:tabs>
        <w:spacing w:line="240" w:lineRule="auto" w:before="70" w:after="0"/>
        <w:ind w:left="882" w:right="0" w:hanging="360"/>
        <w:jc w:val="left"/>
      </w:pPr>
      <w:bookmarkStart w:name="_bookmark70" w:id="98"/>
      <w:bookmarkEnd w:id="98"/>
      <w:r>
        <w:rPr>
          <w:b w:val="0"/>
        </w:rPr>
      </w:r>
      <w:bookmarkStart w:name="_bookmark70" w:id="99"/>
      <w:bookmarkEnd w:id="99"/>
      <w:r>
        <w:rPr/>
        <w:t>DIS</w:t>
      </w:r>
      <w:r>
        <w:rPr/>
        <w:t>CUSIÓN</w:t>
      </w:r>
    </w:p>
    <w:p>
      <w:pPr>
        <w:pStyle w:val="BodyText"/>
        <w:spacing w:before="2"/>
        <w:rPr>
          <w:b/>
          <w:sz w:val="29"/>
        </w:rPr>
      </w:pPr>
    </w:p>
    <w:p>
      <w:pPr>
        <w:pStyle w:val="BodyText"/>
        <w:spacing w:line="360" w:lineRule="auto" w:before="1"/>
        <w:ind w:left="162" w:right="155"/>
        <w:jc w:val="both"/>
      </w:pPr>
      <w:r>
        <w:rPr/>
        <w:t>De acuerdo con Lin (2), la persistencia bacteriana causada por un inadecuado desbridamiento o un sellado apical deficiente son los principales factores que conducen</w:t>
      </w:r>
      <w:r>
        <w:rPr>
          <w:spacing w:val="-6"/>
        </w:rPr>
        <w:t> </w:t>
      </w:r>
      <w:r>
        <w:rPr/>
        <w:t>al</w:t>
      </w:r>
      <w:r>
        <w:rPr>
          <w:spacing w:val="-7"/>
        </w:rPr>
        <w:t> </w:t>
      </w:r>
      <w:r>
        <w:rPr/>
        <w:t>fracaso</w:t>
      </w:r>
      <w:r>
        <w:rPr>
          <w:spacing w:val="-5"/>
        </w:rPr>
        <w:t> </w:t>
      </w:r>
      <w:r>
        <w:rPr/>
        <w:t>endodóntico,</w:t>
      </w:r>
      <w:r>
        <w:rPr>
          <w:spacing w:val="-6"/>
        </w:rPr>
        <w:t> </w:t>
      </w:r>
      <w:r>
        <w:rPr/>
        <w:t>mientras</w:t>
      </w:r>
      <w:r>
        <w:rPr>
          <w:spacing w:val="-5"/>
        </w:rPr>
        <w:t> </w:t>
      </w:r>
      <w:r>
        <w:rPr/>
        <w:t>que</w:t>
      </w:r>
      <w:r>
        <w:rPr>
          <w:spacing w:val="-5"/>
        </w:rPr>
        <w:t> </w:t>
      </w:r>
      <w:r>
        <w:rPr/>
        <w:t>la</w:t>
      </w:r>
      <w:r>
        <w:rPr>
          <w:spacing w:val="-5"/>
        </w:rPr>
        <w:t> </w:t>
      </w:r>
      <w:r>
        <w:rPr/>
        <w:t>extensión</w:t>
      </w:r>
      <w:r>
        <w:rPr>
          <w:spacing w:val="-5"/>
        </w:rPr>
        <w:t> </w:t>
      </w:r>
      <w:r>
        <w:rPr/>
        <w:t>apical</w:t>
      </w:r>
      <w:r>
        <w:rPr>
          <w:spacing w:val="-7"/>
        </w:rPr>
        <w:t> </w:t>
      </w:r>
      <w:r>
        <w:rPr/>
        <w:t>de</w:t>
      </w:r>
      <w:r>
        <w:rPr>
          <w:spacing w:val="-5"/>
        </w:rPr>
        <w:t> </w:t>
      </w:r>
      <w:r>
        <w:rPr/>
        <w:t>la</w:t>
      </w:r>
      <w:r>
        <w:rPr>
          <w:spacing w:val="-5"/>
        </w:rPr>
        <w:t> </w:t>
      </w:r>
      <w:r>
        <w:rPr/>
        <w:t>obturación radicular y la existencia de una rarefacción periapical preoperatoria no son</w:t>
      </w:r>
      <w:r>
        <w:rPr>
          <w:spacing w:val="-29"/>
        </w:rPr>
        <w:t> </w:t>
      </w:r>
      <w:r>
        <w:rPr/>
        <w:t>factores determinantes</w:t>
      </w:r>
      <w:r>
        <w:rPr>
          <w:spacing w:val="-12"/>
        </w:rPr>
        <w:t> </w:t>
      </w:r>
      <w:r>
        <w:rPr/>
        <w:t>en</w:t>
      </w:r>
      <w:r>
        <w:rPr>
          <w:spacing w:val="-11"/>
        </w:rPr>
        <w:t> </w:t>
      </w:r>
      <w:r>
        <w:rPr/>
        <w:t>el</w:t>
      </w:r>
      <w:r>
        <w:rPr>
          <w:spacing w:val="-10"/>
        </w:rPr>
        <w:t> </w:t>
      </w:r>
      <w:r>
        <w:rPr/>
        <w:t>pronóstico.</w:t>
      </w:r>
      <w:r>
        <w:rPr>
          <w:spacing w:val="-10"/>
        </w:rPr>
        <w:t> </w:t>
      </w:r>
      <w:r>
        <w:rPr/>
        <w:t>Sin</w:t>
      </w:r>
      <w:r>
        <w:rPr>
          <w:spacing w:val="-11"/>
        </w:rPr>
        <w:t> </w:t>
      </w:r>
      <w:r>
        <w:rPr/>
        <w:t>embargo,</w:t>
      </w:r>
      <w:r>
        <w:rPr>
          <w:spacing w:val="-11"/>
        </w:rPr>
        <w:t> </w:t>
      </w:r>
      <w:r>
        <w:rPr/>
        <w:t>los</w:t>
      </w:r>
      <w:r>
        <w:rPr>
          <w:spacing w:val="-10"/>
        </w:rPr>
        <w:t> </w:t>
      </w:r>
      <w:r>
        <w:rPr/>
        <w:t>dientes</w:t>
      </w:r>
      <w:r>
        <w:rPr>
          <w:spacing w:val="-10"/>
        </w:rPr>
        <w:t> </w:t>
      </w:r>
      <w:r>
        <w:rPr/>
        <w:t>con</w:t>
      </w:r>
      <w:r>
        <w:rPr>
          <w:spacing w:val="-11"/>
        </w:rPr>
        <w:t> </w:t>
      </w:r>
      <w:r>
        <w:rPr/>
        <w:t>exceso</w:t>
      </w:r>
      <w:r>
        <w:rPr>
          <w:spacing w:val="-9"/>
        </w:rPr>
        <w:t> </w:t>
      </w:r>
      <w:r>
        <w:rPr/>
        <w:t>de</w:t>
      </w:r>
      <w:r>
        <w:rPr>
          <w:spacing w:val="-11"/>
        </w:rPr>
        <w:t> </w:t>
      </w:r>
      <w:r>
        <w:rPr/>
        <w:t>material</w:t>
      </w:r>
      <w:r>
        <w:rPr>
          <w:spacing w:val="-12"/>
        </w:rPr>
        <w:t> </w:t>
      </w:r>
      <w:r>
        <w:rPr/>
        <w:t>de obturación en combinación con la presencia de una lesión perirradicular han demostrado</w:t>
      </w:r>
      <w:r>
        <w:rPr>
          <w:spacing w:val="-9"/>
        </w:rPr>
        <w:t> </w:t>
      </w:r>
      <w:r>
        <w:rPr/>
        <w:t>tener</w:t>
      </w:r>
      <w:r>
        <w:rPr>
          <w:spacing w:val="-13"/>
        </w:rPr>
        <w:t> </w:t>
      </w:r>
      <w:r>
        <w:rPr/>
        <w:t>un</w:t>
      </w:r>
      <w:r>
        <w:rPr>
          <w:spacing w:val="-12"/>
        </w:rPr>
        <w:t> </w:t>
      </w:r>
      <w:r>
        <w:rPr/>
        <w:t>pobre</w:t>
      </w:r>
      <w:r>
        <w:rPr>
          <w:spacing w:val="-10"/>
        </w:rPr>
        <w:t> </w:t>
      </w:r>
      <w:r>
        <w:rPr/>
        <w:t>pronóstico</w:t>
      </w:r>
      <w:r>
        <w:rPr>
          <w:spacing w:val="-9"/>
        </w:rPr>
        <w:t> </w:t>
      </w:r>
      <w:r>
        <w:rPr/>
        <w:t>en</w:t>
      </w:r>
      <w:r>
        <w:rPr>
          <w:spacing w:val="-9"/>
        </w:rPr>
        <w:t> </w:t>
      </w:r>
      <w:r>
        <w:rPr/>
        <w:t>comparación</w:t>
      </w:r>
      <w:r>
        <w:rPr>
          <w:spacing w:val="-9"/>
        </w:rPr>
        <w:t> </w:t>
      </w:r>
      <w:r>
        <w:rPr/>
        <w:t>con</w:t>
      </w:r>
      <w:r>
        <w:rPr>
          <w:spacing w:val="-12"/>
        </w:rPr>
        <w:t> </w:t>
      </w:r>
      <w:r>
        <w:rPr/>
        <w:t>dientes</w:t>
      </w:r>
      <w:r>
        <w:rPr>
          <w:spacing w:val="-13"/>
        </w:rPr>
        <w:t> </w:t>
      </w:r>
      <w:r>
        <w:rPr/>
        <w:t>sin</w:t>
      </w:r>
      <w:r>
        <w:rPr>
          <w:spacing w:val="-10"/>
        </w:rPr>
        <w:t> </w:t>
      </w:r>
      <w:r>
        <w:rPr/>
        <w:t>el</w:t>
      </w:r>
      <w:r>
        <w:rPr>
          <w:spacing w:val="-11"/>
        </w:rPr>
        <w:t> </w:t>
      </w:r>
      <w:r>
        <w:rPr/>
        <w:t>exceso</w:t>
      </w:r>
      <w:r>
        <w:rPr>
          <w:spacing w:val="-12"/>
        </w:rPr>
        <w:t> </w:t>
      </w:r>
      <w:r>
        <w:rPr/>
        <w:t>de material</w:t>
      </w:r>
      <w:r>
        <w:rPr>
          <w:spacing w:val="-14"/>
        </w:rPr>
        <w:t> </w:t>
      </w:r>
      <w:r>
        <w:rPr/>
        <w:t>de</w:t>
      </w:r>
      <w:r>
        <w:rPr>
          <w:spacing w:val="-16"/>
        </w:rPr>
        <w:t> </w:t>
      </w:r>
      <w:r>
        <w:rPr/>
        <w:t>obturación</w:t>
      </w:r>
      <w:r>
        <w:rPr>
          <w:spacing w:val="-18"/>
        </w:rPr>
        <w:t> </w:t>
      </w:r>
      <w:r>
        <w:rPr/>
        <w:t>(2).</w:t>
      </w:r>
      <w:r>
        <w:rPr>
          <w:spacing w:val="-14"/>
        </w:rPr>
        <w:t> </w:t>
      </w:r>
      <w:r>
        <w:rPr/>
        <w:t>En</w:t>
      </w:r>
      <w:r>
        <w:rPr>
          <w:spacing w:val="-15"/>
        </w:rPr>
        <w:t> </w:t>
      </w:r>
      <w:r>
        <w:rPr/>
        <w:t>el</w:t>
      </w:r>
      <w:r>
        <w:rPr>
          <w:spacing w:val="-17"/>
        </w:rPr>
        <w:t> </w:t>
      </w:r>
      <w:r>
        <w:rPr/>
        <w:t>primer</w:t>
      </w:r>
      <w:r>
        <w:rPr>
          <w:spacing w:val="-15"/>
        </w:rPr>
        <w:t> </w:t>
      </w:r>
      <w:r>
        <w:rPr/>
        <w:t>reporte</w:t>
      </w:r>
      <w:r>
        <w:rPr>
          <w:spacing w:val="-13"/>
        </w:rPr>
        <w:t> </w:t>
      </w:r>
      <w:r>
        <w:rPr/>
        <w:t>de</w:t>
      </w:r>
      <w:r>
        <w:rPr>
          <w:spacing w:val="-13"/>
        </w:rPr>
        <w:t> </w:t>
      </w:r>
      <w:r>
        <w:rPr/>
        <w:t>caso,</w:t>
      </w:r>
      <w:r>
        <w:rPr>
          <w:spacing w:val="-16"/>
        </w:rPr>
        <w:t> </w:t>
      </w:r>
      <w:r>
        <w:rPr/>
        <w:t>el</w:t>
      </w:r>
      <w:r>
        <w:rPr>
          <w:spacing w:val="-17"/>
        </w:rPr>
        <w:t> </w:t>
      </w:r>
      <w:r>
        <w:rPr/>
        <w:t>origen</w:t>
      </w:r>
      <w:r>
        <w:rPr>
          <w:spacing w:val="-16"/>
        </w:rPr>
        <w:t> </w:t>
      </w:r>
      <w:r>
        <w:rPr/>
        <w:t>de</w:t>
      </w:r>
      <w:r>
        <w:rPr>
          <w:spacing w:val="-18"/>
        </w:rPr>
        <w:t> </w:t>
      </w:r>
      <w:r>
        <w:rPr/>
        <w:t>la</w:t>
      </w:r>
      <w:r>
        <w:rPr>
          <w:spacing w:val="-13"/>
        </w:rPr>
        <w:t> </w:t>
      </w:r>
      <w:r>
        <w:rPr/>
        <w:t>lesión</w:t>
      </w:r>
      <w:r>
        <w:rPr>
          <w:spacing w:val="-15"/>
        </w:rPr>
        <w:t> </w:t>
      </w:r>
      <w:r>
        <w:rPr/>
        <w:t>parece ser el fracaso endodóntico del OD-12 que puede atribuirse a su vez a múltiples factores como el deficiente sellado apical y el incompleto desbridamiento del conducto radicular. No podemos determinar si la lesión perirradicular estaba presente</w:t>
      </w:r>
      <w:r>
        <w:rPr>
          <w:spacing w:val="-9"/>
        </w:rPr>
        <w:t> </w:t>
      </w:r>
      <w:r>
        <w:rPr/>
        <w:t>previo</w:t>
      </w:r>
      <w:r>
        <w:rPr>
          <w:spacing w:val="-10"/>
        </w:rPr>
        <w:t> </w:t>
      </w:r>
      <w:r>
        <w:rPr/>
        <w:t>al</w:t>
      </w:r>
      <w:r>
        <w:rPr>
          <w:spacing w:val="-11"/>
        </w:rPr>
        <w:t> </w:t>
      </w:r>
      <w:r>
        <w:rPr/>
        <w:t>tratamiento</w:t>
      </w:r>
      <w:r>
        <w:rPr>
          <w:spacing w:val="-9"/>
        </w:rPr>
        <w:t> </w:t>
      </w:r>
      <w:r>
        <w:rPr/>
        <w:t>endodóntico</w:t>
      </w:r>
      <w:r>
        <w:rPr>
          <w:spacing w:val="-9"/>
        </w:rPr>
        <w:t> </w:t>
      </w:r>
      <w:r>
        <w:rPr/>
        <w:t>inicial,</w:t>
      </w:r>
      <w:r>
        <w:rPr>
          <w:spacing w:val="-10"/>
        </w:rPr>
        <w:t> </w:t>
      </w:r>
      <w:r>
        <w:rPr/>
        <w:t>si</w:t>
      </w:r>
      <w:r>
        <w:rPr>
          <w:spacing w:val="-13"/>
        </w:rPr>
        <w:t> </w:t>
      </w:r>
      <w:r>
        <w:rPr/>
        <w:t>fue</w:t>
      </w:r>
      <w:r>
        <w:rPr>
          <w:spacing w:val="-12"/>
        </w:rPr>
        <w:t> </w:t>
      </w:r>
      <w:r>
        <w:rPr/>
        <w:t>el</w:t>
      </w:r>
      <w:r>
        <w:rPr>
          <w:spacing w:val="-11"/>
        </w:rPr>
        <w:t> </w:t>
      </w:r>
      <w:r>
        <w:rPr/>
        <w:t>resultado</w:t>
      </w:r>
      <w:r>
        <w:rPr>
          <w:spacing w:val="-12"/>
        </w:rPr>
        <w:t> </w:t>
      </w:r>
      <w:r>
        <w:rPr/>
        <w:t>de</w:t>
      </w:r>
      <w:r>
        <w:rPr>
          <w:spacing w:val="-9"/>
        </w:rPr>
        <w:t> </w:t>
      </w:r>
      <w:r>
        <w:rPr/>
        <w:t>la</w:t>
      </w:r>
      <w:r>
        <w:rPr>
          <w:spacing w:val="-12"/>
        </w:rPr>
        <w:t> </w:t>
      </w:r>
      <w:r>
        <w:rPr/>
        <w:t>presencia del</w:t>
      </w:r>
      <w:r>
        <w:rPr>
          <w:spacing w:val="-8"/>
        </w:rPr>
        <w:t> </w:t>
      </w:r>
      <w:r>
        <w:rPr/>
        <w:t>material</w:t>
      </w:r>
      <w:r>
        <w:rPr>
          <w:spacing w:val="-10"/>
        </w:rPr>
        <w:t> </w:t>
      </w:r>
      <w:r>
        <w:rPr/>
        <w:t>de</w:t>
      </w:r>
      <w:r>
        <w:rPr>
          <w:spacing w:val="-7"/>
        </w:rPr>
        <w:t> </w:t>
      </w:r>
      <w:r>
        <w:rPr/>
        <w:t>obturación</w:t>
      </w:r>
      <w:r>
        <w:rPr>
          <w:spacing w:val="-7"/>
        </w:rPr>
        <w:t> </w:t>
      </w:r>
      <w:r>
        <w:rPr/>
        <w:t>extruido</w:t>
      </w:r>
      <w:r>
        <w:rPr>
          <w:spacing w:val="-7"/>
        </w:rPr>
        <w:t> </w:t>
      </w:r>
      <w:r>
        <w:rPr/>
        <w:t>visible</w:t>
      </w:r>
      <w:r>
        <w:rPr>
          <w:spacing w:val="-7"/>
        </w:rPr>
        <w:t> </w:t>
      </w:r>
      <w:r>
        <w:rPr/>
        <w:t>en</w:t>
      </w:r>
      <w:r>
        <w:rPr>
          <w:spacing w:val="-7"/>
        </w:rPr>
        <w:t> </w:t>
      </w:r>
      <w:r>
        <w:rPr/>
        <w:t>la</w:t>
      </w:r>
      <w:r>
        <w:rPr>
          <w:spacing w:val="-7"/>
        </w:rPr>
        <w:t> </w:t>
      </w:r>
      <w:r>
        <w:rPr/>
        <w:t>radiografía</w:t>
      </w:r>
      <w:r>
        <w:rPr>
          <w:spacing w:val="-7"/>
        </w:rPr>
        <w:t> </w:t>
      </w:r>
      <w:r>
        <w:rPr/>
        <w:t>inicial</w:t>
      </w:r>
      <w:r>
        <w:rPr>
          <w:spacing w:val="-8"/>
        </w:rPr>
        <w:t> </w:t>
      </w:r>
      <w:r>
        <w:rPr/>
        <w:t>en</w:t>
      </w:r>
      <w:r>
        <w:rPr>
          <w:spacing w:val="-11"/>
        </w:rPr>
        <w:t> </w:t>
      </w:r>
      <w:r>
        <w:rPr/>
        <w:t>conjunto</w:t>
      </w:r>
      <w:r>
        <w:rPr>
          <w:spacing w:val="-7"/>
        </w:rPr>
        <w:t> </w:t>
      </w:r>
      <w:r>
        <w:rPr/>
        <w:t>con</w:t>
      </w:r>
      <w:r>
        <w:rPr>
          <w:spacing w:val="-7"/>
        </w:rPr>
        <w:t> </w:t>
      </w:r>
      <w:r>
        <w:rPr/>
        <w:t>la deficiencia</w:t>
      </w:r>
      <w:r>
        <w:rPr>
          <w:spacing w:val="-9"/>
        </w:rPr>
        <w:t> </w:t>
      </w:r>
      <w:r>
        <w:rPr/>
        <w:t>del</w:t>
      </w:r>
      <w:r>
        <w:rPr>
          <w:spacing w:val="-7"/>
        </w:rPr>
        <w:t> </w:t>
      </w:r>
      <w:r>
        <w:rPr/>
        <w:t>sellado</w:t>
      </w:r>
      <w:r>
        <w:rPr>
          <w:spacing w:val="-11"/>
        </w:rPr>
        <w:t> </w:t>
      </w:r>
      <w:r>
        <w:rPr/>
        <w:t>apical</w:t>
      </w:r>
      <w:r>
        <w:rPr>
          <w:spacing w:val="-10"/>
        </w:rPr>
        <w:t> </w:t>
      </w:r>
      <w:r>
        <w:rPr/>
        <w:t>o</w:t>
      </w:r>
      <w:r>
        <w:rPr>
          <w:spacing w:val="-6"/>
        </w:rPr>
        <w:t> </w:t>
      </w:r>
      <w:r>
        <w:rPr/>
        <w:t>como</w:t>
      </w:r>
      <w:r>
        <w:rPr>
          <w:spacing w:val="-6"/>
        </w:rPr>
        <w:t> </w:t>
      </w:r>
      <w:r>
        <w:rPr/>
        <w:t>la</w:t>
      </w:r>
      <w:r>
        <w:rPr>
          <w:spacing w:val="-9"/>
        </w:rPr>
        <w:t> </w:t>
      </w:r>
      <w:r>
        <w:rPr/>
        <w:t>literatura</w:t>
      </w:r>
      <w:r>
        <w:rPr>
          <w:spacing w:val="-7"/>
        </w:rPr>
        <w:t> </w:t>
      </w:r>
      <w:r>
        <w:rPr/>
        <w:t>lo</w:t>
      </w:r>
      <w:r>
        <w:rPr>
          <w:spacing w:val="-9"/>
        </w:rPr>
        <w:t> </w:t>
      </w:r>
      <w:r>
        <w:rPr/>
        <w:t>menciona</w:t>
      </w:r>
      <w:r>
        <w:rPr>
          <w:spacing w:val="-8"/>
        </w:rPr>
        <w:t> </w:t>
      </w:r>
      <w:r>
        <w:rPr/>
        <w:t>la</w:t>
      </w:r>
      <w:r>
        <w:rPr>
          <w:spacing w:val="-9"/>
        </w:rPr>
        <w:t> </w:t>
      </w:r>
      <w:r>
        <w:rPr/>
        <w:t>presencia</w:t>
      </w:r>
      <w:r>
        <w:rPr>
          <w:spacing w:val="-9"/>
        </w:rPr>
        <w:t> </w:t>
      </w:r>
      <w:r>
        <w:rPr/>
        <w:t>de</w:t>
      </w:r>
      <w:r>
        <w:rPr>
          <w:spacing w:val="-8"/>
        </w:rPr>
        <w:t> </w:t>
      </w:r>
      <w:r>
        <w:rPr/>
        <w:t>varios factores a los que se atribuye el fracaso endodóntico. No obstante, los efectos adversos de dichos materiales en los tejidos periapicales han sido demostrados histológicamente</w:t>
      </w:r>
      <w:r>
        <w:rPr>
          <w:spacing w:val="-3"/>
        </w:rPr>
        <w:t> </w:t>
      </w:r>
      <w:r>
        <w:rPr/>
        <w:t>(2).</w:t>
      </w:r>
    </w:p>
    <w:p>
      <w:pPr>
        <w:pStyle w:val="BodyText"/>
        <w:spacing w:line="360" w:lineRule="auto" w:before="204"/>
        <w:ind w:left="162" w:right="162"/>
        <w:jc w:val="both"/>
      </w:pPr>
      <w:r>
        <w:rPr/>
        <w:t>Por otra parte, Sjӧgren reporta que el estado periapical preoperatorio parece ser decisivo en el éxito del tratamiento endodóntico. En su estudio determina que más del 96% de los dientes sin lesión periapical previa fueron tratados exitosamente, mientras que solo el 86% de los casos con pulpa necrótica y lesión periapical sanaron</w:t>
      </w:r>
      <w:r>
        <w:rPr>
          <w:spacing w:val="-13"/>
        </w:rPr>
        <w:t> </w:t>
      </w:r>
      <w:r>
        <w:rPr/>
        <w:t>(5).</w:t>
      </w:r>
      <w:r>
        <w:rPr>
          <w:spacing w:val="-14"/>
        </w:rPr>
        <w:t> </w:t>
      </w:r>
      <w:r>
        <w:rPr/>
        <w:t>Tal</w:t>
      </w:r>
      <w:r>
        <w:rPr>
          <w:spacing w:val="-14"/>
        </w:rPr>
        <w:t> </w:t>
      </w:r>
      <w:r>
        <w:rPr/>
        <w:t>es</w:t>
      </w:r>
      <w:r>
        <w:rPr>
          <w:spacing w:val="-16"/>
        </w:rPr>
        <w:t> </w:t>
      </w:r>
      <w:r>
        <w:rPr/>
        <w:t>el</w:t>
      </w:r>
      <w:r>
        <w:rPr>
          <w:spacing w:val="-14"/>
        </w:rPr>
        <w:t> </w:t>
      </w:r>
      <w:r>
        <w:rPr/>
        <w:t>caso</w:t>
      </w:r>
      <w:r>
        <w:rPr>
          <w:spacing w:val="-13"/>
        </w:rPr>
        <w:t> </w:t>
      </w:r>
      <w:r>
        <w:rPr/>
        <w:t>presentado</w:t>
      </w:r>
      <w:r>
        <w:rPr>
          <w:spacing w:val="-13"/>
        </w:rPr>
        <w:t> </w:t>
      </w:r>
      <w:r>
        <w:rPr/>
        <w:t>en</w:t>
      </w:r>
      <w:r>
        <w:rPr>
          <w:spacing w:val="-13"/>
        </w:rPr>
        <w:t> </w:t>
      </w:r>
      <w:r>
        <w:rPr/>
        <w:t>el</w:t>
      </w:r>
      <w:r>
        <w:rPr>
          <w:spacing w:val="-14"/>
        </w:rPr>
        <w:t> </w:t>
      </w:r>
      <w:r>
        <w:rPr/>
        <w:t>segundo</w:t>
      </w:r>
      <w:r>
        <w:rPr>
          <w:spacing w:val="-13"/>
        </w:rPr>
        <w:t> </w:t>
      </w:r>
      <w:r>
        <w:rPr/>
        <w:t>reporte,</w:t>
      </w:r>
      <w:r>
        <w:rPr>
          <w:spacing w:val="-16"/>
        </w:rPr>
        <w:t> </w:t>
      </w:r>
      <w:r>
        <w:rPr/>
        <w:t>donde</w:t>
      </w:r>
      <w:r>
        <w:rPr>
          <w:spacing w:val="-15"/>
        </w:rPr>
        <w:t> </w:t>
      </w:r>
      <w:r>
        <w:rPr/>
        <w:t>la</w:t>
      </w:r>
      <w:r>
        <w:rPr>
          <w:spacing w:val="-13"/>
        </w:rPr>
        <w:t> </w:t>
      </w:r>
      <w:r>
        <w:rPr/>
        <w:t>lesión</w:t>
      </w:r>
      <w:r>
        <w:rPr>
          <w:spacing w:val="-13"/>
        </w:rPr>
        <w:t> </w:t>
      </w:r>
      <w:r>
        <w:rPr/>
        <w:t>visible radiográficamente</w:t>
      </w:r>
      <w:r>
        <w:rPr>
          <w:spacing w:val="-10"/>
        </w:rPr>
        <w:t> </w:t>
      </w:r>
      <w:r>
        <w:rPr/>
        <w:t>parece</w:t>
      </w:r>
      <w:r>
        <w:rPr>
          <w:spacing w:val="-8"/>
        </w:rPr>
        <w:t> </w:t>
      </w:r>
      <w:r>
        <w:rPr/>
        <w:t>tener</w:t>
      </w:r>
      <w:r>
        <w:rPr>
          <w:spacing w:val="-10"/>
        </w:rPr>
        <w:t> </w:t>
      </w:r>
      <w:r>
        <w:rPr/>
        <w:t>su</w:t>
      </w:r>
      <w:r>
        <w:rPr>
          <w:spacing w:val="-8"/>
        </w:rPr>
        <w:t> </w:t>
      </w:r>
      <w:r>
        <w:rPr/>
        <w:t>origen</w:t>
      </w:r>
      <w:r>
        <w:rPr>
          <w:spacing w:val="-8"/>
        </w:rPr>
        <w:t> </w:t>
      </w:r>
      <w:r>
        <w:rPr/>
        <w:t>en</w:t>
      </w:r>
      <w:r>
        <w:rPr>
          <w:spacing w:val="-11"/>
        </w:rPr>
        <w:t> </w:t>
      </w:r>
      <w:r>
        <w:rPr/>
        <w:t>un</w:t>
      </w:r>
      <w:r>
        <w:rPr>
          <w:spacing w:val="-8"/>
        </w:rPr>
        <w:t> </w:t>
      </w:r>
      <w:r>
        <w:rPr/>
        <w:t>diente</w:t>
      </w:r>
      <w:r>
        <w:rPr>
          <w:spacing w:val="-8"/>
        </w:rPr>
        <w:t> </w:t>
      </w:r>
      <w:r>
        <w:rPr/>
        <w:t>no</w:t>
      </w:r>
      <w:r>
        <w:rPr>
          <w:spacing w:val="-8"/>
        </w:rPr>
        <w:t> </w:t>
      </w:r>
      <w:r>
        <w:rPr/>
        <w:t>vital</w:t>
      </w:r>
      <w:r>
        <w:rPr>
          <w:spacing w:val="-10"/>
        </w:rPr>
        <w:t> </w:t>
      </w:r>
      <w:r>
        <w:rPr/>
        <w:t>disminuyendo</w:t>
      </w:r>
      <w:r>
        <w:rPr>
          <w:spacing w:val="-8"/>
        </w:rPr>
        <w:t> </w:t>
      </w:r>
      <w:r>
        <w:rPr/>
        <w:t>así</w:t>
      </w:r>
      <w:r>
        <w:rPr>
          <w:spacing w:val="-11"/>
        </w:rPr>
        <w:t> </w:t>
      </w:r>
      <w:r>
        <w:rPr/>
        <w:t>las probabilidades de éxito después </w:t>
      </w:r>
      <w:r>
        <w:rPr>
          <w:spacing w:val="2"/>
        </w:rPr>
        <w:t>de </w:t>
      </w:r>
      <w:r>
        <w:rPr/>
        <w:t>realizado el tratamiento</w:t>
      </w:r>
      <w:r>
        <w:rPr>
          <w:spacing w:val="-30"/>
        </w:rPr>
        <w:t> </w:t>
      </w:r>
      <w:r>
        <w:rPr/>
        <w:t>endodóntico.</w:t>
      </w:r>
    </w:p>
    <w:p>
      <w:pPr>
        <w:pStyle w:val="BodyText"/>
        <w:spacing w:line="360" w:lineRule="auto" w:before="205"/>
        <w:ind w:left="162" w:right="157"/>
        <w:jc w:val="both"/>
      </w:pPr>
      <w:r>
        <w:rPr/>
        <w:t>Hoy en día, la radiografía es una herramienta de valor inestimable para establecer el diagnóstico y en estudios de seguimiento. Sin embargo, los hallazgos radiográficos no siempre reflejan con exactitud la existencia de condiciones normales o patógenas en el ápice de los dientes (51). Debido a esto, durante las</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57"/>
        <w:jc w:val="both"/>
      </w:pPr>
      <w:r>
        <w:rPr/>
        <w:t>últimas décadas varios autores han perpetuado la noción de que la mayoría si no es que todas las lesiones periapicales son quistes aún cuando se ha demostrado que</w:t>
      </w:r>
      <w:r>
        <w:rPr>
          <w:spacing w:val="-4"/>
        </w:rPr>
        <w:t> </w:t>
      </w:r>
      <w:r>
        <w:rPr/>
        <w:t>la</w:t>
      </w:r>
      <w:r>
        <w:rPr>
          <w:spacing w:val="-6"/>
        </w:rPr>
        <w:t> </w:t>
      </w:r>
      <w:r>
        <w:rPr/>
        <w:t>incidencia</w:t>
      </w:r>
      <w:r>
        <w:rPr>
          <w:spacing w:val="-6"/>
        </w:rPr>
        <w:t> </w:t>
      </w:r>
      <w:r>
        <w:rPr/>
        <w:t>actual</w:t>
      </w:r>
      <w:r>
        <w:rPr>
          <w:spacing w:val="-5"/>
        </w:rPr>
        <w:t> </w:t>
      </w:r>
      <w:r>
        <w:rPr/>
        <w:t>de</w:t>
      </w:r>
      <w:r>
        <w:rPr>
          <w:spacing w:val="-6"/>
        </w:rPr>
        <w:t> </w:t>
      </w:r>
      <w:r>
        <w:rPr/>
        <w:t>esta</w:t>
      </w:r>
      <w:r>
        <w:rPr>
          <w:spacing w:val="-6"/>
        </w:rPr>
        <w:t> </w:t>
      </w:r>
      <w:r>
        <w:rPr/>
        <w:t>entidad</w:t>
      </w:r>
      <w:r>
        <w:rPr>
          <w:spacing w:val="-6"/>
        </w:rPr>
        <w:t> </w:t>
      </w:r>
      <w:r>
        <w:rPr/>
        <w:t>es</w:t>
      </w:r>
      <w:r>
        <w:rPr>
          <w:spacing w:val="-7"/>
        </w:rPr>
        <w:t> </w:t>
      </w:r>
      <w:r>
        <w:rPr/>
        <w:t>solo</w:t>
      </w:r>
      <w:r>
        <w:rPr>
          <w:spacing w:val="-4"/>
        </w:rPr>
        <w:t> </w:t>
      </w:r>
      <w:r>
        <w:rPr/>
        <w:t>del</w:t>
      </w:r>
      <w:r>
        <w:rPr>
          <w:spacing w:val="-7"/>
        </w:rPr>
        <w:t> </w:t>
      </w:r>
      <w:r>
        <w:rPr/>
        <w:t>15%</w:t>
      </w:r>
      <w:r>
        <w:rPr>
          <w:spacing w:val="-7"/>
        </w:rPr>
        <w:t> </w:t>
      </w:r>
      <w:r>
        <w:rPr/>
        <w:t>dividido</w:t>
      </w:r>
      <w:r>
        <w:rPr>
          <w:spacing w:val="-6"/>
        </w:rPr>
        <w:t> </w:t>
      </w:r>
      <w:r>
        <w:rPr/>
        <w:t>en</w:t>
      </w:r>
      <w:r>
        <w:rPr>
          <w:spacing w:val="-8"/>
        </w:rPr>
        <w:t> </w:t>
      </w:r>
      <w:r>
        <w:rPr/>
        <w:t>dos</w:t>
      </w:r>
      <w:r>
        <w:rPr>
          <w:spacing w:val="-4"/>
        </w:rPr>
        <w:t> </w:t>
      </w:r>
      <w:r>
        <w:rPr/>
        <w:t>categorías, el</w:t>
      </w:r>
      <w:r>
        <w:rPr>
          <w:spacing w:val="-10"/>
        </w:rPr>
        <w:t> </w:t>
      </w:r>
      <w:r>
        <w:rPr/>
        <w:t>quiste</w:t>
      </w:r>
      <w:r>
        <w:rPr>
          <w:spacing w:val="-8"/>
        </w:rPr>
        <w:t> </w:t>
      </w:r>
      <w:r>
        <w:rPr/>
        <w:t>apical</w:t>
      </w:r>
      <w:r>
        <w:rPr>
          <w:spacing w:val="-9"/>
        </w:rPr>
        <w:t> </w:t>
      </w:r>
      <w:r>
        <w:rPr/>
        <w:t>verdadero</w:t>
      </w:r>
      <w:r>
        <w:rPr>
          <w:spacing w:val="-9"/>
        </w:rPr>
        <w:t> </w:t>
      </w:r>
      <w:r>
        <w:rPr/>
        <w:t>y</w:t>
      </w:r>
      <w:r>
        <w:rPr>
          <w:spacing w:val="-12"/>
        </w:rPr>
        <w:t> </w:t>
      </w:r>
      <w:r>
        <w:rPr/>
        <w:t>el</w:t>
      </w:r>
      <w:r>
        <w:rPr>
          <w:spacing w:val="-10"/>
        </w:rPr>
        <w:t> </w:t>
      </w:r>
      <w:r>
        <w:rPr/>
        <w:t>quiste</w:t>
      </w:r>
      <w:r>
        <w:rPr>
          <w:spacing w:val="-8"/>
        </w:rPr>
        <w:t> </w:t>
      </w:r>
      <w:r>
        <w:rPr/>
        <w:t>apical</w:t>
      </w:r>
      <w:r>
        <w:rPr>
          <w:spacing w:val="-9"/>
        </w:rPr>
        <w:t> </w:t>
      </w:r>
      <w:r>
        <w:rPr/>
        <w:t>en</w:t>
      </w:r>
      <w:r>
        <w:rPr>
          <w:spacing w:val="-8"/>
        </w:rPr>
        <w:t> </w:t>
      </w:r>
      <w:r>
        <w:rPr/>
        <w:t>bolsa</w:t>
      </w:r>
      <w:r>
        <w:rPr>
          <w:spacing w:val="-9"/>
        </w:rPr>
        <w:t> </w:t>
      </w:r>
      <w:r>
        <w:rPr/>
        <w:t>(30).</w:t>
      </w:r>
      <w:r>
        <w:rPr>
          <w:spacing w:val="-9"/>
        </w:rPr>
        <w:t> </w:t>
      </w:r>
      <w:r>
        <w:rPr/>
        <w:t>Nair</w:t>
      </w:r>
      <w:r>
        <w:rPr>
          <w:spacing w:val="-10"/>
        </w:rPr>
        <w:t> </w:t>
      </w:r>
      <w:r>
        <w:rPr/>
        <w:t>en</w:t>
      </w:r>
      <w:r>
        <w:rPr>
          <w:spacing w:val="-11"/>
        </w:rPr>
        <w:t> </w:t>
      </w:r>
      <w:r>
        <w:rPr/>
        <w:t>1996</w:t>
      </w:r>
      <w:r>
        <w:rPr>
          <w:spacing w:val="-11"/>
        </w:rPr>
        <w:t> </w:t>
      </w:r>
      <w:r>
        <w:rPr/>
        <w:t>mediante</w:t>
      </w:r>
      <w:r>
        <w:rPr>
          <w:spacing w:val="-8"/>
        </w:rPr>
        <w:t> </w:t>
      </w:r>
      <w:r>
        <w:rPr/>
        <w:t>un estudio determinó la incidencia de lesiones a partir de una serie de secciones realizadas a 256 especímenes analizados histológicamente concluyendo que de esas 256 muestras, 35% correspondían a lesiones de absceso periapical, 50% correspondían a granulomas y solamente el 15% se trataban de quistes, siendo la incidencia del quiste verdadero de menos del 10% (29). Solo un estudio histopatológico a través de una serie de secciones in toto obtenidas de biopsias puede determinar el diagnóstico de quiste u otra entidad patológica. Las lesiones periapicales no pueden ser diagnosticadas en quistes o granulomas periapicales basándonos solo radiográficamente</w:t>
      </w:r>
      <w:r>
        <w:rPr>
          <w:spacing w:val="-17"/>
        </w:rPr>
        <w:t> </w:t>
      </w:r>
      <w:r>
        <w:rPr/>
        <w:t>(51).</w:t>
      </w:r>
    </w:p>
    <w:p>
      <w:pPr>
        <w:pStyle w:val="BodyText"/>
        <w:spacing w:line="360" w:lineRule="auto" w:before="204"/>
        <w:ind w:left="162" w:right="158"/>
        <w:jc w:val="both"/>
      </w:pPr>
      <w:r>
        <w:rPr/>
        <w:t>La</w:t>
      </w:r>
      <w:r>
        <w:rPr>
          <w:spacing w:val="-9"/>
        </w:rPr>
        <w:t> </w:t>
      </w:r>
      <w:r>
        <w:rPr/>
        <w:t>radiotransparencia</w:t>
      </w:r>
      <w:r>
        <w:rPr>
          <w:spacing w:val="-10"/>
        </w:rPr>
        <w:t> </w:t>
      </w:r>
      <w:r>
        <w:rPr/>
        <w:t>relacionada</w:t>
      </w:r>
      <w:r>
        <w:rPr>
          <w:spacing w:val="-9"/>
        </w:rPr>
        <w:t> </w:t>
      </w:r>
      <w:r>
        <w:rPr/>
        <w:t>con</w:t>
      </w:r>
      <w:r>
        <w:rPr>
          <w:spacing w:val="-9"/>
        </w:rPr>
        <w:t> </w:t>
      </w:r>
      <w:r>
        <w:rPr/>
        <w:t>un</w:t>
      </w:r>
      <w:r>
        <w:rPr>
          <w:spacing w:val="-9"/>
        </w:rPr>
        <w:t> </w:t>
      </w:r>
      <w:r>
        <w:rPr/>
        <w:t>quiste</w:t>
      </w:r>
      <w:r>
        <w:rPr>
          <w:spacing w:val="-9"/>
        </w:rPr>
        <w:t> </w:t>
      </w:r>
      <w:r>
        <w:rPr/>
        <w:t>periapical</w:t>
      </w:r>
      <w:r>
        <w:rPr>
          <w:spacing w:val="-10"/>
        </w:rPr>
        <w:t> </w:t>
      </w:r>
      <w:r>
        <w:rPr/>
        <w:t>casi</w:t>
      </w:r>
      <w:r>
        <w:rPr>
          <w:spacing w:val="-11"/>
        </w:rPr>
        <w:t> </w:t>
      </w:r>
      <w:r>
        <w:rPr/>
        <w:t>siempre</w:t>
      </w:r>
      <w:r>
        <w:rPr>
          <w:spacing w:val="-10"/>
        </w:rPr>
        <w:t> </w:t>
      </w:r>
      <w:r>
        <w:rPr/>
        <w:t>es</w:t>
      </w:r>
      <w:r>
        <w:rPr>
          <w:spacing w:val="-10"/>
        </w:rPr>
        <w:t> </w:t>
      </w:r>
      <w:r>
        <w:rPr/>
        <w:t>redonda u ovoide con una línea radiopaca contigua a la lámina dura del diente afectado similar a las lesiones presentadas en ambos casos clínicos. Este componente radiopaco</w:t>
      </w:r>
      <w:r>
        <w:rPr>
          <w:spacing w:val="-6"/>
        </w:rPr>
        <w:t> </w:t>
      </w:r>
      <w:r>
        <w:rPr/>
        <w:t>no</w:t>
      </w:r>
      <w:r>
        <w:rPr>
          <w:spacing w:val="-6"/>
        </w:rPr>
        <w:t> </w:t>
      </w:r>
      <w:r>
        <w:rPr/>
        <w:t>se</w:t>
      </w:r>
      <w:r>
        <w:rPr>
          <w:spacing w:val="-6"/>
        </w:rPr>
        <w:t> </w:t>
      </w:r>
      <w:r>
        <w:rPr/>
        <w:t>reconoce</w:t>
      </w:r>
      <w:r>
        <w:rPr>
          <w:spacing w:val="-6"/>
        </w:rPr>
        <w:t> </w:t>
      </w:r>
      <w:r>
        <w:rPr/>
        <w:t>algunas</w:t>
      </w:r>
      <w:r>
        <w:rPr>
          <w:spacing w:val="-7"/>
        </w:rPr>
        <w:t> </w:t>
      </w:r>
      <w:r>
        <w:rPr/>
        <w:t>veces</w:t>
      </w:r>
      <w:r>
        <w:rPr>
          <w:spacing w:val="-7"/>
        </w:rPr>
        <w:t> </w:t>
      </w:r>
      <w:r>
        <w:rPr/>
        <w:t>si</w:t>
      </w:r>
      <w:r>
        <w:rPr>
          <w:spacing w:val="-7"/>
        </w:rPr>
        <w:t> </w:t>
      </w:r>
      <w:r>
        <w:rPr/>
        <w:t>el</w:t>
      </w:r>
      <w:r>
        <w:rPr>
          <w:spacing w:val="-7"/>
        </w:rPr>
        <w:t> </w:t>
      </w:r>
      <w:r>
        <w:rPr/>
        <w:t>quiste</w:t>
      </w:r>
      <w:r>
        <w:rPr>
          <w:spacing w:val="-6"/>
        </w:rPr>
        <w:t> </w:t>
      </w:r>
      <w:r>
        <w:rPr/>
        <w:t>crece</w:t>
      </w:r>
      <w:r>
        <w:rPr>
          <w:spacing w:val="-6"/>
        </w:rPr>
        <w:t> </w:t>
      </w:r>
      <w:r>
        <w:rPr/>
        <w:t>con</w:t>
      </w:r>
      <w:r>
        <w:rPr>
          <w:spacing w:val="-6"/>
        </w:rPr>
        <w:t> </w:t>
      </w:r>
      <w:r>
        <w:rPr/>
        <w:t>rapidez.</w:t>
      </w:r>
      <w:r>
        <w:rPr>
          <w:spacing w:val="-6"/>
        </w:rPr>
        <w:t> </w:t>
      </w:r>
      <w:r>
        <w:rPr/>
        <w:t>Varían</w:t>
      </w:r>
      <w:r>
        <w:rPr>
          <w:spacing w:val="-6"/>
        </w:rPr>
        <w:t> </w:t>
      </w:r>
      <w:r>
        <w:rPr/>
        <w:t>de</w:t>
      </w:r>
      <w:r>
        <w:rPr>
          <w:spacing w:val="-8"/>
        </w:rPr>
        <w:t> </w:t>
      </w:r>
      <w:r>
        <w:rPr/>
        <w:t>5 mm</w:t>
      </w:r>
      <w:r>
        <w:rPr>
          <w:spacing w:val="-16"/>
        </w:rPr>
        <w:t> </w:t>
      </w:r>
      <w:r>
        <w:rPr/>
        <w:t>a</w:t>
      </w:r>
      <w:r>
        <w:rPr>
          <w:spacing w:val="-16"/>
        </w:rPr>
        <w:t> </w:t>
      </w:r>
      <w:r>
        <w:rPr/>
        <w:t>varios</w:t>
      </w:r>
      <w:r>
        <w:rPr>
          <w:spacing w:val="-15"/>
        </w:rPr>
        <w:t> </w:t>
      </w:r>
      <w:r>
        <w:rPr/>
        <w:t>centímetros</w:t>
      </w:r>
      <w:r>
        <w:rPr>
          <w:spacing w:val="-15"/>
        </w:rPr>
        <w:t> </w:t>
      </w:r>
      <w:r>
        <w:rPr/>
        <w:t>de</w:t>
      </w:r>
      <w:r>
        <w:rPr>
          <w:spacing w:val="-17"/>
        </w:rPr>
        <w:t> </w:t>
      </w:r>
      <w:r>
        <w:rPr/>
        <w:t>diámetro.</w:t>
      </w:r>
      <w:r>
        <w:rPr>
          <w:spacing w:val="-17"/>
        </w:rPr>
        <w:t> </w:t>
      </w:r>
      <w:r>
        <w:rPr/>
        <w:t>En</w:t>
      </w:r>
      <w:r>
        <w:rPr>
          <w:spacing w:val="-14"/>
        </w:rPr>
        <w:t> </w:t>
      </w:r>
      <w:r>
        <w:rPr/>
        <w:t>quistes</w:t>
      </w:r>
      <w:r>
        <w:rPr>
          <w:spacing w:val="-15"/>
        </w:rPr>
        <w:t> </w:t>
      </w:r>
      <w:r>
        <w:rPr/>
        <w:t>que</w:t>
      </w:r>
      <w:r>
        <w:rPr>
          <w:spacing w:val="-16"/>
        </w:rPr>
        <w:t> </w:t>
      </w:r>
      <w:r>
        <w:rPr/>
        <w:t>han</w:t>
      </w:r>
      <w:r>
        <w:rPr>
          <w:spacing w:val="-17"/>
        </w:rPr>
        <w:t> </w:t>
      </w:r>
      <w:r>
        <w:rPr/>
        <w:t>permanecido</w:t>
      </w:r>
      <w:r>
        <w:rPr>
          <w:spacing w:val="-14"/>
        </w:rPr>
        <w:t> </w:t>
      </w:r>
      <w:r>
        <w:rPr/>
        <w:t>largo</w:t>
      </w:r>
      <w:r>
        <w:rPr>
          <w:spacing w:val="-14"/>
        </w:rPr>
        <w:t> </w:t>
      </w:r>
      <w:r>
        <w:rPr/>
        <w:t>tiempo se puede detectar resorción de la raíz del diente afectado y ocasionalmente de dientes adyacentes (34). En la actualidad al menos la mitad de todas las lesiones periapicales se continúan diagnosticando como quistes radiculares (36). Esto implica</w:t>
      </w:r>
      <w:r>
        <w:rPr>
          <w:spacing w:val="-7"/>
        </w:rPr>
        <w:t> </w:t>
      </w:r>
      <w:r>
        <w:rPr/>
        <w:t>que</w:t>
      </w:r>
      <w:r>
        <w:rPr>
          <w:spacing w:val="-7"/>
        </w:rPr>
        <w:t> </w:t>
      </w:r>
      <w:r>
        <w:rPr/>
        <w:t>la</w:t>
      </w:r>
      <w:r>
        <w:rPr>
          <w:spacing w:val="-9"/>
        </w:rPr>
        <w:t> </w:t>
      </w:r>
      <w:r>
        <w:rPr/>
        <w:t>mayoría</w:t>
      </w:r>
      <w:r>
        <w:rPr>
          <w:spacing w:val="-7"/>
        </w:rPr>
        <w:t> </w:t>
      </w:r>
      <w:r>
        <w:rPr/>
        <w:t>de</w:t>
      </w:r>
      <w:r>
        <w:rPr>
          <w:spacing w:val="-7"/>
        </w:rPr>
        <w:t> </w:t>
      </w:r>
      <w:r>
        <w:rPr/>
        <w:t>los</w:t>
      </w:r>
      <w:r>
        <w:rPr>
          <w:spacing w:val="-7"/>
        </w:rPr>
        <w:t> </w:t>
      </w:r>
      <w:r>
        <w:rPr/>
        <w:t>casos</w:t>
      </w:r>
      <w:r>
        <w:rPr>
          <w:spacing w:val="-10"/>
        </w:rPr>
        <w:t> </w:t>
      </w:r>
      <w:r>
        <w:rPr/>
        <w:t>en</w:t>
      </w:r>
      <w:r>
        <w:rPr>
          <w:spacing w:val="-7"/>
        </w:rPr>
        <w:t> </w:t>
      </w:r>
      <w:r>
        <w:rPr/>
        <w:t>los</w:t>
      </w:r>
      <w:r>
        <w:rPr>
          <w:spacing w:val="-8"/>
        </w:rPr>
        <w:t> </w:t>
      </w:r>
      <w:r>
        <w:rPr/>
        <w:t>cuales</w:t>
      </w:r>
      <w:r>
        <w:rPr>
          <w:spacing w:val="-7"/>
        </w:rPr>
        <w:t> </w:t>
      </w:r>
      <w:r>
        <w:rPr/>
        <w:t>se</w:t>
      </w:r>
      <w:r>
        <w:rPr>
          <w:spacing w:val="-9"/>
        </w:rPr>
        <w:t> </w:t>
      </w:r>
      <w:r>
        <w:rPr/>
        <w:t>ha</w:t>
      </w:r>
      <w:r>
        <w:rPr>
          <w:spacing w:val="-7"/>
        </w:rPr>
        <w:t> </w:t>
      </w:r>
      <w:r>
        <w:rPr/>
        <w:t>realizado</w:t>
      </w:r>
      <w:r>
        <w:rPr>
          <w:spacing w:val="-7"/>
        </w:rPr>
        <w:t> </w:t>
      </w:r>
      <w:r>
        <w:rPr/>
        <w:t>cirugía</w:t>
      </w:r>
      <w:r>
        <w:rPr>
          <w:spacing w:val="-7"/>
        </w:rPr>
        <w:t> </w:t>
      </w:r>
      <w:r>
        <w:rPr/>
        <w:t>apical</w:t>
      </w:r>
      <w:r>
        <w:rPr>
          <w:spacing w:val="-8"/>
        </w:rPr>
        <w:t> </w:t>
      </w:r>
      <w:r>
        <w:rPr/>
        <w:t>han sido basados en diagnósticos radiográficos que pudieron haber sido resueltos mediante terapia de conductos convencional (29,</w:t>
      </w:r>
      <w:r>
        <w:rPr>
          <w:spacing w:val="-25"/>
        </w:rPr>
        <w:t> </w:t>
      </w:r>
      <w:r>
        <w:rPr/>
        <w:t>36).</w:t>
      </w:r>
    </w:p>
    <w:p>
      <w:pPr>
        <w:pStyle w:val="BodyText"/>
        <w:spacing w:line="360" w:lineRule="auto" w:before="204"/>
        <w:ind w:left="162" w:right="164"/>
        <w:jc w:val="both"/>
      </w:pPr>
      <w:r>
        <w:rPr/>
        <w:t>Es por ello que la información sobre las causas y resultados del éxito/fracaso del tratamiento elegido y el conocimiento de las lesiones periapicales son esenciales para apoyar la toma de decisiones relacionadas con el procedimiento endodóntico a seguir. En dientes obturados, como se presenta en el primer reporte de caso, el resultado de la tasa de éxito de cada opción de procedimiento es la base para la</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61"/>
        <w:jc w:val="both"/>
      </w:pPr>
      <w:r>
        <w:rPr/>
        <w:t>selección entre los tratamientos alternativos de retratamiento o cirugía (24). Se ha reportado</w:t>
      </w:r>
      <w:r>
        <w:rPr>
          <w:spacing w:val="-5"/>
        </w:rPr>
        <w:t> </w:t>
      </w:r>
      <w:r>
        <w:rPr/>
        <w:t>desde</w:t>
      </w:r>
      <w:r>
        <w:rPr>
          <w:spacing w:val="-7"/>
        </w:rPr>
        <w:t> </w:t>
      </w:r>
      <w:r>
        <w:rPr/>
        <w:t>un</w:t>
      </w:r>
      <w:r>
        <w:rPr>
          <w:spacing w:val="-5"/>
        </w:rPr>
        <w:t> </w:t>
      </w:r>
      <w:r>
        <w:rPr/>
        <w:t>37%</w:t>
      </w:r>
      <w:r>
        <w:rPr>
          <w:spacing w:val="-5"/>
        </w:rPr>
        <w:t> </w:t>
      </w:r>
      <w:r>
        <w:rPr/>
        <w:t>hasta</w:t>
      </w:r>
      <w:r>
        <w:rPr>
          <w:spacing w:val="-7"/>
        </w:rPr>
        <w:t> </w:t>
      </w:r>
      <w:r>
        <w:rPr/>
        <w:t>un</w:t>
      </w:r>
      <w:r>
        <w:rPr>
          <w:spacing w:val="-5"/>
        </w:rPr>
        <w:t> </w:t>
      </w:r>
      <w:r>
        <w:rPr/>
        <w:t>97%</w:t>
      </w:r>
      <w:r>
        <w:rPr>
          <w:spacing w:val="-5"/>
        </w:rPr>
        <w:t> </w:t>
      </w:r>
      <w:r>
        <w:rPr/>
        <w:t>de</w:t>
      </w:r>
      <w:r>
        <w:rPr>
          <w:spacing w:val="-5"/>
        </w:rPr>
        <w:t> </w:t>
      </w:r>
      <w:r>
        <w:rPr/>
        <w:t>curación</w:t>
      </w:r>
      <w:r>
        <w:rPr>
          <w:spacing w:val="-5"/>
        </w:rPr>
        <w:t> </w:t>
      </w:r>
      <w:r>
        <w:rPr/>
        <w:t>completa</w:t>
      </w:r>
      <w:r>
        <w:rPr>
          <w:spacing w:val="-5"/>
        </w:rPr>
        <w:t> </w:t>
      </w:r>
      <w:r>
        <w:rPr/>
        <w:t>después</w:t>
      </w:r>
      <w:r>
        <w:rPr>
          <w:spacing w:val="-5"/>
        </w:rPr>
        <w:t> </w:t>
      </w:r>
      <w:r>
        <w:rPr/>
        <w:t>de</w:t>
      </w:r>
      <w:r>
        <w:rPr>
          <w:spacing w:val="-5"/>
        </w:rPr>
        <w:t> </w:t>
      </w:r>
      <w:r>
        <w:rPr/>
        <w:t>la</w:t>
      </w:r>
      <w:r>
        <w:rPr>
          <w:spacing w:val="-5"/>
        </w:rPr>
        <w:t> </w:t>
      </w:r>
      <w:r>
        <w:rPr/>
        <w:t>cirugía apical. Dichos resultados se ven alterados de acuerdo a factores como el diagnóstico inicial, presencia de lesiones o tratamientos previos y la técnica quirúrgica o microquirúrgica empleada. La presencia o ausencia de signos y síntomas</w:t>
      </w:r>
      <w:r>
        <w:rPr>
          <w:spacing w:val="-9"/>
        </w:rPr>
        <w:t> </w:t>
      </w:r>
      <w:r>
        <w:rPr/>
        <w:t>(dolor</w:t>
      </w:r>
      <w:r>
        <w:rPr>
          <w:spacing w:val="-10"/>
        </w:rPr>
        <w:t> </w:t>
      </w:r>
      <w:r>
        <w:rPr/>
        <w:t>o</w:t>
      </w:r>
      <w:r>
        <w:rPr>
          <w:spacing w:val="-8"/>
        </w:rPr>
        <w:t> </w:t>
      </w:r>
      <w:r>
        <w:rPr/>
        <w:t>tracto</w:t>
      </w:r>
      <w:r>
        <w:rPr>
          <w:spacing w:val="-8"/>
        </w:rPr>
        <w:t> </w:t>
      </w:r>
      <w:r>
        <w:rPr/>
        <w:t>sinusal)</w:t>
      </w:r>
      <w:r>
        <w:rPr>
          <w:spacing w:val="-10"/>
        </w:rPr>
        <w:t> </w:t>
      </w:r>
      <w:r>
        <w:rPr/>
        <w:t>se</w:t>
      </w:r>
      <w:r>
        <w:rPr>
          <w:spacing w:val="-8"/>
        </w:rPr>
        <w:t> </w:t>
      </w:r>
      <w:r>
        <w:rPr/>
        <w:t>utilizan</w:t>
      </w:r>
      <w:r>
        <w:rPr>
          <w:spacing w:val="-8"/>
        </w:rPr>
        <w:t> </w:t>
      </w:r>
      <w:r>
        <w:rPr/>
        <w:t>para</w:t>
      </w:r>
      <w:r>
        <w:rPr>
          <w:spacing w:val="-9"/>
        </w:rPr>
        <w:t> </w:t>
      </w:r>
      <w:r>
        <w:rPr/>
        <w:t>evaluar</w:t>
      </w:r>
      <w:r>
        <w:rPr>
          <w:spacing w:val="-10"/>
        </w:rPr>
        <w:t> </w:t>
      </w:r>
      <w:r>
        <w:rPr/>
        <w:t>el</w:t>
      </w:r>
      <w:r>
        <w:rPr>
          <w:spacing w:val="-10"/>
        </w:rPr>
        <w:t> </w:t>
      </w:r>
      <w:r>
        <w:rPr/>
        <w:t>resultado</w:t>
      </w:r>
      <w:r>
        <w:rPr>
          <w:spacing w:val="-8"/>
        </w:rPr>
        <w:t> </w:t>
      </w:r>
      <w:r>
        <w:rPr/>
        <w:t>del</w:t>
      </w:r>
      <w:r>
        <w:rPr>
          <w:spacing w:val="-10"/>
        </w:rPr>
        <w:t> </w:t>
      </w:r>
      <w:r>
        <w:rPr/>
        <w:t>tratamiento como exitoso</w:t>
      </w:r>
      <w:r>
        <w:rPr>
          <w:spacing w:val="-4"/>
        </w:rPr>
        <w:t> </w:t>
      </w:r>
      <w:r>
        <w:rPr/>
        <w:t>(1).</w:t>
      </w:r>
    </w:p>
    <w:p>
      <w:pPr>
        <w:pStyle w:val="BodyText"/>
        <w:spacing w:line="360" w:lineRule="auto" w:before="204"/>
        <w:ind w:left="162" w:right="155"/>
        <w:jc w:val="both"/>
      </w:pPr>
      <w:r>
        <w:rPr/>
        <w:t>La terapia empleada con mayor frecuencia, implica efectuar la obturación del conducto radicular, puesto que casi todas las anormalidades periapicales son granulomas</w:t>
      </w:r>
      <w:r>
        <w:rPr>
          <w:spacing w:val="-13"/>
        </w:rPr>
        <w:t> </w:t>
      </w:r>
      <w:r>
        <w:rPr/>
        <w:t>y</w:t>
      </w:r>
      <w:r>
        <w:rPr>
          <w:spacing w:val="-13"/>
        </w:rPr>
        <w:t> </w:t>
      </w:r>
      <w:r>
        <w:rPr/>
        <w:t>se</w:t>
      </w:r>
      <w:r>
        <w:rPr>
          <w:spacing w:val="-9"/>
        </w:rPr>
        <w:t> </w:t>
      </w:r>
      <w:r>
        <w:rPr/>
        <w:t>resuelven</w:t>
      </w:r>
      <w:r>
        <w:rPr>
          <w:spacing w:val="-9"/>
        </w:rPr>
        <w:t> </w:t>
      </w:r>
      <w:r>
        <w:rPr/>
        <w:t>después</w:t>
      </w:r>
      <w:r>
        <w:rPr>
          <w:spacing w:val="-13"/>
        </w:rPr>
        <w:t> </w:t>
      </w:r>
      <w:r>
        <w:rPr/>
        <w:t>de</w:t>
      </w:r>
      <w:r>
        <w:rPr>
          <w:spacing w:val="-9"/>
        </w:rPr>
        <w:t> </w:t>
      </w:r>
      <w:r>
        <w:rPr/>
        <w:t>retirar</w:t>
      </w:r>
      <w:r>
        <w:rPr>
          <w:spacing w:val="-11"/>
        </w:rPr>
        <w:t> </w:t>
      </w:r>
      <w:r>
        <w:rPr/>
        <w:t>el</w:t>
      </w:r>
      <w:r>
        <w:rPr>
          <w:spacing w:val="-11"/>
        </w:rPr>
        <w:t> </w:t>
      </w:r>
      <w:r>
        <w:rPr/>
        <w:t>estímulo</w:t>
      </w:r>
      <w:r>
        <w:rPr>
          <w:spacing w:val="-10"/>
        </w:rPr>
        <w:t> </w:t>
      </w:r>
      <w:r>
        <w:rPr/>
        <w:t>inflamatorio,</w:t>
      </w:r>
      <w:r>
        <w:rPr>
          <w:spacing w:val="-10"/>
        </w:rPr>
        <w:t> </w:t>
      </w:r>
      <w:r>
        <w:rPr/>
        <w:t>tal</w:t>
      </w:r>
      <w:r>
        <w:rPr>
          <w:spacing w:val="-11"/>
        </w:rPr>
        <w:t> </w:t>
      </w:r>
      <w:r>
        <w:rPr/>
        <w:t>es</w:t>
      </w:r>
      <w:r>
        <w:rPr>
          <w:spacing w:val="-13"/>
        </w:rPr>
        <w:t> </w:t>
      </w:r>
      <w:r>
        <w:rPr/>
        <w:t>el</w:t>
      </w:r>
      <w:r>
        <w:rPr>
          <w:spacing w:val="-11"/>
        </w:rPr>
        <w:t> </w:t>
      </w:r>
      <w:r>
        <w:rPr/>
        <w:t>caso de</w:t>
      </w:r>
      <w:r>
        <w:rPr>
          <w:spacing w:val="-8"/>
        </w:rPr>
        <w:t> </w:t>
      </w:r>
      <w:r>
        <w:rPr/>
        <w:t>los</w:t>
      </w:r>
      <w:r>
        <w:rPr>
          <w:spacing w:val="-9"/>
        </w:rPr>
        <w:t> </w:t>
      </w:r>
      <w:r>
        <w:rPr/>
        <w:t>dos</w:t>
      </w:r>
      <w:r>
        <w:rPr>
          <w:spacing w:val="-9"/>
        </w:rPr>
        <w:t> </w:t>
      </w:r>
      <w:r>
        <w:rPr/>
        <w:t>reportes</w:t>
      </w:r>
      <w:r>
        <w:rPr>
          <w:spacing w:val="-9"/>
        </w:rPr>
        <w:t> </w:t>
      </w:r>
      <w:r>
        <w:rPr/>
        <w:t>clínicos</w:t>
      </w:r>
      <w:r>
        <w:rPr>
          <w:spacing w:val="-9"/>
        </w:rPr>
        <w:t> </w:t>
      </w:r>
      <w:r>
        <w:rPr/>
        <w:t>aquí</w:t>
      </w:r>
      <w:r>
        <w:rPr>
          <w:spacing w:val="-11"/>
        </w:rPr>
        <w:t> </w:t>
      </w:r>
      <w:r>
        <w:rPr/>
        <w:t>presentados,</w:t>
      </w:r>
      <w:r>
        <w:rPr>
          <w:spacing w:val="-4"/>
        </w:rPr>
        <w:t> </w:t>
      </w:r>
      <w:r>
        <w:rPr/>
        <w:t>donde</w:t>
      </w:r>
      <w:r>
        <w:rPr>
          <w:spacing w:val="-8"/>
        </w:rPr>
        <w:t> </w:t>
      </w:r>
      <w:r>
        <w:rPr/>
        <w:t>el</w:t>
      </w:r>
      <w:r>
        <w:rPr>
          <w:spacing w:val="-10"/>
        </w:rPr>
        <w:t> </w:t>
      </w:r>
      <w:r>
        <w:rPr/>
        <w:t>diagnóstico</w:t>
      </w:r>
      <w:r>
        <w:rPr>
          <w:spacing w:val="-11"/>
        </w:rPr>
        <w:t> </w:t>
      </w:r>
      <w:r>
        <w:rPr/>
        <w:t>definitivo</w:t>
      </w:r>
      <w:r>
        <w:rPr>
          <w:spacing w:val="-8"/>
        </w:rPr>
        <w:t> </w:t>
      </w:r>
      <w:r>
        <w:rPr/>
        <w:t>fue</w:t>
      </w:r>
      <w:r>
        <w:rPr>
          <w:spacing w:val="-8"/>
        </w:rPr>
        <w:t> </w:t>
      </w:r>
      <w:r>
        <w:rPr/>
        <w:t>de granuloma periapical correspondiendo al 50% de frecuencia de esta entidad antes mencionada. La escisión (apicectomía y raspado) solo se practican en anomalías persistentes, que indican la presencia de un quiste o endodoncia inadecuada (34, 36). La justificación de la intervención quirúrgica en los casos reportados en este documento fue que de acuerdo a la existencia de diferentes clases de lesiones periapicales y a las características radiográficas tipo quísticas de las dos lesiones presentadas</w:t>
      </w:r>
      <w:r>
        <w:rPr>
          <w:spacing w:val="-12"/>
        </w:rPr>
        <w:t> </w:t>
      </w:r>
      <w:r>
        <w:rPr/>
        <w:t>con</w:t>
      </w:r>
      <w:r>
        <w:rPr>
          <w:spacing w:val="-11"/>
        </w:rPr>
        <w:t> </w:t>
      </w:r>
      <w:r>
        <w:rPr/>
        <w:t>anterioridad</w:t>
      </w:r>
      <w:r>
        <w:rPr>
          <w:spacing w:val="-11"/>
        </w:rPr>
        <w:t> </w:t>
      </w:r>
      <w:r>
        <w:rPr/>
        <w:t>consideramos</w:t>
      </w:r>
      <w:r>
        <w:rPr>
          <w:spacing w:val="-12"/>
        </w:rPr>
        <w:t> </w:t>
      </w:r>
      <w:r>
        <w:rPr/>
        <w:t>realizar</w:t>
      </w:r>
      <w:r>
        <w:rPr>
          <w:spacing w:val="-13"/>
        </w:rPr>
        <w:t> </w:t>
      </w:r>
      <w:r>
        <w:rPr/>
        <w:t>un</w:t>
      </w:r>
      <w:r>
        <w:rPr>
          <w:spacing w:val="-11"/>
        </w:rPr>
        <w:t> </w:t>
      </w:r>
      <w:r>
        <w:rPr/>
        <w:t>diagnóstico</w:t>
      </w:r>
      <w:r>
        <w:rPr>
          <w:spacing w:val="-11"/>
        </w:rPr>
        <w:t> </w:t>
      </w:r>
      <w:r>
        <w:rPr/>
        <w:t>racional</w:t>
      </w:r>
      <w:r>
        <w:rPr>
          <w:spacing w:val="-15"/>
        </w:rPr>
        <w:t> </w:t>
      </w:r>
      <w:r>
        <w:rPr/>
        <w:t>basado en</w:t>
      </w:r>
      <w:r>
        <w:rPr>
          <w:spacing w:val="-15"/>
        </w:rPr>
        <w:t> </w:t>
      </w:r>
      <w:r>
        <w:rPr/>
        <w:t>la</w:t>
      </w:r>
      <w:r>
        <w:rPr>
          <w:spacing w:val="-17"/>
        </w:rPr>
        <w:t> </w:t>
      </w:r>
      <w:r>
        <w:rPr/>
        <w:t>examinación</w:t>
      </w:r>
      <w:r>
        <w:rPr>
          <w:spacing w:val="-17"/>
        </w:rPr>
        <w:t> </w:t>
      </w:r>
      <w:r>
        <w:rPr/>
        <w:t>histopatológica</w:t>
      </w:r>
      <w:r>
        <w:rPr>
          <w:spacing w:val="-15"/>
        </w:rPr>
        <w:t> </w:t>
      </w:r>
      <w:r>
        <w:rPr/>
        <w:t>de</w:t>
      </w:r>
      <w:r>
        <w:rPr>
          <w:spacing w:val="-17"/>
        </w:rPr>
        <w:t> </w:t>
      </w:r>
      <w:r>
        <w:rPr/>
        <w:t>biopsias</w:t>
      </w:r>
      <w:r>
        <w:rPr>
          <w:spacing w:val="-16"/>
        </w:rPr>
        <w:t> </w:t>
      </w:r>
      <w:r>
        <w:rPr/>
        <w:t>obtenidas</w:t>
      </w:r>
      <w:r>
        <w:rPr>
          <w:spacing w:val="-16"/>
        </w:rPr>
        <w:t> </w:t>
      </w:r>
      <w:r>
        <w:rPr/>
        <w:t>quirúrgicamente</w:t>
      </w:r>
      <w:r>
        <w:rPr>
          <w:spacing w:val="-17"/>
        </w:rPr>
        <w:t> </w:t>
      </w:r>
      <w:r>
        <w:rPr/>
        <w:t>y</w:t>
      </w:r>
      <w:r>
        <w:rPr>
          <w:spacing w:val="-17"/>
        </w:rPr>
        <w:t> </w:t>
      </w:r>
      <w:r>
        <w:rPr/>
        <w:t>practicar una terapia adecuada que permitiera la optimización de la regeneración de </w:t>
      </w:r>
      <w:r>
        <w:rPr>
          <w:spacing w:val="2"/>
        </w:rPr>
        <w:t>los </w:t>
      </w:r>
      <w:r>
        <w:rPr/>
        <w:t>tejidos óseos y periodontales basada en el uso de PRGF en combinación con materiales</w:t>
      </w:r>
      <w:r>
        <w:rPr>
          <w:spacing w:val="-12"/>
        </w:rPr>
        <w:t> </w:t>
      </w:r>
      <w:r>
        <w:rPr/>
        <w:t>osteoconductores.</w:t>
      </w:r>
    </w:p>
    <w:p>
      <w:pPr>
        <w:pStyle w:val="BodyText"/>
        <w:spacing w:line="360" w:lineRule="auto" w:before="204"/>
        <w:ind w:left="162" w:right="156"/>
        <w:jc w:val="both"/>
      </w:pPr>
      <w:r>
        <w:rPr/>
        <w:t>El uso del PRGF en la regeneración de tejidos es cada vez más frecuente en las áreas de cirugía maxilofacial, regeneración periodontal y osteointegración de implantes pero su uso en cirugía perirradicular aún es limitado. La combinación del PRGF</w:t>
      </w:r>
      <w:r>
        <w:rPr>
          <w:spacing w:val="-19"/>
        </w:rPr>
        <w:t> </w:t>
      </w:r>
      <w:r>
        <w:rPr/>
        <w:t>con</w:t>
      </w:r>
      <w:r>
        <w:rPr>
          <w:spacing w:val="-18"/>
        </w:rPr>
        <w:t> </w:t>
      </w:r>
      <w:r>
        <w:rPr/>
        <w:t>materiales</w:t>
      </w:r>
      <w:r>
        <w:rPr>
          <w:spacing w:val="-20"/>
        </w:rPr>
        <w:t> </w:t>
      </w:r>
      <w:r>
        <w:rPr/>
        <w:t>de</w:t>
      </w:r>
      <w:r>
        <w:rPr>
          <w:spacing w:val="-18"/>
        </w:rPr>
        <w:t> </w:t>
      </w:r>
      <w:r>
        <w:rPr/>
        <w:t>injerto</w:t>
      </w:r>
      <w:r>
        <w:rPr>
          <w:spacing w:val="-18"/>
        </w:rPr>
        <w:t> </w:t>
      </w:r>
      <w:r>
        <w:rPr/>
        <w:t>óseo</w:t>
      </w:r>
      <w:r>
        <w:rPr>
          <w:spacing w:val="-18"/>
        </w:rPr>
        <w:t> </w:t>
      </w:r>
      <w:r>
        <w:rPr/>
        <w:t>es</w:t>
      </w:r>
      <w:r>
        <w:rPr>
          <w:spacing w:val="-19"/>
        </w:rPr>
        <w:t> </w:t>
      </w:r>
      <w:r>
        <w:rPr/>
        <w:t>recomendada</w:t>
      </w:r>
      <w:r>
        <w:rPr>
          <w:spacing w:val="-20"/>
        </w:rPr>
        <w:t> </w:t>
      </w:r>
      <w:r>
        <w:rPr/>
        <w:t>en</w:t>
      </w:r>
      <w:r>
        <w:rPr>
          <w:spacing w:val="-18"/>
        </w:rPr>
        <w:t> </w:t>
      </w:r>
      <w:r>
        <w:rPr/>
        <w:t>la</w:t>
      </w:r>
      <w:r>
        <w:rPr>
          <w:spacing w:val="-18"/>
        </w:rPr>
        <w:t> </w:t>
      </w:r>
      <w:r>
        <w:rPr/>
        <w:t>literatura</w:t>
      </w:r>
      <w:r>
        <w:rPr>
          <w:spacing w:val="-20"/>
        </w:rPr>
        <w:t> </w:t>
      </w:r>
      <w:r>
        <w:rPr/>
        <w:t>con</w:t>
      </w:r>
      <w:r>
        <w:rPr>
          <w:spacing w:val="-18"/>
        </w:rPr>
        <w:t> </w:t>
      </w:r>
      <w:r>
        <w:rPr/>
        <w:t>la</w:t>
      </w:r>
      <w:r>
        <w:rPr>
          <w:spacing w:val="-20"/>
        </w:rPr>
        <w:t> </w:t>
      </w:r>
      <w:r>
        <w:rPr/>
        <w:t>finalidad de</w:t>
      </w:r>
      <w:r>
        <w:rPr>
          <w:spacing w:val="-6"/>
        </w:rPr>
        <w:t> </w:t>
      </w:r>
      <w:r>
        <w:rPr/>
        <w:t>aumentar</w:t>
      </w:r>
      <w:r>
        <w:rPr>
          <w:spacing w:val="-5"/>
        </w:rPr>
        <w:t> </w:t>
      </w:r>
      <w:r>
        <w:rPr/>
        <w:t>la</w:t>
      </w:r>
      <w:r>
        <w:rPr>
          <w:spacing w:val="-6"/>
        </w:rPr>
        <w:t> </w:t>
      </w:r>
      <w:r>
        <w:rPr/>
        <w:t>densidad</w:t>
      </w:r>
      <w:r>
        <w:rPr>
          <w:spacing w:val="-6"/>
        </w:rPr>
        <w:t> </w:t>
      </w:r>
      <w:r>
        <w:rPr/>
        <w:t>ósea,</w:t>
      </w:r>
      <w:r>
        <w:rPr>
          <w:spacing w:val="-4"/>
        </w:rPr>
        <w:t> </w:t>
      </w:r>
      <w:r>
        <w:rPr/>
        <w:t>lograr</w:t>
      </w:r>
      <w:r>
        <w:rPr>
          <w:spacing w:val="-5"/>
        </w:rPr>
        <w:t> </w:t>
      </w:r>
      <w:r>
        <w:rPr/>
        <w:t>una</w:t>
      </w:r>
      <w:r>
        <w:rPr>
          <w:spacing w:val="-4"/>
        </w:rPr>
        <w:t> </w:t>
      </w:r>
      <w:r>
        <w:rPr/>
        <w:t>completa</w:t>
      </w:r>
      <w:r>
        <w:rPr>
          <w:spacing w:val="-4"/>
        </w:rPr>
        <w:t> </w:t>
      </w:r>
      <w:r>
        <w:rPr/>
        <w:t>integración</w:t>
      </w:r>
      <w:r>
        <w:rPr>
          <w:spacing w:val="-6"/>
        </w:rPr>
        <w:t> </w:t>
      </w:r>
      <w:r>
        <w:rPr/>
        <w:t>ósea</w:t>
      </w:r>
      <w:r>
        <w:rPr>
          <w:spacing w:val="-4"/>
        </w:rPr>
        <w:t> </w:t>
      </w:r>
      <w:r>
        <w:rPr/>
        <w:t>y</w:t>
      </w:r>
      <w:r>
        <w:rPr>
          <w:spacing w:val="-7"/>
        </w:rPr>
        <w:t> </w:t>
      </w:r>
      <w:r>
        <w:rPr/>
        <w:t>la</w:t>
      </w:r>
      <w:r>
        <w:rPr>
          <w:spacing w:val="-6"/>
        </w:rPr>
        <w:t> </w:t>
      </w:r>
      <w:r>
        <w:rPr/>
        <w:t>formación de tejido nuevo. En el presente reporte el aumento de densidad pudo observarse radiográficamente a  los  7  días  de  haberse realizado  la  intervención</w:t>
      </w:r>
      <w:r>
        <w:rPr>
          <w:spacing w:val="13"/>
        </w:rPr>
        <w:t> </w:t>
      </w:r>
      <w:r>
        <w:rPr/>
        <w:t>quirúrgica,</w:t>
      </w:r>
    </w:p>
    <w:p>
      <w:pPr>
        <w:spacing w:after="0" w:line="360" w:lineRule="auto"/>
        <w:jc w:val="both"/>
        <w:sectPr>
          <w:pgSz w:w="12240" w:h="15840"/>
          <w:pgMar w:header="744" w:footer="1572" w:top="1080" w:bottom="1760" w:left="1540" w:right="1540"/>
        </w:sectPr>
      </w:pPr>
    </w:p>
    <w:p>
      <w:pPr>
        <w:pStyle w:val="BodyText"/>
        <w:spacing w:before="4"/>
        <w:rPr>
          <w:sz w:val="21"/>
        </w:rPr>
      </w:pPr>
    </w:p>
    <w:p>
      <w:pPr>
        <w:pStyle w:val="BodyText"/>
        <w:spacing w:line="360" w:lineRule="auto" w:before="69"/>
        <w:ind w:left="162" w:right="163"/>
        <w:jc w:val="both"/>
      </w:pPr>
      <w:r>
        <w:rPr/>
        <w:t>mientras que a los 6 meses se observó la completa integración ósea para ambos casos.</w:t>
      </w:r>
      <w:r>
        <w:rPr>
          <w:spacing w:val="-7"/>
        </w:rPr>
        <w:t> </w:t>
      </w:r>
      <w:r>
        <w:rPr/>
        <w:t>En</w:t>
      </w:r>
      <w:r>
        <w:rPr>
          <w:spacing w:val="-7"/>
        </w:rPr>
        <w:t> </w:t>
      </w:r>
      <w:r>
        <w:rPr/>
        <w:t>cuanto</w:t>
      </w:r>
      <w:r>
        <w:rPr>
          <w:spacing w:val="-6"/>
        </w:rPr>
        <w:t> </w:t>
      </w:r>
      <w:r>
        <w:rPr/>
        <w:t>a</w:t>
      </w:r>
      <w:r>
        <w:rPr>
          <w:spacing w:val="-7"/>
        </w:rPr>
        <w:t> </w:t>
      </w:r>
      <w:r>
        <w:rPr/>
        <w:t>la</w:t>
      </w:r>
      <w:r>
        <w:rPr>
          <w:spacing w:val="-9"/>
        </w:rPr>
        <w:t> </w:t>
      </w:r>
      <w:r>
        <w:rPr/>
        <w:t>cicatrización</w:t>
      </w:r>
      <w:r>
        <w:rPr>
          <w:spacing w:val="-7"/>
        </w:rPr>
        <w:t> </w:t>
      </w:r>
      <w:r>
        <w:rPr/>
        <w:t>de</w:t>
      </w:r>
      <w:r>
        <w:rPr>
          <w:spacing w:val="-7"/>
        </w:rPr>
        <w:t> </w:t>
      </w:r>
      <w:r>
        <w:rPr/>
        <w:t>tejidos</w:t>
      </w:r>
      <w:r>
        <w:rPr>
          <w:spacing w:val="-10"/>
        </w:rPr>
        <w:t> </w:t>
      </w:r>
      <w:r>
        <w:rPr/>
        <w:t>blandos</w:t>
      </w:r>
      <w:r>
        <w:rPr>
          <w:spacing w:val="-8"/>
        </w:rPr>
        <w:t> </w:t>
      </w:r>
      <w:r>
        <w:rPr/>
        <w:t>se</w:t>
      </w:r>
      <w:r>
        <w:rPr>
          <w:spacing w:val="-9"/>
        </w:rPr>
        <w:t> </w:t>
      </w:r>
      <w:r>
        <w:rPr/>
        <w:t>ha</w:t>
      </w:r>
      <w:r>
        <w:rPr>
          <w:spacing w:val="-7"/>
        </w:rPr>
        <w:t> </w:t>
      </w:r>
      <w:r>
        <w:rPr/>
        <w:t>reportado</w:t>
      </w:r>
      <w:r>
        <w:rPr>
          <w:spacing w:val="-7"/>
        </w:rPr>
        <w:t> </w:t>
      </w:r>
      <w:r>
        <w:rPr/>
        <w:t>una</w:t>
      </w:r>
      <w:r>
        <w:rPr>
          <w:spacing w:val="-9"/>
        </w:rPr>
        <w:t> </w:t>
      </w:r>
      <w:r>
        <w:rPr/>
        <w:t>marcada mejoría en los resultados postoperatorios cuando se aplica el</w:t>
      </w:r>
      <w:r>
        <w:rPr>
          <w:spacing w:val="-24"/>
        </w:rPr>
        <w:t> </w:t>
      </w:r>
      <w:r>
        <w:rPr/>
        <w:t>PRGF.</w:t>
      </w:r>
    </w:p>
    <w:p>
      <w:pPr>
        <w:pStyle w:val="BodyText"/>
        <w:spacing w:line="360" w:lineRule="auto" w:before="204"/>
        <w:ind w:left="162" w:right="162"/>
        <w:jc w:val="both"/>
      </w:pPr>
      <w:r>
        <w:rPr/>
        <w:t>Algunos</w:t>
      </w:r>
      <w:r>
        <w:rPr>
          <w:spacing w:val="-20"/>
        </w:rPr>
        <w:t> </w:t>
      </w:r>
      <w:r>
        <w:rPr/>
        <w:t>autores</w:t>
      </w:r>
      <w:r>
        <w:rPr>
          <w:spacing w:val="-20"/>
        </w:rPr>
        <w:t> </w:t>
      </w:r>
      <w:r>
        <w:rPr/>
        <w:t>consideran</w:t>
      </w:r>
      <w:r>
        <w:rPr>
          <w:spacing w:val="-19"/>
        </w:rPr>
        <w:t> </w:t>
      </w:r>
      <w:r>
        <w:rPr/>
        <w:t>que</w:t>
      </w:r>
      <w:r>
        <w:rPr>
          <w:spacing w:val="-19"/>
        </w:rPr>
        <w:t> </w:t>
      </w:r>
      <w:r>
        <w:rPr/>
        <w:t>los</w:t>
      </w:r>
      <w:r>
        <w:rPr>
          <w:spacing w:val="-22"/>
        </w:rPr>
        <w:t> </w:t>
      </w:r>
      <w:r>
        <w:rPr/>
        <w:t>factores</w:t>
      </w:r>
      <w:r>
        <w:rPr>
          <w:spacing w:val="-22"/>
        </w:rPr>
        <w:t> </w:t>
      </w:r>
      <w:r>
        <w:rPr/>
        <w:t>de</w:t>
      </w:r>
      <w:r>
        <w:rPr>
          <w:spacing w:val="-19"/>
        </w:rPr>
        <w:t> </w:t>
      </w:r>
      <w:r>
        <w:rPr/>
        <w:t>crecimiento</w:t>
      </w:r>
      <w:r>
        <w:rPr>
          <w:spacing w:val="-21"/>
        </w:rPr>
        <w:t> </w:t>
      </w:r>
      <w:r>
        <w:rPr/>
        <w:t>contenidos</w:t>
      </w:r>
      <w:r>
        <w:rPr>
          <w:spacing w:val="-20"/>
        </w:rPr>
        <w:t> </w:t>
      </w:r>
      <w:r>
        <w:rPr/>
        <w:t>en</w:t>
      </w:r>
      <w:r>
        <w:rPr>
          <w:spacing w:val="-19"/>
        </w:rPr>
        <w:t> </w:t>
      </w:r>
      <w:r>
        <w:rPr/>
        <w:t>el</w:t>
      </w:r>
      <w:r>
        <w:rPr>
          <w:spacing w:val="-20"/>
        </w:rPr>
        <w:t> </w:t>
      </w:r>
      <w:r>
        <w:rPr/>
        <w:t>plasma regulan la migración de las células del tejido conectivo y la síntesis de proteínas junto con otros componentes de la matriz extracelular, al igual que consideran </w:t>
      </w:r>
      <w:r>
        <w:rPr>
          <w:spacing w:val="-2"/>
        </w:rPr>
        <w:t>que </w:t>
      </w:r>
      <w:r>
        <w:rPr/>
        <w:t>estos factores son secretados básicamente por macrófagos, células endoteliales, fibroblastos y plaquetas y que aplicados a defectos periodontales o en este caso periapicales induce una mejoría considerable en el relleno óseo (9,</w:t>
      </w:r>
      <w:r>
        <w:rPr>
          <w:spacing w:val="-25"/>
        </w:rPr>
        <w:t> </w:t>
      </w:r>
      <w:r>
        <w:rPr/>
        <w:t>16).</w:t>
      </w:r>
    </w:p>
    <w:p>
      <w:pPr>
        <w:pStyle w:val="BodyText"/>
        <w:spacing w:line="360" w:lineRule="auto" w:before="202"/>
        <w:ind w:left="162" w:right="155"/>
        <w:jc w:val="both"/>
      </w:pPr>
      <w:r>
        <w:rPr/>
        <w:t>Otra perspectiva del beneficio del uso de los factores de crecimiento es que la combinación de varios de los factores de crecimiento antes mencionados estimula la proliferación de fibroblastos y células del ligamento periodontal, la formación de matriz extracelular y la neovascularización. Además, el PRGF puede suprimir la liberación de citocinas y así limitar la inflamación. Fue propuesto para aumentar</w:t>
      </w:r>
      <w:r>
        <w:rPr>
          <w:spacing w:val="-42"/>
        </w:rPr>
        <w:t> </w:t>
      </w:r>
      <w:r>
        <w:rPr/>
        <w:t>las características de los injertos y facilitar la colocación del injerto, darle estabilidad, aumentar el ritmo y calidad vascular en el injerto, incrementar la regeneración de hueso, aumentar la cicatrización del tejido blando y ejercer el efecto mitogénico en las células. Puede también constituir una fuente fácilmente disponible y económica de factores de crecimiento y agentes biológicos naturales libres de riesgo de trasmisión de enfermedades o respuesta inmunológica (46,</w:t>
      </w:r>
      <w:r>
        <w:rPr>
          <w:spacing w:val="-25"/>
        </w:rPr>
        <w:t> </w:t>
      </w:r>
      <w:r>
        <w:rPr/>
        <w:t>47).</w:t>
      </w:r>
    </w:p>
    <w:p>
      <w:pPr>
        <w:pStyle w:val="BodyText"/>
        <w:spacing w:line="360" w:lineRule="auto" w:before="204"/>
        <w:ind w:left="162" w:right="157"/>
        <w:jc w:val="both"/>
      </w:pPr>
      <w:r>
        <w:rPr/>
        <w:t>Los</w:t>
      </w:r>
      <w:r>
        <w:rPr>
          <w:spacing w:val="-10"/>
        </w:rPr>
        <w:t> </w:t>
      </w:r>
      <w:r>
        <w:rPr/>
        <w:t>resultados</w:t>
      </w:r>
      <w:r>
        <w:rPr>
          <w:spacing w:val="-13"/>
        </w:rPr>
        <w:t> </w:t>
      </w:r>
      <w:r>
        <w:rPr/>
        <w:t>exitosos</w:t>
      </w:r>
      <w:r>
        <w:rPr>
          <w:spacing w:val="-10"/>
        </w:rPr>
        <w:t> </w:t>
      </w:r>
      <w:r>
        <w:rPr/>
        <w:t>obtenidos</w:t>
      </w:r>
      <w:r>
        <w:rPr>
          <w:spacing w:val="-13"/>
        </w:rPr>
        <w:t> </w:t>
      </w:r>
      <w:r>
        <w:rPr/>
        <w:t>de</w:t>
      </w:r>
      <w:r>
        <w:rPr>
          <w:spacing w:val="-12"/>
        </w:rPr>
        <w:t> </w:t>
      </w:r>
      <w:r>
        <w:rPr/>
        <w:t>las</w:t>
      </w:r>
      <w:r>
        <w:rPr>
          <w:spacing w:val="-12"/>
        </w:rPr>
        <w:t> </w:t>
      </w:r>
      <w:r>
        <w:rPr/>
        <w:t>investigaciones</w:t>
      </w:r>
      <w:r>
        <w:rPr>
          <w:spacing w:val="-10"/>
        </w:rPr>
        <w:t> </w:t>
      </w:r>
      <w:r>
        <w:rPr/>
        <w:t>y</w:t>
      </w:r>
      <w:r>
        <w:rPr>
          <w:spacing w:val="-13"/>
        </w:rPr>
        <w:t> </w:t>
      </w:r>
      <w:r>
        <w:rPr/>
        <w:t>casos</w:t>
      </w:r>
      <w:r>
        <w:rPr>
          <w:spacing w:val="-13"/>
        </w:rPr>
        <w:t> </w:t>
      </w:r>
      <w:r>
        <w:rPr/>
        <w:t>clínicos</w:t>
      </w:r>
      <w:r>
        <w:rPr>
          <w:spacing w:val="-10"/>
        </w:rPr>
        <w:t> </w:t>
      </w:r>
      <w:r>
        <w:rPr/>
        <w:t>con</w:t>
      </w:r>
      <w:r>
        <w:rPr>
          <w:spacing w:val="-12"/>
        </w:rPr>
        <w:t> </w:t>
      </w:r>
      <w:r>
        <w:rPr/>
        <w:t>el</w:t>
      </w:r>
      <w:r>
        <w:rPr>
          <w:spacing w:val="-13"/>
        </w:rPr>
        <w:t> </w:t>
      </w:r>
      <w:r>
        <w:rPr/>
        <w:t>uso de PRGF resultan ser la base de las técnicas de regeneración al demostrar la estimulación</w:t>
      </w:r>
      <w:r>
        <w:rPr>
          <w:spacing w:val="-11"/>
        </w:rPr>
        <w:t> </w:t>
      </w:r>
      <w:r>
        <w:rPr/>
        <w:t>efectiva</w:t>
      </w:r>
      <w:r>
        <w:rPr>
          <w:spacing w:val="-9"/>
        </w:rPr>
        <w:t> </w:t>
      </w:r>
      <w:r>
        <w:rPr/>
        <w:t>de</w:t>
      </w:r>
      <w:r>
        <w:rPr>
          <w:spacing w:val="-9"/>
        </w:rPr>
        <w:t> </w:t>
      </w:r>
      <w:r>
        <w:rPr/>
        <w:t>hueso</w:t>
      </w:r>
      <w:r>
        <w:rPr>
          <w:spacing w:val="-12"/>
        </w:rPr>
        <w:t> </w:t>
      </w:r>
      <w:r>
        <w:rPr/>
        <w:t>y</w:t>
      </w:r>
      <w:r>
        <w:rPr>
          <w:spacing w:val="-13"/>
        </w:rPr>
        <w:t> </w:t>
      </w:r>
      <w:r>
        <w:rPr/>
        <w:t>tejidos</w:t>
      </w:r>
      <w:r>
        <w:rPr>
          <w:spacing w:val="-13"/>
        </w:rPr>
        <w:t> </w:t>
      </w:r>
      <w:r>
        <w:rPr/>
        <w:t>blandos</w:t>
      </w:r>
      <w:r>
        <w:rPr>
          <w:spacing w:val="-10"/>
        </w:rPr>
        <w:t> </w:t>
      </w:r>
      <w:r>
        <w:rPr/>
        <w:t>aparte</w:t>
      </w:r>
      <w:r>
        <w:rPr>
          <w:spacing w:val="-12"/>
        </w:rPr>
        <w:t> </w:t>
      </w:r>
      <w:r>
        <w:rPr/>
        <w:t>de</w:t>
      </w:r>
      <w:r>
        <w:rPr>
          <w:spacing w:val="-12"/>
        </w:rPr>
        <w:t> </w:t>
      </w:r>
      <w:r>
        <w:rPr/>
        <w:t>disminuir</w:t>
      </w:r>
      <w:r>
        <w:rPr>
          <w:spacing w:val="-11"/>
        </w:rPr>
        <w:t> </w:t>
      </w:r>
      <w:r>
        <w:rPr/>
        <w:t>la</w:t>
      </w:r>
      <w:r>
        <w:rPr>
          <w:spacing w:val="-10"/>
        </w:rPr>
        <w:t> </w:t>
      </w:r>
      <w:r>
        <w:rPr/>
        <w:t>incomodidad postoperatoria, reducir la mayoría de los síntomas inflamatorios tales como el</w:t>
      </w:r>
      <w:r>
        <w:rPr>
          <w:spacing w:val="-34"/>
        </w:rPr>
        <w:t> </w:t>
      </w:r>
      <w:r>
        <w:rPr/>
        <w:t>dolor y el</w:t>
      </w:r>
      <w:r>
        <w:rPr>
          <w:spacing w:val="-3"/>
        </w:rPr>
        <w:t> </w:t>
      </w:r>
      <w:r>
        <w:rPr/>
        <w:t>edema.</w:t>
      </w:r>
    </w:p>
    <w:p>
      <w:pPr>
        <w:spacing w:after="0" w:line="360" w:lineRule="auto"/>
        <w:jc w:val="both"/>
        <w:sectPr>
          <w:pgSz w:w="12240" w:h="15840"/>
          <w:pgMar w:header="744" w:footer="1572" w:top="1080" w:bottom="1760" w:left="1540" w:right="1540"/>
        </w:sectPr>
      </w:pPr>
    </w:p>
    <w:p>
      <w:pPr>
        <w:pStyle w:val="BodyText"/>
        <w:spacing w:before="6"/>
        <w:rPr>
          <w:sz w:val="21"/>
        </w:rPr>
      </w:pPr>
    </w:p>
    <w:p>
      <w:pPr>
        <w:pStyle w:val="Heading1"/>
        <w:numPr>
          <w:ilvl w:val="0"/>
          <w:numId w:val="9"/>
        </w:numPr>
        <w:tabs>
          <w:tab w:pos="882" w:val="left" w:leader="none"/>
        </w:tabs>
        <w:spacing w:line="240" w:lineRule="auto" w:before="70" w:after="0"/>
        <w:ind w:left="882" w:right="0" w:hanging="360"/>
        <w:jc w:val="left"/>
      </w:pPr>
      <w:bookmarkStart w:name="_bookmark71" w:id="100"/>
      <w:bookmarkEnd w:id="100"/>
      <w:r>
        <w:rPr>
          <w:b w:val="0"/>
        </w:rPr>
      </w:r>
      <w:bookmarkStart w:name="_bookmark71" w:id="101"/>
      <w:bookmarkEnd w:id="101"/>
      <w:r>
        <w:rPr/>
        <w:t>CON</w:t>
      </w:r>
      <w:r>
        <w:rPr/>
        <w:t>CLUSIÓN</w:t>
      </w:r>
    </w:p>
    <w:p>
      <w:pPr>
        <w:pStyle w:val="BodyText"/>
        <w:spacing w:before="2"/>
        <w:rPr>
          <w:b/>
          <w:sz w:val="29"/>
        </w:rPr>
      </w:pPr>
    </w:p>
    <w:p>
      <w:pPr>
        <w:pStyle w:val="BodyText"/>
        <w:spacing w:line="360" w:lineRule="auto" w:before="1"/>
        <w:ind w:left="162" w:right="159"/>
        <w:jc w:val="both"/>
      </w:pPr>
      <w:r>
        <w:rPr/>
        <w:t>Podemos concluir que la etiología de la formación de las lesiones periapicales es multifactorial</w:t>
      </w:r>
      <w:r>
        <w:rPr>
          <w:spacing w:val="-12"/>
        </w:rPr>
        <w:t> </w:t>
      </w:r>
      <w:r>
        <w:rPr/>
        <w:t>siendo</w:t>
      </w:r>
      <w:r>
        <w:rPr>
          <w:spacing w:val="-11"/>
        </w:rPr>
        <w:t> </w:t>
      </w:r>
      <w:r>
        <w:rPr/>
        <w:t>la</w:t>
      </w:r>
      <w:r>
        <w:rPr>
          <w:spacing w:val="-13"/>
        </w:rPr>
        <w:t> </w:t>
      </w:r>
      <w:r>
        <w:rPr/>
        <w:t>persistencia</w:t>
      </w:r>
      <w:r>
        <w:rPr>
          <w:spacing w:val="-13"/>
        </w:rPr>
        <w:t> </w:t>
      </w:r>
      <w:r>
        <w:rPr/>
        <w:t>bacteriana</w:t>
      </w:r>
      <w:r>
        <w:rPr>
          <w:spacing w:val="-11"/>
        </w:rPr>
        <w:t> </w:t>
      </w:r>
      <w:r>
        <w:rPr/>
        <w:t>el</w:t>
      </w:r>
      <w:r>
        <w:rPr>
          <w:spacing w:val="-12"/>
        </w:rPr>
        <w:t> </w:t>
      </w:r>
      <w:r>
        <w:rPr/>
        <w:t>principal</w:t>
      </w:r>
      <w:r>
        <w:rPr>
          <w:spacing w:val="-14"/>
        </w:rPr>
        <w:t> </w:t>
      </w:r>
      <w:r>
        <w:rPr/>
        <w:t>factor</w:t>
      </w:r>
      <w:r>
        <w:rPr>
          <w:spacing w:val="-12"/>
        </w:rPr>
        <w:t> </w:t>
      </w:r>
      <w:r>
        <w:rPr/>
        <w:t>asociado</w:t>
      </w:r>
      <w:r>
        <w:rPr>
          <w:spacing w:val="-11"/>
        </w:rPr>
        <w:t> </w:t>
      </w:r>
      <w:r>
        <w:rPr/>
        <w:t>al</w:t>
      </w:r>
      <w:r>
        <w:rPr>
          <w:spacing w:val="-14"/>
        </w:rPr>
        <w:t> </w:t>
      </w:r>
      <w:r>
        <w:rPr/>
        <w:t>fracaso endodóntico. Las lesiones aquí reportadas tuvieron diferente etiología y ambas dieron</w:t>
      </w:r>
      <w:r>
        <w:rPr>
          <w:spacing w:val="-5"/>
        </w:rPr>
        <w:t> </w:t>
      </w:r>
      <w:r>
        <w:rPr/>
        <w:t>lugar</w:t>
      </w:r>
      <w:r>
        <w:rPr>
          <w:spacing w:val="-6"/>
        </w:rPr>
        <w:t> </w:t>
      </w:r>
      <w:r>
        <w:rPr/>
        <w:t>a</w:t>
      </w:r>
      <w:r>
        <w:rPr>
          <w:spacing w:val="-7"/>
        </w:rPr>
        <w:t> </w:t>
      </w:r>
      <w:r>
        <w:rPr/>
        <w:t>una</w:t>
      </w:r>
      <w:r>
        <w:rPr>
          <w:spacing w:val="-5"/>
        </w:rPr>
        <w:t> </w:t>
      </w:r>
      <w:r>
        <w:rPr/>
        <w:t>lesión</w:t>
      </w:r>
      <w:r>
        <w:rPr>
          <w:spacing w:val="-5"/>
        </w:rPr>
        <w:t> </w:t>
      </w:r>
      <w:r>
        <w:rPr/>
        <w:t>periapical</w:t>
      </w:r>
      <w:r>
        <w:rPr>
          <w:spacing w:val="-8"/>
        </w:rPr>
        <w:t> </w:t>
      </w:r>
      <w:r>
        <w:rPr/>
        <w:t>de</w:t>
      </w:r>
      <w:r>
        <w:rPr>
          <w:spacing w:val="-5"/>
        </w:rPr>
        <w:t> </w:t>
      </w:r>
      <w:r>
        <w:rPr/>
        <w:t>gran</w:t>
      </w:r>
      <w:r>
        <w:rPr>
          <w:spacing w:val="-4"/>
        </w:rPr>
        <w:t> </w:t>
      </w:r>
      <w:r>
        <w:rPr/>
        <w:t>tamaño.</w:t>
      </w:r>
      <w:r>
        <w:rPr>
          <w:spacing w:val="-7"/>
        </w:rPr>
        <w:t> </w:t>
      </w:r>
      <w:r>
        <w:rPr/>
        <w:t>El</w:t>
      </w:r>
      <w:r>
        <w:rPr>
          <w:spacing w:val="-6"/>
        </w:rPr>
        <w:t> </w:t>
      </w:r>
      <w:r>
        <w:rPr/>
        <w:t>uso</w:t>
      </w:r>
      <w:r>
        <w:rPr>
          <w:spacing w:val="-5"/>
        </w:rPr>
        <w:t> </w:t>
      </w:r>
      <w:r>
        <w:rPr/>
        <w:t>de</w:t>
      </w:r>
      <w:r>
        <w:rPr>
          <w:spacing w:val="-5"/>
        </w:rPr>
        <w:t> </w:t>
      </w:r>
      <w:r>
        <w:rPr/>
        <w:t>radiografías</w:t>
      </w:r>
      <w:r>
        <w:rPr>
          <w:spacing w:val="-5"/>
        </w:rPr>
        <w:t> </w:t>
      </w:r>
      <w:r>
        <w:rPr/>
        <w:t>no</w:t>
      </w:r>
      <w:r>
        <w:rPr>
          <w:spacing w:val="-5"/>
        </w:rPr>
        <w:t> </w:t>
      </w:r>
      <w:r>
        <w:rPr/>
        <w:t>debe ser determinante del diagnóstico ni plan de tratamiento a seguir pues algunas patologías pueden pasar desapercibidas. Además, ante la presencia de una radiolucencia apical es conveniente recurrir a estudios histopatológicos para determinar la naturaleza de la patología tal como se procedió en ambos casos donde la lesión aparentaba corresponder a un quiste periapical y se determinó mediante un análisis histológico el diagnóstico definitivo de granuloma</w:t>
      </w:r>
      <w:r>
        <w:rPr>
          <w:spacing w:val="-28"/>
        </w:rPr>
        <w:t> </w:t>
      </w:r>
      <w:r>
        <w:rPr/>
        <w:t>periapical.</w:t>
      </w:r>
    </w:p>
    <w:p>
      <w:pPr>
        <w:pStyle w:val="BodyText"/>
        <w:spacing w:line="360" w:lineRule="auto" w:before="202"/>
        <w:ind w:left="162" w:right="156"/>
        <w:jc w:val="both"/>
      </w:pPr>
      <w:r>
        <w:rPr/>
        <w:t>En</w:t>
      </w:r>
      <w:r>
        <w:rPr>
          <w:spacing w:val="-7"/>
        </w:rPr>
        <w:t> </w:t>
      </w:r>
      <w:r>
        <w:rPr/>
        <w:t>los</w:t>
      </w:r>
      <w:r>
        <w:rPr>
          <w:spacing w:val="-9"/>
        </w:rPr>
        <w:t> </w:t>
      </w:r>
      <w:r>
        <w:rPr/>
        <w:t>dos</w:t>
      </w:r>
      <w:r>
        <w:rPr>
          <w:spacing w:val="-8"/>
        </w:rPr>
        <w:t> </w:t>
      </w:r>
      <w:r>
        <w:rPr/>
        <w:t>casos</w:t>
      </w:r>
      <w:r>
        <w:rPr>
          <w:spacing w:val="-9"/>
        </w:rPr>
        <w:t> </w:t>
      </w:r>
      <w:r>
        <w:rPr/>
        <w:t>reportados</w:t>
      </w:r>
      <w:r>
        <w:rPr>
          <w:spacing w:val="-9"/>
        </w:rPr>
        <w:t> </w:t>
      </w:r>
      <w:r>
        <w:rPr/>
        <w:t>se</w:t>
      </w:r>
      <w:r>
        <w:rPr>
          <w:spacing w:val="-9"/>
        </w:rPr>
        <w:t> </w:t>
      </w:r>
      <w:r>
        <w:rPr/>
        <w:t>decidió</w:t>
      </w:r>
      <w:r>
        <w:rPr>
          <w:spacing w:val="-9"/>
        </w:rPr>
        <w:t> </w:t>
      </w:r>
      <w:r>
        <w:rPr/>
        <w:t>realizar</w:t>
      </w:r>
      <w:r>
        <w:rPr>
          <w:spacing w:val="-8"/>
        </w:rPr>
        <w:t> </w:t>
      </w:r>
      <w:r>
        <w:rPr/>
        <w:t>cirugía</w:t>
      </w:r>
      <w:r>
        <w:rPr>
          <w:spacing w:val="-7"/>
        </w:rPr>
        <w:t> </w:t>
      </w:r>
      <w:r>
        <w:rPr/>
        <w:t>periapical</w:t>
      </w:r>
      <w:r>
        <w:rPr>
          <w:spacing w:val="-9"/>
        </w:rPr>
        <w:t> </w:t>
      </w:r>
      <w:r>
        <w:rPr/>
        <w:t>con</w:t>
      </w:r>
      <w:r>
        <w:rPr>
          <w:spacing w:val="-7"/>
        </w:rPr>
        <w:t> </w:t>
      </w:r>
      <w:r>
        <w:rPr/>
        <w:t>la</w:t>
      </w:r>
      <w:r>
        <w:rPr>
          <w:spacing w:val="-11"/>
        </w:rPr>
        <w:t> </w:t>
      </w:r>
      <w:r>
        <w:rPr/>
        <w:t>finalidad</w:t>
      </w:r>
      <w:r>
        <w:rPr>
          <w:spacing w:val="-9"/>
        </w:rPr>
        <w:t> </w:t>
      </w:r>
      <w:r>
        <w:rPr/>
        <w:t>de utilizar</w:t>
      </w:r>
      <w:r>
        <w:rPr>
          <w:spacing w:val="-18"/>
        </w:rPr>
        <w:t> </w:t>
      </w:r>
      <w:r>
        <w:rPr/>
        <w:t>una</w:t>
      </w:r>
      <w:r>
        <w:rPr>
          <w:spacing w:val="-17"/>
        </w:rPr>
        <w:t> </w:t>
      </w:r>
      <w:r>
        <w:rPr/>
        <w:t>combinación</w:t>
      </w:r>
      <w:r>
        <w:rPr>
          <w:spacing w:val="-17"/>
        </w:rPr>
        <w:t> </w:t>
      </w:r>
      <w:r>
        <w:rPr/>
        <w:t>de</w:t>
      </w:r>
      <w:r>
        <w:rPr>
          <w:spacing w:val="-17"/>
        </w:rPr>
        <w:t> </w:t>
      </w:r>
      <w:r>
        <w:rPr/>
        <w:t>PRGF</w:t>
      </w:r>
      <w:r>
        <w:rPr>
          <w:spacing w:val="-20"/>
        </w:rPr>
        <w:t> </w:t>
      </w:r>
      <w:r>
        <w:rPr/>
        <w:t>con</w:t>
      </w:r>
      <w:r>
        <w:rPr>
          <w:spacing w:val="-19"/>
        </w:rPr>
        <w:t> </w:t>
      </w:r>
      <w:r>
        <w:rPr/>
        <w:t>injerto</w:t>
      </w:r>
      <w:r>
        <w:rPr>
          <w:spacing w:val="-19"/>
        </w:rPr>
        <w:t> </w:t>
      </w:r>
      <w:r>
        <w:rPr/>
        <w:t>óseo</w:t>
      </w:r>
      <w:r>
        <w:rPr>
          <w:spacing w:val="-19"/>
        </w:rPr>
        <w:t> </w:t>
      </w:r>
      <w:r>
        <w:rPr/>
        <w:t>liofilizado</w:t>
      </w:r>
      <w:r>
        <w:rPr>
          <w:spacing w:val="-11"/>
        </w:rPr>
        <w:t> </w:t>
      </w:r>
      <w:r>
        <w:rPr/>
        <w:t>y</w:t>
      </w:r>
      <w:r>
        <w:rPr>
          <w:spacing w:val="-20"/>
        </w:rPr>
        <w:t> </w:t>
      </w:r>
      <w:r>
        <w:rPr/>
        <w:t>evaluar</w:t>
      </w:r>
      <w:r>
        <w:rPr>
          <w:spacing w:val="-18"/>
        </w:rPr>
        <w:t> </w:t>
      </w:r>
      <w:r>
        <w:rPr/>
        <w:t>los</w:t>
      </w:r>
      <w:r>
        <w:rPr>
          <w:spacing w:val="-19"/>
        </w:rPr>
        <w:t> </w:t>
      </w:r>
      <w:r>
        <w:rPr/>
        <w:t>beneficios postoperatorios. Varios estudios han reportado una rápida y efectiva regeneración de tejidos con reducción de los efectos postquirúrgicos cuando se ha aplicado el PRGF en conjunto con procedimientos de injerto. Los factores de crecimiento juegan un papel importante en los mecanismos de defensa del huésped, tienen actividad antimicrobiana ante ciertas especies bacterianas orales, estimulan la proliferación del LPD y el crecimiento óseo y mejora el proceso de cicatrización en tejidos</w:t>
      </w:r>
      <w:r>
        <w:rPr>
          <w:spacing w:val="-4"/>
        </w:rPr>
        <w:t> </w:t>
      </w:r>
      <w:r>
        <w:rPr/>
        <w:t>blandos.</w:t>
      </w:r>
    </w:p>
    <w:p>
      <w:pPr>
        <w:pStyle w:val="BodyText"/>
        <w:spacing w:line="360" w:lineRule="auto" w:before="204"/>
        <w:ind w:left="162" w:right="162"/>
        <w:jc w:val="both"/>
      </w:pPr>
      <w:r>
        <w:rPr/>
        <w:t>En la actualidad, las técnicas de RTG pueden mejorar el resultado de la regeneración ósea después del tratamiento endodóntico quirúrgico en casos de lesiones periapicales grandes. Sin embargo, aún se necesitan estudios clínicos prospectivos a gran escala para evaluar mejor los posibles beneficios de las técnicas de RTG en cirugía endodóntica.</w:t>
      </w:r>
    </w:p>
    <w:p>
      <w:pPr>
        <w:spacing w:after="0" w:line="360" w:lineRule="auto"/>
        <w:jc w:val="both"/>
        <w:sectPr>
          <w:pgSz w:w="12240" w:h="15840"/>
          <w:pgMar w:header="744" w:footer="1572" w:top="1080" w:bottom="1760" w:left="1540" w:right="1540"/>
        </w:sectPr>
      </w:pPr>
    </w:p>
    <w:p>
      <w:pPr>
        <w:pStyle w:val="BodyText"/>
        <w:spacing w:before="6"/>
        <w:rPr>
          <w:sz w:val="21"/>
        </w:rPr>
      </w:pPr>
    </w:p>
    <w:p>
      <w:pPr>
        <w:pStyle w:val="Heading1"/>
        <w:numPr>
          <w:ilvl w:val="0"/>
          <w:numId w:val="9"/>
        </w:numPr>
        <w:tabs>
          <w:tab w:pos="882" w:val="left" w:leader="none"/>
        </w:tabs>
        <w:spacing w:line="240" w:lineRule="auto" w:before="70" w:after="0"/>
        <w:ind w:left="882" w:right="0" w:hanging="360"/>
        <w:jc w:val="left"/>
      </w:pPr>
      <w:bookmarkStart w:name="_bookmark72" w:id="102"/>
      <w:bookmarkEnd w:id="102"/>
      <w:r>
        <w:rPr>
          <w:b w:val="0"/>
        </w:rPr>
      </w:r>
      <w:bookmarkStart w:name="_bookmark72" w:id="103"/>
      <w:bookmarkEnd w:id="103"/>
      <w:r>
        <w:rPr/>
        <w:t>REFE</w:t>
      </w:r>
      <w:r>
        <w:rPr/>
        <w:t>RENCIAS</w:t>
      </w:r>
      <w:r>
        <w:rPr>
          <w:spacing w:val="-11"/>
        </w:rPr>
        <w:t> </w:t>
      </w:r>
      <w:r>
        <w:rPr/>
        <w:t>BIBLIOGRÁFICAS</w:t>
      </w:r>
    </w:p>
    <w:p>
      <w:pPr>
        <w:pStyle w:val="BodyText"/>
        <w:rPr>
          <w:b/>
        </w:rPr>
      </w:pPr>
    </w:p>
    <w:p>
      <w:pPr>
        <w:pStyle w:val="BodyText"/>
        <w:rPr>
          <w:b/>
        </w:rPr>
      </w:pPr>
    </w:p>
    <w:p>
      <w:pPr>
        <w:pStyle w:val="BodyText"/>
        <w:spacing w:before="7"/>
        <w:rPr>
          <w:b/>
          <w:sz w:val="34"/>
        </w:rPr>
      </w:pPr>
    </w:p>
    <w:p>
      <w:pPr>
        <w:pStyle w:val="ListParagraph"/>
        <w:numPr>
          <w:ilvl w:val="0"/>
          <w:numId w:val="11"/>
        </w:numPr>
        <w:tabs>
          <w:tab w:pos="882" w:val="left" w:leader="none"/>
        </w:tabs>
        <w:spacing w:line="360" w:lineRule="auto" w:before="1" w:after="0"/>
        <w:ind w:left="882" w:right="156" w:hanging="360"/>
        <w:jc w:val="both"/>
        <w:rPr>
          <w:sz w:val="24"/>
        </w:rPr>
      </w:pPr>
      <w:r>
        <w:rPr>
          <w:sz w:val="24"/>
        </w:rPr>
        <w:t>Barone C, Dao TT, Basrrani BB, Wang N y Friedman S. Treatment outcome in endodontics: The Toronto study- Phases 3, 4 and 5: Apical Surgery. J Endod. 2010; 36(1):</w:t>
      </w:r>
      <w:r>
        <w:rPr>
          <w:spacing w:val="-11"/>
          <w:sz w:val="24"/>
        </w:rPr>
        <w:t> </w:t>
      </w:r>
      <w:r>
        <w:rPr>
          <w:sz w:val="24"/>
        </w:rPr>
        <w:t>28-35.</w:t>
      </w:r>
    </w:p>
    <w:p>
      <w:pPr>
        <w:pStyle w:val="ListParagraph"/>
        <w:numPr>
          <w:ilvl w:val="0"/>
          <w:numId w:val="11"/>
        </w:numPr>
        <w:tabs>
          <w:tab w:pos="882" w:val="left" w:leader="none"/>
        </w:tabs>
        <w:spacing w:line="360" w:lineRule="auto" w:before="5" w:after="0"/>
        <w:ind w:left="882" w:right="163" w:hanging="360"/>
        <w:jc w:val="both"/>
        <w:rPr>
          <w:sz w:val="24"/>
        </w:rPr>
      </w:pPr>
      <w:r>
        <w:rPr>
          <w:sz w:val="24"/>
        </w:rPr>
        <w:t>Lin LM, Skribner JE, Gaengler P. Factors associated with endodontic treatment failures. J Endod. 1992; 18(12):</w:t>
      </w:r>
      <w:r>
        <w:rPr>
          <w:spacing w:val="-18"/>
          <w:sz w:val="24"/>
        </w:rPr>
        <w:t> </w:t>
      </w:r>
      <w:r>
        <w:rPr>
          <w:sz w:val="24"/>
        </w:rPr>
        <w:t>625-27.</w:t>
      </w:r>
    </w:p>
    <w:p>
      <w:pPr>
        <w:pStyle w:val="ListParagraph"/>
        <w:numPr>
          <w:ilvl w:val="0"/>
          <w:numId w:val="11"/>
        </w:numPr>
        <w:tabs>
          <w:tab w:pos="882" w:val="left" w:leader="none"/>
        </w:tabs>
        <w:spacing w:line="362" w:lineRule="auto" w:before="2" w:after="0"/>
        <w:ind w:left="882" w:right="157" w:hanging="360"/>
        <w:jc w:val="both"/>
        <w:rPr>
          <w:sz w:val="24"/>
        </w:rPr>
      </w:pPr>
      <w:r>
        <w:rPr>
          <w:sz w:val="24"/>
        </w:rPr>
        <w:t>Siqueira JF. Aetiology of root canal treatment failure: </w:t>
      </w:r>
      <w:r>
        <w:rPr>
          <w:spacing w:val="2"/>
          <w:sz w:val="24"/>
        </w:rPr>
        <w:t>Why </w:t>
      </w:r>
      <w:r>
        <w:rPr>
          <w:sz w:val="24"/>
        </w:rPr>
        <w:t>well-treated teeth can fail. Int Endod J. 2001; 34:</w:t>
      </w:r>
      <w:r>
        <w:rPr>
          <w:spacing w:val="-10"/>
          <w:sz w:val="24"/>
        </w:rPr>
        <w:t> </w:t>
      </w:r>
      <w:r>
        <w:rPr>
          <w:sz w:val="24"/>
        </w:rPr>
        <w:t>1-10.</w:t>
      </w:r>
    </w:p>
    <w:p>
      <w:pPr>
        <w:pStyle w:val="ListParagraph"/>
        <w:numPr>
          <w:ilvl w:val="0"/>
          <w:numId w:val="11"/>
        </w:numPr>
        <w:tabs>
          <w:tab w:pos="882" w:val="left" w:leader="none"/>
        </w:tabs>
        <w:spacing w:line="360" w:lineRule="auto" w:before="0" w:after="0"/>
        <w:ind w:left="882" w:right="158" w:hanging="360"/>
        <w:jc w:val="both"/>
        <w:rPr>
          <w:sz w:val="24"/>
        </w:rPr>
      </w:pPr>
      <w:r>
        <w:rPr>
          <w:sz w:val="24"/>
        </w:rPr>
        <w:t>Song M, Jung IY, Lee SJ, Lee CY, Kim E. Prognostic factors for clinical outcomes</w:t>
      </w:r>
      <w:r>
        <w:rPr>
          <w:spacing w:val="-18"/>
          <w:sz w:val="24"/>
        </w:rPr>
        <w:t> </w:t>
      </w:r>
      <w:r>
        <w:rPr>
          <w:sz w:val="24"/>
        </w:rPr>
        <w:t>in</w:t>
      </w:r>
      <w:r>
        <w:rPr>
          <w:spacing w:val="-18"/>
          <w:sz w:val="24"/>
        </w:rPr>
        <w:t> </w:t>
      </w:r>
      <w:r>
        <w:rPr>
          <w:sz w:val="24"/>
        </w:rPr>
        <w:t>endodontic</w:t>
      </w:r>
      <w:r>
        <w:rPr>
          <w:spacing w:val="-16"/>
          <w:sz w:val="24"/>
        </w:rPr>
        <w:t> </w:t>
      </w:r>
      <w:r>
        <w:rPr>
          <w:sz w:val="24"/>
        </w:rPr>
        <w:t>microsurgery:</w:t>
      </w:r>
      <w:r>
        <w:rPr>
          <w:spacing w:val="-15"/>
          <w:sz w:val="24"/>
        </w:rPr>
        <w:t> </w:t>
      </w:r>
      <w:r>
        <w:rPr>
          <w:sz w:val="24"/>
        </w:rPr>
        <w:t>A</w:t>
      </w:r>
      <w:r>
        <w:rPr>
          <w:spacing w:val="-15"/>
          <w:sz w:val="24"/>
        </w:rPr>
        <w:t> </w:t>
      </w:r>
      <w:r>
        <w:rPr>
          <w:sz w:val="24"/>
        </w:rPr>
        <w:t>restrospective</w:t>
      </w:r>
      <w:r>
        <w:rPr>
          <w:spacing w:val="-15"/>
          <w:sz w:val="24"/>
        </w:rPr>
        <w:t> </w:t>
      </w:r>
      <w:r>
        <w:rPr>
          <w:sz w:val="24"/>
        </w:rPr>
        <w:t>study.</w:t>
      </w:r>
      <w:r>
        <w:rPr>
          <w:spacing w:val="-15"/>
          <w:sz w:val="24"/>
        </w:rPr>
        <w:t> </w:t>
      </w:r>
      <w:r>
        <w:rPr>
          <w:sz w:val="24"/>
        </w:rPr>
        <w:t>J</w:t>
      </w:r>
      <w:r>
        <w:rPr>
          <w:spacing w:val="-16"/>
          <w:sz w:val="24"/>
        </w:rPr>
        <w:t> </w:t>
      </w:r>
      <w:r>
        <w:rPr>
          <w:sz w:val="24"/>
        </w:rPr>
        <w:t>Endod.</w:t>
      </w:r>
      <w:r>
        <w:rPr>
          <w:spacing w:val="-18"/>
          <w:sz w:val="24"/>
        </w:rPr>
        <w:t> </w:t>
      </w:r>
      <w:r>
        <w:rPr>
          <w:sz w:val="24"/>
        </w:rPr>
        <w:t>2011; 37(7):</w:t>
      </w:r>
      <w:r>
        <w:rPr>
          <w:spacing w:val="-4"/>
          <w:sz w:val="24"/>
        </w:rPr>
        <w:t> </w:t>
      </w:r>
      <w:r>
        <w:rPr>
          <w:sz w:val="24"/>
        </w:rPr>
        <w:t>927-33.</w:t>
      </w:r>
    </w:p>
    <w:p>
      <w:pPr>
        <w:pStyle w:val="ListParagraph"/>
        <w:numPr>
          <w:ilvl w:val="0"/>
          <w:numId w:val="11"/>
        </w:numPr>
        <w:tabs>
          <w:tab w:pos="882" w:val="left" w:leader="none"/>
        </w:tabs>
        <w:spacing w:line="360" w:lineRule="auto" w:before="5" w:after="0"/>
        <w:ind w:left="882" w:right="156" w:hanging="360"/>
        <w:jc w:val="both"/>
        <w:rPr>
          <w:sz w:val="24"/>
        </w:rPr>
      </w:pPr>
      <w:r>
        <w:rPr>
          <w:sz w:val="24"/>
        </w:rPr>
        <w:t>Sjӧgren</w:t>
      </w:r>
      <w:r>
        <w:rPr>
          <w:spacing w:val="-7"/>
          <w:sz w:val="24"/>
        </w:rPr>
        <w:t> </w:t>
      </w:r>
      <w:r>
        <w:rPr>
          <w:sz w:val="24"/>
        </w:rPr>
        <w:t>U,</w:t>
      </w:r>
      <w:r>
        <w:rPr>
          <w:spacing w:val="-8"/>
          <w:sz w:val="24"/>
        </w:rPr>
        <w:t> </w:t>
      </w:r>
      <w:r>
        <w:rPr>
          <w:sz w:val="24"/>
        </w:rPr>
        <w:t>Hagglund</w:t>
      </w:r>
      <w:r>
        <w:rPr>
          <w:spacing w:val="-7"/>
          <w:sz w:val="24"/>
        </w:rPr>
        <w:t> </w:t>
      </w:r>
      <w:r>
        <w:rPr>
          <w:sz w:val="24"/>
        </w:rPr>
        <w:t>B,</w:t>
      </w:r>
      <w:r>
        <w:rPr>
          <w:spacing w:val="-8"/>
          <w:sz w:val="24"/>
        </w:rPr>
        <w:t> </w:t>
      </w:r>
      <w:r>
        <w:rPr>
          <w:sz w:val="24"/>
        </w:rPr>
        <w:t>Sundqvist</w:t>
      </w:r>
      <w:r>
        <w:rPr>
          <w:spacing w:val="-8"/>
          <w:sz w:val="24"/>
        </w:rPr>
        <w:t> </w:t>
      </w:r>
      <w:r>
        <w:rPr>
          <w:sz w:val="24"/>
        </w:rPr>
        <w:t>G,</w:t>
      </w:r>
      <w:r>
        <w:rPr>
          <w:spacing w:val="-12"/>
          <w:sz w:val="24"/>
        </w:rPr>
        <w:t> </w:t>
      </w:r>
      <w:r>
        <w:rPr>
          <w:sz w:val="24"/>
        </w:rPr>
        <w:t>Wing</w:t>
      </w:r>
      <w:r>
        <w:rPr>
          <w:spacing w:val="-9"/>
          <w:sz w:val="24"/>
        </w:rPr>
        <w:t> </w:t>
      </w:r>
      <w:r>
        <w:rPr>
          <w:sz w:val="24"/>
        </w:rPr>
        <w:t>K.</w:t>
      </w:r>
      <w:r>
        <w:rPr>
          <w:spacing w:val="-10"/>
          <w:sz w:val="24"/>
        </w:rPr>
        <w:t> </w:t>
      </w:r>
      <w:r>
        <w:rPr>
          <w:sz w:val="24"/>
        </w:rPr>
        <w:t>Factors</w:t>
      </w:r>
      <w:r>
        <w:rPr>
          <w:spacing w:val="-9"/>
          <w:sz w:val="24"/>
        </w:rPr>
        <w:t> </w:t>
      </w:r>
      <w:r>
        <w:rPr>
          <w:sz w:val="24"/>
        </w:rPr>
        <w:t>affecting</w:t>
      </w:r>
      <w:r>
        <w:rPr>
          <w:spacing w:val="-10"/>
          <w:sz w:val="24"/>
        </w:rPr>
        <w:t> </w:t>
      </w:r>
      <w:r>
        <w:rPr>
          <w:sz w:val="24"/>
        </w:rPr>
        <w:t>the</w:t>
      </w:r>
      <w:r>
        <w:rPr>
          <w:spacing w:val="-7"/>
          <w:sz w:val="24"/>
        </w:rPr>
        <w:t> </w:t>
      </w:r>
      <w:r>
        <w:rPr>
          <w:sz w:val="24"/>
        </w:rPr>
        <w:t>long-term results of endodontic treatment. J Endod. 1990; 16(10):</w:t>
      </w:r>
      <w:r>
        <w:rPr>
          <w:spacing w:val="-21"/>
          <w:sz w:val="24"/>
        </w:rPr>
        <w:t> </w:t>
      </w:r>
      <w:r>
        <w:rPr>
          <w:sz w:val="24"/>
        </w:rPr>
        <w:t>498-504.</w:t>
      </w:r>
    </w:p>
    <w:p>
      <w:pPr>
        <w:pStyle w:val="ListParagraph"/>
        <w:numPr>
          <w:ilvl w:val="0"/>
          <w:numId w:val="11"/>
        </w:numPr>
        <w:tabs>
          <w:tab w:pos="882" w:val="left" w:leader="none"/>
        </w:tabs>
        <w:spacing w:line="360" w:lineRule="auto" w:before="5" w:after="0"/>
        <w:ind w:left="882" w:right="154" w:hanging="360"/>
        <w:jc w:val="both"/>
        <w:rPr>
          <w:sz w:val="24"/>
        </w:rPr>
      </w:pPr>
      <w:r>
        <w:rPr>
          <w:sz w:val="24"/>
        </w:rPr>
        <w:t>Setzer</w:t>
      </w:r>
      <w:r>
        <w:rPr>
          <w:spacing w:val="-7"/>
          <w:sz w:val="24"/>
        </w:rPr>
        <w:t> </w:t>
      </w:r>
      <w:r>
        <w:rPr>
          <w:sz w:val="24"/>
        </w:rPr>
        <w:t>FC,</w:t>
      </w:r>
      <w:r>
        <w:rPr>
          <w:spacing w:val="-6"/>
          <w:sz w:val="24"/>
        </w:rPr>
        <w:t> </w:t>
      </w:r>
      <w:r>
        <w:rPr>
          <w:sz w:val="24"/>
        </w:rPr>
        <w:t>Shah</w:t>
      </w:r>
      <w:r>
        <w:rPr>
          <w:spacing w:val="-6"/>
          <w:sz w:val="24"/>
        </w:rPr>
        <w:t> </w:t>
      </w:r>
      <w:r>
        <w:rPr>
          <w:sz w:val="24"/>
        </w:rPr>
        <w:t>SB,</w:t>
      </w:r>
      <w:r>
        <w:rPr>
          <w:spacing w:val="-6"/>
          <w:sz w:val="24"/>
        </w:rPr>
        <w:t> </w:t>
      </w:r>
      <w:r>
        <w:rPr>
          <w:sz w:val="24"/>
        </w:rPr>
        <w:t>Kohli</w:t>
      </w:r>
      <w:r>
        <w:rPr>
          <w:spacing w:val="-8"/>
          <w:sz w:val="24"/>
        </w:rPr>
        <w:t> </w:t>
      </w:r>
      <w:r>
        <w:rPr>
          <w:sz w:val="24"/>
        </w:rPr>
        <w:t>MR,</w:t>
      </w:r>
      <w:r>
        <w:rPr>
          <w:spacing w:val="-7"/>
          <w:sz w:val="24"/>
        </w:rPr>
        <w:t> </w:t>
      </w:r>
      <w:r>
        <w:rPr>
          <w:sz w:val="24"/>
        </w:rPr>
        <w:t>Karabucak</w:t>
      </w:r>
      <w:r>
        <w:rPr>
          <w:spacing w:val="-7"/>
          <w:sz w:val="24"/>
        </w:rPr>
        <w:t> </w:t>
      </w:r>
      <w:r>
        <w:rPr>
          <w:sz w:val="24"/>
        </w:rPr>
        <w:t>B,</w:t>
      </w:r>
      <w:r>
        <w:rPr>
          <w:spacing w:val="-9"/>
          <w:sz w:val="24"/>
        </w:rPr>
        <w:t> </w:t>
      </w:r>
      <w:r>
        <w:rPr>
          <w:sz w:val="24"/>
        </w:rPr>
        <w:t>Kim</w:t>
      </w:r>
      <w:r>
        <w:rPr>
          <w:spacing w:val="-6"/>
          <w:sz w:val="24"/>
        </w:rPr>
        <w:t> </w:t>
      </w:r>
      <w:r>
        <w:rPr>
          <w:sz w:val="24"/>
        </w:rPr>
        <w:t>S.</w:t>
      </w:r>
      <w:r>
        <w:rPr>
          <w:spacing w:val="-6"/>
          <w:sz w:val="24"/>
        </w:rPr>
        <w:t> </w:t>
      </w:r>
      <w:r>
        <w:rPr>
          <w:sz w:val="24"/>
        </w:rPr>
        <w:t>Outcome</w:t>
      </w:r>
      <w:r>
        <w:rPr>
          <w:spacing w:val="-6"/>
          <w:sz w:val="24"/>
        </w:rPr>
        <w:t> </w:t>
      </w:r>
      <w:r>
        <w:rPr>
          <w:sz w:val="24"/>
        </w:rPr>
        <w:t>of</w:t>
      </w:r>
      <w:r>
        <w:rPr>
          <w:spacing w:val="-7"/>
          <w:sz w:val="24"/>
        </w:rPr>
        <w:t> </w:t>
      </w:r>
      <w:r>
        <w:rPr>
          <w:sz w:val="24"/>
        </w:rPr>
        <w:t>endodontic surgery: A meta-analysis of the literature-Part 1: Comparison of traditional root-end</w:t>
      </w:r>
      <w:r>
        <w:rPr>
          <w:spacing w:val="-9"/>
          <w:sz w:val="24"/>
        </w:rPr>
        <w:t> </w:t>
      </w:r>
      <w:r>
        <w:rPr>
          <w:sz w:val="24"/>
        </w:rPr>
        <w:t>surgery</w:t>
      </w:r>
      <w:r>
        <w:rPr>
          <w:spacing w:val="-13"/>
          <w:sz w:val="24"/>
        </w:rPr>
        <w:t> </w:t>
      </w:r>
      <w:r>
        <w:rPr>
          <w:sz w:val="24"/>
        </w:rPr>
        <w:t>and</w:t>
      </w:r>
      <w:r>
        <w:rPr>
          <w:spacing w:val="-9"/>
          <w:sz w:val="24"/>
        </w:rPr>
        <w:t> </w:t>
      </w:r>
      <w:r>
        <w:rPr>
          <w:sz w:val="24"/>
        </w:rPr>
        <w:t>endodontic</w:t>
      </w:r>
      <w:r>
        <w:rPr>
          <w:spacing w:val="-9"/>
          <w:sz w:val="24"/>
        </w:rPr>
        <w:t> </w:t>
      </w:r>
      <w:r>
        <w:rPr>
          <w:sz w:val="24"/>
        </w:rPr>
        <w:t>microsurgery.</w:t>
      </w:r>
      <w:r>
        <w:rPr>
          <w:spacing w:val="-10"/>
          <w:sz w:val="24"/>
        </w:rPr>
        <w:t> </w:t>
      </w:r>
      <w:r>
        <w:rPr>
          <w:sz w:val="24"/>
        </w:rPr>
        <w:t>J</w:t>
      </w:r>
      <w:r>
        <w:rPr>
          <w:spacing w:val="-10"/>
          <w:sz w:val="24"/>
        </w:rPr>
        <w:t> </w:t>
      </w:r>
      <w:r>
        <w:rPr>
          <w:sz w:val="24"/>
        </w:rPr>
        <w:t>Endod.</w:t>
      </w:r>
      <w:r>
        <w:rPr>
          <w:spacing w:val="-12"/>
          <w:sz w:val="24"/>
        </w:rPr>
        <w:t> </w:t>
      </w:r>
      <w:r>
        <w:rPr>
          <w:sz w:val="24"/>
        </w:rPr>
        <w:t>2010;</w:t>
      </w:r>
      <w:r>
        <w:rPr>
          <w:spacing w:val="-10"/>
          <w:sz w:val="24"/>
        </w:rPr>
        <w:t> </w:t>
      </w:r>
      <w:r>
        <w:rPr>
          <w:sz w:val="24"/>
        </w:rPr>
        <w:t>36(11):</w:t>
      </w:r>
      <w:r>
        <w:rPr>
          <w:spacing w:val="-10"/>
          <w:sz w:val="24"/>
        </w:rPr>
        <w:t> </w:t>
      </w:r>
      <w:r>
        <w:rPr>
          <w:sz w:val="24"/>
        </w:rPr>
        <w:t>1757- 65.</w:t>
      </w:r>
    </w:p>
    <w:p>
      <w:pPr>
        <w:pStyle w:val="ListParagraph"/>
        <w:numPr>
          <w:ilvl w:val="0"/>
          <w:numId w:val="11"/>
        </w:numPr>
        <w:tabs>
          <w:tab w:pos="882" w:val="left" w:leader="none"/>
        </w:tabs>
        <w:spacing w:line="360" w:lineRule="auto" w:before="5" w:after="0"/>
        <w:ind w:left="882" w:right="156" w:hanging="360"/>
        <w:jc w:val="both"/>
        <w:rPr>
          <w:sz w:val="24"/>
        </w:rPr>
      </w:pPr>
      <w:r>
        <w:rPr>
          <w:sz w:val="24"/>
        </w:rPr>
        <w:t>Torabinejad M, Corr R, Handysides R, Shabahang S. Outcomes of nonsurgical retreatment and endodontic surgery: A systematic review. J Endod. 2009; 35(7):</w:t>
      </w:r>
      <w:r>
        <w:rPr>
          <w:spacing w:val="-10"/>
          <w:sz w:val="24"/>
        </w:rPr>
        <w:t> </w:t>
      </w:r>
      <w:r>
        <w:rPr>
          <w:sz w:val="24"/>
        </w:rPr>
        <w:t>930-37.</w:t>
      </w:r>
    </w:p>
    <w:p>
      <w:pPr>
        <w:pStyle w:val="ListParagraph"/>
        <w:numPr>
          <w:ilvl w:val="0"/>
          <w:numId w:val="11"/>
        </w:numPr>
        <w:tabs>
          <w:tab w:pos="882" w:val="left" w:leader="none"/>
        </w:tabs>
        <w:spacing w:line="360" w:lineRule="auto" w:before="2" w:after="0"/>
        <w:ind w:left="882" w:right="156" w:hanging="360"/>
        <w:jc w:val="both"/>
        <w:rPr>
          <w:sz w:val="24"/>
        </w:rPr>
      </w:pPr>
      <w:r>
        <w:rPr>
          <w:sz w:val="24"/>
        </w:rPr>
        <w:t>Artzi Z, Wasersprug N, Weinreb M, Steigmann M, Prasad H, Tsesis I. Effect of guided tissue regeneration on newly formed bone and cementum in periapical tissue healing after endodontic surgery: An in vivo study in the</w:t>
      </w:r>
      <w:r>
        <w:rPr>
          <w:spacing w:val="-46"/>
          <w:sz w:val="24"/>
        </w:rPr>
        <w:t> </w:t>
      </w:r>
      <w:r>
        <w:rPr>
          <w:sz w:val="24"/>
        </w:rPr>
        <w:t>cat. J Endod. 2012; 38(2):</w:t>
      </w:r>
      <w:r>
        <w:rPr>
          <w:spacing w:val="-10"/>
          <w:sz w:val="24"/>
        </w:rPr>
        <w:t> </w:t>
      </w:r>
      <w:r>
        <w:rPr>
          <w:sz w:val="24"/>
        </w:rPr>
        <w:t>163-69.</w:t>
      </w:r>
    </w:p>
    <w:p>
      <w:pPr>
        <w:pStyle w:val="ListParagraph"/>
        <w:numPr>
          <w:ilvl w:val="0"/>
          <w:numId w:val="11"/>
        </w:numPr>
        <w:tabs>
          <w:tab w:pos="882" w:val="left" w:leader="none"/>
        </w:tabs>
        <w:spacing w:line="360" w:lineRule="auto" w:before="3" w:after="0"/>
        <w:ind w:left="882" w:right="157" w:hanging="360"/>
        <w:jc w:val="both"/>
        <w:rPr>
          <w:sz w:val="24"/>
        </w:rPr>
      </w:pPr>
      <w:r>
        <w:rPr>
          <w:sz w:val="24"/>
        </w:rPr>
        <w:t>Lin L, Chen M, Ricucci D, Rosenberg PA. Guided tissue regeneration in periapical surgery. J Endod 2010; 36(4):</w:t>
      </w:r>
      <w:r>
        <w:rPr>
          <w:spacing w:val="-18"/>
          <w:sz w:val="24"/>
        </w:rPr>
        <w:t> </w:t>
      </w:r>
      <w:r>
        <w:rPr>
          <w:sz w:val="24"/>
        </w:rPr>
        <w:t>618–25.</w:t>
      </w:r>
    </w:p>
    <w:p>
      <w:pPr>
        <w:spacing w:after="0" w:line="360" w:lineRule="auto"/>
        <w:jc w:val="both"/>
        <w:rPr>
          <w:sz w:val="24"/>
        </w:rPr>
        <w:sectPr>
          <w:pgSz w:w="12240" w:h="15840"/>
          <w:pgMar w:header="744" w:footer="1572" w:top="1080" w:bottom="1760" w:left="1540" w:right="1540"/>
        </w:sectPr>
      </w:pPr>
    </w:p>
    <w:p>
      <w:pPr>
        <w:pStyle w:val="BodyText"/>
        <w:spacing w:before="4"/>
        <w:rPr>
          <w:sz w:val="21"/>
        </w:rPr>
      </w:pPr>
    </w:p>
    <w:p>
      <w:pPr>
        <w:pStyle w:val="ListParagraph"/>
        <w:numPr>
          <w:ilvl w:val="0"/>
          <w:numId w:val="11"/>
        </w:numPr>
        <w:tabs>
          <w:tab w:pos="882" w:val="left" w:leader="none"/>
        </w:tabs>
        <w:spacing w:line="360" w:lineRule="auto" w:before="69" w:after="0"/>
        <w:ind w:left="882" w:right="152" w:hanging="360"/>
        <w:jc w:val="both"/>
        <w:rPr>
          <w:sz w:val="24"/>
        </w:rPr>
      </w:pPr>
      <w:r>
        <w:rPr>
          <w:sz w:val="24"/>
        </w:rPr>
        <w:t>Goyal</w:t>
      </w:r>
      <w:r>
        <w:rPr>
          <w:spacing w:val="-14"/>
          <w:sz w:val="24"/>
        </w:rPr>
        <w:t> </w:t>
      </w:r>
      <w:r>
        <w:rPr>
          <w:sz w:val="24"/>
        </w:rPr>
        <w:t>B,</w:t>
      </w:r>
      <w:r>
        <w:rPr>
          <w:spacing w:val="-16"/>
          <w:sz w:val="24"/>
        </w:rPr>
        <w:t> </w:t>
      </w:r>
      <w:r>
        <w:rPr>
          <w:sz w:val="24"/>
        </w:rPr>
        <w:t>Tewari</w:t>
      </w:r>
      <w:r>
        <w:rPr>
          <w:spacing w:val="-15"/>
          <w:sz w:val="24"/>
        </w:rPr>
        <w:t> </w:t>
      </w:r>
      <w:r>
        <w:rPr>
          <w:sz w:val="24"/>
        </w:rPr>
        <w:t>S,</w:t>
      </w:r>
      <w:r>
        <w:rPr>
          <w:spacing w:val="40"/>
          <w:sz w:val="24"/>
        </w:rPr>
        <w:t> </w:t>
      </w:r>
      <w:r>
        <w:rPr>
          <w:sz w:val="24"/>
        </w:rPr>
        <w:t>Dunhan</w:t>
      </w:r>
      <w:r>
        <w:rPr>
          <w:spacing w:val="-13"/>
          <w:sz w:val="24"/>
        </w:rPr>
        <w:t> </w:t>
      </w:r>
      <w:r>
        <w:rPr>
          <w:sz w:val="24"/>
        </w:rPr>
        <w:t>J,</w:t>
      </w:r>
      <w:r>
        <w:rPr>
          <w:spacing w:val="-16"/>
          <w:sz w:val="24"/>
        </w:rPr>
        <w:t> </w:t>
      </w:r>
      <w:r>
        <w:rPr>
          <w:sz w:val="24"/>
        </w:rPr>
        <w:t>Sehgal</w:t>
      </w:r>
      <w:r>
        <w:rPr>
          <w:spacing w:val="-14"/>
          <w:sz w:val="24"/>
        </w:rPr>
        <w:t> </w:t>
      </w:r>
      <w:r>
        <w:rPr>
          <w:sz w:val="24"/>
        </w:rPr>
        <w:t>PK.</w:t>
      </w:r>
      <w:r>
        <w:rPr>
          <w:spacing w:val="-13"/>
          <w:sz w:val="24"/>
        </w:rPr>
        <w:t> </w:t>
      </w:r>
      <w:r>
        <w:rPr>
          <w:sz w:val="24"/>
        </w:rPr>
        <w:t>Comparative</w:t>
      </w:r>
      <w:r>
        <w:rPr>
          <w:spacing w:val="-13"/>
          <w:sz w:val="24"/>
        </w:rPr>
        <w:t> </w:t>
      </w:r>
      <w:r>
        <w:rPr>
          <w:sz w:val="24"/>
        </w:rPr>
        <w:t>evaluation</w:t>
      </w:r>
      <w:r>
        <w:rPr>
          <w:spacing w:val="-15"/>
          <w:sz w:val="24"/>
        </w:rPr>
        <w:t> </w:t>
      </w:r>
      <w:r>
        <w:rPr>
          <w:sz w:val="24"/>
        </w:rPr>
        <w:t>of</w:t>
      </w:r>
      <w:r>
        <w:rPr>
          <w:spacing w:val="-16"/>
          <w:sz w:val="24"/>
        </w:rPr>
        <w:t> </w:t>
      </w:r>
      <w:r>
        <w:rPr>
          <w:sz w:val="24"/>
        </w:rPr>
        <w:t>platelet- rich plasma and guided tissue regeneration membrane in the healing of apicomarginal defects: A clinical study. J Endod 2011;</w:t>
      </w:r>
      <w:r>
        <w:rPr>
          <w:spacing w:val="-19"/>
          <w:sz w:val="24"/>
        </w:rPr>
        <w:t> </w:t>
      </w:r>
      <w:r>
        <w:rPr>
          <w:sz w:val="24"/>
        </w:rPr>
        <w:t>37(6):773–80.</w:t>
      </w:r>
    </w:p>
    <w:p>
      <w:pPr>
        <w:pStyle w:val="ListParagraph"/>
        <w:numPr>
          <w:ilvl w:val="0"/>
          <w:numId w:val="11"/>
        </w:numPr>
        <w:tabs>
          <w:tab w:pos="882" w:val="left" w:leader="none"/>
        </w:tabs>
        <w:spacing w:line="360" w:lineRule="auto" w:before="5" w:after="0"/>
        <w:ind w:left="882" w:right="156" w:hanging="360"/>
        <w:jc w:val="both"/>
        <w:rPr>
          <w:sz w:val="24"/>
        </w:rPr>
      </w:pPr>
      <w:r>
        <w:rPr>
          <w:sz w:val="24"/>
        </w:rPr>
        <w:t>Del</w:t>
      </w:r>
      <w:r>
        <w:rPr>
          <w:spacing w:val="-9"/>
          <w:sz w:val="24"/>
        </w:rPr>
        <w:t> </w:t>
      </w:r>
      <w:r>
        <w:rPr>
          <w:sz w:val="24"/>
        </w:rPr>
        <w:t>Fabbro</w:t>
      </w:r>
      <w:r>
        <w:rPr>
          <w:spacing w:val="-9"/>
          <w:sz w:val="24"/>
        </w:rPr>
        <w:t> </w:t>
      </w:r>
      <w:r>
        <w:rPr>
          <w:sz w:val="24"/>
        </w:rPr>
        <w:t>M,</w:t>
      </w:r>
      <w:r>
        <w:rPr>
          <w:spacing w:val="-11"/>
          <w:sz w:val="24"/>
        </w:rPr>
        <w:t> </w:t>
      </w:r>
      <w:r>
        <w:rPr>
          <w:sz w:val="24"/>
        </w:rPr>
        <w:t>Ceresoli</w:t>
      </w:r>
      <w:r>
        <w:rPr>
          <w:spacing w:val="-10"/>
          <w:sz w:val="24"/>
        </w:rPr>
        <w:t> </w:t>
      </w:r>
      <w:r>
        <w:rPr>
          <w:sz w:val="24"/>
        </w:rPr>
        <w:t>V,</w:t>
      </w:r>
      <w:r>
        <w:rPr>
          <w:spacing w:val="-11"/>
          <w:sz w:val="24"/>
        </w:rPr>
        <w:t> </w:t>
      </w:r>
      <w:r>
        <w:rPr>
          <w:sz w:val="24"/>
        </w:rPr>
        <w:t>Lolato</w:t>
      </w:r>
      <w:r>
        <w:rPr>
          <w:spacing w:val="-11"/>
          <w:sz w:val="24"/>
        </w:rPr>
        <w:t> </w:t>
      </w:r>
      <w:r>
        <w:rPr>
          <w:sz w:val="24"/>
        </w:rPr>
        <w:t>A,</w:t>
      </w:r>
      <w:r>
        <w:rPr>
          <w:spacing w:val="-11"/>
          <w:sz w:val="24"/>
        </w:rPr>
        <w:t> </w:t>
      </w:r>
      <w:r>
        <w:rPr>
          <w:sz w:val="24"/>
        </w:rPr>
        <w:t>Taschieri</w:t>
      </w:r>
      <w:r>
        <w:rPr>
          <w:spacing w:val="-12"/>
          <w:sz w:val="24"/>
        </w:rPr>
        <w:t> </w:t>
      </w:r>
      <w:r>
        <w:rPr>
          <w:sz w:val="24"/>
        </w:rPr>
        <w:t>S.</w:t>
      </w:r>
      <w:r>
        <w:rPr>
          <w:spacing w:val="-9"/>
          <w:sz w:val="24"/>
        </w:rPr>
        <w:t> </w:t>
      </w:r>
      <w:r>
        <w:rPr>
          <w:sz w:val="24"/>
        </w:rPr>
        <w:t>Effect</w:t>
      </w:r>
      <w:r>
        <w:rPr>
          <w:spacing w:val="-13"/>
          <w:sz w:val="24"/>
        </w:rPr>
        <w:t> </w:t>
      </w:r>
      <w:r>
        <w:rPr>
          <w:sz w:val="24"/>
        </w:rPr>
        <w:t>of</w:t>
      </w:r>
      <w:r>
        <w:rPr>
          <w:spacing w:val="-9"/>
          <w:sz w:val="24"/>
        </w:rPr>
        <w:t> </w:t>
      </w:r>
      <w:r>
        <w:rPr>
          <w:sz w:val="24"/>
        </w:rPr>
        <w:t>platelet</w:t>
      </w:r>
      <w:r>
        <w:rPr>
          <w:spacing w:val="-11"/>
          <w:sz w:val="24"/>
        </w:rPr>
        <w:t> </w:t>
      </w:r>
      <w:r>
        <w:rPr>
          <w:sz w:val="24"/>
        </w:rPr>
        <w:t>concentrate on quality of life after periradicular surgery: A randomized clinical study. J Endod 2012;</w:t>
      </w:r>
      <w:r>
        <w:rPr>
          <w:spacing w:val="-9"/>
          <w:sz w:val="24"/>
        </w:rPr>
        <w:t> </w:t>
      </w:r>
      <w:r>
        <w:rPr>
          <w:sz w:val="24"/>
        </w:rPr>
        <w:t>38(6):733–39.</w:t>
      </w:r>
    </w:p>
    <w:p>
      <w:pPr>
        <w:pStyle w:val="ListParagraph"/>
        <w:numPr>
          <w:ilvl w:val="0"/>
          <w:numId w:val="11"/>
        </w:numPr>
        <w:tabs>
          <w:tab w:pos="882" w:val="left" w:leader="none"/>
        </w:tabs>
        <w:spacing w:line="240" w:lineRule="auto" w:before="2" w:after="0"/>
        <w:ind w:left="882" w:right="0" w:hanging="360"/>
        <w:jc w:val="left"/>
        <w:rPr>
          <w:sz w:val="24"/>
        </w:rPr>
      </w:pPr>
      <w:r>
        <w:rPr>
          <w:sz w:val="24"/>
        </w:rPr>
        <w:t>Urist MR. Bone: Formation by Autoinduction. Science 1965; 150:</w:t>
      </w:r>
      <w:r>
        <w:rPr>
          <w:spacing w:val="-24"/>
          <w:sz w:val="24"/>
        </w:rPr>
        <w:t> </w:t>
      </w:r>
      <w:r>
        <w:rPr>
          <w:sz w:val="24"/>
        </w:rPr>
        <w:t>893-899.</w:t>
      </w:r>
    </w:p>
    <w:p>
      <w:pPr>
        <w:pStyle w:val="ListParagraph"/>
        <w:numPr>
          <w:ilvl w:val="0"/>
          <w:numId w:val="11"/>
        </w:numPr>
        <w:tabs>
          <w:tab w:pos="882" w:val="left" w:leader="none"/>
        </w:tabs>
        <w:spacing w:line="360" w:lineRule="auto" w:before="139" w:after="0"/>
        <w:ind w:left="882" w:right="155" w:hanging="360"/>
        <w:jc w:val="both"/>
        <w:rPr>
          <w:sz w:val="24"/>
        </w:rPr>
      </w:pPr>
      <w:r>
        <w:rPr>
          <w:sz w:val="24"/>
        </w:rPr>
        <w:t>Matras H. The use of fibrin sealant in oral and maxillofacial surgery. J Maxillofac Surg 1982; 40(10):</w:t>
      </w:r>
      <w:r>
        <w:rPr>
          <w:spacing w:val="-15"/>
          <w:sz w:val="24"/>
        </w:rPr>
        <w:t> </w:t>
      </w:r>
      <w:r>
        <w:rPr>
          <w:sz w:val="24"/>
        </w:rPr>
        <w:t>617-22.</w:t>
      </w:r>
    </w:p>
    <w:p>
      <w:pPr>
        <w:pStyle w:val="ListParagraph"/>
        <w:numPr>
          <w:ilvl w:val="0"/>
          <w:numId w:val="11"/>
        </w:numPr>
        <w:tabs>
          <w:tab w:pos="882" w:val="left" w:leader="none"/>
        </w:tabs>
        <w:spacing w:line="360" w:lineRule="auto" w:before="5" w:after="0"/>
        <w:ind w:left="882" w:right="158" w:hanging="360"/>
        <w:jc w:val="both"/>
        <w:rPr>
          <w:sz w:val="24"/>
        </w:rPr>
      </w:pPr>
      <w:r>
        <w:rPr>
          <w:sz w:val="24"/>
        </w:rPr>
        <w:t>Gibble JW, Ness PM. Fibrin glue: the perfect operative sealant? Transfusion 1990; 30(8):</w:t>
      </w:r>
      <w:r>
        <w:rPr>
          <w:spacing w:val="-7"/>
          <w:sz w:val="24"/>
        </w:rPr>
        <w:t> </w:t>
      </w:r>
      <w:r>
        <w:rPr>
          <w:sz w:val="24"/>
        </w:rPr>
        <w:t>741-47.</w:t>
      </w:r>
    </w:p>
    <w:p>
      <w:pPr>
        <w:pStyle w:val="ListParagraph"/>
        <w:numPr>
          <w:ilvl w:val="0"/>
          <w:numId w:val="11"/>
        </w:numPr>
        <w:tabs>
          <w:tab w:pos="882" w:val="left" w:leader="none"/>
        </w:tabs>
        <w:spacing w:line="360" w:lineRule="auto" w:before="5" w:after="0"/>
        <w:ind w:left="882" w:right="157" w:hanging="360"/>
        <w:jc w:val="both"/>
        <w:rPr>
          <w:sz w:val="24"/>
        </w:rPr>
      </w:pPr>
      <w:r>
        <w:rPr>
          <w:sz w:val="24"/>
        </w:rPr>
        <w:t>Marx RE, Carlson ER, Eichstaedt RM: Platelet-rich plasma growth factor enhancement for bone grafts. Oral Surg Oral Med Oral Pathol Oral Radiol Endod 1998; 85:</w:t>
      </w:r>
      <w:r>
        <w:rPr>
          <w:spacing w:val="-10"/>
          <w:sz w:val="24"/>
        </w:rPr>
        <w:t> </w:t>
      </w:r>
      <w:r>
        <w:rPr>
          <w:sz w:val="24"/>
        </w:rPr>
        <w:t>638-46.</w:t>
      </w:r>
    </w:p>
    <w:p>
      <w:pPr>
        <w:pStyle w:val="ListParagraph"/>
        <w:numPr>
          <w:ilvl w:val="0"/>
          <w:numId w:val="11"/>
        </w:numPr>
        <w:tabs>
          <w:tab w:pos="882" w:val="left" w:leader="none"/>
        </w:tabs>
        <w:spacing w:line="360" w:lineRule="auto" w:before="2" w:after="0"/>
        <w:ind w:left="882" w:right="158" w:hanging="360"/>
        <w:jc w:val="both"/>
        <w:rPr>
          <w:sz w:val="24"/>
        </w:rPr>
      </w:pPr>
      <w:r>
        <w:rPr>
          <w:sz w:val="24"/>
        </w:rPr>
        <w:t>Camargo PM et al. Platelet-rich plasma and bovine porous bone mineral combined with guided tissue regeneration in the treatment of intrabony defects in human. J Periodont Res 2002; 37:</w:t>
      </w:r>
      <w:r>
        <w:rPr>
          <w:spacing w:val="-22"/>
          <w:sz w:val="24"/>
        </w:rPr>
        <w:t> </w:t>
      </w:r>
      <w:r>
        <w:rPr>
          <w:sz w:val="24"/>
        </w:rPr>
        <w:t>300-06.</w:t>
      </w:r>
    </w:p>
    <w:p>
      <w:pPr>
        <w:pStyle w:val="ListParagraph"/>
        <w:numPr>
          <w:ilvl w:val="0"/>
          <w:numId w:val="11"/>
        </w:numPr>
        <w:tabs>
          <w:tab w:pos="882" w:val="left" w:leader="none"/>
        </w:tabs>
        <w:spacing w:line="360" w:lineRule="auto" w:before="5" w:after="0"/>
        <w:ind w:left="882" w:right="156" w:hanging="360"/>
        <w:jc w:val="both"/>
        <w:rPr>
          <w:sz w:val="24"/>
        </w:rPr>
      </w:pPr>
      <w:r>
        <w:rPr>
          <w:sz w:val="24"/>
        </w:rPr>
        <w:t>Carlson</w:t>
      </w:r>
      <w:r>
        <w:rPr>
          <w:spacing w:val="-4"/>
          <w:sz w:val="24"/>
        </w:rPr>
        <w:t> </w:t>
      </w:r>
      <w:r>
        <w:rPr>
          <w:sz w:val="24"/>
        </w:rPr>
        <w:t>E.</w:t>
      </w:r>
      <w:r>
        <w:rPr>
          <w:spacing w:val="-6"/>
          <w:sz w:val="24"/>
        </w:rPr>
        <w:t> </w:t>
      </w:r>
      <w:r>
        <w:rPr>
          <w:sz w:val="24"/>
        </w:rPr>
        <w:t>Bone</w:t>
      </w:r>
      <w:r>
        <w:rPr>
          <w:spacing w:val="-4"/>
          <w:sz w:val="24"/>
        </w:rPr>
        <w:t> </w:t>
      </w:r>
      <w:r>
        <w:rPr>
          <w:sz w:val="24"/>
        </w:rPr>
        <w:t>grafting</w:t>
      </w:r>
      <w:r>
        <w:rPr>
          <w:spacing w:val="-6"/>
          <w:sz w:val="24"/>
        </w:rPr>
        <w:t> </w:t>
      </w:r>
      <w:r>
        <w:rPr>
          <w:sz w:val="24"/>
        </w:rPr>
        <w:t>the</w:t>
      </w:r>
      <w:r>
        <w:rPr>
          <w:spacing w:val="-4"/>
          <w:sz w:val="24"/>
        </w:rPr>
        <w:t> </w:t>
      </w:r>
      <w:r>
        <w:rPr>
          <w:sz w:val="24"/>
        </w:rPr>
        <w:t>jaws</w:t>
      </w:r>
      <w:r>
        <w:rPr>
          <w:spacing w:val="-4"/>
          <w:sz w:val="24"/>
        </w:rPr>
        <w:t> </w:t>
      </w:r>
      <w:r>
        <w:rPr>
          <w:sz w:val="24"/>
        </w:rPr>
        <w:t>in</w:t>
      </w:r>
      <w:r>
        <w:rPr>
          <w:spacing w:val="-4"/>
          <w:sz w:val="24"/>
        </w:rPr>
        <w:t> </w:t>
      </w:r>
      <w:r>
        <w:rPr>
          <w:sz w:val="24"/>
        </w:rPr>
        <w:t>the</w:t>
      </w:r>
      <w:r>
        <w:rPr>
          <w:spacing w:val="-4"/>
          <w:sz w:val="24"/>
        </w:rPr>
        <w:t> </w:t>
      </w:r>
      <w:r>
        <w:rPr>
          <w:sz w:val="24"/>
        </w:rPr>
        <w:t>21</w:t>
      </w:r>
      <w:r>
        <w:rPr>
          <w:spacing w:val="-4"/>
          <w:sz w:val="24"/>
        </w:rPr>
        <w:t> </w:t>
      </w:r>
      <w:r>
        <w:rPr>
          <w:sz w:val="24"/>
        </w:rPr>
        <w:t>st</w:t>
      </w:r>
      <w:r>
        <w:rPr>
          <w:spacing w:val="-6"/>
          <w:sz w:val="24"/>
        </w:rPr>
        <w:t> </w:t>
      </w:r>
      <w:r>
        <w:rPr>
          <w:sz w:val="24"/>
        </w:rPr>
        <w:t>century:</w:t>
      </w:r>
      <w:r>
        <w:rPr>
          <w:spacing w:val="-4"/>
          <w:sz w:val="24"/>
        </w:rPr>
        <w:t> </w:t>
      </w:r>
      <w:r>
        <w:rPr>
          <w:sz w:val="24"/>
        </w:rPr>
        <w:t>the</w:t>
      </w:r>
      <w:r>
        <w:rPr>
          <w:spacing w:val="-4"/>
          <w:sz w:val="24"/>
        </w:rPr>
        <w:t> </w:t>
      </w:r>
      <w:r>
        <w:rPr>
          <w:sz w:val="24"/>
        </w:rPr>
        <w:t>use</w:t>
      </w:r>
      <w:r>
        <w:rPr>
          <w:spacing w:val="-4"/>
          <w:sz w:val="24"/>
        </w:rPr>
        <w:t> </w:t>
      </w:r>
      <w:r>
        <w:rPr>
          <w:sz w:val="24"/>
        </w:rPr>
        <w:t>of</w:t>
      </w:r>
      <w:r>
        <w:rPr>
          <w:spacing w:val="-4"/>
          <w:sz w:val="24"/>
        </w:rPr>
        <w:t> </w:t>
      </w:r>
      <w:r>
        <w:rPr>
          <w:sz w:val="24"/>
        </w:rPr>
        <w:t>platelet-rich plasma and bone morphogenic protein. Alpha Omegan 2000; 93:</w:t>
      </w:r>
      <w:r>
        <w:rPr>
          <w:spacing w:val="-22"/>
          <w:sz w:val="24"/>
        </w:rPr>
        <w:t> </w:t>
      </w:r>
      <w:r>
        <w:rPr>
          <w:sz w:val="24"/>
        </w:rPr>
        <w:t>26-30.</w:t>
      </w:r>
    </w:p>
    <w:p>
      <w:pPr>
        <w:pStyle w:val="ListParagraph"/>
        <w:numPr>
          <w:ilvl w:val="0"/>
          <w:numId w:val="11"/>
        </w:numPr>
        <w:tabs>
          <w:tab w:pos="882" w:val="left" w:leader="none"/>
        </w:tabs>
        <w:spacing w:line="360" w:lineRule="auto" w:before="5" w:after="0"/>
        <w:ind w:left="882" w:right="162" w:hanging="360"/>
        <w:jc w:val="both"/>
        <w:rPr>
          <w:sz w:val="24"/>
        </w:rPr>
      </w:pPr>
      <w:r>
        <w:rPr>
          <w:sz w:val="24"/>
        </w:rPr>
        <w:t>Anitua E, Mohammad H. Perspectives and challenges in regenerative medicine using plasma rich in growth factors. J Control Release 2012; 157: 29-38.</w:t>
      </w:r>
    </w:p>
    <w:p>
      <w:pPr>
        <w:pStyle w:val="ListParagraph"/>
        <w:numPr>
          <w:ilvl w:val="0"/>
          <w:numId w:val="11"/>
        </w:numPr>
        <w:tabs>
          <w:tab w:pos="882" w:val="left" w:leader="none"/>
        </w:tabs>
        <w:spacing w:line="360" w:lineRule="auto" w:before="2" w:after="0"/>
        <w:ind w:left="882" w:right="155" w:hanging="360"/>
        <w:jc w:val="both"/>
        <w:rPr>
          <w:sz w:val="24"/>
        </w:rPr>
      </w:pPr>
      <w:r>
        <w:rPr>
          <w:sz w:val="24"/>
        </w:rPr>
        <w:t>Kakehashi S, Stanley HR, Fitzgerald J. The effects of surgical exposures of dental pulps in germ-free and conventional laboratory rats. Oral Surg Oral Med O. 1965; 20(3):</w:t>
      </w:r>
      <w:r>
        <w:rPr>
          <w:spacing w:val="-9"/>
          <w:sz w:val="24"/>
        </w:rPr>
        <w:t> </w:t>
      </w:r>
      <w:r>
        <w:rPr>
          <w:sz w:val="24"/>
        </w:rPr>
        <w:t>340-49.</w:t>
      </w:r>
    </w:p>
    <w:p>
      <w:pPr>
        <w:pStyle w:val="ListParagraph"/>
        <w:numPr>
          <w:ilvl w:val="0"/>
          <w:numId w:val="11"/>
        </w:numPr>
        <w:tabs>
          <w:tab w:pos="882" w:val="left" w:leader="none"/>
        </w:tabs>
        <w:spacing w:line="360" w:lineRule="auto" w:before="5" w:after="0"/>
        <w:ind w:left="882" w:right="158" w:hanging="360"/>
        <w:jc w:val="both"/>
        <w:rPr>
          <w:sz w:val="24"/>
        </w:rPr>
      </w:pPr>
      <w:r>
        <w:rPr>
          <w:sz w:val="24"/>
        </w:rPr>
        <w:t>Ricucci D, Siqueira JF. Recurrent apical periododntitis and late endodontic treatment failure related to coronal leakage: A Case Report. J Endod. 2011; 37(8):</w:t>
      </w:r>
      <w:r>
        <w:rPr>
          <w:spacing w:val="-4"/>
          <w:sz w:val="24"/>
        </w:rPr>
        <w:t> </w:t>
      </w:r>
      <w:r>
        <w:rPr>
          <w:sz w:val="24"/>
        </w:rPr>
        <w:t>1171-75.</w:t>
      </w:r>
    </w:p>
    <w:p>
      <w:pPr>
        <w:pStyle w:val="ListParagraph"/>
        <w:numPr>
          <w:ilvl w:val="0"/>
          <w:numId w:val="11"/>
        </w:numPr>
        <w:tabs>
          <w:tab w:pos="882" w:val="left" w:leader="none"/>
        </w:tabs>
        <w:spacing w:line="360" w:lineRule="auto" w:before="2" w:after="0"/>
        <w:ind w:left="882" w:right="157" w:hanging="360"/>
        <w:jc w:val="both"/>
        <w:rPr>
          <w:sz w:val="24"/>
        </w:rPr>
      </w:pPr>
      <w:r>
        <w:rPr>
          <w:sz w:val="24"/>
        </w:rPr>
        <w:t>Seltzer</w:t>
      </w:r>
      <w:r>
        <w:rPr>
          <w:spacing w:val="-16"/>
          <w:sz w:val="24"/>
        </w:rPr>
        <w:t> </w:t>
      </w:r>
      <w:r>
        <w:rPr>
          <w:sz w:val="24"/>
        </w:rPr>
        <w:t>S,</w:t>
      </w:r>
      <w:r>
        <w:rPr>
          <w:spacing w:val="-17"/>
          <w:sz w:val="24"/>
        </w:rPr>
        <w:t> </w:t>
      </w:r>
      <w:r>
        <w:rPr>
          <w:sz w:val="24"/>
        </w:rPr>
        <w:t>Soltanoff</w:t>
      </w:r>
      <w:r>
        <w:rPr>
          <w:spacing w:val="-21"/>
          <w:sz w:val="24"/>
        </w:rPr>
        <w:t> </w:t>
      </w:r>
      <w:r>
        <w:rPr>
          <w:spacing w:val="4"/>
          <w:sz w:val="24"/>
        </w:rPr>
        <w:t>W,</w:t>
      </w:r>
      <w:r>
        <w:rPr>
          <w:spacing w:val="-19"/>
          <w:sz w:val="24"/>
        </w:rPr>
        <w:t> </w:t>
      </w:r>
      <w:r>
        <w:rPr>
          <w:sz w:val="24"/>
        </w:rPr>
        <w:t>Smith</w:t>
      </w:r>
      <w:r>
        <w:rPr>
          <w:spacing w:val="-16"/>
          <w:sz w:val="24"/>
        </w:rPr>
        <w:t> </w:t>
      </w:r>
      <w:r>
        <w:rPr>
          <w:sz w:val="24"/>
        </w:rPr>
        <w:t>J.</w:t>
      </w:r>
      <w:r>
        <w:rPr>
          <w:spacing w:val="-17"/>
          <w:sz w:val="24"/>
        </w:rPr>
        <w:t> </w:t>
      </w:r>
      <w:r>
        <w:rPr>
          <w:sz w:val="24"/>
        </w:rPr>
        <w:t>Biologic</w:t>
      </w:r>
      <w:r>
        <w:rPr>
          <w:spacing w:val="-11"/>
          <w:sz w:val="24"/>
        </w:rPr>
        <w:t> </w:t>
      </w:r>
      <w:r>
        <w:rPr>
          <w:sz w:val="24"/>
        </w:rPr>
        <w:t>aspects</w:t>
      </w:r>
      <w:r>
        <w:rPr>
          <w:spacing w:val="-14"/>
          <w:sz w:val="24"/>
        </w:rPr>
        <w:t> </w:t>
      </w:r>
      <w:r>
        <w:rPr>
          <w:sz w:val="24"/>
        </w:rPr>
        <w:t>of</w:t>
      </w:r>
      <w:r>
        <w:rPr>
          <w:spacing w:val="-14"/>
          <w:sz w:val="24"/>
        </w:rPr>
        <w:t> </w:t>
      </w:r>
      <w:r>
        <w:rPr>
          <w:sz w:val="24"/>
        </w:rPr>
        <w:t>endodontics:</w:t>
      </w:r>
      <w:r>
        <w:rPr>
          <w:spacing w:val="-14"/>
          <w:sz w:val="24"/>
        </w:rPr>
        <w:t> </w:t>
      </w:r>
      <w:r>
        <w:rPr>
          <w:sz w:val="24"/>
        </w:rPr>
        <w:t>V.</w:t>
      </w:r>
      <w:r>
        <w:rPr>
          <w:spacing w:val="-14"/>
          <w:sz w:val="24"/>
        </w:rPr>
        <w:t> </w:t>
      </w:r>
      <w:r>
        <w:rPr>
          <w:sz w:val="24"/>
        </w:rPr>
        <w:t>Periapical tissue</w:t>
      </w:r>
      <w:r>
        <w:rPr>
          <w:spacing w:val="-9"/>
          <w:sz w:val="24"/>
        </w:rPr>
        <w:t> </w:t>
      </w:r>
      <w:r>
        <w:rPr>
          <w:sz w:val="24"/>
        </w:rPr>
        <w:t>reactions</w:t>
      </w:r>
      <w:r>
        <w:rPr>
          <w:spacing w:val="-10"/>
          <w:sz w:val="24"/>
        </w:rPr>
        <w:t> </w:t>
      </w:r>
      <w:r>
        <w:rPr>
          <w:sz w:val="24"/>
        </w:rPr>
        <w:t>to</w:t>
      </w:r>
      <w:r>
        <w:rPr>
          <w:spacing w:val="-9"/>
          <w:sz w:val="24"/>
        </w:rPr>
        <w:t> </w:t>
      </w:r>
      <w:r>
        <w:rPr>
          <w:sz w:val="24"/>
        </w:rPr>
        <w:t>root</w:t>
      </w:r>
      <w:r>
        <w:rPr>
          <w:spacing w:val="-12"/>
          <w:sz w:val="24"/>
        </w:rPr>
        <w:t> </w:t>
      </w:r>
      <w:r>
        <w:rPr>
          <w:sz w:val="24"/>
        </w:rPr>
        <w:t>canal</w:t>
      </w:r>
      <w:r>
        <w:rPr>
          <w:spacing w:val="-11"/>
          <w:sz w:val="24"/>
        </w:rPr>
        <w:t> </w:t>
      </w:r>
      <w:r>
        <w:rPr>
          <w:sz w:val="24"/>
        </w:rPr>
        <w:t>instrumentation</w:t>
      </w:r>
      <w:r>
        <w:rPr>
          <w:spacing w:val="-12"/>
          <w:sz w:val="24"/>
        </w:rPr>
        <w:t> </w:t>
      </w:r>
      <w:r>
        <w:rPr>
          <w:sz w:val="24"/>
        </w:rPr>
        <w:t>beyond</w:t>
      </w:r>
      <w:r>
        <w:rPr>
          <w:spacing w:val="-9"/>
          <w:sz w:val="24"/>
        </w:rPr>
        <w:t> </w:t>
      </w:r>
      <w:r>
        <w:rPr>
          <w:sz w:val="24"/>
        </w:rPr>
        <w:t>the</w:t>
      </w:r>
      <w:r>
        <w:rPr>
          <w:spacing w:val="-9"/>
          <w:sz w:val="24"/>
        </w:rPr>
        <w:t> </w:t>
      </w:r>
      <w:r>
        <w:rPr>
          <w:sz w:val="24"/>
        </w:rPr>
        <w:t>apex</w:t>
      </w:r>
      <w:r>
        <w:rPr>
          <w:spacing w:val="-13"/>
          <w:sz w:val="24"/>
        </w:rPr>
        <w:t> </w:t>
      </w:r>
      <w:r>
        <w:rPr>
          <w:sz w:val="24"/>
        </w:rPr>
        <w:t>and</w:t>
      </w:r>
      <w:r>
        <w:rPr>
          <w:spacing w:val="-9"/>
          <w:sz w:val="24"/>
        </w:rPr>
        <w:t> </w:t>
      </w:r>
      <w:r>
        <w:rPr>
          <w:sz w:val="24"/>
        </w:rPr>
        <w:t>root</w:t>
      </w:r>
      <w:r>
        <w:rPr>
          <w:spacing w:val="-10"/>
          <w:sz w:val="24"/>
        </w:rPr>
        <w:t> </w:t>
      </w:r>
      <w:r>
        <w:rPr>
          <w:sz w:val="24"/>
        </w:rPr>
        <w:t>canal</w:t>
      </w:r>
    </w:p>
    <w:p>
      <w:pPr>
        <w:spacing w:after="0" w:line="360" w:lineRule="auto"/>
        <w:jc w:val="both"/>
        <w:rPr>
          <w:sz w:val="24"/>
        </w:rPr>
        <w:sectPr>
          <w:pgSz w:w="12240" w:h="15840"/>
          <w:pgMar w:header="744" w:footer="1572" w:top="1080" w:bottom="1760" w:left="1540" w:right="1540"/>
        </w:sectPr>
      </w:pPr>
    </w:p>
    <w:p>
      <w:pPr>
        <w:pStyle w:val="BodyText"/>
        <w:spacing w:before="4"/>
        <w:rPr>
          <w:sz w:val="21"/>
        </w:rPr>
      </w:pPr>
    </w:p>
    <w:p>
      <w:pPr>
        <w:pStyle w:val="BodyText"/>
        <w:spacing w:line="362" w:lineRule="auto" w:before="69"/>
        <w:ind w:left="881"/>
      </w:pPr>
      <w:r>
        <w:rPr/>
        <w:t>fillings</w:t>
      </w:r>
      <w:r>
        <w:rPr>
          <w:spacing w:val="-14"/>
        </w:rPr>
        <w:t> </w:t>
      </w:r>
      <w:r>
        <w:rPr/>
        <w:t>short</w:t>
      </w:r>
      <w:r>
        <w:rPr>
          <w:spacing w:val="-14"/>
        </w:rPr>
        <w:t> </w:t>
      </w:r>
      <w:r>
        <w:rPr/>
        <w:t>of</w:t>
      </w:r>
      <w:r>
        <w:rPr>
          <w:spacing w:val="-13"/>
        </w:rPr>
        <w:t> </w:t>
      </w:r>
      <w:r>
        <w:rPr/>
        <w:t>and</w:t>
      </w:r>
      <w:r>
        <w:rPr>
          <w:spacing w:val="-16"/>
        </w:rPr>
        <w:t> </w:t>
      </w:r>
      <w:r>
        <w:rPr/>
        <w:t>beyond</w:t>
      </w:r>
      <w:r>
        <w:rPr>
          <w:spacing w:val="-16"/>
        </w:rPr>
        <w:t> </w:t>
      </w:r>
      <w:r>
        <w:rPr/>
        <w:t>the</w:t>
      </w:r>
      <w:r>
        <w:rPr>
          <w:spacing w:val="-16"/>
        </w:rPr>
        <w:t> </w:t>
      </w:r>
      <w:r>
        <w:rPr/>
        <w:t>apex.</w:t>
      </w:r>
      <w:r>
        <w:rPr>
          <w:spacing w:val="-9"/>
        </w:rPr>
        <w:t> </w:t>
      </w:r>
      <w:r>
        <w:rPr/>
        <w:t>Oral</w:t>
      </w:r>
      <w:r>
        <w:rPr>
          <w:spacing w:val="-14"/>
        </w:rPr>
        <w:t> </w:t>
      </w:r>
      <w:r>
        <w:rPr/>
        <w:t>Surg</w:t>
      </w:r>
      <w:r>
        <w:rPr>
          <w:spacing w:val="-15"/>
        </w:rPr>
        <w:t> </w:t>
      </w:r>
      <w:r>
        <w:rPr/>
        <w:t>Oral</w:t>
      </w:r>
      <w:r>
        <w:rPr>
          <w:spacing w:val="-14"/>
        </w:rPr>
        <w:t> </w:t>
      </w:r>
      <w:r>
        <w:rPr/>
        <w:t>Med</w:t>
      </w:r>
      <w:r>
        <w:rPr>
          <w:spacing w:val="-13"/>
        </w:rPr>
        <w:t> </w:t>
      </w:r>
      <w:r>
        <w:rPr/>
        <w:t>O.</w:t>
      </w:r>
      <w:r>
        <w:rPr>
          <w:spacing w:val="-13"/>
        </w:rPr>
        <w:t> </w:t>
      </w:r>
      <w:r>
        <w:rPr/>
        <w:t>1973;</w:t>
      </w:r>
      <w:r>
        <w:rPr>
          <w:spacing w:val="-13"/>
        </w:rPr>
        <w:t> </w:t>
      </w:r>
      <w:r>
        <w:rPr/>
        <w:t>36(5):</w:t>
      </w:r>
      <w:r>
        <w:rPr>
          <w:spacing w:val="-14"/>
        </w:rPr>
        <w:t> </w:t>
      </w:r>
      <w:r>
        <w:rPr/>
        <w:t>725- 37.</w:t>
      </w:r>
    </w:p>
    <w:p>
      <w:pPr>
        <w:pStyle w:val="ListParagraph"/>
        <w:numPr>
          <w:ilvl w:val="0"/>
          <w:numId w:val="11"/>
        </w:numPr>
        <w:tabs>
          <w:tab w:pos="882" w:val="left" w:leader="none"/>
        </w:tabs>
        <w:spacing w:line="360" w:lineRule="auto" w:before="0" w:after="0"/>
        <w:ind w:left="882" w:right="157" w:hanging="360"/>
        <w:jc w:val="both"/>
        <w:rPr>
          <w:sz w:val="24"/>
        </w:rPr>
      </w:pPr>
      <w:r>
        <w:rPr>
          <w:sz w:val="24"/>
        </w:rPr>
        <w:t>Siqueira</w:t>
      </w:r>
      <w:r>
        <w:rPr>
          <w:spacing w:val="-14"/>
          <w:sz w:val="24"/>
        </w:rPr>
        <w:t> </w:t>
      </w:r>
      <w:r>
        <w:rPr>
          <w:sz w:val="24"/>
        </w:rPr>
        <w:t>JF,</w:t>
      </w:r>
      <w:r>
        <w:rPr>
          <w:spacing w:val="-15"/>
          <w:sz w:val="24"/>
        </w:rPr>
        <w:t> </w:t>
      </w:r>
      <w:r>
        <w:rPr>
          <w:sz w:val="24"/>
        </w:rPr>
        <w:t>Rocas</w:t>
      </w:r>
      <w:r>
        <w:rPr>
          <w:spacing w:val="-15"/>
          <w:sz w:val="24"/>
        </w:rPr>
        <w:t> </w:t>
      </w:r>
      <w:r>
        <w:rPr>
          <w:sz w:val="24"/>
        </w:rPr>
        <w:t>IN,</w:t>
      </w:r>
      <w:r>
        <w:rPr>
          <w:spacing w:val="-18"/>
          <w:sz w:val="24"/>
        </w:rPr>
        <w:t> </w:t>
      </w:r>
      <w:r>
        <w:rPr>
          <w:sz w:val="24"/>
        </w:rPr>
        <w:t>Ricucci</w:t>
      </w:r>
      <w:r>
        <w:rPr>
          <w:spacing w:val="-15"/>
          <w:sz w:val="24"/>
        </w:rPr>
        <w:t> </w:t>
      </w:r>
      <w:r>
        <w:rPr>
          <w:sz w:val="24"/>
        </w:rPr>
        <w:t>D.</w:t>
      </w:r>
      <w:r>
        <w:rPr>
          <w:spacing w:val="-15"/>
          <w:sz w:val="24"/>
        </w:rPr>
        <w:t> </w:t>
      </w:r>
      <w:r>
        <w:rPr>
          <w:sz w:val="24"/>
        </w:rPr>
        <w:t>Biofilms</w:t>
      </w:r>
      <w:r>
        <w:rPr>
          <w:spacing w:val="-15"/>
          <w:sz w:val="24"/>
        </w:rPr>
        <w:t> </w:t>
      </w:r>
      <w:r>
        <w:rPr>
          <w:sz w:val="24"/>
        </w:rPr>
        <w:t>in</w:t>
      </w:r>
      <w:r>
        <w:rPr>
          <w:spacing w:val="-16"/>
          <w:sz w:val="24"/>
        </w:rPr>
        <w:t> </w:t>
      </w:r>
      <w:r>
        <w:rPr>
          <w:sz w:val="24"/>
        </w:rPr>
        <w:t>endodontic</w:t>
      </w:r>
      <w:r>
        <w:rPr>
          <w:spacing w:val="-16"/>
          <w:sz w:val="24"/>
        </w:rPr>
        <w:t> </w:t>
      </w:r>
      <w:r>
        <w:rPr>
          <w:sz w:val="24"/>
        </w:rPr>
        <w:t>infection.</w:t>
      </w:r>
      <w:r>
        <w:rPr>
          <w:spacing w:val="-16"/>
          <w:sz w:val="24"/>
        </w:rPr>
        <w:t> </w:t>
      </w:r>
      <w:r>
        <w:rPr>
          <w:sz w:val="24"/>
        </w:rPr>
        <w:t>Endodontic Topics. 2012; 22:</w:t>
      </w:r>
      <w:r>
        <w:rPr>
          <w:spacing w:val="-9"/>
          <w:sz w:val="24"/>
        </w:rPr>
        <w:t> </w:t>
      </w:r>
      <w:r>
        <w:rPr>
          <w:sz w:val="24"/>
        </w:rPr>
        <w:t>33-49.</w:t>
      </w:r>
    </w:p>
    <w:p>
      <w:pPr>
        <w:pStyle w:val="ListParagraph"/>
        <w:numPr>
          <w:ilvl w:val="0"/>
          <w:numId w:val="11"/>
        </w:numPr>
        <w:tabs>
          <w:tab w:pos="882" w:val="left" w:leader="none"/>
        </w:tabs>
        <w:spacing w:line="360" w:lineRule="auto" w:before="2" w:after="0"/>
        <w:ind w:left="882" w:right="164" w:hanging="360"/>
        <w:jc w:val="both"/>
        <w:rPr>
          <w:sz w:val="24"/>
        </w:rPr>
      </w:pPr>
      <w:r>
        <w:rPr>
          <w:sz w:val="24"/>
        </w:rPr>
        <w:t>Costerton JW, Lewandowski Z. Microbial biofilms. Annu. Rev. Microbiol. 1995; 49:</w:t>
      </w:r>
      <w:r>
        <w:rPr>
          <w:spacing w:val="-7"/>
          <w:sz w:val="24"/>
        </w:rPr>
        <w:t> </w:t>
      </w:r>
      <w:r>
        <w:rPr>
          <w:sz w:val="24"/>
        </w:rPr>
        <w:t>711-45.</w:t>
      </w:r>
    </w:p>
    <w:p>
      <w:pPr>
        <w:pStyle w:val="ListParagraph"/>
        <w:numPr>
          <w:ilvl w:val="0"/>
          <w:numId w:val="11"/>
        </w:numPr>
        <w:tabs>
          <w:tab w:pos="882" w:val="left" w:leader="none"/>
        </w:tabs>
        <w:spacing w:line="360" w:lineRule="auto" w:before="2" w:after="0"/>
        <w:ind w:left="882" w:right="164" w:hanging="360"/>
        <w:jc w:val="both"/>
        <w:rPr>
          <w:sz w:val="24"/>
        </w:rPr>
      </w:pPr>
      <w:r>
        <w:rPr>
          <w:sz w:val="24"/>
        </w:rPr>
        <w:t>Esvensater G, Bergemholtz G. Biofilms in endodontic infection. Endodontic Topics 2004; 9:</w:t>
      </w:r>
      <w:r>
        <w:rPr>
          <w:spacing w:val="-7"/>
          <w:sz w:val="24"/>
        </w:rPr>
        <w:t> </w:t>
      </w:r>
      <w:r>
        <w:rPr>
          <w:sz w:val="24"/>
        </w:rPr>
        <w:t>27-36.</w:t>
      </w:r>
    </w:p>
    <w:p>
      <w:pPr>
        <w:pStyle w:val="ListParagraph"/>
        <w:numPr>
          <w:ilvl w:val="0"/>
          <w:numId w:val="11"/>
        </w:numPr>
        <w:tabs>
          <w:tab w:pos="882" w:val="left" w:leader="none"/>
        </w:tabs>
        <w:spacing w:line="362" w:lineRule="auto" w:before="2" w:after="0"/>
        <w:ind w:left="882" w:right="156" w:hanging="360"/>
        <w:jc w:val="both"/>
        <w:rPr>
          <w:sz w:val="24"/>
        </w:rPr>
      </w:pPr>
      <w:r>
        <w:rPr>
          <w:sz w:val="24"/>
        </w:rPr>
        <w:t>Costerton JW, Stewart PS. Antibiotic resistance of bacteria in biofilms. The Lancet. 2001; 358(9275):</w:t>
      </w:r>
      <w:r>
        <w:rPr>
          <w:spacing w:val="-14"/>
          <w:sz w:val="24"/>
        </w:rPr>
        <w:t> </w:t>
      </w:r>
      <w:r>
        <w:rPr>
          <w:sz w:val="24"/>
        </w:rPr>
        <w:t>135-38.</w:t>
      </w:r>
    </w:p>
    <w:p>
      <w:pPr>
        <w:pStyle w:val="ListParagraph"/>
        <w:numPr>
          <w:ilvl w:val="0"/>
          <w:numId w:val="11"/>
        </w:numPr>
        <w:tabs>
          <w:tab w:pos="882" w:val="left" w:leader="none"/>
        </w:tabs>
        <w:spacing w:line="360" w:lineRule="auto" w:before="0" w:after="0"/>
        <w:ind w:left="882" w:right="159" w:hanging="360"/>
        <w:jc w:val="both"/>
        <w:rPr>
          <w:sz w:val="24"/>
        </w:rPr>
      </w:pPr>
      <w:r>
        <w:rPr>
          <w:sz w:val="24"/>
        </w:rPr>
        <w:t>Siqueira JF, Lopez HP, Uzeda M. Coronal leakage of two root canal sealers containing calcium hidoxide after exposure to human saliva. J Endod. 1999; 25(1):</w:t>
      </w:r>
      <w:r>
        <w:rPr>
          <w:spacing w:val="-3"/>
          <w:sz w:val="24"/>
        </w:rPr>
        <w:t> </w:t>
      </w:r>
      <w:r>
        <w:rPr>
          <w:sz w:val="24"/>
        </w:rPr>
        <w:t>14-26.</w:t>
      </w:r>
    </w:p>
    <w:p>
      <w:pPr>
        <w:pStyle w:val="ListParagraph"/>
        <w:numPr>
          <w:ilvl w:val="0"/>
          <w:numId w:val="11"/>
        </w:numPr>
        <w:tabs>
          <w:tab w:pos="882" w:val="left" w:leader="none"/>
        </w:tabs>
        <w:spacing w:line="360" w:lineRule="auto" w:before="5" w:after="0"/>
        <w:ind w:left="882" w:right="155" w:hanging="360"/>
        <w:jc w:val="both"/>
        <w:rPr>
          <w:sz w:val="24"/>
        </w:rPr>
      </w:pPr>
      <w:r>
        <w:rPr>
          <w:sz w:val="24"/>
        </w:rPr>
        <w:t>Farzaneh M, Abitbol S, Friedman S. Treatment outcome in endodontics:</w:t>
      </w:r>
      <w:r>
        <w:rPr>
          <w:spacing w:val="-36"/>
          <w:sz w:val="24"/>
        </w:rPr>
        <w:t> </w:t>
      </w:r>
      <w:r>
        <w:rPr>
          <w:sz w:val="24"/>
        </w:rPr>
        <w:t>The Toronto</w:t>
      </w:r>
      <w:r>
        <w:rPr>
          <w:spacing w:val="-18"/>
          <w:sz w:val="24"/>
        </w:rPr>
        <w:t> </w:t>
      </w:r>
      <w:r>
        <w:rPr>
          <w:sz w:val="24"/>
        </w:rPr>
        <w:t>study.</w:t>
      </w:r>
      <w:r>
        <w:rPr>
          <w:spacing w:val="-17"/>
          <w:sz w:val="24"/>
        </w:rPr>
        <w:t> </w:t>
      </w:r>
      <w:r>
        <w:rPr>
          <w:sz w:val="24"/>
        </w:rPr>
        <w:t>Phases</w:t>
      </w:r>
      <w:r>
        <w:rPr>
          <w:spacing w:val="-21"/>
          <w:sz w:val="24"/>
        </w:rPr>
        <w:t> </w:t>
      </w:r>
      <w:r>
        <w:rPr>
          <w:sz w:val="24"/>
        </w:rPr>
        <w:t>I</w:t>
      </w:r>
      <w:r>
        <w:rPr>
          <w:spacing w:val="-17"/>
          <w:sz w:val="24"/>
        </w:rPr>
        <w:t> </w:t>
      </w:r>
      <w:r>
        <w:rPr>
          <w:sz w:val="24"/>
        </w:rPr>
        <w:t>and</w:t>
      </w:r>
      <w:r>
        <w:rPr>
          <w:spacing w:val="-19"/>
          <w:sz w:val="24"/>
        </w:rPr>
        <w:t> </w:t>
      </w:r>
      <w:r>
        <w:rPr>
          <w:sz w:val="24"/>
        </w:rPr>
        <w:t>II:</w:t>
      </w:r>
      <w:r>
        <w:rPr>
          <w:spacing w:val="-19"/>
          <w:sz w:val="24"/>
        </w:rPr>
        <w:t> </w:t>
      </w:r>
      <w:r>
        <w:rPr>
          <w:sz w:val="24"/>
        </w:rPr>
        <w:t>Orthograde</w:t>
      </w:r>
      <w:r>
        <w:rPr>
          <w:spacing w:val="-13"/>
          <w:sz w:val="24"/>
        </w:rPr>
        <w:t> </w:t>
      </w:r>
      <w:r>
        <w:rPr>
          <w:sz w:val="24"/>
        </w:rPr>
        <w:t>retreatment.</w:t>
      </w:r>
      <w:r>
        <w:rPr>
          <w:spacing w:val="-17"/>
          <w:sz w:val="24"/>
        </w:rPr>
        <w:t> </w:t>
      </w:r>
      <w:r>
        <w:rPr>
          <w:sz w:val="24"/>
        </w:rPr>
        <w:t>J</w:t>
      </w:r>
      <w:r>
        <w:rPr>
          <w:spacing w:val="-20"/>
          <w:sz w:val="24"/>
        </w:rPr>
        <w:t> </w:t>
      </w:r>
      <w:r>
        <w:rPr>
          <w:sz w:val="24"/>
        </w:rPr>
        <w:t>Endod.</w:t>
      </w:r>
      <w:r>
        <w:rPr>
          <w:spacing w:val="-19"/>
          <w:sz w:val="24"/>
        </w:rPr>
        <w:t> </w:t>
      </w:r>
      <w:r>
        <w:rPr>
          <w:sz w:val="24"/>
        </w:rPr>
        <w:t>2004;</w:t>
      </w:r>
      <w:r>
        <w:rPr>
          <w:spacing w:val="-19"/>
          <w:sz w:val="24"/>
        </w:rPr>
        <w:t> </w:t>
      </w:r>
      <w:r>
        <w:rPr>
          <w:sz w:val="24"/>
        </w:rPr>
        <w:t>30(9): 627-33.</w:t>
      </w:r>
    </w:p>
    <w:p>
      <w:pPr>
        <w:pStyle w:val="ListParagraph"/>
        <w:numPr>
          <w:ilvl w:val="0"/>
          <w:numId w:val="11"/>
        </w:numPr>
        <w:tabs>
          <w:tab w:pos="882" w:val="left" w:leader="none"/>
        </w:tabs>
        <w:spacing w:line="360" w:lineRule="auto" w:before="2" w:after="0"/>
        <w:ind w:left="882" w:right="154" w:hanging="360"/>
        <w:jc w:val="both"/>
        <w:rPr>
          <w:sz w:val="24"/>
        </w:rPr>
      </w:pPr>
      <w:r>
        <w:rPr>
          <w:sz w:val="24"/>
        </w:rPr>
        <w:t>Sundqvist G, Figdor D, Persson S, Sjogren U. Microbiologic analysis of</w:t>
      </w:r>
      <w:r>
        <w:rPr>
          <w:spacing w:val="-44"/>
          <w:sz w:val="24"/>
        </w:rPr>
        <w:t> </w:t>
      </w:r>
      <w:r>
        <w:rPr>
          <w:sz w:val="24"/>
        </w:rPr>
        <w:t>teeth with failed endodontic treatment and the outcome of conservative re- treatment. Oral Surg Oral Med O. 1998; 85(1):</w:t>
      </w:r>
      <w:r>
        <w:rPr>
          <w:spacing w:val="-14"/>
          <w:sz w:val="24"/>
        </w:rPr>
        <w:t> </w:t>
      </w:r>
      <w:r>
        <w:rPr>
          <w:sz w:val="24"/>
        </w:rPr>
        <w:t>86-94.</w:t>
      </w:r>
    </w:p>
    <w:p>
      <w:pPr>
        <w:pStyle w:val="ListParagraph"/>
        <w:numPr>
          <w:ilvl w:val="0"/>
          <w:numId w:val="11"/>
        </w:numPr>
        <w:tabs>
          <w:tab w:pos="882" w:val="left" w:leader="none"/>
        </w:tabs>
        <w:spacing w:line="360" w:lineRule="auto" w:before="5" w:after="0"/>
        <w:ind w:left="882" w:right="154" w:hanging="360"/>
        <w:jc w:val="both"/>
        <w:rPr>
          <w:sz w:val="24"/>
        </w:rPr>
      </w:pPr>
      <w:r>
        <w:rPr>
          <w:sz w:val="24"/>
        </w:rPr>
        <w:t>Nair</w:t>
      </w:r>
      <w:r>
        <w:rPr>
          <w:spacing w:val="-15"/>
          <w:sz w:val="24"/>
        </w:rPr>
        <w:t> </w:t>
      </w:r>
      <w:r>
        <w:rPr>
          <w:sz w:val="24"/>
        </w:rPr>
        <w:t>PNR,</w:t>
      </w:r>
      <w:r>
        <w:rPr>
          <w:spacing w:val="-13"/>
          <w:sz w:val="24"/>
        </w:rPr>
        <w:t> </w:t>
      </w:r>
      <w:r>
        <w:rPr>
          <w:sz w:val="24"/>
        </w:rPr>
        <w:t>Pajarola</w:t>
      </w:r>
      <w:r>
        <w:rPr>
          <w:spacing w:val="-13"/>
          <w:sz w:val="24"/>
        </w:rPr>
        <w:t> </w:t>
      </w:r>
      <w:r>
        <w:rPr>
          <w:sz w:val="24"/>
        </w:rPr>
        <w:t>G,</w:t>
      </w:r>
      <w:r>
        <w:rPr>
          <w:spacing w:val="-16"/>
          <w:sz w:val="24"/>
        </w:rPr>
        <w:t> </w:t>
      </w:r>
      <w:r>
        <w:rPr>
          <w:sz w:val="24"/>
        </w:rPr>
        <w:t>Schroeder</w:t>
      </w:r>
      <w:r>
        <w:rPr>
          <w:spacing w:val="-15"/>
          <w:sz w:val="24"/>
        </w:rPr>
        <w:t> </w:t>
      </w:r>
      <w:r>
        <w:rPr>
          <w:sz w:val="24"/>
        </w:rPr>
        <w:t>E.</w:t>
      </w:r>
      <w:r>
        <w:rPr>
          <w:spacing w:val="-16"/>
          <w:sz w:val="24"/>
        </w:rPr>
        <w:t> </w:t>
      </w:r>
      <w:r>
        <w:rPr>
          <w:sz w:val="24"/>
        </w:rPr>
        <w:t>Types</w:t>
      </w:r>
      <w:r>
        <w:rPr>
          <w:spacing w:val="-14"/>
          <w:sz w:val="24"/>
        </w:rPr>
        <w:t> </w:t>
      </w:r>
      <w:r>
        <w:rPr>
          <w:sz w:val="24"/>
        </w:rPr>
        <w:t>and</w:t>
      </w:r>
      <w:r>
        <w:rPr>
          <w:spacing w:val="-13"/>
          <w:sz w:val="24"/>
        </w:rPr>
        <w:t> </w:t>
      </w:r>
      <w:r>
        <w:rPr>
          <w:sz w:val="24"/>
        </w:rPr>
        <w:t>incidence</w:t>
      </w:r>
      <w:r>
        <w:rPr>
          <w:spacing w:val="-13"/>
          <w:sz w:val="24"/>
        </w:rPr>
        <w:t> </w:t>
      </w:r>
      <w:r>
        <w:rPr>
          <w:sz w:val="24"/>
        </w:rPr>
        <w:t>of</w:t>
      </w:r>
      <w:r>
        <w:rPr>
          <w:spacing w:val="-14"/>
          <w:sz w:val="24"/>
        </w:rPr>
        <w:t> </w:t>
      </w:r>
      <w:r>
        <w:rPr>
          <w:sz w:val="24"/>
        </w:rPr>
        <w:t>human</w:t>
      </w:r>
      <w:r>
        <w:rPr>
          <w:spacing w:val="-13"/>
          <w:sz w:val="24"/>
        </w:rPr>
        <w:t> </w:t>
      </w:r>
      <w:r>
        <w:rPr>
          <w:sz w:val="24"/>
        </w:rPr>
        <w:t>periapical lesions</w:t>
      </w:r>
      <w:r>
        <w:rPr>
          <w:spacing w:val="-9"/>
          <w:sz w:val="24"/>
        </w:rPr>
        <w:t> </w:t>
      </w:r>
      <w:r>
        <w:rPr>
          <w:sz w:val="24"/>
        </w:rPr>
        <w:t>obtained</w:t>
      </w:r>
      <w:r>
        <w:rPr>
          <w:spacing w:val="-8"/>
          <w:sz w:val="24"/>
        </w:rPr>
        <w:t> </w:t>
      </w:r>
      <w:r>
        <w:rPr>
          <w:sz w:val="24"/>
        </w:rPr>
        <w:t>with</w:t>
      </w:r>
      <w:r>
        <w:rPr>
          <w:spacing w:val="-8"/>
          <w:sz w:val="24"/>
        </w:rPr>
        <w:t> </w:t>
      </w:r>
      <w:r>
        <w:rPr>
          <w:sz w:val="24"/>
        </w:rPr>
        <w:t>extracted</w:t>
      </w:r>
      <w:r>
        <w:rPr>
          <w:spacing w:val="-8"/>
          <w:sz w:val="24"/>
        </w:rPr>
        <w:t> </w:t>
      </w:r>
      <w:r>
        <w:rPr>
          <w:sz w:val="24"/>
        </w:rPr>
        <w:t>teeth.</w:t>
      </w:r>
      <w:r>
        <w:rPr>
          <w:spacing w:val="-4"/>
          <w:sz w:val="24"/>
        </w:rPr>
        <w:t> </w:t>
      </w:r>
      <w:r>
        <w:rPr>
          <w:sz w:val="24"/>
        </w:rPr>
        <w:t>Oral</w:t>
      </w:r>
      <w:r>
        <w:rPr>
          <w:spacing w:val="-9"/>
          <w:sz w:val="24"/>
        </w:rPr>
        <w:t> </w:t>
      </w:r>
      <w:r>
        <w:rPr>
          <w:sz w:val="24"/>
        </w:rPr>
        <w:t>Surg</w:t>
      </w:r>
      <w:r>
        <w:rPr>
          <w:spacing w:val="-10"/>
          <w:sz w:val="24"/>
        </w:rPr>
        <w:t> </w:t>
      </w:r>
      <w:r>
        <w:rPr>
          <w:sz w:val="24"/>
        </w:rPr>
        <w:t>Oral</w:t>
      </w:r>
      <w:r>
        <w:rPr>
          <w:spacing w:val="-7"/>
          <w:sz w:val="24"/>
        </w:rPr>
        <w:t> </w:t>
      </w:r>
      <w:r>
        <w:rPr>
          <w:sz w:val="24"/>
        </w:rPr>
        <w:t>Med</w:t>
      </w:r>
      <w:r>
        <w:rPr>
          <w:spacing w:val="-8"/>
          <w:sz w:val="24"/>
        </w:rPr>
        <w:t> </w:t>
      </w:r>
      <w:r>
        <w:rPr>
          <w:sz w:val="24"/>
        </w:rPr>
        <w:t>O.</w:t>
      </w:r>
      <w:r>
        <w:rPr>
          <w:spacing w:val="-8"/>
          <w:sz w:val="24"/>
        </w:rPr>
        <w:t> </w:t>
      </w:r>
      <w:r>
        <w:rPr>
          <w:sz w:val="24"/>
        </w:rPr>
        <w:t>1996;</w:t>
      </w:r>
      <w:r>
        <w:rPr>
          <w:spacing w:val="-9"/>
          <w:sz w:val="24"/>
        </w:rPr>
        <w:t> </w:t>
      </w:r>
      <w:r>
        <w:rPr>
          <w:sz w:val="24"/>
        </w:rPr>
        <w:t>81(1):</w:t>
      </w:r>
      <w:r>
        <w:rPr>
          <w:spacing w:val="-9"/>
          <w:sz w:val="24"/>
        </w:rPr>
        <w:t> </w:t>
      </w:r>
      <w:r>
        <w:rPr>
          <w:sz w:val="24"/>
        </w:rPr>
        <w:t>93- 102.</w:t>
      </w:r>
    </w:p>
    <w:p>
      <w:pPr>
        <w:pStyle w:val="ListParagraph"/>
        <w:numPr>
          <w:ilvl w:val="0"/>
          <w:numId w:val="11"/>
        </w:numPr>
        <w:tabs>
          <w:tab w:pos="882" w:val="left" w:leader="none"/>
        </w:tabs>
        <w:spacing w:line="360" w:lineRule="auto" w:before="2" w:after="0"/>
        <w:ind w:left="882" w:right="152" w:hanging="360"/>
        <w:jc w:val="both"/>
        <w:rPr>
          <w:sz w:val="24"/>
        </w:rPr>
      </w:pPr>
      <w:r>
        <w:rPr>
          <w:sz w:val="24"/>
        </w:rPr>
        <w:t>Nair PNR. Non-microbial etiology: foreign body reaction maintaining post- treatment apical Periodontitis. Endodontic Topics. 2003; 6:</w:t>
      </w:r>
      <w:r>
        <w:rPr>
          <w:spacing w:val="-20"/>
          <w:sz w:val="24"/>
        </w:rPr>
        <w:t> </w:t>
      </w:r>
      <w:r>
        <w:rPr>
          <w:sz w:val="24"/>
        </w:rPr>
        <w:t>114-34.</w:t>
      </w:r>
    </w:p>
    <w:p>
      <w:pPr>
        <w:pStyle w:val="ListParagraph"/>
        <w:numPr>
          <w:ilvl w:val="0"/>
          <w:numId w:val="11"/>
        </w:numPr>
        <w:tabs>
          <w:tab w:pos="882" w:val="left" w:leader="none"/>
        </w:tabs>
        <w:spacing w:line="360" w:lineRule="auto" w:before="2" w:after="0"/>
        <w:ind w:left="882" w:right="165" w:hanging="360"/>
        <w:jc w:val="both"/>
        <w:rPr>
          <w:sz w:val="24"/>
        </w:rPr>
      </w:pPr>
      <w:r>
        <w:rPr>
          <w:sz w:val="24"/>
        </w:rPr>
        <w:t>Abbott PV. Classification, diagnosis and clinical manifestations of apical Periodontitis. Endodontic Topics. 2004; 8:</w:t>
      </w:r>
      <w:r>
        <w:rPr>
          <w:spacing w:val="-16"/>
          <w:sz w:val="24"/>
        </w:rPr>
        <w:t> </w:t>
      </w:r>
      <w:r>
        <w:rPr>
          <w:sz w:val="24"/>
        </w:rPr>
        <w:t>36-54.</w:t>
      </w:r>
    </w:p>
    <w:p>
      <w:pPr>
        <w:pStyle w:val="ListParagraph"/>
        <w:numPr>
          <w:ilvl w:val="0"/>
          <w:numId w:val="11"/>
        </w:numPr>
        <w:tabs>
          <w:tab w:pos="882" w:val="left" w:leader="none"/>
        </w:tabs>
        <w:spacing w:line="360" w:lineRule="auto" w:before="3" w:after="0"/>
        <w:ind w:left="882" w:right="164" w:hanging="360"/>
        <w:jc w:val="both"/>
        <w:rPr>
          <w:sz w:val="24"/>
        </w:rPr>
      </w:pPr>
      <w:r>
        <w:rPr>
          <w:sz w:val="24"/>
        </w:rPr>
        <w:t>Rosenberg P, Schindler </w:t>
      </w:r>
      <w:r>
        <w:rPr>
          <w:spacing w:val="2"/>
          <w:sz w:val="24"/>
        </w:rPr>
        <w:t>WG, </w:t>
      </w:r>
      <w:r>
        <w:rPr>
          <w:sz w:val="24"/>
        </w:rPr>
        <w:t>Krell KV, Hicks ML, Davis SB. Identify the endodontic treatment modalities. J Endod. 2009; 35(12):</w:t>
      </w:r>
      <w:r>
        <w:rPr>
          <w:spacing w:val="-24"/>
          <w:sz w:val="24"/>
        </w:rPr>
        <w:t> </w:t>
      </w:r>
      <w:r>
        <w:rPr>
          <w:sz w:val="24"/>
        </w:rPr>
        <w:t>1675-94.</w:t>
      </w:r>
    </w:p>
    <w:p>
      <w:pPr>
        <w:spacing w:after="0" w:line="360" w:lineRule="auto"/>
        <w:jc w:val="both"/>
        <w:rPr>
          <w:sz w:val="24"/>
        </w:rPr>
        <w:sectPr>
          <w:pgSz w:w="12240" w:h="15840"/>
          <w:pgMar w:header="744" w:footer="1572" w:top="1080" w:bottom="1760" w:left="1540" w:right="1540"/>
        </w:sectPr>
      </w:pPr>
    </w:p>
    <w:p>
      <w:pPr>
        <w:pStyle w:val="BodyText"/>
        <w:spacing w:before="4"/>
        <w:rPr>
          <w:sz w:val="21"/>
        </w:rPr>
      </w:pPr>
    </w:p>
    <w:p>
      <w:pPr>
        <w:pStyle w:val="ListParagraph"/>
        <w:numPr>
          <w:ilvl w:val="0"/>
          <w:numId w:val="11"/>
        </w:numPr>
        <w:tabs>
          <w:tab w:pos="882" w:val="left" w:leader="none"/>
        </w:tabs>
        <w:spacing w:line="360" w:lineRule="auto" w:before="69" w:after="0"/>
        <w:ind w:left="882" w:right="158" w:hanging="360"/>
        <w:jc w:val="both"/>
        <w:rPr>
          <w:sz w:val="24"/>
        </w:rPr>
      </w:pPr>
      <w:r>
        <w:rPr>
          <w:sz w:val="24"/>
        </w:rPr>
        <w:t>Lima Machado ME. Histofisiología e histopatología de la pulpa y del periapice.</w:t>
      </w:r>
      <w:r>
        <w:rPr>
          <w:spacing w:val="-9"/>
          <w:sz w:val="24"/>
        </w:rPr>
        <w:t> </w:t>
      </w:r>
      <w:r>
        <w:rPr>
          <w:sz w:val="24"/>
        </w:rPr>
        <w:t>En</w:t>
      </w:r>
      <w:r>
        <w:rPr>
          <w:spacing w:val="-9"/>
          <w:sz w:val="24"/>
        </w:rPr>
        <w:t> </w:t>
      </w:r>
      <w:r>
        <w:rPr>
          <w:sz w:val="24"/>
        </w:rPr>
        <w:t>Lima</w:t>
      </w:r>
      <w:r>
        <w:rPr>
          <w:spacing w:val="-9"/>
          <w:sz w:val="24"/>
        </w:rPr>
        <w:t> </w:t>
      </w:r>
      <w:r>
        <w:rPr>
          <w:sz w:val="24"/>
        </w:rPr>
        <w:t>Machado</w:t>
      </w:r>
      <w:r>
        <w:rPr>
          <w:spacing w:val="-9"/>
          <w:sz w:val="24"/>
        </w:rPr>
        <w:t> </w:t>
      </w:r>
      <w:r>
        <w:rPr>
          <w:sz w:val="24"/>
        </w:rPr>
        <w:t>ME.</w:t>
      </w:r>
      <w:r>
        <w:rPr>
          <w:spacing w:val="-10"/>
          <w:sz w:val="24"/>
        </w:rPr>
        <w:t> </w:t>
      </w:r>
      <w:r>
        <w:rPr>
          <w:sz w:val="24"/>
        </w:rPr>
        <w:t>Endodoncia</w:t>
      </w:r>
      <w:r>
        <w:rPr>
          <w:spacing w:val="-9"/>
          <w:sz w:val="24"/>
        </w:rPr>
        <w:t> </w:t>
      </w:r>
      <w:r>
        <w:rPr>
          <w:sz w:val="24"/>
        </w:rPr>
        <w:t>de</w:t>
      </w:r>
      <w:r>
        <w:rPr>
          <w:spacing w:val="-9"/>
          <w:sz w:val="24"/>
        </w:rPr>
        <w:t> </w:t>
      </w:r>
      <w:r>
        <w:rPr>
          <w:sz w:val="24"/>
        </w:rPr>
        <w:t>la</w:t>
      </w:r>
      <w:r>
        <w:rPr>
          <w:spacing w:val="-4"/>
          <w:sz w:val="24"/>
        </w:rPr>
        <w:t> </w:t>
      </w:r>
      <w:r>
        <w:rPr>
          <w:sz w:val="24"/>
        </w:rPr>
        <w:t>biología</w:t>
      </w:r>
      <w:r>
        <w:rPr>
          <w:spacing w:val="-9"/>
          <w:sz w:val="24"/>
        </w:rPr>
        <w:t> </w:t>
      </w:r>
      <w:r>
        <w:rPr>
          <w:sz w:val="24"/>
        </w:rPr>
        <w:t>a</w:t>
      </w:r>
      <w:r>
        <w:rPr>
          <w:spacing w:val="-9"/>
          <w:sz w:val="24"/>
        </w:rPr>
        <w:t> </w:t>
      </w:r>
      <w:r>
        <w:rPr>
          <w:sz w:val="24"/>
        </w:rPr>
        <w:t>la</w:t>
      </w:r>
      <w:r>
        <w:rPr>
          <w:spacing w:val="-10"/>
          <w:sz w:val="24"/>
        </w:rPr>
        <w:t> </w:t>
      </w:r>
      <w:r>
        <w:rPr>
          <w:sz w:val="24"/>
        </w:rPr>
        <w:t>técnica.</w:t>
      </w:r>
      <w:r>
        <w:rPr>
          <w:spacing w:val="-9"/>
          <w:sz w:val="24"/>
        </w:rPr>
        <w:t> </w:t>
      </w:r>
      <w:r>
        <w:rPr>
          <w:sz w:val="24"/>
        </w:rPr>
        <w:t>1ra. ed. Sao Paulo: AMOLCA,</w:t>
      </w:r>
      <w:r>
        <w:rPr>
          <w:spacing w:val="-13"/>
          <w:sz w:val="24"/>
        </w:rPr>
        <w:t> </w:t>
      </w:r>
      <w:r>
        <w:rPr>
          <w:sz w:val="24"/>
        </w:rPr>
        <w:t>2009.</w:t>
      </w:r>
    </w:p>
    <w:p>
      <w:pPr>
        <w:pStyle w:val="ListParagraph"/>
        <w:numPr>
          <w:ilvl w:val="0"/>
          <w:numId w:val="11"/>
        </w:numPr>
        <w:tabs>
          <w:tab w:pos="882" w:val="left" w:leader="none"/>
        </w:tabs>
        <w:spacing w:line="360" w:lineRule="auto" w:before="5" w:after="0"/>
        <w:ind w:left="882" w:right="157" w:hanging="360"/>
        <w:jc w:val="both"/>
        <w:rPr>
          <w:sz w:val="24"/>
        </w:rPr>
      </w:pPr>
      <w:r>
        <w:rPr>
          <w:sz w:val="24"/>
        </w:rPr>
        <w:t>Regezi JA. Quistes de la boca. En Regezi JA, Sciubba JJ. Patología bucal correlaciones clinicopatológicas. 3ra. ed. Philadelphia: McGraw-Hill Interamericana,</w:t>
      </w:r>
      <w:r>
        <w:rPr>
          <w:spacing w:val="-9"/>
          <w:sz w:val="24"/>
        </w:rPr>
        <w:t> </w:t>
      </w:r>
      <w:r>
        <w:rPr>
          <w:sz w:val="24"/>
        </w:rPr>
        <w:t>2005.</w:t>
      </w:r>
    </w:p>
    <w:p>
      <w:pPr>
        <w:pStyle w:val="ListParagraph"/>
        <w:numPr>
          <w:ilvl w:val="0"/>
          <w:numId w:val="11"/>
        </w:numPr>
        <w:tabs>
          <w:tab w:pos="882" w:val="left" w:leader="none"/>
        </w:tabs>
        <w:spacing w:line="360" w:lineRule="auto" w:before="2" w:after="0"/>
        <w:ind w:left="882" w:right="156" w:hanging="360"/>
        <w:jc w:val="both"/>
        <w:rPr>
          <w:sz w:val="24"/>
        </w:rPr>
      </w:pPr>
      <w:r>
        <w:rPr>
          <w:sz w:val="24"/>
        </w:rPr>
        <w:t>Simon</w:t>
      </w:r>
      <w:r>
        <w:rPr>
          <w:spacing w:val="-7"/>
          <w:sz w:val="24"/>
        </w:rPr>
        <w:t> </w:t>
      </w:r>
      <w:r>
        <w:rPr>
          <w:sz w:val="24"/>
        </w:rPr>
        <w:t>JHS.</w:t>
      </w:r>
      <w:r>
        <w:rPr>
          <w:spacing w:val="-9"/>
          <w:sz w:val="24"/>
        </w:rPr>
        <w:t> </w:t>
      </w:r>
      <w:r>
        <w:rPr>
          <w:sz w:val="24"/>
        </w:rPr>
        <w:t>Incidence</w:t>
      </w:r>
      <w:r>
        <w:rPr>
          <w:spacing w:val="-9"/>
          <w:sz w:val="24"/>
        </w:rPr>
        <w:t> </w:t>
      </w:r>
      <w:r>
        <w:rPr>
          <w:sz w:val="24"/>
        </w:rPr>
        <w:t>of</w:t>
      </w:r>
      <w:r>
        <w:rPr>
          <w:spacing w:val="-8"/>
          <w:sz w:val="24"/>
        </w:rPr>
        <w:t> </w:t>
      </w:r>
      <w:r>
        <w:rPr>
          <w:sz w:val="24"/>
        </w:rPr>
        <w:t>periapical</w:t>
      </w:r>
      <w:r>
        <w:rPr>
          <w:spacing w:val="-7"/>
          <w:sz w:val="24"/>
        </w:rPr>
        <w:t> </w:t>
      </w:r>
      <w:r>
        <w:rPr>
          <w:sz w:val="24"/>
        </w:rPr>
        <w:t>cyst</w:t>
      </w:r>
      <w:r>
        <w:rPr>
          <w:spacing w:val="-7"/>
          <w:sz w:val="24"/>
        </w:rPr>
        <w:t> </w:t>
      </w:r>
      <w:r>
        <w:rPr>
          <w:sz w:val="24"/>
        </w:rPr>
        <w:t>in</w:t>
      </w:r>
      <w:r>
        <w:rPr>
          <w:spacing w:val="-7"/>
          <w:sz w:val="24"/>
        </w:rPr>
        <w:t> </w:t>
      </w:r>
      <w:r>
        <w:rPr>
          <w:sz w:val="24"/>
        </w:rPr>
        <w:t>relation</w:t>
      </w:r>
      <w:r>
        <w:rPr>
          <w:spacing w:val="-9"/>
          <w:sz w:val="24"/>
        </w:rPr>
        <w:t> </w:t>
      </w:r>
      <w:r>
        <w:rPr>
          <w:sz w:val="24"/>
        </w:rPr>
        <w:t>to</w:t>
      </w:r>
      <w:r>
        <w:rPr>
          <w:spacing w:val="-9"/>
          <w:sz w:val="24"/>
        </w:rPr>
        <w:t> </w:t>
      </w:r>
      <w:r>
        <w:rPr>
          <w:sz w:val="24"/>
        </w:rPr>
        <w:t>the</w:t>
      </w:r>
      <w:r>
        <w:rPr>
          <w:spacing w:val="-7"/>
          <w:sz w:val="24"/>
        </w:rPr>
        <w:t> </w:t>
      </w:r>
      <w:r>
        <w:rPr>
          <w:sz w:val="24"/>
        </w:rPr>
        <w:t>root</w:t>
      </w:r>
      <w:r>
        <w:rPr>
          <w:spacing w:val="-10"/>
          <w:sz w:val="24"/>
        </w:rPr>
        <w:t> </w:t>
      </w:r>
      <w:r>
        <w:rPr>
          <w:sz w:val="24"/>
        </w:rPr>
        <w:t>canal.</w:t>
      </w:r>
      <w:r>
        <w:rPr>
          <w:spacing w:val="-10"/>
          <w:sz w:val="24"/>
        </w:rPr>
        <w:t> </w:t>
      </w:r>
      <w:r>
        <w:rPr>
          <w:sz w:val="24"/>
        </w:rPr>
        <w:t>J</w:t>
      </w:r>
      <w:r>
        <w:rPr>
          <w:spacing w:val="-5"/>
          <w:sz w:val="24"/>
        </w:rPr>
        <w:t> </w:t>
      </w:r>
      <w:r>
        <w:rPr>
          <w:sz w:val="24"/>
        </w:rPr>
        <w:t>Endod. 1980; 6(11):</w:t>
      </w:r>
      <w:r>
        <w:rPr>
          <w:spacing w:val="-8"/>
          <w:sz w:val="24"/>
        </w:rPr>
        <w:t> </w:t>
      </w:r>
      <w:r>
        <w:rPr>
          <w:sz w:val="24"/>
        </w:rPr>
        <w:t>845-48.</w:t>
      </w:r>
    </w:p>
    <w:p>
      <w:pPr>
        <w:pStyle w:val="ListParagraph"/>
        <w:numPr>
          <w:ilvl w:val="0"/>
          <w:numId w:val="11"/>
        </w:numPr>
        <w:tabs>
          <w:tab w:pos="882" w:val="left" w:leader="none"/>
        </w:tabs>
        <w:spacing w:line="362" w:lineRule="auto" w:before="2" w:after="0"/>
        <w:ind w:left="882" w:right="165" w:hanging="360"/>
        <w:jc w:val="both"/>
        <w:rPr>
          <w:sz w:val="24"/>
        </w:rPr>
      </w:pPr>
      <w:r>
        <w:rPr>
          <w:sz w:val="24"/>
        </w:rPr>
        <w:t>Nair PNR. New perspectives on radicular cyst: do they heal? Int Endod J. 1998; 31:</w:t>
      </w:r>
      <w:r>
        <w:rPr>
          <w:spacing w:val="-7"/>
          <w:sz w:val="24"/>
        </w:rPr>
        <w:t> </w:t>
      </w:r>
      <w:r>
        <w:rPr>
          <w:sz w:val="24"/>
        </w:rPr>
        <w:t>155-60.</w:t>
      </w:r>
    </w:p>
    <w:p>
      <w:pPr>
        <w:pStyle w:val="ListParagraph"/>
        <w:numPr>
          <w:ilvl w:val="0"/>
          <w:numId w:val="11"/>
        </w:numPr>
        <w:tabs>
          <w:tab w:pos="882" w:val="left" w:leader="none"/>
        </w:tabs>
        <w:spacing w:line="360" w:lineRule="auto" w:before="0" w:after="0"/>
        <w:ind w:left="882" w:right="163" w:hanging="360"/>
        <w:jc w:val="both"/>
        <w:rPr>
          <w:sz w:val="24"/>
        </w:rPr>
      </w:pPr>
      <w:r>
        <w:rPr>
          <w:sz w:val="24"/>
        </w:rPr>
        <w:t>Ten</w:t>
      </w:r>
      <w:r>
        <w:rPr>
          <w:spacing w:val="-18"/>
          <w:sz w:val="24"/>
        </w:rPr>
        <w:t> </w:t>
      </w:r>
      <w:r>
        <w:rPr>
          <w:sz w:val="24"/>
        </w:rPr>
        <w:t>Cate</w:t>
      </w:r>
      <w:r>
        <w:rPr>
          <w:spacing w:val="-18"/>
          <w:sz w:val="24"/>
        </w:rPr>
        <w:t> </w:t>
      </w:r>
      <w:r>
        <w:rPr>
          <w:sz w:val="24"/>
        </w:rPr>
        <w:t>AR.</w:t>
      </w:r>
      <w:r>
        <w:rPr>
          <w:spacing w:val="-21"/>
          <w:sz w:val="24"/>
        </w:rPr>
        <w:t> </w:t>
      </w:r>
      <w:r>
        <w:rPr>
          <w:sz w:val="24"/>
        </w:rPr>
        <w:t>The</w:t>
      </w:r>
      <w:r>
        <w:rPr>
          <w:spacing w:val="-18"/>
          <w:sz w:val="24"/>
        </w:rPr>
        <w:t> </w:t>
      </w:r>
      <w:r>
        <w:rPr>
          <w:sz w:val="24"/>
        </w:rPr>
        <w:t>epithelial</w:t>
      </w:r>
      <w:r>
        <w:rPr>
          <w:spacing w:val="-19"/>
          <w:sz w:val="24"/>
        </w:rPr>
        <w:t> </w:t>
      </w:r>
      <w:r>
        <w:rPr>
          <w:sz w:val="24"/>
        </w:rPr>
        <w:t>cell</w:t>
      </w:r>
      <w:r>
        <w:rPr>
          <w:spacing w:val="-20"/>
          <w:sz w:val="24"/>
        </w:rPr>
        <w:t> </w:t>
      </w:r>
      <w:r>
        <w:rPr>
          <w:sz w:val="24"/>
        </w:rPr>
        <w:t>rest</w:t>
      </w:r>
      <w:r>
        <w:rPr>
          <w:spacing w:val="-18"/>
          <w:sz w:val="24"/>
        </w:rPr>
        <w:t> </w:t>
      </w:r>
      <w:r>
        <w:rPr>
          <w:sz w:val="24"/>
        </w:rPr>
        <w:t>of</w:t>
      </w:r>
      <w:r>
        <w:rPr>
          <w:spacing w:val="-16"/>
          <w:sz w:val="24"/>
        </w:rPr>
        <w:t> </w:t>
      </w:r>
      <w:r>
        <w:rPr>
          <w:sz w:val="24"/>
        </w:rPr>
        <w:t>Malassez</w:t>
      </w:r>
      <w:r>
        <w:rPr>
          <w:spacing w:val="-21"/>
          <w:sz w:val="24"/>
        </w:rPr>
        <w:t> </w:t>
      </w:r>
      <w:r>
        <w:rPr>
          <w:sz w:val="24"/>
        </w:rPr>
        <w:t>and</w:t>
      </w:r>
      <w:r>
        <w:rPr>
          <w:spacing w:val="-18"/>
          <w:sz w:val="24"/>
        </w:rPr>
        <w:t> </w:t>
      </w:r>
      <w:r>
        <w:rPr>
          <w:sz w:val="24"/>
        </w:rPr>
        <w:t>the</w:t>
      </w:r>
      <w:r>
        <w:rPr>
          <w:spacing w:val="-18"/>
          <w:sz w:val="24"/>
        </w:rPr>
        <w:t> </w:t>
      </w:r>
      <w:r>
        <w:rPr>
          <w:sz w:val="24"/>
        </w:rPr>
        <w:t>genesis</w:t>
      </w:r>
      <w:r>
        <w:rPr>
          <w:spacing w:val="-19"/>
          <w:sz w:val="24"/>
        </w:rPr>
        <w:t> </w:t>
      </w:r>
      <w:r>
        <w:rPr>
          <w:sz w:val="24"/>
        </w:rPr>
        <w:t>of</w:t>
      </w:r>
      <w:r>
        <w:rPr>
          <w:spacing w:val="-19"/>
          <w:sz w:val="24"/>
        </w:rPr>
        <w:t> </w:t>
      </w:r>
      <w:r>
        <w:rPr>
          <w:sz w:val="24"/>
        </w:rPr>
        <w:t>the</w:t>
      </w:r>
      <w:r>
        <w:rPr>
          <w:spacing w:val="-18"/>
          <w:sz w:val="24"/>
        </w:rPr>
        <w:t> </w:t>
      </w:r>
      <w:r>
        <w:rPr>
          <w:sz w:val="24"/>
        </w:rPr>
        <w:t>dental cyst. Oral Surg Oral Med O. 1972; 34(6):</w:t>
      </w:r>
      <w:r>
        <w:rPr>
          <w:spacing w:val="-14"/>
          <w:sz w:val="24"/>
        </w:rPr>
        <w:t> </w:t>
      </w:r>
      <w:r>
        <w:rPr>
          <w:sz w:val="24"/>
        </w:rPr>
        <w:t>956-64.</w:t>
      </w:r>
    </w:p>
    <w:p>
      <w:pPr>
        <w:pStyle w:val="ListParagraph"/>
        <w:numPr>
          <w:ilvl w:val="0"/>
          <w:numId w:val="11"/>
        </w:numPr>
        <w:tabs>
          <w:tab w:pos="882" w:val="left" w:leader="none"/>
        </w:tabs>
        <w:spacing w:line="360" w:lineRule="auto" w:before="2" w:after="0"/>
        <w:ind w:left="882" w:right="164" w:hanging="360"/>
        <w:jc w:val="both"/>
        <w:rPr>
          <w:sz w:val="24"/>
        </w:rPr>
      </w:pPr>
      <w:r>
        <w:rPr>
          <w:sz w:val="24"/>
        </w:rPr>
        <w:t>Shemesh H, Roeleveld AC, Wessellink PR, </w:t>
      </w:r>
      <w:r>
        <w:rPr>
          <w:spacing w:val="3"/>
          <w:sz w:val="24"/>
        </w:rPr>
        <w:t>Wu </w:t>
      </w:r>
      <w:r>
        <w:rPr>
          <w:sz w:val="24"/>
        </w:rPr>
        <w:t>MK. Damage to root dentin during retreatment procedures. J Endod. 2011; 37(1):</w:t>
      </w:r>
      <w:r>
        <w:rPr>
          <w:spacing w:val="-21"/>
          <w:sz w:val="24"/>
        </w:rPr>
        <w:t> </w:t>
      </w:r>
      <w:r>
        <w:rPr>
          <w:sz w:val="24"/>
        </w:rPr>
        <w:t>63-66.</w:t>
      </w:r>
    </w:p>
    <w:p>
      <w:pPr>
        <w:pStyle w:val="ListParagraph"/>
        <w:numPr>
          <w:ilvl w:val="0"/>
          <w:numId w:val="11"/>
        </w:numPr>
        <w:tabs>
          <w:tab w:pos="882" w:val="left" w:leader="none"/>
        </w:tabs>
        <w:spacing w:line="360" w:lineRule="auto" w:before="2" w:after="0"/>
        <w:ind w:left="882" w:right="157" w:hanging="360"/>
        <w:jc w:val="both"/>
        <w:rPr>
          <w:sz w:val="24"/>
        </w:rPr>
      </w:pPr>
      <w:r>
        <w:rPr>
          <w:sz w:val="24"/>
        </w:rPr>
        <w:t>Reader AW, Nusstein JM, Hargreaves KM. Biopatología del periapice. En Hargreaves</w:t>
      </w:r>
      <w:r>
        <w:rPr>
          <w:spacing w:val="-15"/>
          <w:sz w:val="24"/>
        </w:rPr>
        <w:t> </w:t>
      </w:r>
      <w:r>
        <w:rPr>
          <w:sz w:val="24"/>
        </w:rPr>
        <w:t>KM,</w:t>
      </w:r>
      <w:r>
        <w:rPr>
          <w:spacing w:val="-14"/>
          <w:sz w:val="24"/>
        </w:rPr>
        <w:t> </w:t>
      </w:r>
      <w:r>
        <w:rPr>
          <w:sz w:val="24"/>
        </w:rPr>
        <w:t>Cohen</w:t>
      </w:r>
      <w:r>
        <w:rPr>
          <w:spacing w:val="-14"/>
          <w:sz w:val="24"/>
        </w:rPr>
        <w:t> </w:t>
      </w:r>
      <w:r>
        <w:rPr>
          <w:sz w:val="24"/>
        </w:rPr>
        <w:t>S.</w:t>
      </w:r>
      <w:r>
        <w:rPr>
          <w:spacing w:val="-14"/>
          <w:sz w:val="24"/>
        </w:rPr>
        <w:t> </w:t>
      </w:r>
      <w:r>
        <w:rPr>
          <w:sz w:val="24"/>
        </w:rPr>
        <w:t>Vías</w:t>
      </w:r>
      <w:r>
        <w:rPr>
          <w:spacing w:val="-15"/>
          <w:sz w:val="24"/>
        </w:rPr>
        <w:t> </w:t>
      </w:r>
      <w:r>
        <w:rPr>
          <w:sz w:val="24"/>
        </w:rPr>
        <w:t>de</w:t>
      </w:r>
      <w:r>
        <w:rPr>
          <w:spacing w:val="-14"/>
          <w:sz w:val="24"/>
        </w:rPr>
        <w:t> </w:t>
      </w:r>
      <w:r>
        <w:rPr>
          <w:sz w:val="24"/>
        </w:rPr>
        <w:t>la</w:t>
      </w:r>
      <w:r>
        <w:rPr>
          <w:spacing w:val="-14"/>
          <w:sz w:val="24"/>
        </w:rPr>
        <w:t> </w:t>
      </w:r>
      <w:r>
        <w:rPr>
          <w:sz w:val="24"/>
        </w:rPr>
        <w:t>pulpa.</w:t>
      </w:r>
      <w:r>
        <w:rPr>
          <w:spacing w:val="-13"/>
          <w:sz w:val="24"/>
        </w:rPr>
        <w:t> </w:t>
      </w:r>
      <w:r>
        <w:rPr>
          <w:sz w:val="24"/>
        </w:rPr>
        <w:t>10ma.</w:t>
      </w:r>
      <w:r>
        <w:rPr>
          <w:spacing w:val="-14"/>
          <w:sz w:val="24"/>
        </w:rPr>
        <w:t> </w:t>
      </w:r>
      <w:r>
        <w:rPr>
          <w:sz w:val="24"/>
        </w:rPr>
        <w:t>ed.</w:t>
      </w:r>
      <w:r>
        <w:rPr>
          <w:spacing w:val="-14"/>
          <w:sz w:val="24"/>
        </w:rPr>
        <w:t> </w:t>
      </w:r>
      <w:r>
        <w:rPr>
          <w:sz w:val="24"/>
        </w:rPr>
        <w:t>Barcelona:</w:t>
      </w:r>
      <w:r>
        <w:rPr>
          <w:spacing w:val="-14"/>
          <w:sz w:val="24"/>
        </w:rPr>
        <w:t> </w:t>
      </w:r>
      <w:r>
        <w:rPr>
          <w:sz w:val="24"/>
        </w:rPr>
        <w:t>ELSEVIER MOSBY,</w:t>
      </w:r>
      <w:r>
        <w:rPr>
          <w:spacing w:val="-5"/>
          <w:sz w:val="24"/>
        </w:rPr>
        <w:t> </w:t>
      </w:r>
      <w:r>
        <w:rPr>
          <w:sz w:val="24"/>
        </w:rPr>
        <w:t>2011.</w:t>
      </w:r>
    </w:p>
    <w:p>
      <w:pPr>
        <w:pStyle w:val="ListParagraph"/>
        <w:numPr>
          <w:ilvl w:val="0"/>
          <w:numId w:val="11"/>
        </w:numPr>
        <w:tabs>
          <w:tab w:pos="882" w:val="left" w:leader="none"/>
        </w:tabs>
        <w:spacing w:line="360" w:lineRule="auto" w:before="5" w:after="0"/>
        <w:ind w:left="882" w:right="155" w:hanging="360"/>
        <w:jc w:val="both"/>
        <w:rPr>
          <w:sz w:val="24"/>
        </w:rPr>
      </w:pPr>
      <w:r>
        <w:rPr>
          <w:sz w:val="24"/>
        </w:rPr>
        <w:t>Tsesis I, Rosen E, Tamse A, Taschieri S, Del Fabbro M. Effect of guided tissue regeneration on the outcome of surgical endodontic treatment: A systematic review and meta-analysis. J Endod 2011; 37(8):</w:t>
      </w:r>
      <w:r>
        <w:rPr>
          <w:spacing w:val="-15"/>
          <w:sz w:val="24"/>
        </w:rPr>
        <w:t> </w:t>
      </w:r>
      <w:r>
        <w:rPr>
          <w:sz w:val="24"/>
        </w:rPr>
        <w:t>1039-45.</w:t>
      </w:r>
    </w:p>
    <w:p>
      <w:pPr>
        <w:pStyle w:val="ListParagraph"/>
        <w:numPr>
          <w:ilvl w:val="0"/>
          <w:numId w:val="11"/>
        </w:numPr>
        <w:tabs>
          <w:tab w:pos="882" w:val="left" w:leader="none"/>
        </w:tabs>
        <w:spacing w:line="360" w:lineRule="auto" w:before="2" w:after="0"/>
        <w:ind w:left="882" w:right="158" w:hanging="360"/>
        <w:jc w:val="both"/>
        <w:rPr>
          <w:sz w:val="24"/>
        </w:rPr>
      </w:pPr>
      <w:r>
        <w:rPr>
          <w:sz w:val="24"/>
        </w:rPr>
        <w:t>Harrison JW, Jurosky KA. Wound healing in the tissues of the periodontium following</w:t>
      </w:r>
      <w:r>
        <w:rPr>
          <w:spacing w:val="-21"/>
          <w:sz w:val="24"/>
        </w:rPr>
        <w:t> </w:t>
      </w:r>
      <w:r>
        <w:rPr>
          <w:sz w:val="24"/>
        </w:rPr>
        <w:t>periradicular</w:t>
      </w:r>
      <w:r>
        <w:rPr>
          <w:spacing w:val="-20"/>
          <w:sz w:val="24"/>
        </w:rPr>
        <w:t> </w:t>
      </w:r>
      <w:r>
        <w:rPr>
          <w:sz w:val="24"/>
        </w:rPr>
        <w:t>surgery.</w:t>
      </w:r>
      <w:r>
        <w:rPr>
          <w:spacing w:val="-19"/>
          <w:sz w:val="24"/>
        </w:rPr>
        <w:t> </w:t>
      </w:r>
      <w:r>
        <w:rPr>
          <w:sz w:val="24"/>
        </w:rPr>
        <w:t>III.</w:t>
      </w:r>
      <w:r>
        <w:rPr>
          <w:spacing w:val="-19"/>
          <w:sz w:val="24"/>
        </w:rPr>
        <w:t> </w:t>
      </w:r>
      <w:r>
        <w:rPr>
          <w:sz w:val="24"/>
        </w:rPr>
        <w:t>The</w:t>
      </w:r>
      <w:r>
        <w:rPr>
          <w:spacing w:val="-19"/>
          <w:sz w:val="24"/>
        </w:rPr>
        <w:t> </w:t>
      </w:r>
      <w:r>
        <w:rPr>
          <w:sz w:val="24"/>
        </w:rPr>
        <w:t>osseous</w:t>
      </w:r>
      <w:r>
        <w:rPr>
          <w:spacing w:val="-16"/>
          <w:sz w:val="24"/>
        </w:rPr>
        <w:t> </w:t>
      </w:r>
      <w:r>
        <w:rPr>
          <w:sz w:val="24"/>
        </w:rPr>
        <w:t>excisal</w:t>
      </w:r>
      <w:r>
        <w:rPr>
          <w:spacing w:val="-20"/>
          <w:sz w:val="24"/>
        </w:rPr>
        <w:t> </w:t>
      </w:r>
      <w:r>
        <w:rPr>
          <w:sz w:val="24"/>
        </w:rPr>
        <w:t>wound.</w:t>
      </w:r>
      <w:r>
        <w:rPr>
          <w:spacing w:val="-19"/>
          <w:sz w:val="24"/>
        </w:rPr>
        <w:t> </w:t>
      </w:r>
      <w:r>
        <w:rPr>
          <w:sz w:val="24"/>
        </w:rPr>
        <w:t>J</w:t>
      </w:r>
      <w:r>
        <w:rPr>
          <w:spacing w:val="-20"/>
          <w:sz w:val="24"/>
        </w:rPr>
        <w:t> </w:t>
      </w:r>
      <w:r>
        <w:rPr>
          <w:sz w:val="24"/>
        </w:rPr>
        <w:t>Endod</w:t>
      </w:r>
      <w:r>
        <w:rPr>
          <w:spacing w:val="-21"/>
          <w:sz w:val="24"/>
        </w:rPr>
        <w:t> </w:t>
      </w:r>
      <w:r>
        <w:rPr>
          <w:sz w:val="24"/>
        </w:rPr>
        <w:t>1992; 18(2):76–81.</w:t>
      </w:r>
    </w:p>
    <w:p>
      <w:pPr>
        <w:pStyle w:val="ListParagraph"/>
        <w:numPr>
          <w:ilvl w:val="0"/>
          <w:numId w:val="11"/>
        </w:numPr>
        <w:tabs>
          <w:tab w:pos="882" w:val="left" w:leader="none"/>
        </w:tabs>
        <w:spacing w:line="360" w:lineRule="auto" w:before="5" w:after="0"/>
        <w:ind w:left="882" w:right="162" w:hanging="360"/>
        <w:jc w:val="both"/>
        <w:rPr>
          <w:sz w:val="24"/>
        </w:rPr>
      </w:pPr>
      <w:r>
        <w:rPr>
          <w:sz w:val="24"/>
        </w:rPr>
        <w:t>Pecora</w:t>
      </w:r>
      <w:r>
        <w:rPr>
          <w:spacing w:val="-19"/>
          <w:sz w:val="24"/>
        </w:rPr>
        <w:t> </w:t>
      </w:r>
      <w:r>
        <w:rPr>
          <w:sz w:val="24"/>
        </w:rPr>
        <w:t>G,</w:t>
      </w:r>
      <w:r>
        <w:rPr>
          <w:spacing w:val="-16"/>
          <w:sz w:val="24"/>
        </w:rPr>
        <w:t> </w:t>
      </w:r>
      <w:r>
        <w:rPr>
          <w:sz w:val="24"/>
        </w:rPr>
        <w:t>De</w:t>
      </w:r>
      <w:r>
        <w:rPr>
          <w:spacing w:val="-18"/>
          <w:sz w:val="24"/>
        </w:rPr>
        <w:t> </w:t>
      </w:r>
      <w:r>
        <w:rPr>
          <w:sz w:val="24"/>
        </w:rPr>
        <w:t>Leonardis</w:t>
      </w:r>
      <w:r>
        <w:rPr>
          <w:spacing w:val="-17"/>
          <w:sz w:val="24"/>
        </w:rPr>
        <w:t> </w:t>
      </w:r>
      <w:r>
        <w:rPr>
          <w:sz w:val="24"/>
        </w:rPr>
        <w:t>D,</w:t>
      </w:r>
      <w:r>
        <w:rPr>
          <w:spacing w:val="-16"/>
          <w:sz w:val="24"/>
        </w:rPr>
        <w:t> </w:t>
      </w:r>
      <w:r>
        <w:rPr>
          <w:sz w:val="24"/>
        </w:rPr>
        <w:t>Ibrahim</w:t>
      </w:r>
      <w:r>
        <w:rPr>
          <w:spacing w:val="-15"/>
          <w:sz w:val="24"/>
        </w:rPr>
        <w:t> </w:t>
      </w:r>
      <w:r>
        <w:rPr>
          <w:sz w:val="24"/>
        </w:rPr>
        <w:t>N,</w:t>
      </w:r>
      <w:r>
        <w:rPr>
          <w:spacing w:val="-19"/>
          <w:sz w:val="24"/>
        </w:rPr>
        <w:t> </w:t>
      </w:r>
      <w:r>
        <w:rPr>
          <w:sz w:val="24"/>
        </w:rPr>
        <w:t>Bovi</w:t>
      </w:r>
      <w:r>
        <w:rPr>
          <w:spacing w:val="-17"/>
          <w:sz w:val="24"/>
        </w:rPr>
        <w:t> </w:t>
      </w:r>
      <w:r>
        <w:rPr>
          <w:sz w:val="24"/>
        </w:rPr>
        <w:t>M,</w:t>
      </w:r>
      <w:r>
        <w:rPr>
          <w:spacing w:val="-18"/>
          <w:sz w:val="24"/>
        </w:rPr>
        <w:t> </w:t>
      </w:r>
      <w:r>
        <w:rPr>
          <w:sz w:val="24"/>
        </w:rPr>
        <w:t>Cornelini</w:t>
      </w:r>
      <w:r>
        <w:rPr>
          <w:spacing w:val="-17"/>
          <w:sz w:val="24"/>
        </w:rPr>
        <w:t> </w:t>
      </w:r>
      <w:r>
        <w:rPr>
          <w:sz w:val="24"/>
        </w:rPr>
        <w:t>R.</w:t>
      </w:r>
      <w:r>
        <w:rPr>
          <w:spacing w:val="-19"/>
          <w:sz w:val="24"/>
        </w:rPr>
        <w:t> </w:t>
      </w:r>
      <w:r>
        <w:rPr>
          <w:sz w:val="24"/>
        </w:rPr>
        <w:t>The</w:t>
      </w:r>
      <w:r>
        <w:rPr>
          <w:spacing w:val="-16"/>
          <w:sz w:val="24"/>
        </w:rPr>
        <w:t> </w:t>
      </w:r>
      <w:r>
        <w:rPr>
          <w:sz w:val="24"/>
        </w:rPr>
        <w:t>use</w:t>
      </w:r>
      <w:r>
        <w:rPr>
          <w:spacing w:val="-16"/>
          <w:sz w:val="24"/>
        </w:rPr>
        <w:t> </w:t>
      </w:r>
      <w:r>
        <w:rPr>
          <w:sz w:val="24"/>
        </w:rPr>
        <w:t>of</w:t>
      </w:r>
      <w:r>
        <w:rPr>
          <w:spacing w:val="-18"/>
          <w:sz w:val="24"/>
        </w:rPr>
        <w:t> </w:t>
      </w:r>
      <w:r>
        <w:rPr>
          <w:sz w:val="24"/>
        </w:rPr>
        <w:t>calcium sulphate in the surgical treatment of a ‘through and through’ periradicular lesion. Int Endod J. 2001;</w:t>
      </w:r>
      <w:r>
        <w:rPr>
          <w:spacing w:val="-13"/>
          <w:sz w:val="24"/>
        </w:rPr>
        <w:t> </w:t>
      </w:r>
      <w:r>
        <w:rPr>
          <w:sz w:val="24"/>
        </w:rPr>
        <w:t>34:189–97.</w:t>
      </w:r>
    </w:p>
    <w:p>
      <w:pPr>
        <w:pStyle w:val="ListParagraph"/>
        <w:numPr>
          <w:ilvl w:val="0"/>
          <w:numId w:val="11"/>
        </w:numPr>
        <w:tabs>
          <w:tab w:pos="882" w:val="left" w:leader="none"/>
        </w:tabs>
        <w:spacing w:line="360" w:lineRule="auto" w:before="3" w:after="0"/>
        <w:ind w:left="882" w:right="165" w:hanging="360"/>
        <w:jc w:val="both"/>
        <w:rPr>
          <w:sz w:val="24"/>
        </w:rPr>
      </w:pPr>
      <w:r>
        <w:rPr>
          <w:sz w:val="24"/>
        </w:rPr>
        <w:t>Griffth LG, Naughton G. Tissue engineering: current challenges and expanding opportunities. Science. 2002;</w:t>
      </w:r>
      <w:r>
        <w:rPr>
          <w:spacing w:val="-17"/>
          <w:sz w:val="24"/>
        </w:rPr>
        <w:t> </w:t>
      </w:r>
      <w:r>
        <w:rPr>
          <w:sz w:val="24"/>
        </w:rPr>
        <w:t>295:1009–14.</w:t>
      </w:r>
    </w:p>
    <w:p>
      <w:pPr>
        <w:pStyle w:val="ListParagraph"/>
        <w:numPr>
          <w:ilvl w:val="0"/>
          <w:numId w:val="11"/>
        </w:numPr>
        <w:tabs>
          <w:tab w:pos="882" w:val="left" w:leader="none"/>
        </w:tabs>
        <w:spacing w:line="360" w:lineRule="auto" w:before="2" w:after="0"/>
        <w:ind w:left="882" w:right="164" w:hanging="360"/>
        <w:jc w:val="both"/>
        <w:rPr>
          <w:sz w:val="24"/>
        </w:rPr>
      </w:pPr>
      <w:r>
        <w:rPr>
          <w:sz w:val="24"/>
        </w:rPr>
        <w:t>Nevins M, Melloning JT. Periodontal Therapy Clinical Approaches and Evidence of Success Volumen 1; Quintessense Books, 2000:</w:t>
      </w:r>
      <w:r>
        <w:rPr>
          <w:spacing w:val="-25"/>
          <w:sz w:val="24"/>
        </w:rPr>
        <w:t> </w:t>
      </w:r>
      <w:r>
        <w:rPr>
          <w:sz w:val="24"/>
        </w:rPr>
        <w:t>236-64.</w:t>
      </w:r>
    </w:p>
    <w:p>
      <w:pPr>
        <w:spacing w:after="0" w:line="360" w:lineRule="auto"/>
        <w:jc w:val="both"/>
        <w:rPr>
          <w:sz w:val="24"/>
        </w:rPr>
        <w:sectPr>
          <w:footerReference w:type="default" r:id="rId60"/>
          <w:pgSz w:w="12240" w:h="15840"/>
          <w:pgMar w:footer="1572" w:header="744" w:top="1080" w:bottom="1760" w:left="1540" w:right="1540"/>
        </w:sectPr>
      </w:pPr>
    </w:p>
    <w:p>
      <w:pPr>
        <w:pStyle w:val="BodyText"/>
        <w:spacing w:before="4"/>
        <w:rPr>
          <w:sz w:val="21"/>
        </w:rPr>
      </w:pPr>
    </w:p>
    <w:p>
      <w:pPr>
        <w:pStyle w:val="ListParagraph"/>
        <w:numPr>
          <w:ilvl w:val="0"/>
          <w:numId w:val="11"/>
        </w:numPr>
        <w:tabs>
          <w:tab w:pos="882" w:val="left" w:leader="none"/>
        </w:tabs>
        <w:spacing w:line="362" w:lineRule="auto" w:before="69" w:after="0"/>
        <w:ind w:left="882" w:right="164" w:hanging="360"/>
        <w:jc w:val="both"/>
        <w:rPr>
          <w:sz w:val="24"/>
        </w:rPr>
      </w:pPr>
      <w:r>
        <w:rPr>
          <w:sz w:val="24"/>
        </w:rPr>
        <w:t>Lindhe J. Clinical Periodontology and Implant Dentistry. Blackwell Mwnksgaard, 5ta. Edición, 2005:</w:t>
      </w:r>
      <w:r>
        <w:rPr>
          <w:spacing w:val="-11"/>
          <w:sz w:val="24"/>
        </w:rPr>
        <w:t> </w:t>
      </w:r>
      <w:r>
        <w:rPr>
          <w:sz w:val="24"/>
        </w:rPr>
        <w:t>901-48.</w:t>
      </w:r>
    </w:p>
    <w:p>
      <w:pPr>
        <w:pStyle w:val="ListParagraph"/>
        <w:numPr>
          <w:ilvl w:val="0"/>
          <w:numId w:val="11"/>
        </w:numPr>
        <w:tabs>
          <w:tab w:pos="882" w:val="left" w:leader="none"/>
        </w:tabs>
        <w:spacing w:line="360" w:lineRule="auto" w:before="0" w:after="0"/>
        <w:ind w:left="882" w:right="157" w:hanging="360"/>
        <w:jc w:val="both"/>
        <w:rPr>
          <w:sz w:val="24"/>
        </w:rPr>
      </w:pPr>
      <w:r>
        <w:rPr>
          <w:sz w:val="24"/>
        </w:rPr>
        <w:t>Bashutski JD, Wang HL. Periodontal and endodontic regeneration. J Endod 2009; 35(3):</w:t>
      </w:r>
      <w:r>
        <w:rPr>
          <w:spacing w:val="-6"/>
          <w:sz w:val="24"/>
        </w:rPr>
        <w:t> </w:t>
      </w:r>
      <w:r>
        <w:rPr>
          <w:sz w:val="24"/>
        </w:rPr>
        <w:t>321–28.</w:t>
      </w:r>
    </w:p>
    <w:p>
      <w:pPr>
        <w:pStyle w:val="ListParagraph"/>
        <w:numPr>
          <w:ilvl w:val="0"/>
          <w:numId w:val="11"/>
        </w:numPr>
        <w:tabs>
          <w:tab w:pos="882" w:val="left" w:leader="none"/>
        </w:tabs>
        <w:spacing w:line="360" w:lineRule="auto" w:before="2" w:after="0"/>
        <w:ind w:left="882" w:right="167" w:hanging="360"/>
        <w:jc w:val="both"/>
        <w:rPr>
          <w:sz w:val="24"/>
        </w:rPr>
      </w:pPr>
      <w:r>
        <w:rPr>
          <w:sz w:val="24"/>
        </w:rPr>
        <w:t>Michael G. Newman; Henri H. Takei; Fermin A. Carranza, Periodontología Clínica; McGraw Hill, 9na. Edición; pp.</w:t>
      </w:r>
      <w:r>
        <w:rPr>
          <w:spacing w:val="-11"/>
          <w:sz w:val="24"/>
        </w:rPr>
        <w:t> </w:t>
      </w:r>
      <w:r>
        <w:rPr>
          <w:sz w:val="24"/>
        </w:rPr>
        <w:t>853-70.</w:t>
      </w:r>
    </w:p>
    <w:p>
      <w:pPr>
        <w:pStyle w:val="ListParagraph"/>
        <w:numPr>
          <w:ilvl w:val="0"/>
          <w:numId w:val="11"/>
        </w:numPr>
        <w:tabs>
          <w:tab w:pos="882" w:val="left" w:leader="none"/>
        </w:tabs>
        <w:spacing w:line="360" w:lineRule="auto" w:before="2" w:after="0"/>
        <w:ind w:left="882" w:right="161" w:hanging="360"/>
        <w:jc w:val="both"/>
        <w:rPr>
          <w:sz w:val="24"/>
        </w:rPr>
      </w:pPr>
      <w:r>
        <w:rPr>
          <w:sz w:val="24"/>
        </w:rPr>
        <w:t>Christoph</w:t>
      </w:r>
      <w:r>
        <w:rPr>
          <w:spacing w:val="-12"/>
          <w:sz w:val="24"/>
        </w:rPr>
        <w:t> </w:t>
      </w:r>
      <w:r>
        <w:rPr>
          <w:sz w:val="24"/>
        </w:rPr>
        <w:t>HF,</w:t>
      </w:r>
      <w:r>
        <w:rPr>
          <w:spacing w:val="-13"/>
          <w:sz w:val="24"/>
        </w:rPr>
        <w:t> </w:t>
      </w:r>
      <w:r>
        <w:rPr>
          <w:sz w:val="24"/>
        </w:rPr>
        <w:t>Jung</w:t>
      </w:r>
      <w:r>
        <w:rPr>
          <w:spacing w:val="-13"/>
          <w:sz w:val="24"/>
        </w:rPr>
        <w:t> </w:t>
      </w:r>
      <w:r>
        <w:rPr>
          <w:sz w:val="24"/>
        </w:rPr>
        <w:t>RE.</w:t>
      </w:r>
      <w:r>
        <w:rPr>
          <w:spacing w:val="-12"/>
          <w:sz w:val="24"/>
        </w:rPr>
        <w:t> </w:t>
      </w:r>
      <w:r>
        <w:rPr>
          <w:sz w:val="24"/>
        </w:rPr>
        <w:t>Bone</w:t>
      </w:r>
      <w:r>
        <w:rPr>
          <w:spacing w:val="-13"/>
          <w:sz w:val="24"/>
        </w:rPr>
        <w:t> </w:t>
      </w:r>
      <w:r>
        <w:rPr>
          <w:sz w:val="24"/>
        </w:rPr>
        <w:t>augmentation</w:t>
      </w:r>
      <w:r>
        <w:rPr>
          <w:spacing w:val="-13"/>
          <w:sz w:val="24"/>
        </w:rPr>
        <w:t> </w:t>
      </w:r>
      <w:r>
        <w:rPr>
          <w:sz w:val="24"/>
        </w:rPr>
        <w:t>by</w:t>
      </w:r>
      <w:r>
        <w:rPr>
          <w:spacing w:val="-14"/>
          <w:sz w:val="24"/>
        </w:rPr>
        <w:t> </w:t>
      </w:r>
      <w:r>
        <w:rPr>
          <w:sz w:val="24"/>
        </w:rPr>
        <w:t>means</w:t>
      </w:r>
      <w:r>
        <w:rPr>
          <w:spacing w:val="-14"/>
          <w:sz w:val="24"/>
        </w:rPr>
        <w:t> </w:t>
      </w:r>
      <w:r>
        <w:rPr>
          <w:sz w:val="24"/>
        </w:rPr>
        <w:t>of</w:t>
      </w:r>
      <w:r>
        <w:rPr>
          <w:spacing w:val="-12"/>
          <w:sz w:val="24"/>
        </w:rPr>
        <w:t> </w:t>
      </w:r>
      <w:r>
        <w:rPr>
          <w:sz w:val="24"/>
        </w:rPr>
        <w:t>barrier</w:t>
      </w:r>
      <w:r>
        <w:rPr>
          <w:spacing w:val="-14"/>
          <w:sz w:val="24"/>
        </w:rPr>
        <w:t> </w:t>
      </w:r>
      <w:r>
        <w:rPr>
          <w:sz w:val="24"/>
        </w:rPr>
        <w:t>membranes. Periodontol 2000. 2000; 24:</w:t>
      </w:r>
      <w:r>
        <w:rPr>
          <w:spacing w:val="-15"/>
          <w:sz w:val="24"/>
        </w:rPr>
        <w:t> </w:t>
      </w:r>
      <w:r>
        <w:rPr>
          <w:sz w:val="24"/>
        </w:rPr>
        <w:t>253-69.</w:t>
      </w:r>
    </w:p>
    <w:p>
      <w:pPr>
        <w:pStyle w:val="ListParagraph"/>
        <w:numPr>
          <w:ilvl w:val="0"/>
          <w:numId w:val="11"/>
        </w:numPr>
        <w:tabs>
          <w:tab w:pos="882" w:val="left" w:leader="none"/>
        </w:tabs>
        <w:spacing w:line="360" w:lineRule="auto" w:before="2" w:after="0"/>
        <w:ind w:left="882" w:right="160" w:hanging="360"/>
        <w:jc w:val="both"/>
        <w:rPr>
          <w:sz w:val="24"/>
        </w:rPr>
      </w:pPr>
      <w:r>
        <w:rPr>
          <w:sz w:val="24"/>
        </w:rPr>
        <w:t>Hallman M, Thor A. Bone substitutes and growth factors as an alternative/complement to autogenous bone for grafting in implant dentistry. Periodontol 2000. 2008; 47:</w:t>
      </w:r>
      <w:r>
        <w:rPr>
          <w:spacing w:val="-15"/>
          <w:sz w:val="24"/>
        </w:rPr>
        <w:t> </w:t>
      </w:r>
      <w:r>
        <w:rPr>
          <w:sz w:val="24"/>
        </w:rPr>
        <w:t>172-92.</w:t>
      </w:r>
    </w:p>
    <w:p>
      <w:pPr>
        <w:pStyle w:val="ListParagraph"/>
        <w:numPr>
          <w:ilvl w:val="0"/>
          <w:numId w:val="11"/>
        </w:numPr>
        <w:tabs>
          <w:tab w:pos="882" w:val="left" w:leader="none"/>
        </w:tabs>
        <w:spacing w:line="360" w:lineRule="auto" w:before="5" w:after="0"/>
        <w:ind w:left="882" w:right="159" w:hanging="360"/>
        <w:jc w:val="both"/>
        <w:rPr>
          <w:sz w:val="24"/>
        </w:rPr>
      </w:pPr>
      <w:r>
        <w:rPr>
          <w:sz w:val="24"/>
        </w:rPr>
        <w:t>Anitua E. Plasma rich in growth factors: preliminary results of use in the preparation of future sites for implants. Int J Oral Maxillofac Implants. 1999; 14(4):</w:t>
      </w:r>
      <w:r>
        <w:rPr>
          <w:spacing w:val="-4"/>
          <w:sz w:val="24"/>
        </w:rPr>
        <w:t> </w:t>
      </w:r>
      <w:r>
        <w:rPr>
          <w:sz w:val="24"/>
        </w:rPr>
        <w:t>529-35.</w:t>
      </w:r>
    </w:p>
    <w:p>
      <w:pPr>
        <w:pStyle w:val="ListParagraph"/>
        <w:numPr>
          <w:ilvl w:val="0"/>
          <w:numId w:val="11"/>
        </w:numPr>
        <w:tabs>
          <w:tab w:pos="882" w:val="left" w:leader="none"/>
        </w:tabs>
        <w:spacing w:line="360" w:lineRule="auto" w:before="2" w:after="0"/>
        <w:ind w:left="882" w:right="163" w:hanging="360"/>
        <w:jc w:val="both"/>
        <w:rPr>
          <w:sz w:val="24"/>
        </w:rPr>
      </w:pPr>
      <w:r>
        <w:rPr>
          <w:sz w:val="24"/>
        </w:rPr>
        <w:t>Bender</w:t>
      </w:r>
      <w:r>
        <w:rPr>
          <w:spacing w:val="-6"/>
          <w:sz w:val="24"/>
        </w:rPr>
        <w:t> </w:t>
      </w:r>
      <w:r>
        <w:rPr>
          <w:sz w:val="24"/>
        </w:rPr>
        <w:t>I.B.</w:t>
      </w:r>
      <w:r>
        <w:rPr>
          <w:spacing w:val="-5"/>
          <w:sz w:val="24"/>
        </w:rPr>
        <w:t> </w:t>
      </w:r>
      <w:r>
        <w:rPr>
          <w:sz w:val="24"/>
        </w:rPr>
        <w:t>Factors</w:t>
      </w:r>
      <w:r>
        <w:rPr>
          <w:spacing w:val="-6"/>
          <w:sz w:val="24"/>
        </w:rPr>
        <w:t> </w:t>
      </w:r>
      <w:r>
        <w:rPr>
          <w:sz w:val="24"/>
        </w:rPr>
        <w:t>influencing</w:t>
      </w:r>
      <w:r>
        <w:rPr>
          <w:spacing w:val="-6"/>
          <w:sz w:val="24"/>
        </w:rPr>
        <w:t> </w:t>
      </w:r>
      <w:r>
        <w:rPr>
          <w:sz w:val="24"/>
        </w:rPr>
        <w:t>the</w:t>
      </w:r>
      <w:r>
        <w:rPr>
          <w:spacing w:val="-5"/>
          <w:sz w:val="24"/>
        </w:rPr>
        <w:t> </w:t>
      </w:r>
      <w:r>
        <w:rPr>
          <w:sz w:val="24"/>
        </w:rPr>
        <w:t>radiographic</w:t>
      </w:r>
      <w:r>
        <w:rPr>
          <w:spacing w:val="-6"/>
          <w:sz w:val="24"/>
        </w:rPr>
        <w:t> </w:t>
      </w:r>
      <w:r>
        <w:rPr>
          <w:sz w:val="24"/>
        </w:rPr>
        <w:t>appearance</w:t>
      </w:r>
      <w:r>
        <w:rPr>
          <w:spacing w:val="-5"/>
          <w:sz w:val="24"/>
        </w:rPr>
        <w:t> </w:t>
      </w:r>
      <w:r>
        <w:rPr>
          <w:sz w:val="24"/>
        </w:rPr>
        <w:t>of</w:t>
      </w:r>
      <w:r>
        <w:rPr>
          <w:spacing w:val="-5"/>
          <w:sz w:val="24"/>
        </w:rPr>
        <w:t> </w:t>
      </w:r>
      <w:r>
        <w:rPr>
          <w:sz w:val="24"/>
        </w:rPr>
        <w:t>bony</w:t>
      </w:r>
      <w:r>
        <w:rPr>
          <w:spacing w:val="-8"/>
          <w:sz w:val="24"/>
        </w:rPr>
        <w:t> </w:t>
      </w:r>
      <w:r>
        <w:rPr>
          <w:sz w:val="24"/>
        </w:rPr>
        <w:t>lesions. J Endod. 1982; 8(4):</w:t>
      </w:r>
      <w:r>
        <w:rPr>
          <w:spacing w:val="-8"/>
          <w:sz w:val="24"/>
        </w:rPr>
        <w:t> </w:t>
      </w:r>
      <w:r>
        <w:rPr>
          <w:sz w:val="24"/>
        </w:rPr>
        <w:t>161-70.</w:t>
      </w:r>
    </w:p>
    <w:p>
      <w:pPr>
        <w:spacing w:after="0" w:line="360" w:lineRule="auto"/>
        <w:jc w:val="both"/>
        <w:rPr>
          <w:sz w:val="24"/>
        </w:rPr>
        <w:sectPr>
          <w:footerReference w:type="default" r:id="rId61"/>
          <w:pgSz w:w="12240" w:h="15840"/>
          <w:pgMar w:footer="1572" w:header="744" w:top="1080" w:bottom="1760" w:left="1540" w:right="1540"/>
          <w:pgNumType w:start="61"/>
        </w:sectPr>
      </w:pPr>
    </w:p>
    <w:p>
      <w:pPr>
        <w:pStyle w:val="BodyText"/>
        <w:spacing w:before="6"/>
        <w:rPr>
          <w:sz w:val="21"/>
        </w:rPr>
      </w:pPr>
    </w:p>
    <w:p>
      <w:pPr>
        <w:pStyle w:val="Heading1"/>
        <w:spacing w:before="70"/>
        <w:ind w:left="521" w:firstLine="0"/>
        <w:jc w:val="left"/>
      </w:pPr>
      <w:bookmarkStart w:name="_bookmark73" w:id="104"/>
      <w:bookmarkEnd w:id="104"/>
      <w:r>
        <w:rPr>
          <w:b w:val="0"/>
        </w:rPr>
      </w:r>
      <w:r>
        <w:rPr/>
        <w:t>8.  ANEXOS</w:t>
      </w:r>
    </w:p>
    <w:p>
      <w:pPr>
        <w:pStyle w:val="BodyText"/>
        <w:rPr>
          <w:b/>
          <w:sz w:val="20"/>
        </w:rPr>
      </w:pPr>
    </w:p>
    <w:p>
      <w:pPr>
        <w:pStyle w:val="BodyText"/>
        <w:rPr>
          <w:b/>
          <w:sz w:val="20"/>
        </w:rPr>
      </w:pPr>
    </w:p>
    <w:p>
      <w:pPr>
        <w:pStyle w:val="BodyText"/>
        <w:spacing w:before="6"/>
        <w:rPr>
          <w:b/>
          <w:sz w:val="19"/>
        </w:rPr>
      </w:pPr>
    </w:p>
    <w:p>
      <w:pPr>
        <w:spacing w:before="0"/>
        <w:ind w:left="1342" w:right="0" w:firstLine="0"/>
        <w:jc w:val="left"/>
        <w:rPr>
          <w:b/>
          <w:sz w:val="24"/>
        </w:rPr>
      </w:pPr>
      <w:bookmarkStart w:name="_bookmark74" w:id="105"/>
      <w:bookmarkEnd w:id="105"/>
      <w:r>
        <w:rPr/>
      </w:r>
      <w:r>
        <w:rPr>
          <w:b/>
          <w:sz w:val="24"/>
        </w:rPr>
        <w:t>ANEXO 1</w:t>
      </w:r>
    </w:p>
    <w:p>
      <w:pPr>
        <w:pStyle w:val="BodyText"/>
        <w:rPr>
          <w:b/>
        </w:rPr>
      </w:pPr>
      <w:r>
        <w:rPr/>
        <w:drawing>
          <wp:anchor distT="0" distB="0" distL="0" distR="0" allowOverlap="1" layoutInCell="1" locked="0" behindDoc="0" simplePos="0" relativeHeight="1792">
            <wp:simplePos x="0" y="0"/>
            <wp:positionH relativeFrom="page">
              <wp:posOffset>1380744</wp:posOffset>
            </wp:positionH>
            <wp:positionV relativeFrom="paragraph">
              <wp:posOffset>200622</wp:posOffset>
            </wp:positionV>
            <wp:extent cx="5346608" cy="6221730"/>
            <wp:effectExtent l="0" t="0" r="0" b="0"/>
            <wp:wrapTopAndBottom/>
            <wp:docPr id="85" name="image44.png" descr=""/>
            <wp:cNvGraphicFramePr>
              <a:graphicFrameLocks noChangeAspect="1"/>
            </wp:cNvGraphicFramePr>
            <a:graphic>
              <a:graphicData uri="http://schemas.openxmlformats.org/drawingml/2006/picture">
                <pic:pic>
                  <pic:nvPicPr>
                    <pic:cNvPr id="86" name="image44.png"/>
                    <pic:cNvPicPr/>
                  </pic:nvPicPr>
                  <pic:blipFill>
                    <a:blip r:embed="rId62" cstate="print"/>
                    <a:stretch>
                      <a:fillRect/>
                    </a:stretch>
                  </pic:blipFill>
                  <pic:spPr>
                    <a:xfrm>
                      <a:off x="0" y="0"/>
                      <a:ext cx="5346608" cy="6221730"/>
                    </a:xfrm>
                    <a:prstGeom prst="rect">
                      <a:avLst/>
                    </a:prstGeom>
                  </pic:spPr>
                </pic:pic>
              </a:graphicData>
            </a:graphic>
          </wp:anchor>
        </w:drawing>
      </w:r>
    </w:p>
    <w:p>
      <w:pPr>
        <w:spacing w:after="0"/>
        <w:sectPr>
          <w:pgSz w:w="12240" w:h="15840"/>
          <w:pgMar w:header="744" w:footer="1572" w:top="1080" w:bottom="1760" w:left="1540" w:right="1520"/>
        </w:sectPr>
      </w:pPr>
    </w:p>
    <w:p>
      <w:pPr>
        <w:pStyle w:val="BodyText"/>
        <w:rPr>
          <w:b/>
          <w:sz w:val="20"/>
        </w:rPr>
      </w:pPr>
    </w:p>
    <w:p>
      <w:pPr>
        <w:pStyle w:val="BodyText"/>
        <w:spacing w:before="6"/>
        <w:rPr>
          <w:b/>
          <w:sz w:val="20"/>
        </w:rPr>
      </w:pPr>
    </w:p>
    <w:p>
      <w:pPr>
        <w:spacing w:before="0"/>
        <w:ind w:left="908" w:right="0" w:firstLine="0"/>
        <w:jc w:val="left"/>
        <w:rPr>
          <w:b/>
          <w:sz w:val="24"/>
        </w:rPr>
      </w:pPr>
      <w:bookmarkStart w:name="_bookmark75" w:id="106"/>
      <w:bookmarkEnd w:id="106"/>
      <w:r>
        <w:rPr/>
      </w:r>
      <w:r>
        <w:rPr>
          <w:b/>
          <w:sz w:val="24"/>
        </w:rPr>
        <w:t>ANEXO 2</w:t>
      </w:r>
    </w:p>
    <w:p>
      <w:pPr>
        <w:pStyle w:val="BodyText"/>
        <w:spacing w:before="6"/>
        <w:rPr>
          <w:b/>
          <w:sz w:val="25"/>
        </w:rPr>
      </w:pPr>
      <w:r>
        <w:rPr/>
        <w:drawing>
          <wp:anchor distT="0" distB="0" distL="0" distR="0" allowOverlap="1" layoutInCell="1" locked="0" behindDoc="0" simplePos="0" relativeHeight="1816">
            <wp:simplePos x="0" y="0"/>
            <wp:positionH relativeFrom="page">
              <wp:posOffset>1104900</wp:posOffset>
            </wp:positionH>
            <wp:positionV relativeFrom="paragraph">
              <wp:posOffset>211290</wp:posOffset>
            </wp:positionV>
            <wp:extent cx="5574756" cy="7376159"/>
            <wp:effectExtent l="0" t="0" r="0" b="0"/>
            <wp:wrapTopAndBottom/>
            <wp:docPr id="87" name="image45.jpeg" descr=""/>
            <wp:cNvGraphicFramePr>
              <a:graphicFrameLocks noChangeAspect="1"/>
            </wp:cNvGraphicFramePr>
            <a:graphic>
              <a:graphicData uri="http://schemas.openxmlformats.org/drawingml/2006/picture">
                <pic:pic>
                  <pic:nvPicPr>
                    <pic:cNvPr id="88" name="image45.jpeg"/>
                    <pic:cNvPicPr/>
                  </pic:nvPicPr>
                  <pic:blipFill>
                    <a:blip r:embed="rId63" cstate="print"/>
                    <a:stretch>
                      <a:fillRect/>
                    </a:stretch>
                  </pic:blipFill>
                  <pic:spPr>
                    <a:xfrm>
                      <a:off x="0" y="0"/>
                      <a:ext cx="5574756" cy="7376159"/>
                    </a:xfrm>
                    <a:prstGeom prst="rect">
                      <a:avLst/>
                    </a:prstGeom>
                  </pic:spPr>
                </pic:pic>
              </a:graphicData>
            </a:graphic>
          </wp:anchor>
        </w:drawing>
      </w:r>
    </w:p>
    <w:p>
      <w:pPr>
        <w:spacing w:after="0"/>
        <w:rPr>
          <w:sz w:val="25"/>
        </w:rPr>
        <w:sectPr>
          <w:pgSz w:w="12240" w:h="15840"/>
          <w:pgMar w:header="744" w:footer="1572" w:top="1080" w:bottom="1760" w:left="1540" w:right="154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9"/>
        </w:rPr>
      </w:pPr>
    </w:p>
    <w:p>
      <w:pPr>
        <w:pStyle w:val="BodyText"/>
        <w:ind w:left="200"/>
        <w:rPr>
          <w:rFonts w:ascii="Times New Roman"/>
          <w:sz w:val="20"/>
        </w:rPr>
      </w:pPr>
      <w:r>
        <w:rPr>
          <w:rFonts w:ascii="Times New Roman"/>
          <w:sz w:val="20"/>
        </w:rPr>
        <w:drawing>
          <wp:inline distT="0" distB="0" distL="0" distR="0">
            <wp:extent cx="5517886" cy="7300912"/>
            <wp:effectExtent l="0" t="0" r="0" b="0"/>
            <wp:docPr id="89" name="image46.jpeg" descr=""/>
            <wp:cNvGraphicFramePr>
              <a:graphicFrameLocks noChangeAspect="1"/>
            </wp:cNvGraphicFramePr>
            <a:graphic>
              <a:graphicData uri="http://schemas.openxmlformats.org/drawingml/2006/picture">
                <pic:pic>
                  <pic:nvPicPr>
                    <pic:cNvPr id="90" name="image46.jpeg"/>
                    <pic:cNvPicPr/>
                  </pic:nvPicPr>
                  <pic:blipFill>
                    <a:blip r:embed="rId64" cstate="print"/>
                    <a:stretch>
                      <a:fillRect/>
                    </a:stretch>
                  </pic:blipFill>
                  <pic:spPr>
                    <a:xfrm>
                      <a:off x="0" y="0"/>
                      <a:ext cx="5517886" cy="730091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4" w:footer="1572" w:top="1080" w:bottom="1760" w:left="1540" w:right="154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9"/>
        </w:rPr>
      </w:pPr>
    </w:p>
    <w:p>
      <w:pPr>
        <w:pStyle w:val="BodyText"/>
        <w:ind w:left="200"/>
        <w:rPr>
          <w:rFonts w:ascii="Times New Roman"/>
          <w:sz w:val="20"/>
        </w:rPr>
      </w:pPr>
      <w:r>
        <w:rPr>
          <w:rFonts w:ascii="Times New Roman"/>
          <w:sz w:val="20"/>
        </w:rPr>
        <w:drawing>
          <wp:inline distT="0" distB="0" distL="0" distR="0">
            <wp:extent cx="5540564" cy="7326915"/>
            <wp:effectExtent l="0" t="0" r="0" b="0"/>
            <wp:docPr id="91" name="image47.jpeg" descr=""/>
            <wp:cNvGraphicFramePr>
              <a:graphicFrameLocks noChangeAspect="1"/>
            </wp:cNvGraphicFramePr>
            <a:graphic>
              <a:graphicData uri="http://schemas.openxmlformats.org/drawingml/2006/picture">
                <pic:pic>
                  <pic:nvPicPr>
                    <pic:cNvPr id="92" name="image47.jpeg"/>
                    <pic:cNvPicPr/>
                  </pic:nvPicPr>
                  <pic:blipFill>
                    <a:blip r:embed="rId65" cstate="print"/>
                    <a:stretch>
                      <a:fillRect/>
                    </a:stretch>
                  </pic:blipFill>
                  <pic:spPr>
                    <a:xfrm>
                      <a:off x="0" y="0"/>
                      <a:ext cx="5540564" cy="732691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4" w:footer="1572" w:top="1080" w:bottom="1760" w:left="1540" w:right="1540"/>
        </w:sectPr>
      </w:pPr>
    </w:p>
    <w:p>
      <w:pPr>
        <w:pStyle w:val="BodyText"/>
        <w:spacing w:before="10"/>
        <w:rPr>
          <w:rFonts w:ascii="Times New Roman"/>
          <w:sz w:val="29"/>
        </w:rPr>
      </w:pPr>
      <w:r>
        <w:rPr/>
        <w:pict>
          <v:group style="position:absolute;margin-left:86.879997pt;margin-top:69.360001pt;width:439.7pt;height:605.050pt;mso-position-horizontal-relative:page;mso-position-vertical-relative:page;z-index:-39424" coordorigin="1738,1387" coordsize="8794,12101">
            <v:shape style="position:absolute;left:1738;top:1867;width:8794;height:11621" type="#_x0000_t75" stroked="false">
              <v:imagedata r:id="rId66" o:title=""/>
            </v:shape>
            <v:rect style="position:absolute;left:1740;top:1387;width:8786;height:720" filled="true" fillcolor="#ffffff" stroked="false">
              <v:fill type="solid"/>
            </v:rect>
            <w10:wrap type="none"/>
          </v:group>
        </w:pict>
      </w:r>
    </w:p>
    <w:p>
      <w:pPr>
        <w:spacing w:before="70"/>
        <w:ind w:left="908" w:right="0" w:firstLine="0"/>
        <w:jc w:val="left"/>
        <w:rPr>
          <w:b/>
          <w:sz w:val="24"/>
        </w:rPr>
      </w:pPr>
      <w:bookmarkStart w:name="_bookmark76" w:id="107"/>
      <w:bookmarkEnd w:id="107"/>
      <w:r>
        <w:rPr/>
      </w:r>
      <w:r>
        <w:rPr>
          <w:b/>
          <w:sz w:val="24"/>
        </w:rPr>
        <w:t>ANEXO 3</w:t>
      </w:r>
    </w:p>
    <w:sectPr>
      <w:pgSz w:w="12240" w:h="15840"/>
      <w:pgMar w:header="744" w:footer="1572" w:top="1080" w:bottom="1760" w:left="1540" w:right="1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168" from="83.664001pt,704.495972pt" to="528.454001pt,704.495972pt" stroked="true" strokeweight=".72003pt" strokecolor="#000000">
          <w10:wrap type="none"/>
        </v:line>
      </w:pict>
    </w:r>
    <w:r>
      <w:rPr/>
      <w:pict>
        <v:line style="position:absolute;mso-position-horizontal-relative:page;mso-position-vertical-relative:page;z-index:-40144" from="83.664001pt,701.916016pt" to="528.454001pt,701.916016pt" stroked="true" strokeweight="3pt" strokecolor="#000000">
          <w10:wrap type="none"/>
        </v:line>
      </w:pict>
    </w:r>
    <w:r>
      <w:rPr/>
      <w:pict>
        <v:shape style="position:absolute;margin-left:518.900024pt;margin-top:705.348145pt;width:10.15pt;height:13.05pt;mso-position-horizontal-relative:page;mso-position-vertical-relative:page;z-index:-40120"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520" from="83.664001pt,704.495972pt" to="528.454001pt,704.495972pt" stroked="true" strokeweight=".72003pt" strokecolor="#000000">
          <w10:wrap type="none"/>
        </v:line>
      </w:pict>
    </w:r>
    <w:r>
      <w:rPr/>
      <w:pict>
        <v:line style="position:absolute;mso-position-horizontal-relative:page;mso-position-vertical-relative:page;z-index:-39496" from="83.664001pt,701.916016pt" to="528.454001pt,701.916016pt" stroked="true" strokeweight="3pt" strokecolor="#000000">
          <w10:wrap type="none"/>
        </v:line>
      </w:pict>
    </w:r>
    <w:r>
      <w:rPr/>
      <w:pict>
        <v:shape style="position:absolute;margin-left:513.780029pt;margin-top:705.348145pt;width:14.25pt;height:13.05pt;mso-position-horizontal-relative:page;mso-position-vertical-relative:page;z-index:-39472" type="#_x0000_t202" filled="false" stroked="false">
          <v:textbox inset="0,0,0,0">
            <w:txbxContent>
              <w:p>
                <w:pPr>
                  <w:spacing w:line="248" w:lineRule="exact" w:before="0"/>
                  <w:ind w:left="20" w:right="0" w:firstLine="0"/>
                  <w:jc w:val="left"/>
                  <w:rPr>
                    <w:rFonts w:ascii="Cambria"/>
                    <w:sz w:val="22"/>
                  </w:rPr>
                </w:pPr>
                <w:r>
                  <w:rPr>
                    <w:rFonts w:ascii="Cambria"/>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448" from="83.664001pt,704.495972pt" to="528.454001pt,704.495972pt" stroked="true" strokeweight=".72003pt" strokecolor="#000000">
          <w10:wrap type="none"/>
        </v:line>
      </w:pict>
    </w:r>
    <w:r>
      <w:rPr/>
      <w:pict>
        <v:line style="position:absolute;mso-position-horizontal-relative:page;mso-position-vertical-relative:page;z-index:-39424" from="83.664001pt,701.916016pt" to="528.454001pt,701.916016pt" stroked="true" strokeweight="3pt" strokecolor="#000000">
          <w10:wrap type="none"/>
        </v:line>
      </w:pict>
    </w:r>
    <w:r>
      <w:rPr/>
      <w:pict>
        <v:shape style="position:absolute;margin-left:512.780029pt;margin-top:705.348145pt;width:16.25pt;height:13.05pt;mso-position-horizontal-relative:page;mso-position-vertical-relative:page;z-index:-39400"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376" from="83.664001pt,704.495972pt" to="528.454001pt,704.495972pt" stroked="true" strokeweight=".72003pt" strokecolor="#000000">
          <w10:wrap type="none"/>
        </v:line>
      </w:pict>
    </w:r>
    <w:r>
      <w:rPr/>
      <w:pict>
        <v:line style="position:absolute;mso-position-horizontal-relative:page;mso-position-vertical-relative:page;z-index:-39352" from="83.664001pt,701.916016pt" to="528.454001pt,701.916016pt" stroked="true" strokeweight="3pt" strokecolor="#000000">
          <w10:wrap type="none"/>
        </v:line>
      </w:pict>
    </w:r>
    <w:r>
      <w:rPr/>
      <w:pict>
        <v:shape style="position:absolute;margin-left:513.780029pt;margin-top:705.348145pt;width:14.25pt;height:13.05pt;mso-position-horizontal-relative:page;mso-position-vertical-relative:page;z-index:-39328" type="#_x0000_t202" filled="false" stroked="false">
          <v:textbox inset="0,0,0,0">
            <w:txbxContent>
              <w:p>
                <w:pPr>
                  <w:spacing w:line="248" w:lineRule="exact" w:before="0"/>
                  <w:ind w:left="20" w:right="0" w:firstLine="0"/>
                  <w:jc w:val="left"/>
                  <w:rPr>
                    <w:rFonts w:ascii="Cambria"/>
                    <w:sz w:val="22"/>
                  </w:rPr>
                </w:pPr>
                <w:r>
                  <w:rPr>
                    <w:rFonts w:ascii="Cambria"/>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304" from="83.664001pt,704.495972pt" to="528.454001pt,704.495972pt" stroked="true" strokeweight=".72003pt" strokecolor="#000000">
          <w10:wrap type="none"/>
        </v:line>
      </w:pict>
    </w:r>
    <w:r>
      <w:rPr/>
      <w:pict>
        <v:line style="position:absolute;mso-position-horizontal-relative:page;mso-position-vertical-relative:page;z-index:-39280" from="83.664001pt,701.916016pt" to="528.454001pt,701.916016pt" stroked="true" strokeweight="3pt" strokecolor="#000000">
          <w10:wrap type="none"/>
        </v:line>
      </w:pict>
    </w:r>
    <w:r>
      <w:rPr/>
      <w:pict>
        <v:shape style="position:absolute;margin-left:512.780029pt;margin-top:705.348145pt;width:16.25pt;height:13.05pt;mso-position-horizontal-relative:page;mso-position-vertical-relative:page;z-index:-39256"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096" from="83.664001pt,704.495972pt" to="528.454001pt,704.495972pt" stroked="true" strokeweight=".72003pt" strokecolor="#000000">
          <w10:wrap type="none"/>
        </v:line>
      </w:pict>
    </w:r>
    <w:r>
      <w:rPr/>
      <w:pict>
        <v:line style="position:absolute;mso-position-horizontal-relative:page;mso-position-vertical-relative:page;z-index:-40072" from="83.664001pt,701.916016pt" to="528.454001pt,701.916016pt" stroked="true" strokeweight="3pt" strokecolor="#000000">
          <w10:wrap type="none"/>
        </v:line>
      </w:pict>
    </w:r>
    <w:r>
      <w:rPr/>
      <w:pict>
        <v:shape style="position:absolute;margin-left:513.780029pt;margin-top:705.348145pt;width:14.25pt;height:13.05pt;mso-position-horizontal-relative:page;mso-position-vertical-relative:page;z-index:-40048" type="#_x0000_t202" filled="false" stroked="false">
          <v:textbox inset="0,0,0,0">
            <w:txbxContent>
              <w:p>
                <w:pPr>
                  <w:spacing w:line="248" w:lineRule="exact" w:before="0"/>
                  <w:ind w:left="20" w:right="0" w:firstLine="0"/>
                  <w:jc w:val="left"/>
                  <w:rPr>
                    <w:rFonts w:ascii="Cambria"/>
                    <w:sz w:val="22"/>
                  </w:rPr>
                </w:pPr>
                <w:r>
                  <w:rPr>
                    <w:rFonts w:ascii="Cambria"/>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024" from="83.664001pt,704.495972pt" to="528.454001pt,704.495972pt" stroked="true" strokeweight=".72003pt" strokecolor="#000000">
          <w10:wrap type="none"/>
        </v:line>
      </w:pict>
    </w:r>
    <w:r>
      <w:rPr/>
      <w:pict>
        <v:line style="position:absolute;mso-position-horizontal-relative:page;mso-position-vertical-relative:page;z-index:-40000" from="83.664001pt,701.916016pt" to="528.454001pt,701.916016pt" stroked="true" strokeweight="3pt" strokecolor="#000000">
          <w10:wrap type="none"/>
        </v:line>
      </w:pict>
    </w:r>
    <w:r>
      <w:rPr/>
      <w:pict>
        <v:shape style="position:absolute;margin-left:512.780029pt;margin-top:705.348145pt;width:16.25pt;height:13.05pt;mso-position-horizontal-relative:page;mso-position-vertical-relative:page;z-index:-39976"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952" from="83.664001pt,704.495972pt" to="528.454001pt,704.495972pt" stroked="true" strokeweight=".72003pt" strokecolor="#000000">
          <w10:wrap type="none"/>
        </v:line>
      </w:pict>
    </w:r>
    <w:r>
      <w:rPr/>
      <w:pict>
        <v:line style="position:absolute;mso-position-horizontal-relative:page;mso-position-vertical-relative:page;z-index:-39928" from="83.664001pt,701.916016pt" to="528.454001pt,701.916016pt" stroked="true" strokeweight="3pt" strokecolor="#000000">
          <w10:wrap type="none"/>
        </v:line>
      </w:pict>
    </w:r>
    <w:r>
      <w:rPr/>
      <w:pict>
        <v:shape style="position:absolute;margin-left:513.780029pt;margin-top:705.348145pt;width:14.25pt;height:13.05pt;mso-position-horizontal-relative:page;mso-position-vertical-relative:page;z-index:-39904" type="#_x0000_t202" filled="false" stroked="false">
          <v:textbox inset="0,0,0,0">
            <w:txbxContent>
              <w:p>
                <w:pPr>
                  <w:spacing w:line="248" w:lineRule="exact" w:before="0"/>
                  <w:ind w:left="20" w:right="0" w:firstLine="0"/>
                  <w:jc w:val="left"/>
                  <w:rPr>
                    <w:rFonts w:ascii="Cambria"/>
                    <w:sz w:val="22"/>
                  </w:rPr>
                </w:pPr>
                <w:r>
                  <w:rPr>
                    <w:rFonts w:ascii="Cambria"/>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880" from="83.664001pt,704.495972pt" to="528.454001pt,704.495972pt" stroked="true" strokeweight=".72003pt" strokecolor="#000000">
          <w10:wrap type="none"/>
        </v:line>
      </w:pict>
    </w:r>
    <w:r>
      <w:rPr/>
      <w:pict>
        <v:line style="position:absolute;mso-position-horizontal-relative:page;mso-position-vertical-relative:page;z-index:-39856" from="83.664001pt,701.916016pt" to="528.454001pt,701.916016pt" stroked="true" strokeweight="3pt" strokecolor="#000000">
          <w10:wrap type="none"/>
        </v:line>
      </w:pict>
    </w:r>
    <w:r>
      <w:rPr/>
      <w:pict>
        <v:shape style="position:absolute;margin-left:512.780029pt;margin-top:705.348145pt;width:16.25pt;height:13.05pt;mso-position-horizontal-relative:page;mso-position-vertical-relative:page;z-index:-39832"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808" from="83.664001pt,704.495972pt" to="528.454001pt,704.495972pt" stroked="true" strokeweight=".72003pt" strokecolor="#000000">
          <w10:wrap type="none"/>
        </v:line>
      </w:pict>
    </w:r>
    <w:r>
      <w:rPr/>
      <w:pict>
        <v:line style="position:absolute;mso-position-horizontal-relative:page;mso-position-vertical-relative:page;z-index:-39784" from="83.664001pt,701.916016pt" to="528.454001pt,701.916016pt" stroked="true" strokeweight="3pt" strokecolor="#000000">
          <w10:wrap type="none"/>
        </v:line>
      </w:pict>
    </w:r>
    <w:r>
      <w:rPr/>
      <w:pict>
        <v:shape style="position:absolute;margin-left:513.780029pt;margin-top:705.348145pt;width:14.25pt;height:13.05pt;mso-position-horizontal-relative:page;mso-position-vertical-relative:page;z-index:-39760" type="#_x0000_t202" filled="false" stroked="false">
          <v:textbox inset="0,0,0,0">
            <w:txbxContent>
              <w:p>
                <w:pPr>
                  <w:spacing w:line="248" w:lineRule="exact" w:before="0"/>
                  <w:ind w:left="20" w:right="0" w:firstLine="0"/>
                  <w:jc w:val="left"/>
                  <w:rPr>
                    <w:rFonts w:ascii="Cambria"/>
                    <w:sz w:val="22"/>
                  </w:rPr>
                </w:pPr>
                <w:r>
                  <w:rPr>
                    <w:rFonts w:ascii="Cambria"/>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736" from="83.664001pt,704.495972pt" to="528.454001pt,704.495972pt" stroked="true" strokeweight=".72003pt" strokecolor="#000000">
          <w10:wrap type="none"/>
        </v:line>
      </w:pict>
    </w:r>
    <w:r>
      <w:rPr/>
      <w:pict>
        <v:line style="position:absolute;mso-position-horizontal-relative:page;mso-position-vertical-relative:page;z-index:-39712" from="83.664001pt,701.916016pt" to="528.454001pt,701.916016pt" stroked="true" strokeweight="3pt" strokecolor="#000000">
          <w10:wrap type="none"/>
        </v:line>
      </w:pict>
    </w:r>
    <w:r>
      <w:rPr/>
      <w:pict>
        <v:shape style="position:absolute;margin-left:512.780029pt;margin-top:705.348145pt;width:16.25pt;height:13.05pt;mso-position-horizontal-relative:page;mso-position-vertical-relative:page;z-index:-39688"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664" from="83.664001pt,704.495972pt" to="528.454001pt,704.495972pt" stroked="true" strokeweight=".72003pt" strokecolor="#000000">
          <w10:wrap type="none"/>
        </v:line>
      </w:pict>
    </w:r>
    <w:r>
      <w:rPr/>
      <w:pict>
        <v:line style="position:absolute;mso-position-horizontal-relative:page;mso-position-vertical-relative:page;z-index:-39640" from="83.664001pt,701.916016pt" to="528.454001pt,701.916016pt" stroked="true" strokeweight="3pt" strokecolor="#000000">
          <w10:wrap type="none"/>
        </v:line>
      </w:pict>
    </w:r>
    <w:r>
      <w:rPr/>
      <w:pict>
        <v:shape style="position:absolute;margin-left:513.780029pt;margin-top:705.348145pt;width:14.25pt;height:13.05pt;mso-position-horizontal-relative:page;mso-position-vertical-relative:page;z-index:-39616" type="#_x0000_t202" filled="false" stroked="false">
          <v:textbox inset="0,0,0,0">
            <w:txbxContent>
              <w:p>
                <w:pPr>
                  <w:spacing w:line="248" w:lineRule="exact" w:before="0"/>
                  <w:ind w:left="20" w:right="0" w:firstLine="0"/>
                  <w:jc w:val="left"/>
                  <w:rPr>
                    <w:rFonts w:ascii="Cambria"/>
                    <w:sz w:val="22"/>
                  </w:rPr>
                </w:pPr>
                <w:r>
                  <w:rPr>
                    <w:rFonts w:ascii="Cambria"/>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9592" from="83.664001pt,704.495972pt" to="528.454001pt,704.495972pt" stroked="true" strokeweight=".72003pt" strokecolor="#000000">
          <w10:wrap type="none"/>
        </v:line>
      </w:pict>
    </w:r>
    <w:r>
      <w:rPr/>
      <w:pict>
        <v:line style="position:absolute;mso-position-horizontal-relative:page;mso-position-vertical-relative:page;z-index:-39568" from="83.664001pt,701.916016pt" to="528.454001pt,701.916016pt" stroked="true" strokeweight="3pt" strokecolor="#000000">
          <w10:wrap type="none"/>
        </v:line>
      </w:pict>
    </w:r>
    <w:r>
      <w:rPr/>
      <w:pict>
        <v:shape style="position:absolute;margin-left:512.780029pt;margin-top:705.348145pt;width:16.25pt;height:13.05pt;mso-position-horizontal-relative:page;mso-position-vertical-relative:page;z-index:-39544" type="#_x0000_t202" filled="false" stroked="false">
          <v:textbox inset="0,0,0,0">
            <w:txbxContent>
              <w:p>
                <w:pPr>
                  <w:spacing w:line="248" w:lineRule="exact" w:before="0"/>
                  <w:ind w:left="40" w:right="0" w:firstLine="0"/>
                  <w:jc w:val="left"/>
                  <w:rPr>
                    <w:rFonts w:ascii="Cambria"/>
                    <w:sz w:val="22"/>
                  </w:rPr>
                </w:pPr>
                <w:r>
                  <w:rPr/>
                  <w:fldChar w:fldCharType="begin"/>
                </w:r>
                <w:r>
                  <w:rPr>
                    <w:rFonts w:ascii="Cambria"/>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240" from="83.664001pt,50.880001pt" to="528.454001pt,50.880001pt" stroked="true" strokeweight=".72pt" strokecolor="#000000">
          <w10:wrap type="none"/>
        </v:line>
      </w:pict>
    </w:r>
    <w:r>
      <w:rPr/>
      <w:pict>
        <v:line style="position:absolute;mso-position-horizontal-relative:page;mso-position-vertical-relative:page;z-index:-40216" from="83.664001pt,53.459999pt" to="528.454001pt,53.459999pt" stroked="true" strokeweight="3pt" strokecolor="#000000">
          <w10:wrap type="none"/>
        </v:line>
      </w:pict>
    </w:r>
    <w:r>
      <w:rPr/>
      <w:pict>
        <v:shapetype id="_x0000_t202" o:spt="202" coordsize="21600,21600" path="m,l,21600r21600,l21600,xe">
          <v:stroke joinstyle="miter"/>
          <v:path gradientshapeok="t" o:connecttype="rect"/>
        </v:shapetype>
        <v:shape style="position:absolute;margin-left:386.309998pt;margin-top:36.194054pt;width:141.7pt;height:14pt;mso-position-horizontal-relative:page;mso-position-vertical-relative:page;z-index:-40192" type="#_x0000_t202" filled="false" stroked="false">
          <v:textbox inset="0,0,0,0">
            <w:txbxContent>
              <w:p>
                <w:pPr>
                  <w:spacing w:line="268" w:lineRule="exact" w:before="0"/>
                  <w:ind w:left="20" w:right="0" w:firstLine="0"/>
                  <w:jc w:val="left"/>
                  <w:rPr>
                    <w:rFonts w:ascii="Cambria"/>
                    <w:i/>
                    <w:sz w:val="24"/>
                  </w:rPr>
                </w:pPr>
                <w:r>
                  <w:rPr>
                    <w:rFonts w:ascii="Cambria"/>
                    <w:i/>
                    <w:sz w:val="24"/>
                  </w:rPr>
                  <w:t>Especialidad en Endodoncia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decimal"/>
      <w:lvlText w:val="%1."/>
      <w:lvlJc w:val="left"/>
      <w:pPr>
        <w:ind w:left="882" w:hanging="360"/>
        <w:jc w:val="left"/>
      </w:pPr>
      <w:rPr>
        <w:rFonts w:hint="default" w:ascii="Arial" w:hAnsi="Arial" w:eastAsia="Arial" w:cs="Arial"/>
        <w:spacing w:val="-31"/>
        <w:w w:val="99"/>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abstractNum w:abstractNumId="9">
    <w:multiLevelType w:val="hybridMultilevel"/>
    <w:lvl w:ilvl="0">
      <w:start w:val="4"/>
      <w:numFmt w:val="decimal"/>
      <w:lvlText w:val="%1"/>
      <w:lvlJc w:val="left"/>
      <w:pPr>
        <w:ind w:left="630" w:hanging="468"/>
        <w:jc w:val="left"/>
      </w:pPr>
      <w:rPr>
        <w:rFonts w:hint="default"/>
      </w:rPr>
    </w:lvl>
    <w:lvl w:ilvl="1">
      <w:start w:val="1"/>
      <w:numFmt w:val="decimal"/>
      <w:lvlText w:val="%1.%2."/>
      <w:lvlJc w:val="left"/>
      <w:pPr>
        <w:ind w:left="630" w:hanging="468"/>
        <w:jc w:val="left"/>
      </w:pPr>
      <w:rPr>
        <w:rFonts w:hint="default" w:ascii="Arial" w:hAnsi="Arial" w:eastAsia="Arial" w:cs="Arial"/>
        <w:b/>
        <w:bCs/>
        <w:w w:val="99"/>
        <w:sz w:val="24"/>
        <w:szCs w:val="24"/>
      </w:rPr>
    </w:lvl>
    <w:lvl w:ilvl="2">
      <w:start w:val="1"/>
      <w:numFmt w:val="bullet"/>
      <w:lvlText w:val=""/>
      <w:lvlJc w:val="left"/>
      <w:pPr>
        <w:ind w:left="882" w:hanging="360"/>
      </w:pPr>
      <w:rPr>
        <w:rFonts w:hint="default" w:ascii="Wingdings" w:hAnsi="Wingdings" w:eastAsia="Wingdings" w:cs="Wingdings"/>
        <w:w w:val="100"/>
        <w:sz w:val="24"/>
        <w:szCs w:val="24"/>
      </w:rPr>
    </w:lvl>
    <w:lvl w:ilvl="3">
      <w:start w:val="1"/>
      <w:numFmt w:val="bullet"/>
      <w:lvlText w:val="•"/>
      <w:lvlJc w:val="left"/>
      <w:pPr>
        <w:ind w:left="3340" w:hanging="360"/>
      </w:pPr>
      <w:rPr>
        <w:rFonts w:hint="default"/>
      </w:rPr>
    </w:lvl>
    <w:lvl w:ilvl="4">
      <w:start w:val="1"/>
      <w:numFmt w:val="bullet"/>
      <w:lvlText w:val="•"/>
      <w:lvlJc w:val="left"/>
      <w:pPr>
        <w:ind w:left="4171" w:hanging="360"/>
      </w:pPr>
      <w:rPr>
        <w:rFonts w:hint="default"/>
      </w:rPr>
    </w:lvl>
    <w:lvl w:ilvl="5">
      <w:start w:val="1"/>
      <w:numFmt w:val="bullet"/>
      <w:lvlText w:val="•"/>
      <w:lvlJc w:val="left"/>
      <w:pPr>
        <w:ind w:left="5002" w:hanging="360"/>
      </w:pPr>
      <w:rPr>
        <w:rFonts w:hint="default"/>
      </w:rPr>
    </w:lvl>
    <w:lvl w:ilvl="6">
      <w:start w:val="1"/>
      <w:numFmt w:val="bullet"/>
      <w:lvlText w:val="•"/>
      <w:lvlJc w:val="left"/>
      <w:pPr>
        <w:ind w:left="5834" w:hanging="360"/>
      </w:pPr>
      <w:rPr>
        <w:rFonts w:hint="default"/>
      </w:rPr>
    </w:lvl>
    <w:lvl w:ilvl="7">
      <w:start w:val="1"/>
      <w:numFmt w:val="bullet"/>
      <w:lvlText w:val="•"/>
      <w:lvlJc w:val="left"/>
      <w:pPr>
        <w:ind w:left="6665" w:hanging="360"/>
      </w:pPr>
      <w:rPr>
        <w:rFonts w:hint="default"/>
      </w:rPr>
    </w:lvl>
    <w:lvl w:ilvl="8">
      <w:start w:val="1"/>
      <w:numFmt w:val="bullet"/>
      <w:lvlText w:val="•"/>
      <w:lvlJc w:val="left"/>
      <w:pPr>
        <w:ind w:left="7497" w:hanging="360"/>
      </w:pPr>
      <w:rPr>
        <w:rFonts w:hint="default"/>
      </w:rPr>
    </w:lvl>
  </w:abstractNum>
  <w:abstractNum w:abstractNumId="8">
    <w:multiLevelType w:val="hybridMultilevel"/>
    <w:lvl w:ilvl="0">
      <w:start w:val="3"/>
      <w:numFmt w:val="decimal"/>
      <w:lvlText w:val="%1."/>
      <w:lvlJc w:val="left"/>
      <w:pPr>
        <w:ind w:left="882" w:hanging="360"/>
        <w:jc w:val="left"/>
      </w:pPr>
      <w:rPr>
        <w:rFonts w:hint="default" w:ascii="Arial" w:hAnsi="Arial" w:eastAsia="Arial" w:cs="Arial"/>
        <w:b/>
        <w:bCs/>
        <w:w w:val="99"/>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abstractNum w:abstractNumId="7">
    <w:multiLevelType w:val="hybridMultilevel"/>
    <w:lvl w:ilvl="0">
      <w:start w:val="1"/>
      <w:numFmt w:val="decimal"/>
      <w:lvlText w:val="%1."/>
      <w:lvlJc w:val="left"/>
      <w:pPr>
        <w:ind w:left="882" w:hanging="360"/>
        <w:jc w:val="left"/>
      </w:pPr>
      <w:rPr>
        <w:rFonts w:hint="default" w:ascii="Arial" w:hAnsi="Arial" w:eastAsia="Arial" w:cs="Arial"/>
        <w:spacing w:val="-5"/>
        <w:w w:val="99"/>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abstractNum w:abstractNumId="6">
    <w:multiLevelType w:val="hybridMultilevel"/>
    <w:lvl w:ilvl="0">
      <w:start w:val="2"/>
      <w:numFmt w:val="decimal"/>
      <w:lvlText w:val="%1"/>
      <w:lvlJc w:val="left"/>
      <w:pPr>
        <w:ind w:left="629" w:hanging="468"/>
        <w:jc w:val="left"/>
      </w:pPr>
      <w:rPr>
        <w:rFonts w:hint="default"/>
      </w:rPr>
    </w:lvl>
    <w:lvl w:ilvl="1">
      <w:start w:val="5"/>
      <w:numFmt w:val="decimal"/>
      <w:lvlText w:val="%1.%2."/>
      <w:lvlJc w:val="left"/>
      <w:pPr>
        <w:ind w:left="629" w:hanging="468"/>
        <w:jc w:val="left"/>
      </w:pPr>
      <w:rPr>
        <w:rFonts w:hint="default" w:ascii="Arial" w:hAnsi="Arial" w:eastAsia="Arial" w:cs="Arial"/>
        <w:b/>
        <w:bCs/>
        <w:w w:val="99"/>
        <w:sz w:val="24"/>
        <w:szCs w:val="24"/>
      </w:rPr>
    </w:lvl>
    <w:lvl w:ilvl="2">
      <w:start w:val="1"/>
      <w:numFmt w:val="decimal"/>
      <w:lvlText w:val="%1.%2.%3."/>
      <w:lvlJc w:val="left"/>
      <w:pPr>
        <w:ind w:left="830" w:hanging="669"/>
        <w:jc w:val="left"/>
      </w:pPr>
      <w:rPr>
        <w:rFonts w:hint="default" w:ascii="Arial" w:hAnsi="Arial" w:eastAsia="Arial" w:cs="Arial"/>
        <w:b/>
        <w:bCs/>
        <w:spacing w:val="-3"/>
        <w:w w:val="99"/>
        <w:sz w:val="24"/>
        <w:szCs w:val="24"/>
      </w:rPr>
    </w:lvl>
    <w:lvl w:ilvl="3">
      <w:start w:val="1"/>
      <w:numFmt w:val="bullet"/>
      <w:lvlText w:val="•"/>
      <w:lvlJc w:val="left"/>
      <w:pPr>
        <w:ind w:left="2688" w:hanging="669"/>
      </w:pPr>
      <w:rPr>
        <w:rFonts w:hint="default"/>
      </w:rPr>
    </w:lvl>
    <w:lvl w:ilvl="4">
      <w:start w:val="1"/>
      <w:numFmt w:val="bullet"/>
      <w:lvlText w:val="•"/>
      <w:lvlJc w:val="left"/>
      <w:pPr>
        <w:ind w:left="3613" w:hanging="669"/>
      </w:pPr>
      <w:rPr>
        <w:rFonts w:hint="default"/>
      </w:rPr>
    </w:lvl>
    <w:lvl w:ilvl="5">
      <w:start w:val="1"/>
      <w:numFmt w:val="bullet"/>
      <w:lvlText w:val="•"/>
      <w:lvlJc w:val="left"/>
      <w:pPr>
        <w:ind w:left="4537" w:hanging="669"/>
      </w:pPr>
      <w:rPr>
        <w:rFonts w:hint="default"/>
      </w:rPr>
    </w:lvl>
    <w:lvl w:ilvl="6">
      <w:start w:val="1"/>
      <w:numFmt w:val="bullet"/>
      <w:lvlText w:val="•"/>
      <w:lvlJc w:val="left"/>
      <w:pPr>
        <w:ind w:left="5462" w:hanging="669"/>
      </w:pPr>
      <w:rPr>
        <w:rFonts w:hint="default"/>
      </w:rPr>
    </w:lvl>
    <w:lvl w:ilvl="7">
      <w:start w:val="1"/>
      <w:numFmt w:val="bullet"/>
      <w:lvlText w:val="•"/>
      <w:lvlJc w:val="left"/>
      <w:pPr>
        <w:ind w:left="6386" w:hanging="669"/>
      </w:pPr>
      <w:rPr>
        <w:rFonts w:hint="default"/>
      </w:rPr>
    </w:lvl>
    <w:lvl w:ilvl="8">
      <w:start w:val="1"/>
      <w:numFmt w:val="bullet"/>
      <w:lvlText w:val="•"/>
      <w:lvlJc w:val="left"/>
      <w:pPr>
        <w:ind w:left="7311" w:hanging="669"/>
      </w:pPr>
      <w:rPr>
        <w:rFonts w:hint="default"/>
      </w:rPr>
    </w:lvl>
  </w:abstractNum>
  <w:abstractNum w:abstractNumId="5">
    <w:multiLevelType w:val="hybridMultilevel"/>
    <w:lvl w:ilvl="0">
      <w:start w:val="1"/>
      <w:numFmt w:val="bullet"/>
      <w:lvlText w:val=""/>
      <w:lvlJc w:val="left"/>
      <w:pPr>
        <w:ind w:left="882" w:hanging="360"/>
      </w:pPr>
      <w:rPr>
        <w:rFonts w:hint="default" w:ascii="Wingdings" w:hAnsi="Wingdings" w:eastAsia="Wingdings" w:cs="Wingdings"/>
        <w:w w:val="100"/>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abstractNum w:abstractNumId="4">
    <w:multiLevelType w:val="hybridMultilevel"/>
    <w:lvl w:ilvl="0">
      <w:start w:val="2"/>
      <w:numFmt w:val="decimal"/>
      <w:lvlText w:val="%1"/>
      <w:lvlJc w:val="left"/>
      <w:pPr>
        <w:ind w:left="631" w:hanging="470"/>
        <w:jc w:val="left"/>
      </w:pPr>
      <w:rPr>
        <w:rFonts w:hint="default"/>
      </w:rPr>
    </w:lvl>
    <w:lvl w:ilvl="1">
      <w:start w:val="3"/>
      <w:numFmt w:val="decimal"/>
      <w:lvlText w:val="%1.%2."/>
      <w:lvlJc w:val="left"/>
      <w:pPr>
        <w:ind w:left="631" w:hanging="470"/>
        <w:jc w:val="left"/>
      </w:pPr>
      <w:rPr>
        <w:rFonts w:hint="default" w:ascii="Arial" w:hAnsi="Arial" w:eastAsia="Arial" w:cs="Arial"/>
        <w:b/>
        <w:bCs/>
        <w:spacing w:val="-3"/>
        <w:w w:val="99"/>
        <w:sz w:val="24"/>
        <w:szCs w:val="24"/>
      </w:rPr>
    </w:lvl>
    <w:lvl w:ilvl="2">
      <w:start w:val="1"/>
      <w:numFmt w:val="decimal"/>
      <w:lvlText w:val="%1.%2.%3."/>
      <w:lvlJc w:val="left"/>
      <w:pPr>
        <w:ind w:left="830" w:hanging="669"/>
        <w:jc w:val="left"/>
      </w:pPr>
      <w:rPr>
        <w:rFonts w:hint="default" w:ascii="Arial" w:hAnsi="Arial" w:eastAsia="Arial" w:cs="Arial"/>
        <w:b/>
        <w:bCs/>
        <w:spacing w:val="-3"/>
        <w:w w:val="99"/>
        <w:sz w:val="24"/>
        <w:szCs w:val="24"/>
      </w:rPr>
    </w:lvl>
    <w:lvl w:ilvl="3">
      <w:start w:val="1"/>
      <w:numFmt w:val="bullet"/>
      <w:lvlText w:val="•"/>
      <w:lvlJc w:val="left"/>
      <w:pPr>
        <w:ind w:left="2688" w:hanging="669"/>
      </w:pPr>
      <w:rPr>
        <w:rFonts w:hint="default"/>
      </w:rPr>
    </w:lvl>
    <w:lvl w:ilvl="4">
      <w:start w:val="1"/>
      <w:numFmt w:val="bullet"/>
      <w:lvlText w:val="•"/>
      <w:lvlJc w:val="left"/>
      <w:pPr>
        <w:ind w:left="3613" w:hanging="669"/>
      </w:pPr>
      <w:rPr>
        <w:rFonts w:hint="default"/>
      </w:rPr>
    </w:lvl>
    <w:lvl w:ilvl="5">
      <w:start w:val="1"/>
      <w:numFmt w:val="bullet"/>
      <w:lvlText w:val="•"/>
      <w:lvlJc w:val="left"/>
      <w:pPr>
        <w:ind w:left="4537" w:hanging="669"/>
      </w:pPr>
      <w:rPr>
        <w:rFonts w:hint="default"/>
      </w:rPr>
    </w:lvl>
    <w:lvl w:ilvl="6">
      <w:start w:val="1"/>
      <w:numFmt w:val="bullet"/>
      <w:lvlText w:val="•"/>
      <w:lvlJc w:val="left"/>
      <w:pPr>
        <w:ind w:left="5462" w:hanging="669"/>
      </w:pPr>
      <w:rPr>
        <w:rFonts w:hint="default"/>
      </w:rPr>
    </w:lvl>
    <w:lvl w:ilvl="7">
      <w:start w:val="1"/>
      <w:numFmt w:val="bullet"/>
      <w:lvlText w:val="•"/>
      <w:lvlJc w:val="left"/>
      <w:pPr>
        <w:ind w:left="6386" w:hanging="669"/>
      </w:pPr>
      <w:rPr>
        <w:rFonts w:hint="default"/>
      </w:rPr>
    </w:lvl>
    <w:lvl w:ilvl="8">
      <w:start w:val="1"/>
      <w:numFmt w:val="bullet"/>
      <w:lvlText w:val="•"/>
      <w:lvlJc w:val="left"/>
      <w:pPr>
        <w:ind w:left="7311" w:hanging="669"/>
      </w:pPr>
      <w:rPr>
        <w:rFonts w:hint="default"/>
      </w:rPr>
    </w:lvl>
  </w:abstractNum>
  <w:abstractNum w:abstractNumId="3">
    <w:multiLevelType w:val="hybridMultilevel"/>
    <w:lvl w:ilvl="0">
      <w:start w:val="2"/>
      <w:numFmt w:val="decimal"/>
      <w:lvlText w:val="%1"/>
      <w:lvlJc w:val="left"/>
      <w:pPr>
        <w:ind w:left="629" w:hanging="468"/>
        <w:jc w:val="left"/>
      </w:pPr>
      <w:rPr>
        <w:rFonts w:hint="default"/>
      </w:rPr>
    </w:lvl>
    <w:lvl w:ilvl="1">
      <w:start w:val="2"/>
      <w:numFmt w:val="decimal"/>
      <w:lvlText w:val="%1.%2."/>
      <w:lvlJc w:val="left"/>
      <w:pPr>
        <w:ind w:left="629" w:hanging="468"/>
        <w:jc w:val="left"/>
      </w:pPr>
      <w:rPr>
        <w:rFonts w:hint="default" w:ascii="Arial" w:hAnsi="Arial" w:eastAsia="Arial" w:cs="Arial"/>
        <w:b/>
        <w:bCs/>
        <w:w w:val="99"/>
        <w:sz w:val="24"/>
        <w:szCs w:val="24"/>
      </w:rPr>
    </w:lvl>
    <w:lvl w:ilvl="2">
      <w:start w:val="1"/>
      <w:numFmt w:val="decimal"/>
      <w:lvlText w:val="%1.%2.%3."/>
      <w:lvlJc w:val="left"/>
      <w:pPr>
        <w:ind w:left="830" w:hanging="669"/>
        <w:jc w:val="left"/>
      </w:pPr>
      <w:rPr>
        <w:rFonts w:hint="default" w:ascii="Arial" w:hAnsi="Arial" w:eastAsia="Arial" w:cs="Arial"/>
        <w:b/>
        <w:bCs/>
        <w:spacing w:val="-2"/>
        <w:w w:val="99"/>
        <w:sz w:val="24"/>
        <w:szCs w:val="24"/>
      </w:rPr>
    </w:lvl>
    <w:lvl w:ilvl="3">
      <w:start w:val="1"/>
      <w:numFmt w:val="decimal"/>
      <w:lvlText w:val="%1.%2.%3.%4"/>
      <w:lvlJc w:val="left"/>
      <w:pPr>
        <w:ind w:left="963" w:hanging="802"/>
        <w:jc w:val="left"/>
      </w:pPr>
      <w:rPr>
        <w:rFonts w:hint="default"/>
        <w:spacing w:val="-2"/>
        <w:w w:val="99"/>
      </w:rPr>
    </w:lvl>
    <w:lvl w:ilvl="4">
      <w:start w:val="1"/>
      <w:numFmt w:val="bullet"/>
      <w:lvlText w:val="•"/>
      <w:lvlJc w:val="left"/>
      <w:pPr>
        <w:ind w:left="3010" w:hanging="802"/>
      </w:pPr>
      <w:rPr>
        <w:rFonts w:hint="default"/>
      </w:rPr>
    </w:lvl>
    <w:lvl w:ilvl="5">
      <w:start w:val="1"/>
      <w:numFmt w:val="bullet"/>
      <w:lvlText w:val="•"/>
      <w:lvlJc w:val="left"/>
      <w:pPr>
        <w:ind w:left="4035" w:hanging="802"/>
      </w:pPr>
      <w:rPr>
        <w:rFonts w:hint="default"/>
      </w:rPr>
    </w:lvl>
    <w:lvl w:ilvl="6">
      <w:start w:val="1"/>
      <w:numFmt w:val="bullet"/>
      <w:lvlText w:val="•"/>
      <w:lvlJc w:val="left"/>
      <w:pPr>
        <w:ind w:left="5060" w:hanging="802"/>
      </w:pPr>
      <w:rPr>
        <w:rFonts w:hint="default"/>
      </w:rPr>
    </w:lvl>
    <w:lvl w:ilvl="7">
      <w:start w:val="1"/>
      <w:numFmt w:val="bullet"/>
      <w:lvlText w:val="•"/>
      <w:lvlJc w:val="left"/>
      <w:pPr>
        <w:ind w:left="6085" w:hanging="802"/>
      </w:pPr>
      <w:rPr>
        <w:rFonts w:hint="default"/>
      </w:rPr>
    </w:lvl>
    <w:lvl w:ilvl="8">
      <w:start w:val="1"/>
      <w:numFmt w:val="bullet"/>
      <w:lvlText w:val="•"/>
      <w:lvlJc w:val="left"/>
      <w:pPr>
        <w:ind w:left="7110" w:hanging="802"/>
      </w:pPr>
      <w:rPr>
        <w:rFonts w:hint="default"/>
      </w:rPr>
    </w:lvl>
  </w:abstractNum>
  <w:abstractNum w:abstractNumId="2">
    <w:multiLevelType w:val="hybridMultilevel"/>
    <w:lvl w:ilvl="0">
      <w:start w:val="2"/>
      <w:numFmt w:val="decimal"/>
      <w:lvlText w:val="%1"/>
      <w:lvlJc w:val="left"/>
      <w:pPr>
        <w:ind w:left="632" w:hanging="471"/>
        <w:jc w:val="left"/>
      </w:pPr>
      <w:rPr>
        <w:rFonts w:hint="default"/>
      </w:rPr>
    </w:lvl>
    <w:lvl w:ilvl="1">
      <w:start w:val="1"/>
      <w:numFmt w:val="decimal"/>
      <w:lvlText w:val="%1.%2."/>
      <w:lvlJc w:val="left"/>
      <w:pPr>
        <w:ind w:left="632" w:hanging="471"/>
        <w:jc w:val="left"/>
      </w:pPr>
      <w:rPr>
        <w:rFonts w:hint="default" w:ascii="Arial" w:hAnsi="Arial" w:eastAsia="Arial" w:cs="Arial"/>
        <w:b/>
        <w:bCs/>
        <w:w w:val="99"/>
        <w:sz w:val="24"/>
        <w:szCs w:val="24"/>
      </w:rPr>
    </w:lvl>
    <w:lvl w:ilvl="2">
      <w:start w:val="1"/>
      <w:numFmt w:val="decimal"/>
      <w:lvlText w:val="%1.%2.%3."/>
      <w:lvlJc w:val="left"/>
      <w:pPr>
        <w:ind w:left="831" w:hanging="670"/>
        <w:jc w:val="left"/>
      </w:pPr>
      <w:rPr>
        <w:rFonts w:hint="default" w:ascii="Arial" w:hAnsi="Arial" w:eastAsia="Arial" w:cs="Arial"/>
        <w:b/>
        <w:bCs/>
        <w:spacing w:val="-2"/>
        <w:w w:val="99"/>
        <w:sz w:val="24"/>
        <w:szCs w:val="24"/>
      </w:rPr>
    </w:lvl>
    <w:lvl w:ilvl="3">
      <w:start w:val="1"/>
      <w:numFmt w:val="bullet"/>
      <w:lvlText w:val="•"/>
      <w:lvlJc w:val="left"/>
      <w:pPr>
        <w:ind w:left="2688" w:hanging="670"/>
      </w:pPr>
      <w:rPr>
        <w:rFonts w:hint="default"/>
      </w:rPr>
    </w:lvl>
    <w:lvl w:ilvl="4">
      <w:start w:val="1"/>
      <w:numFmt w:val="bullet"/>
      <w:lvlText w:val="•"/>
      <w:lvlJc w:val="left"/>
      <w:pPr>
        <w:ind w:left="3613" w:hanging="670"/>
      </w:pPr>
      <w:rPr>
        <w:rFonts w:hint="default"/>
      </w:rPr>
    </w:lvl>
    <w:lvl w:ilvl="5">
      <w:start w:val="1"/>
      <w:numFmt w:val="bullet"/>
      <w:lvlText w:val="•"/>
      <w:lvlJc w:val="left"/>
      <w:pPr>
        <w:ind w:left="4537" w:hanging="670"/>
      </w:pPr>
      <w:rPr>
        <w:rFonts w:hint="default"/>
      </w:rPr>
    </w:lvl>
    <w:lvl w:ilvl="6">
      <w:start w:val="1"/>
      <w:numFmt w:val="bullet"/>
      <w:lvlText w:val="•"/>
      <w:lvlJc w:val="left"/>
      <w:pPr>
        <w:ind w:left="5462" w:hanging="670"/>
      </w:pPr>
      <w:rPr>
        <w:rFonts w:hint="default"/>
      </w:rPr>
    </w:lvl>
    <w:lvl w:ilvl="7">
      <w:start w:val="1"/>
      <w:numFmt w:val="bullet"/>
      <w:lvlText w:val="•"/>
      <w:lvlJc w:val="left"/>
      <w:pPr>
        <w:ind w:left="6386" w:hanging="670"/>
      </w:pPr>
      <w:rPr>
        <w:rFonts w:hint="default"/>
      </w:rPr>
    </w:lvl>
    <w:lvl w:ilvl="8">
      <w:start w:val="1"/>
      <w:numFmt w:val="bullet"/>
      <w:lvlText w:val="•"/>
      <w:lvlJc w:val="left"/>
      <w:pPr>
        <w:ind w:left="7311" w:hanging="670"/>
      </w:pPr>
      <w:rPr>
        <w:rFonts w:hint="default"/>
      </w:rPr>
    </w:lvl>
  </w:abstractNum>
  <w:abstractNum w:abstractNumId="1">
    <w:multiLevelType w:val="hybridMultilevel"/>
    <w:lvl w:ilvl="0">
      <w:start w:val="1"/>
      <w:numFmt w:val="decimal"/>
      <w:lvlText w:val="%1."/>
      <w:lvlJc w:val="left"/>
      <w:pPr>
        <w:ind w:left="882" w:hanging="360"/>
        <w:jc w:val="left"/>
      </w:pPr>
      <w:rPr>
        <w:rFonts w:hint="default" w:ascii="Arial" w:hAnsi="Arial" w:eastAsia="Arial" w:cs="Arial"/>
        <w:b/>
        <w:bCs/>
        <w:w w:val="99"/>
        <w:sz w:val="24"/>
        <w:szCs w:val="24"/>
      </w:rPr>
    </w:lvl>
    <w:lvl w:ilvl="1">
      <w:start w:val="1"/>
      <w:numFmt w:val="bullet"/>
      <w:lvlText w:val="•"/>
      <w:lvlJc w:val="left"/>
      <w:pPr>
        <w:ind w:left="1708" w:hanging="360"/>
      </w:pPr>
      <w:rPr>
        <w:rFonts w:hint="default"/>
      </w:rPr>
    </w:lvl>
    <w:lvl w:ilvl="2">
      <w:start w:val="1"/>
      <w:numFmt w:val="bullet"/>
      <w:lvlText w:val="•"/>
      <w:lvlJc w:val="left"/>
      <w:pPr>
        <w:ind w:left="2536" w:hanging="360"/>
      </w:pPr>
      <w:rPr>
        <w:rFonts w:hint="default"/>
      </w:rPr>
    </w:lvl>
    <w:lvl w:ilvl="3">
      <w:start w:val="1"/>
      <w:numFmt w:val="bullet"/>
      <w:lvlText w:val="•"/>
      <w:lvlJc w:val="left"/>
      <w:pPr>
        <w:ind w:left="336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2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676" w:hanging="360"/>
      </w:pPr>
      <w:rPr>
        <w:rFonts w:hint="default"/>
      </w:rPr>
    </w:lvl>
    <w:lvl w:ilvl="8">
      <w:start w:val="1"/>
      <w:numFmt w:val="bullet"/>
      <w:lvlText w:val="•"/>
      <w:lvlJc w:val="left"/>
      <w:pPr>
        <w:ind w:left="7504" w:hanging="360"/>
      </w:pPr>
      <w:rPr>
        <w:rFonts w:hint="default"/>
      </w:rPr>
    </w:lvl>
  </w:abstractNum>
  <w:abstractNum w:abstractNumId="0">
    <w:multiLevelType w:val="hybridMultilevel"/>
    <w:lvl w:ilvl="0">
      <w:start w:val="1"/>
      <w:numFmt w:val="decimal"/>
      <w:lvlText w:val="%1."/>
      <w:lvlJc w:val="left"/>
      <w:pPr>
        <w:ind w:left="601" w:hanging="440"/>
        <w:jc w:val="left"/>
      </w:pPr>
      <w:rPr>
        <w:rFonts w:hint="default" w:ascii="Calibri" w:hAnsi="Calibri" w:eastAsia="Calibri" w:cs="Calibri"/>
        <w:w w:val="100"/>
        <w:sz w:val="22"/>
        <w:szCs w:val="22"/>
      </w:rPr>
    </w:lvl>
    <w:lvl w:ilvl="1">
      <w:start w:val="1"/>
      <w:numFmt w:val="decimal"/>
      <w:lvlText w:val="%1.%2."/>
      <w:lvlJc w:val="left"/>
      <w:pPr>
        <w:ind w:left="768" w:hanging="386"/>
        <w:jc w:val="left"/>
      </w:pPr>
      <w:rPr>
        <w:rFonts w:hint="default" w:ascii="Calibri" w:hAnsi="Calibri" w:eastAsia="Calibri" w:cs="Calibri"/>
        <w:spacing w:val="-1"/>
        <w:w w:val="100"/>
        <w:sz w:val="22"/>
        <w:szCs w:val="22"/>
      </w:rPr>
    </w:lvl>
    <w:lvl w:ilvl="2">
      <w:start w:val="1"/>
      <w:numFmt w:val="decimal"/>
      <w:lvlText w:val="%1.%2.%3."/>
      <w:lvlJc w:val="left"/>
      <w:pPr>
        <w:ind w:left="1162" w:hanging="561"/>
        <w:jc w:val="left"/>
      </w:pPr>
      <w:rPr>
        <w:rFonts w:hint="default" w:ascii="Calibri" w:hAnsi="Calibri" w:eastAsia="Calibri" w:cs="Calibri"/>
        <w:b/>
        <w:bCs/>
        <w:spacing w:val="-2"/>
        <w:w w:val="100"/>
        <w:sz w:val="22"/>
        <w:szCs w:val="22"/>
      </w:rPr>
    </w:lvl>
    <w:lvl w:ilvl="3">
      <w:start w:val="1"/>
      <w:numFmt w:val="bullet"/>
      <w:lvlText w:val="•"/>
      <w:lvlJc w:val="left"/>
      <w:pPr>
        <w:ind w:left="2160" w:hanging="561"/>
      </w:pPr>
      <w:rPr>
        <w:rFonts w:hint="default"/>
      </w:rPr>
    </w:lvl>
    <w:lvl w:ilvl="4">
      <w:start w:val="1"/>
      <w:numFmt w:val="bullet"/>
      <w:lvlText w:val="•"/>
      <w:lvlJc w:val="left"/>
      <w:pPr>
        <w:ind w:left="3160" w:hanging="561"/>
      </w:pPr>
      <w:rPr>
        <w:rFonts w:hint="default"/>
      </w:rPr>
    </w:lvl>
    <w:lvl w:ilvl="5">
      <w:start w:val="1"/>
      <w:numFmt w:val="bullet"/>
      <w:lvlText w:val="•"/>
      <w:lvlJc w:val="left"/>
      <w:pPr>
        <w:ind w:left="4160" w:hanging="561"/>
      </w:pPr>
      <w:rPr>
        <w:rFonts w:hint="default"/>
      </w:rPr>
    </w:lvl>
    <w:lvl w:ilvl="6">
      <w:start w:val="1"/>
      <w:numFmt w:val="bullet"/>
      <w:lvlText w:val="•"/>
      <w:lvlJc w:val="left"/>
      <w:pPr>
        <w:ind w:left="5160" w:hanging="561"/>
      </w:pPr>
      <w:rPr>
        <w:rFonts w:hint="default"/>
      </w:rPr>
    </w:lvl>
    <w:lvl w:ilvl="7">
      <w:start w:val="1"/>
      <w:numFmt w:val="bullet"/>
      <w:lvlText w:val="•"/>
      <w:lvlJc w:val="left"/>
      <w:pPr>
        <w:ind w:left="6160" w:hanging="561"/>
      </w:pPr>
      <w:rPr>
        <w:rFonts w:hint="default"/>
      </w:rPr>
    </w:lvl>
    <w:lvl w:ilvl="8">
      <w:start w:val="1"/>
      <w:numFmt w:val="bullet"/>
      <w:lvlText w:val="•"/>
      <w:lvlJc w:val="left"/>
      <w:pPr>
        <w:ind w:left="7160" w:hanging="561"/>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2"/>
      <w:ind w:left="601" w:hanging="439"/>
    </w:pPr>
    <w:rPr>
      <w:rFonts w:ascii="Calibri" w:hAnsi="Calibri" w:eastAsia="Calibri" w:cs="Calibri"/>
      <w:sz w:val="22"/>
      <w:szCs w:val="22"/>
    </w:rPr>
  </w:style>
  <w:style w:styleId="TOC2" w:type="paragraph">
    <w:name w:val="TOC 2"/>
    <w:basedOn w:val="Normal"/>
    <w:uiPriority w:val="1"/>
    <w:qFormat/>
    <w:pPr>
      <w:spacing w:before="139"/>
      <w:ind w:left="766" w:hanging="384"/>
    </w:pPr>
    <w:rPr>
      <w:rFonts w:ascii="Calibri" w:hAnsi="Calibri" w:eastAsia="Calibri" w:cs="Calibri"/>
      <w:sz w:val="22"/>
      <w:szCs w:val="22"/>
    </w:rPr>
  </w:style>
  <w:style w:styleId="TOC3" w:type="paragraph">
    <w:name w:val="TOC 3"/>
    <w:basedOn w:val="Normal"/>
    <w:uiPriority w:val="1"/>
    <w:qFormat/>
    <w:pPr>
      <w:spacing w:before="139"/>
      <w:ind w:left="1162" w:hanging="561"/>
    </w:pPr>
    <w:rPr>
      <w:rFonts w:ascii="Calibri" w:hAnsi="Calibri" w:eastAsia="Calibri" w:cs="Calibri"/>
      <w:b/>
      <w:bCs/>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04"/>
      <w:ind w:left="830" w:hanging="668"/>
      <w:jc w:val="both"/>
      <w:outlineLvl w:val="1"/>
    </w:pPr>
    <w:rPr>
      <w:rFonts w:ascii="Arial" w:hAnsi="Arial" w:eastAsia="Arial" w:cs="Arial"/>
      <w:b/>
      <w:bCs/>
      <w:sz w:val="24"/>
      <w:szCs w:val="24"/>
    </w:rPr>
  </w:style>
  <w:style w:styleId="ListParagraph" w:type="paragraph">
    <w:name w:val="List Paragraph"/>
    <w:basedOn w:val="Normal"/>
    <w:uiPriority w:val="1"/>
    <w:qFormat/>
    <w:pPr>
      <w:spacing w:before="2"/>
      <w:ind w:left="882" w:hanging="360"/>
      <w:jc w:val="both"/>
    </w:pPr>
    <w:rPr>
      <w:rFonts w:ascii="Arial" w:hAnsi="Arial" w:eastAsia="Arial" w:cs="Arial"/>
    </w:rPr>
  </w:style>
  <w:style w:styleId="TableParagraph" w:type="paragraph">
    <w:name w:val="Table Paragraph"/>
    <w:basedOn w:val="Normal"/>
    <w:uiPriority w:val="1"/>
    <w:qFormat/>
    <w:pPr>
      <w:spacing w:line="206" w:lineRule="exact"/>
      <w:ind w:right="277"/>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image" Target="media/image3.jpeg"/><Relationship Id="rId14" Type="http://schemas.openxmlformats.org/officeDocument/2006/relationships/image" Target="media/image4.jpeg"/><Relationship Id="rId15" Type="http://schemas.openxmlformats.org/officeDocument/2006/relationships/image" Target="media/image5.jpeg"/><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footer" Target="footer6.xml"/><Relationship Id="rId19" Type="http://schemas.openxmlformats.org/officeDocument/2006/relationships/image" Target="media/image8.jpeg"/><Relationship Id="rId20" Type="http://schemas.openxmlformats.org/officeDocument/2006/relationships/image" Target="media/image9.jpeg"/><Relationship Id="rId21" Type="http://schemas.openxmlformats.org/officeDocument/2006/relationships/footer" Target="footer7.xml"/><Relationship Id="rId22" Type="http://schemas.openxmlformats.org/officeDocument/2006/relationships/image" Target="media/image10.jpeg"/><Relationship Id="rId23" Type="http://schemas.openxmlformats.org/officeDocument/2006/relationships/image" Target="media/image11.jpeg"/><Relationship Id="rId24" Type="http://schemas.openxmlformats.org/officeDocument/2006/relationships/image" Target="media/image12.jpeg"/><Relationship Id="rId25" Type="http://schemas.openxmlformats.org/officeDocument/2006/relationships/image" Target="media/image13.jpeg"/><Relationship Id="rId26" Type="http://schemas.openxmlformats.org/officeDocument/2006/relationships/image" Target="media/image14.jpeg"/><Relationship Id="rId27" Type="http://schemas.openxmlformats.org/officeDocument/2006/relationships/image" Target="media/image15.jpeg"/><Relationship Id="rId28" Type="http://schemas.openxmlformats.org/officeDocument/2006/relationships/image" Target="media/image16.jpeg"/><Relationship Id="rId29" Type="http://schemas.openxmlformats.org/officeDocument/2006/relationships/image" Target="media/image17.jpeg"/><Relationship Id="rId30" Type="http://schemas.openxmlformats.org/officeDocument/2006/relationships/image" Target="media/image18.jpeg"/><Relationship Id="rId31" Type="http://schemas.openxmlformats.org/officeDocument/2006/relationships/image" Target="media/image19.jpeg"/><Relationship Id="rId32" Type="http://schemas.openxmlformats.org/officeDocument/2006/relationships/image" Target="media/image20.jpeg"/><Relationship Id="rId33" Type="http://schemas.openxmlformats.org/officeDocument/2006/relationships/image" Target="media/image21.jpeg"/><Relationship Id="rId34" Type="http://schemas.openxmlformats.org/officeDocument/2006/relationships/image" Target="media/image22.jpeg"/><Relationship Id="rId35" Type="http://schemas.openxmlformats.org/officeDocument/2006/relationships/image" Target="media/image23.jpeg"/><Relationship Id="rId36" Type="http://schemas.openxmlformats.org/officeDocument/2006/relationships/image" Target="media/image24.jpeg"/><Relationship Id="rId37" Type="http://schemas.openxmlformats.org/officeDocument/2006/relationships/image" Target="media/image25.jpeg"/><Relationship Id="rId38" Type="http://schemas.openxmlformats.org/officeDocument/2006/relationships/image" Target="media/image26.jpeg"/><Relationship Id="rId39" Type="http://schemas.openxmlformats.org/officeDocument/2006/relationships/image" Target="media/image27.jpeg"/><Relationship Id="rId40" Type="http://schemas.openxmlformats.org/officeDocument/2006/relationships/footer" Target="footer8.xml"/><Relationship Id="rId41" Type="http://schemas.openxmlformats.org/officeDocument/2006/relationships/image" Target="media/image28.jpeg"/><Relationship Id="rId42" Type="http://schemas.openxmlformats.org/officeDocument/2006/relationships/footer" Target="footer9.xml"/><Relationship Id="rId43" Type="http://schemas.openxmlformats.org/officeDocument/2006/relationships/image" Target="media/image29.jpeg"/><Relationship Id="rId44" Type="http://schemas.openxmlformats.org/officeDocument/2006/relationships/image" Target="media/image30.jpeg"/><Relationship Id="rId45" Type="http://schemas.openxmlformats.org/officeDocument/2006/relationships/image" Target="media/image31.jpeg"/><Relationship Id="rId46" Type="http://schemas.openxmlformats.org/officeDocument/2006/relationships/image" Target="media/image32.jpeg"/><Relationship Id="rId47" Type="http://schemas.openxmlformats.org/officeDocument/2006/relationships/image" Target="media/image33.jpeg"/><Relationship Id="rId48" Type="http://schemas.openxmlformats.org/officeDocument/2006/relationships/image" Target="media/image34.jpeg"/><Relationship Id="rId49" Type="http://schemas.openxmlformats.org/officeDocument/2006/relationships/image" Target="media/image35.jpeg"/><Relationship Id="rId50" Type="http://schemas.openxmlformats.org/officeDocument/2006/relationships/image" Target="media/image36.jpeg"/><Relationship Id="rId51" Type="http://schemas.openxmlformats.org/officeDocument/2006/relationships/image" Target="media/image37.jpeg"/><Relationship Id="rId52" Type="http://schemas.openxmlformats.org/officeDocument/2006/relationships/image" Target="media/image38.jpeg"/><Relationship Id="rId53" Type="http://schemas.openxmlformats.org/officeDocument/2006/relationships/image" Target="media/image39.jpeg"/><Relationship Id="rId54" Type="http://schemas.openxmlformats.org/officeDocument/2006/relationships/image" Target="media/image40.jpeg"/><Relationship Id="rId55" Type="http://schemas.openxmlformats.org/officeDocument/2006/relationships/image" Target="media/image41.jpeg"/><Relationship Id="rId56" Type="http://schemas.openxmlformats.org/officeDocument/2006/relationships/footer" Target="footer10.xml"/><Relationship Id="rId57" Type="http://schemas.openxmlformats.org/officeDocument/2006/relationships/image" Target="media/image42.jpeg"/><Relationship Id="rId58" Type="http://schemas.openxmlformats.org/officeDocument/2006/relationships/footer" Target="footer11.xml"/><Relationship Id="rId59" Type="http://schemas.openxmlformats.org/officeDocument/2006/relationships/image" Target="media/image43.jpeg"/><Relationship Id="rId60" Type="http://schemas.openxmlformats.org/officeDocument/2006/relationships/footer" Target="footer12.xml"/><Relationship Id="rId61" Type="http://schemas.openxmlformats.org/officeDocument/2006/relationships/footer" Target="footer13.xml"/><Relationship Id="rId62" Type="http://schemas.openxmlformats.org/officeDocument/2006/relationships/image" Target="media/image44.png"/><Relationship Id="rId63" Type="http://schemas.openxmlformats.org/officeDocument/2006/relationships/image" Target="media/image45.jpeg"/><Relationship Id="rId64" Type="http://schemas.openxmlformats.org/officeDocument/2006/relationships/image" Target="media/image46.jpeg"/><Relationship Id="rId65" Type="http://schemas.openxmlformats.org/officeDocument/2006/relationships/image" Target="media/image47.jpeg"/><Relationship Id="rId66" Type="http://schemas.openxmlformats.org/officeDocument/2006/relationships/image" Target="media/image48.jpeg"/><Relationship Id="rId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dc:creator>
  <dc:title>Especialidad en Endodoncia</dc:title>
  <dcterms:created xsi:type="dcterms:W3CDTF">2017-05-27T02:59:24Z</dcterms:created>
  <dcterms:modified xsi:type="dcterms:W3CDTF">2017-05-27T02:59:24Z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2014-12-12T00:00:00Z</vt:filetime>
  </property>
  <property fmtid="{D5CDD505-2E9C-101B-9397-08002B2CF9AE}" pid="3" name="Creator">
    <vt:lpwstr>Microsoft® Word 2013</vt:lpwstr>
  </property>
  <property fmtid="{D5CDD505-2E9C-101B-9397-08002B2CF9AE}" pid="4" name="LastSaved">
    <vt:filetime>2017-05-27T00:00:00Z</vt:filetime>
  </property>
</Properties>
</file>